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76" w:lineRule="auto"/>
        <w:jc w:val="center"/>
        <w:rPr>
          <w:rFonts w:hint="eastAsia" w:cs="宋体" w:asciiTheme="majorEastAsia" w:hAnsiTheme="majorEastAsia" w:eastAsiaTheme="majorEastAsia"/>
          <w:b/>
          <w:bCs/>
          <w:color w:val="000000"/>
          <w:kern w:val="0"/>
          <w:sz w:val="48"/>
          <w:szCs w:val="48"/>
          <w:lang w:eastAsia="zh-CN"/>
        </w:rPr>
      </w:pPr>
    </w:p>
    <w:p>
      <w:pPr>
        <w:widowControl/>
        <w:spacing w:line="276" w:lineRule="auto"/>
        <w:jc w:val="center"/>
        <w:rPr>
          <w:rFonts w:hint="eastAsia" w:cs="宋体" w:asciiTheme="majorEastAsia" w:hAnsiTheme="majorEastAsia" w:eastAsiaTheme="majorEastAsia"/>
          <w:b/>
          <w:bCs/>
          <w:color w:val="000000"/>
          <w:kern w:val="0"/>
          <w:sz w:val="48"/>
          <w:szCs w:val="48"/>
          <w:lang w:eastAsia="zh-CN"/>
        </w:rPr>
      </w:pPr>
      <w:r>
        <w:rPr>
          <w:rFonts w:hint="eastAsia" w:cs="宋体" w:asciiTheme="majorEastAsia" w:hAnsiTheme="majorEastAsia" w:eastAsiaTheme="majorEastAsia"/>
          <w:b/>
          <w:bCs/>
          <w:color w:val="000000"/>
          <w:kern w:val="0"/>
          <w:sz w:val="48"/>
          <w:szCs w:val="48"/>
          <w:lang w:eastAsia="zh-CN"/>
        </w:rPr>
        <w:t>三青山镇大房身村扶持发展新型农村集体经济项目</w:t>
      </w:r>
    </w:p>
    <w:p>
      <w:pPr>
        <w:widowControl/>
        <w:spacing w:line="276" w:lineRule="auto"/>
        <w:jc w:val="center"/>
        <w:rPr>
          <w:rFonts w:cs="宋体" w:asciiTheme="majorEastAsia" w:hAnsiTheme="majorEastAsia" w:eastAsiaTheme="majorEastAsia"/>
          <w:b/>
          <w:bCs/>
          <w:color w:val="000000"/>
          <w:kern w:val="0"/>
          <w:sz w:val="32"/>
          <w:szCs w:val="32"/>
        </w:rPr>
      </w:pPr>
    </w:p>
    <w:p>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rPr>
        <w:t>（公开招标）</w:t>
      </w:r>
    </w:p>
    <w:p>
      <w:pPr>
        <w:widowControl/>
        <w:spacing w:line="276" w:lineRule="auto"/>
        <w:rPr>
          <w:rFonts w:cs="宋体" w:asciiTheme="majorEastAsia" w:hAnsiTheme="majorEastAsia" w:eastAsiaTheme="majorEastAsia"/>
          <w:color w:val="000000"/>
          <w:kern w:val="0"/>
          <w:sz w:val="44"/>
          <w:szCs w:val="44"/>
        </w:rPr>
      </w:pPr>
    </w:p>
    <w:p>
      <w:pPr>
        <w:pStyle w:val="5"/>
      </w:pPr>
    </w:p>
    <w:p>
      <w:pPr>
        <w:pStyle w:val="5"/>
      </w:pPr>
    </w:p>
    <w:p>
      <w:pPr>
        <w:widowControl/>
        <w:spacing w:line="276" w:lineRule="auto"/>
        <w:jc w:val="center"/>
        <w:rPr>
          <w:rFonts w:cs="宋体" w:asciiTheme="majorEastAsia" w:hAnsiTheme="majorEastAsia" w:eastAsiaTheme="majorEastAsia"/>
          <w:b/>
          <w:bCs/>
          <w:color w:val="000000"/>
          <w:kern w:val="0"/>
          <w:sz w:val="84"/>
          <w:szCs w:val="84"/>
        </w:rPr>
      </w:pPr>
      <w:r>
        <w:rPr>
          <w:rFonts w:hint="eastAsia" w:cs="宋体" w:asciiTheme="majorEastAsia" w:hAnsiTheme="majorEastAsia" w:eastAsiaTheme="majorEastAsia"/>
          <w:b/>
          <w:bCs/>
          <w:color w:val="000000"/>
          <w:kern w:val="0"/>
          <w:sz w:val="84"/>
          <w:szCs w:val="84"/>
        </w:rPr>
        <w:t>招标文件</w:t>
      </w:r>
    </w:p>
    <w:p>
      <w:pPr>
        <w:widowControl/>
        <w:snapToGrid w:val="0"/>
        <w:spacing w:line="276" w:lineRule="auto"/>
        <w:jc w:val="center"/>
        <w:outlineLvl w:val="1"/>
        <w:rPr>
          <w:rFonts w:cs="宋体" w:asciiTheme="majorEastAsia" w:hAnsiTheme="majorEastAsia" w:eastAsiaTheme="majorEastAsia"/>
          <w:b/>
          <w:bCs/>
          <w:color w:val="000000"/>
          <w:kern w:val="0"/>
          <w:sz w:val="32"/>
          <w:szCs w:val="32"/>
        </w:rPr>
      </w:pPr>
      <w:bookmarkStart w:id="0" w:name="_Toc504654671"/>
      <w:bookmarkStart w:id="1" w:name="_Toc504479633"/>
    </w:p>
    <w:p>
      <w:pPr>
        <w:widowControl/>
        <w:spacing w:line="276" w:lineRule="auto"/>
        <w:jc w:val="center"/>
        <w:rPr>
          <w:rFonts w:hint="eastAsia" w:cs="宋体" w:asciiTheme="majorEastAsia" w:hAnsiTheme="majorEastAsia" w:eastAsiaTheme="majorEastAsia"/>
          <w:color w:val="000000"/>
          <w:kern w:val="0"/>
          <w:sz w:val="52"/>
          <w:szCs w:val="52"/>
          <w:lang w:val="en-US" w:eastAsia="zh-CN"/>
        </w:rPr>
      </w:pPr>
      <w:r>
        <w:rPr>
          <w:rFonts w:hint="eastAsia" w:cs="宋体" w:asciiTheme="majorEastAsia" w:hAnsiTheme="majorEastAsia" w:eastAsiaTheme="majorEastAsia"/>
          <w:b/>
          <w:bCs/>
          <w:color w:val="000000"/>
          <w:kern w:val="0"/>
          <w:sz w:val="32"/>
          <w:szCs w:val="32"/>
        </w:rPr>
        <w:t>招标项目编号：</w:t>
      </w:r>
      <w:bookmarkEnd w:id="0"/>
      <w:bookmarkEnd w:id="1"/>
      <w:r>
        <w:rPr>
          <w:rFonts w:hint="eastAsia" w:ascii="宋体" w:hAnsi="宋体" w:cs="宋体"/>
          <w:b/>
          <w:kern w:val="0"/>
          <w:sz w:val="32"/>
          <w:szCs w:val="32"/>
          <w:lang w:eastAsia="zh-CN"/>
        </w:rPr>
        <w:t>采购计划-[2025]-00020号-DLJ-004</w:t>
      </w:r>
      <w:r>
        <w:rPr>
          <w:rFonts w:hint="eastAsia" w:cs="宋体" w:asciiTheme="majorEastAsia" w:hAnsiTheme="majorEastAsia" w:eastAsiaTheme="majorEastAsia"/>
          <w:b/>
          <w:bCs/>
          <w:color w:val="000000"/>
          <w:kern w:val="0"/>
          <w:sz w:val="32"/>
          <w:szCs w:val="32"/>
          <w:lang w:val="en-US" w:eastAsia="zh-CN"/>
        </w:rPr>
        <w:t xml:space="preserve"> </w:t>
      </w:r>
    </w:p>
    <w:p>
      <w:pPr>
        <w:pStyle w:val="5"/>
      </w:pPr>
    </w:p>
    <w:p>
      <w:pPr>
        <w:widowControl/>
        <w:spacing w:line="276" w:lineRule="auto"/>
        <w:rPr>
          <w:rFonts w:cs="宋体" w:asciiTheme="majorEastAsia" w:hAnsiTheme="majorEastAsia" w:eastAsiaTheme="majorEastAsia"/>
          <w:color w:val="000000"/>
          <w:kern w:val="0"/>
          <w:sz w:val="52"/>
          <w:szCs w:val="52"/>
        </w:rPr>
      </w:pPr>
    </w:p>
    <w:p>
      <w:pPr>
        <w:pStyle w:val="5"/>
      </w:pPr>
    </w:p>
    <w:p>
      <w:pPr>
        <w:pStyle w:val="5"/>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autoSpaceDN w:val="0"/>
        <w:spacing w:line="276" w:lineRule="auto"/>
        <w:ind w:firstLine="1285" w:firstLineChars="400"/>
        <w:rPr>
          <w:rFonts w:cs="宋体" w:asciiTheme="majorEastAsia" w:hAnsiTheme="majorEastAsia" w:eastAsiaTheme="majorEastAsia"/>
          <w:b/>
          <w:bCs/>
          <w:color w:val="000000"/>
          <w:kern w:val="0"/>
          <w:sz w:val="32"/>
          <w:szCs w:val="32"/>
        </w:rPr>
      </w:pPr>
    </w:p>
    <w:p>
      <w:pPr>
        <w:pStyle w:val="5"/>
        <w:rPr>
          <w:rFonts w:cs="宋体" w:asciiTheme="majorEastAsia" w:hAnsiTheme="majorEastAsia" w:eastAsiaTheme="majorEastAsia"/>
          <w:b/>
          <w:bCs/>
          <w:color w:val="000000"/>
          <w:sz w:val="32"/>
          <w:szCs w:val="32"/>
        </w:rPr>
      </w:pPr>
    </w:p>
    <w:p>
      <w:pPr>
        <w:pStyle w:val="5"/>
        <w:rPr>
          <w:rFonts w:cs="宋体" w:asciiTheme="majorEastAsia" w:hAnsiTheme="majorEastAsia" w:eastAsiaTheme="majorEastAsia"/>
          <w:b/>
          <w:bCs/>
          <w:color w:val="000000"/>
          <w:sz w:val="32"/>
          <w:szCs w:val="32"/>
        </w:rPr>
      </w:pPr>
    </w:p>
    <w:p>
      <w:pPr>
        <w:autoSpaceDN w:val="0"/>
        <w:spacing w:line="276" w:lineRule="auto"/>
        <w:jc w:val="center"/>
        <w:rPr>
          <w:rFonts w:hint="eastAsia" w:cs="宋体" w:asciiTheme="majorEastAsia" w:hAnsiTheme="majorEastAsia" w:eastAsiaTheme="majorEastAsia"/>
          <w:b/>
          <w:bCs/>
          <w:color w:val="000000"/>
          <w:kern w:val="0"/>
          <w:sz w:val="32"/>
          <w:szCs w:val="32"/>
          <w:lang w:eastAsia="zh-CN"/>
        </w:rPr>
      </w:pPr>
      <w:r>
        <w:rPr>
          <w:rFonts w:hint="eastAsia" w:cs="宋体" w:asciiTheme="majorEastAsia" w:hAnsiTheme="majorEastAsia" w:eastAsiaTheme="majorEastAsia"/>
          <w:b/>
          <w:bCs/>
          <w:color w:val="000000"/>
          <w:kern w:val="0"/>
          <w:sz w:val="32"/>
          <w:szCs w:val="32"/>
        </w:rPr>
        <w:t>采购人</w:t>
      </w:r>
      <w:r>
        <w:rPr>
          <w:rFonts w:cs="宋体" w:asciiTheme="majorEastAsia" w:hAnsiTheme="majorEastAsia" w:eastAsiaTheme="majorEastAsia"/>
          <w:b/>
          <w:bCs/>
          <w:color w:val="000000"/>
          <w:kern w:val="0"/>
          <w:sz w:val="32"/>
          <w:szCs w:val="32"/>
        </w:rPr>
        <w:t>:</w:t>
      </w:r>
      <w:r>
        <w:rPr>
          <w:rFonts w:hint="eastAsia" w:cs="宋体" w:asciiTheme="majorEastAsia" w:hAnsiTheme="majorEastAsia" w:eastAsiaTheme="majorEastAsia"/>
          <w:b/>
          <w:bCs/>
          <w:color w:val="000000"/>
          <w:kern w:val="0"/>
          <w:sz w:val="32"/>
          <w:szCs w:val="32"/>
          <w:lang w:eastAsia="zh-CN"/>
        </w:rPr>
        <w:t>长岭县三青山镇综合服务中心</w:t>
      </w:r>
    </w:p>
    <w:p>
      <w:pPr>
        <w:pStyle w:val="5"/>
      </w:pPr>
    </w:p>
    <w:p>
      <w:pPr>
        <w:widowControl/>
        <w:spacing w:line="276" w:lineRule="auto"/>
        <w:jc w:val="center"/>
        <w:rPr>
          <w:rFonts w:hint="eastAsia" w:cs="宋体" w:asciiTheme="majorEastAsia" w:hAnsiTheme="majorEastAsia" w:eastAsiaTheme="majorEastAsia"/>
          <w:b/>
          <w:bCs/>
          <w:color w:val="000000"/>
          <w:kern w:val="0"/>
          <w:sz w:val="32"/>
          <w:szCs w:val="32"/>
          <w:u w:val="single"/>
          <w:lang w:eastAsia="zh-CN"/>
        </w:rPr>
      </w:pPr>
      <w:r>
        <w:rPr>
          <w:rFonts w:hint="eastAsia" w:cs="宋体" w:asciiTheme="majorEastAsia" w:hAnsiTheme="majorEastAsia" w:eastAsiaTheme="majorEastAsia"/>
          <w:b/>
          <w:bCs/>
          <w:color w:val="000000"/>
          <w:kern w:val="0"/>
          <w:sz w:val="32"/>
          <w:szCs w:val="32"/>
        </w:rPr>
        <w:t>招标代理机构</w:t>
      </w:r>
      <w:r>
        <w:rPr>
          <w:rFonts w:cs="宋体" w:asciiTheme="majorEastAsia" w:hAnsiTheme="majorEastAsia" w:eastAsiaTheme="majorEastAsia"/>
          <w:b/>
          <w:bCs/>
          <w:color w:val="000000"/>
          <w:kern w:val="0"/>
          <w:sz w:val="32"/>
          <w:szCs w:val="32"/>
        </w:rPr>
        <w:t>:</w:t>
      </w:r>
      <w:r>
        <w:rPr>
          <w:rFonts w:hint="eastAsia" w:cs="宋体" w:asciiTheme="majorEastAsia" w:hAnsiTheme="majorEastAsia" w:eastAsiaTheme="majorEastAsia"/>
          <w:b/>
          <w:bCs/>
          <w:color w:val="000000"/>
          <w:kern w:val="0"/>
          <w:sz w:val="32"/>
          <w:szCs w:val="32"/>
          <w:lang w:eastAsia="zh-CN"/>
        </w:rPr>
        <w:t>东联建建筑咨询有限公司</w:t>
      </w:r>
    </w:p>
    <w:p>
      <w:pPr>
        <w:pStyle w:val="5"/>
        <w:ind w:left="0" w:leftChars="0" w:firstLine="0" w:firstLineChars="0"/>
      </w:pPr>
    </w:p>
    <w:p>
      <w:pPr>
        <w:pStyle w:val="5"/>
      </w:pPr>
    </w:p>
    <w:p>
      <w:pPr>
        <w:widowControl/>
        <w:spacing w:line="276" w:lineRule="auto"/>
        <w:jc w:val="center"/>
        <w:rPr>
          <w:rFonts w:cs="宋体" w:asciiTheme="majorEastAsia" w:hAnsiTheme="majorEastAsia" w:eastAsiaTheme="majorEastAsia"/>
          <w:b/>
          <w:bCs/>
          <w:color w:val="000000"/>
          <w:kern w:val="0"/>
          <w:sz w:val="32"/>
          <w:szCs w:val="32"/>
        </w:rPr>
      </w:pPr>
      <w:r>
        <w:rPr>
          <w:rFonts w:hint="eastAsia" w:cs="宋体" w:asciiTheme="majorEastAsia" w:hAnsiTheme="majorEastAsia" w:eastAsiaTheme="majorEastAsia"/>
          <w:b/>
          <w:bCs/>
          <w:color w:val="000000"/>
          <w:kern w:val="0"/>
          <w:sz w:val="32"/>
          <w:szCs w:val="32"/>
          <w:lang w:val="en-US" w:eastAsia="zh-CN"/>
        </w:rPr>
        <w:t>2025</w:t>
      </w:r>
      <w:r>
        <w:rPr>
          <w:rFonts w:hint="eastAsia" w:cs="宋体" w:asciiTheme="majorEastAsia" w:hAnsiTheme="majorEastAsia" w:eastAsiaTheme="majorEastAsia"/>
          <w:b/>
          <w:bCs/>
          <w:color w:val="000000"/>
          <w:kern w:val="0"/>
          <w:sz w:val="32"/>
          <w:szCs w:val="32"/>
        </w:rPr>
        <w:t>年</w:t>
      </w:r>
      <w:r>
        <w:rPr>
          <w:rFonts w:hint="eastAsia" w:cs="宋体" w:asciiTheme="majorEastAsia" w:hAnsiTheme="majorEastAsia" w:eastAsiaTheme="majorEastAsia"/>
          <w:b/>
          <w:bCs/>
          <w:color w:val="000000"/>
          <w:kern w:val="0"/>
          <w:sz w:val="32"/>
          <w:szCs w:val="32"/>
          <w:lang w:val="en-US" w:eastAsia="zh-CN"/>
        </w:rPr>
        <w:t>3</w:t>
      </w:r>
      <w:r>
        <w:rPr>
          <w:rFonts w:hint="eastAsia" w:cs="宋体" w:asciiTheme="majorEastAsia" w:hAnsiTheme="majorEastAsia" w:eastAsiaTheme="majorEastAsia"/>
          <w:b/>
          <w:bCs/>
          <w:color w:val="000000"/>
          <w:kern w:val="0"/>
          <w:sz w:val="32"/>
          <w:szCs w:val="32"/>
        </w:rPr>
        <w:t>月</w:t>
      </w:r>
    </w:p>
    <w:p>
      <w:pPr>
        <w:widowControl/>
        <w:spacing w:line="276" w:lineRule="auto"/>
        <w:rPr>
          <w:rFonts w:cs="宋体" w:asciiTheme="majorEastAsia" w:hAnsiTheme="majorEastAsia" w:eastAsiaTheme="majorEastAsia"/>
          <w:b/>
          <w:bCs/>
          <w:color w:val="000000"/>
          <w:kern w:val="0"/>
          <w:sz w:val="28"/>
          <w:szCs w:val="28"/>
        </w:rPr>
      </w:pPr>
    </w:p>
    <w:p>
      <w:pPr>
        <w:pStyle w:val="5"/>
        <w:rPr>
          <w:rFonts w:cs="宋体" w:asciiTheme="majorEastAsia" w:hAnsiTheme="majorEastAsia" w:eastAsiaTheme="majorEastAsia"/>
          <w:b/>
          <w:bCs/>
          <w:color w:val="000000"/>
          <w:sz w:val="28"/>
          <w:szCs w:val="28"/>
        </w:rPr>
      </w:pPr>
    </w:p>
    <w:p>
      <w:pPr>
        <w:pStyle w:val="5"/>
        <w:rPr>
          <w:rFonts w:cs="宋体" w:asciiTheme="majorEastAsia" w:hAnsiTheme="majorEastAsia" w:eastAsiaTheme="majorEastAsia"/>
          <w:b/>
          <w:bCs/>
          <w:color w:val="000000"/>
          <w:sz w:val="28"/>
          <w:szCs w:val="28"/>
        </w:rPr>
      </w:pPr>
    </w:p>
    <w:p>
      <w:pPr>
        <w:pStyle w:val="2"/>
        <w:tabs>
          <w:tab w:val="right" w:leader="dot" w:pos="9629"/>
        </w:tabs>
        <w:spacing w:line="276" w:lineRule="auto"/>
        <w:jc w:val="center"/>
        <w:rPr>
          <w:rFonts w:cs="宋体" w:asciiTheme="majorEastAsia" w:hAnsiTheme="majorEastAsia" w:eastAsiaTheme="majorEastAsia"/>
          <w:bCs w:val="0"/>
          <w:color w:val="000000"/>
          <w:sz w:val="40"/>
          <w:szCs w:val="40"/>
        </w:rPr>
      </w:pPr>
      <w:r>
        <w:rPr>
          <w:rFonts w:hint="eastAsia" w:cs="宋体" w:asciiTheme="majorEastAsia" w:hAnsiTheme="majorEastAsia" w:eastAsiaTheme="majorEastAsia"/>
          <w:bCs w:val="0"/>
          <w:color w:val="000000"/>
          <w:sz w:val="40"/>
          <w:szCs w:val="40"/>
        </w:rPr>
        <w:t>目</w:t>
      </w:r>
      <w:r>
        <w:rPr>
          <w:rFonts w:hint="eastAsia" w:cs="宋体" w:asciiTheme="majorEastAsia" w:hAnsiTheme="majorEastAsia" w:eastAsiaTheme="majorEastAsia"/>
          <w:bCs w:val="0"/>
          <w:color w:val="000000"/>
          <w:sz w:val="40"/>
          <w:szCs w:val="40"/>
          <w:lang w:val="en-US" w:eastAsia="zh-CN"/>
        </w:rPr>
        <w:t xml:space="preserve">  </w:t>
      </w:r>
      <w:r>
        <w:rPr>
          <w:rFonts w:hint="eastAsia" w:cs="宋体" w:asciiTheme="majorEastAsia" w:hAnsiTheme="majorEastAsia" w:eastAsiaTheme="majorEastAsia"/>
          <w:bCs w:val="0"/>
          <w:color w:val="000000"/>
          <w:sz w:val="40"/>
          <w:szCs w:val="40"/>
        </w:rPr>
        <w:t>录</w:t>
      </w:r>
    </w:p>
    <w:p>
      <w:pPr>
        <w:pStyle w:val="25"/>
        <w:tabs>
          <w:tab w:val="right" w:leader="dot" w:pos="9243"/>
        </w:tabs>
        <w:spacing w:line="480" w:lineRule="auto"/>
        <w:rPr>
          <w:sz w:val="28"/>
          <w:szCs w:val="28"/>
        </w:rPr>
      </w:pPr>
      <w:r>
        <w:rPr>
          <w:rFonts w:cs="宋体" w:asciiTheme="majorEastAsia" w:hAnsiTheme="majorEastAsia" w:eastAsiaTheme="majorEastAsia"/>
          <w:color w:val="000000"/>
          <w:sz w:val="28"/>
          <w:szCs w:val="28"/>
        </w:rPr>
        <w:fldChar w:fldCharType="begin"/>
      </w:r>
      <w:r>
        <w:rPr>
          <w:rFonts w:cs="宋体" w:asciiTheme="majorEastAsia" w:hAnsiTheme="majorEastAsia" w:eastAsiaTheme="majorEastAsia"/>
          <w:color w:val="000000"/>
          <w:sz w:val="28"/>
          <w:szCs w:val="28"/>
        </w:rPr>
        <w:instrText xml:space="preserve"> TOC \o "1-3" \h \z \u </w:instrText>
      </w:r>
      <w:r>
        <w:rPr>
          <w:rFonts w:cs="宋体" w:asciiTheme="majorEastAsia" w:hAnsiTheme="majorEastAsia" w:eastAsiaTheme="majorEastAsia"/>
          <w:color w:val="000000"/>
          <w:sz w:val="28"/>
          <w:szCs w:val="28"/>
        </w:rPr>
        <w:fldChar w:fldCharType="separate"/>
      </w:r>
      <w:r>
        <w:fldChar w:fldCharType="begin"/>
      </w:r>
      <w:r>
        <w:instrText xml:space="preserve"> HYPERLINK \l "_Toc25558" </w:instrText>
      </w:r>
      <w:r>
        <w:fldChar w:fldCharType="separate"/>
      </w:r>
      <w:r>
        <w:rPr>
          <w:rFonts w:hint="eastAsia" w:cs="仿宋" w:asciiTheme="majorEastAsia" w:hAnsiTheme="majorEastAsia" w:eastAsiaTheme="majorEastAsia"/>
          <w:sz w:val="28"/>
          <w:szCs w:val="28"/>
        </w:rPr>
        <w:t>第一章</w:t>
      </w:r>
      <w:r>
        <w:rPr>
          <w:rFonts w:hint="eastAsia" w:cs="仿宋" w:asciiTheme="majorEastAsia" w:hAnsiTheme="majorEastAsia" w:eastAsiaTheme="majorEastAsia"/>
          <w:sz w:val="28"/>
          <w:szCs w:val="28"/>
          <w:lang w:val="en-US" w:eastAsia="zh-CN"/>
        </w:rPr>
        <w:t xml:space="preserve"> </w:t>
      </w:r>
      <w:r>
        <w:rPr>
          <w:rFonts w:hint="eastAsia" w:cs="仿宋" w:asciiTheme="majorEastAsia" w:hAnsiTheme="majorEastAsia" w:eastAsiaTheme="majorEastAsia"/>
          <w:sz w:val="28"/>
          <w:szCs w:val="28"/>
        </w:rPr>
        <w:t>招标公告</w:t>
      </w:r>
      <w:r>
        <w:rPr>
          <w:sz w:val="28"/>
          <w:szCs w:val="28"/>
        </w:rPr>
        <w:tab/>
      </w:r>
      <w:r>
        <w:rPr>
          <w:sz w:val="28"/>
          <w:szCs w:val="28"/>
        </w:rPr>
        <w:fldChar w:fldCharType="begin"/>
      </w:r>
      <w:r>
        <w:rPr>
          <w:sz w:val="28"/>
          <w:szCs w:val="28"/>
        </w:rPr>
        <w:instrText xml:space="preserve"> PAGEREF _Toc25558 </w:instrText>
      </w:r>
      <w:r>
        <w:rPr>
          <w:sz w:val="28"/>
          <w:szCs w:val="28"/>
        </w:rPr>
        <w:fldChar w:fldCharType="separate"/>
      </w:r>
      <w:r>
        <w:rPr>
          <w:sz w:val="28"/>
          <w:szCs w:val="28"/>
        </w:rPr>
        <w:t>1</w:t>
      </w:r>
      <w:r>
        <w:rPr>
          <w:sz w:val="28"/>
          <w:szCs w:val="28"/>
        </w:rPr>
        <w:fldChar w:fldCharType="end"/>
      </w:r>
      <w:r>
        <w:rPr>
          <w:sz w:val="28"/>
          <w:szCs w:val="28"/>
        </w:rPr>
        <w:fldChar w:fldCharType="end"/>
      </w:r>
    </w:p>
    <w:p>
      <w:pPr>
        <w:pStyle w:val="25"/>
        <w:tabs>
          <w:tab w:val="right" w:leader="dot" w:pos="9243"/>
        </w:tabs>
        <w:spacing w:line="480" w:lineRule="auto"/>
        <w:rPr>
          <w:sz w:val="28"/>
          <w:szCs w:val="28"/>
        </w:rPr>
      </w:pPr>
      <w:r>
        <w:rPr>
          <w:rFonts w:hint="eastAsia" w:cs="宋体" w:asciiTheme="majorEastAsia" w:hAnsiTheme="majorEastAsia" w:eastAsiaTheme="majorEastAsia"/>
          <w:color w:val="000000"/>
          <w:sz w:val="28"/>
          <w:szCs w:val="28"/>
        </w:rPr>
        <w:t>第二章</w:t>
      </w:r>
      <w:r>
        <w:rPr>
          <w:rFonts w:hint="eastAsia" w:cs="宋体" w:asciiTheme="majorEastAsia" w:hAnsiTheme="majorEastAsia" w:eastAsiaTheme="majorEastAsia"/>
          <w:color w:val="000000"/>
          <w:sz w:val="28"/>
          <w:szCs w:val="28"/>
          <w:lang w:val="en-US" w:eastAsia="zh-CN"/>
        </w:rPr>
        <w:t xml:space="preserve"> </w:t>
      </w:r>
      <w:r>
        <w:fldChar w:fldCharType="begin"/>
      </w:r>
      <w:r>
        <w:instrText xml:space="preserve"> HYPERLINK \l "_Toc28947" </w:instrText>
      </w:r>
      <w:r>
        <w:fldChar w:fldCharType="separate"/>
      </w:r>
      <w:r>
        <w:rPr>
          <w:rFonts w:hint="eastAsia" w:cs="宋体" w:asciiTheme="majorEastAsia" w:hAnsiTheme="majorEastAsia" w:eastAsiaTheme="majorEastAsia"/>
          <w:kern w:val="0"/>
          <w:sz w:val="28"/>
          <w:szCs w:val="28"/>
        </w:rPr>
        <w:t>供应商须知前附表</w:t>
      </w:r>
      <w:r>
        <w:rPr>
          <w:sz w:val="28"/>
          <w:szCs w:val="28"/>
        </w:rPr>
        <w:tab/>
      </w:r>
      <w:r>
        <w:rPr>
          <w:sz w:val="28"/>
          <w:szCs w:val="28"/>
        </w:rPr>
        <w:fldChar w:fldCharType="begin"/>
      </w:r>
      <w:r>
        <w:rPr>
          <w:sz w:val="28"/>
          <w:szCs w:val="28"/>
        </w:rPr>
        <w:instrText xml:space="preserve"> PAGEREF _Toc28947 </w:instrText>
      </w:r>
      <w:r>
        <w:rPr>
          <w:sz w:val="28"/>
          <w:szCs w:val="28"/>
        </w:rPr>
        <w:fldChar w:fldCharType="separate"/>
      </w:r>
      <w:r>
        <w:rPr>
          <w:sz w:val="28"/>
          <w:szCs w:val="28"/>
        </w:rPr>
        <w:t>4</w:t>
      </w:r>
      <w:r>
        <w:rPr>
          <w:sz w:val="28"/>
          <w:szCs w:val="28"/>
        </w:rPr>
        <w:fldChar w:fldCharType="end"/>
      </w:r>
      <w:r>
        <w:rPr>
          <w:sz w:val="28"/>
          <w:szCs w:val="28"/>
        </w:rPr>
        <w:fldChar w:fldCharType="end"/>
      </w:r>
    </w:p>
    <w:p>
      <w:pPr>
        <w:pStyle w:val="25"/>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"_Toc3746" </w:instrText>
      </w:r>
      <w:r>
        <w:fldChar w:fldCharType="separate"/>
      </w:r>
      <w:r>
        <w:rPr>
          <w:rFonts w:hint="eastAsia" w:cs="仿宋" w:asciiTheme="majorEastAsia" w:hAnsiTheme="majorEastAsia" w:eastAsiaTheme="majorEastAsia"/>
          <w:sz w:val="28"/>
          <w:szCs w:val="28"/>
        </w:rPr>
        <w:t>第三章 评标办法</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_Toc3746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17</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5"/>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"_Toc7277" </w:instrText>
      </w:r>
      <w:r>
        <w:fldChar w:fldCharType="separate"/>
      </w:r>
      <w:r>
        <w:rPr>
          <w:rFonts w:hint="eastAsia" w:cs="仿宋" w:asciiTheme="majorEastAsia" w:hAnsiTheme="majorEastAsia" w:eastAsiaTheme="majorEastAsia"/>
          <w:sz w:val="28"/>
          <w:szCs w:val="28"/>
        </w:rPr>
        <w:t>第四章 合同条款及格式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_Toc7277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21</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5"/>
        <w:tabs>
          <w:tab w:val="right" w:leader="dot" w:pos="9243"/>
        </w:tabs>
        <w:spacing w:line="480" w:lineRule="auto"/>
        <w:rPr>
          <w:rFonts w:cs="仿宋" w:asciiTheme="majorEastAsia" w:hAnsiTheme="majorEastAsia" w:eastAsiaTheme="majorEastAsia"/>
          <w:sz w:val="28"/>
          <w:szCs w:val="28"/>
        </w:rPr>
      </w:pPr>
      <w:r>
        <w:fldChar w:fldCharType="begin"/>
      </w:r>
      <w:r>
        <w:instrText xml:space="preserve"> HYPERLINK \l "_Toc4989" </w:instrText>
      </w:r>
      <w:r>
        <w:fldChar w:fldCharType="separate"/>
      </w:r>
      <w:r>
        <w:rPr>
          <w:rFonts w:hint="eastAsia" w:cs="仿宋" w:asciiTheme="majorEastAsia" w:hAnsiTheme="majorEastAsia" w:eastAsiaTheme="majorEastAsia"/>
          <w:sz w:val="28"/>
          <w:szCs w:val="28"/>
        </w:rPr>
        <w:t>第五章 技术标准和要求</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_Toc4989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5"/>
        <w:tabs>
          <w:tab w:val="right" w:leader="dot" w:pos="9243"/>
        </w:tabs>
        <w:spacing w:line="480" w:lineRule="auto"/>
        <w:rPr>
          <w:rFonts w:hint="eastAsia" w:cs="仿宋" w:asciiTheme="majorEastAsia" w:hAnsiTheme="majorEastAsia" w:eastAsiaTheme="majorEastAsia"/>
          <w:sz w:val="28"/>
          <w:szCs w:val="28"/>
        </w:rPr>
      </w:pPr>
      <w:r>
        <w:fldChar w:fldCharType="begin"/>
      </w:r>
      <w:r>
        <w:instrText xml:space="preserve"> HYPERLINK \l "_Toc3483" </w:instrText>
      </w:r>
      <w:r>
        <w:fldChar w:fldCharType="separate"/>
      </w:r>
      <w:r>
        <w:rPr>
          <w:rFonts w:hint="eastAsia" w:cs="仿宋" w:asciiTheme="majorEastAsia" w:hAnsiTheme="majorEastAsia" w:eastAsiaTheme="majorEastAsia"/>
          <w:sz w:val="28"/>
          <w:szCs w:val="28"/>
        </w:rPr>
        <w:t>第六章 投标文件格式</w:t>
      </w:r>
      <w:r>
        <w:rPr>
          <w:rFonts w:hint="eastAsia" w:cs="仿宋" w:asciiTheme="majorEastAsia" w:hAnsiTheme="majorEastAsia" w:eastAsiaTheme="majorEastAsia"/>
          <w:sz w:val="28"/>
          <w:szCs w:val="28"/>
        </w:rPr>
        <w:tab/>
      </w:r>
      <w:r>
        <w:rPr>
          <w:rFonts w:hint="eastAsia" w:cs="仿宋" w:asciiTheme="majorEastAsia" w:hAnsiTheme="majorEastAsia" w:eastAsiaTheme="majorEastAsia"/>
          <w:sz w:val="28"/>
          <w:szCs w:val="28"/>
        </w:rPr>
        <w:fldChar w:fldCharType="begin"/>
      </w:r>
      <w:r>
        <w:rPr>
          <w:rFonts w:hint="eastAsia" w:cs="仿宋" w:asciiTheme="majorEastAsia" w:hAnsiTheme="majorEastAsia" w:eastAsiaTheme="majorEastAsia"/>
          <w:sz w:val="28"/>
          <w:szCs w:val="28"/>
        </w:rPr>
        <w:instrText xml:space="preserve"> PAGEREF _Toc3483 </w:instrText>
      </w:r>
      <w:r>
        <w:rPr>
          <w:rFonts w:hint="eastAsia" w:cs="仿宋" w:asciiTheme="majorEastAsia" w:hAnsiTheme="majorEastAsia" w:eastAsiaTheme="majorEastAsia"/>
          <w:sz w:val="28"/>
          <w:szCs w:val="28"/>
        </w:rPr>
        <w:fldChar w:fldCharType="separate"/>
      </w:r>
      <w:r>
        <w:rPr>
          <w:rFonts w:hint="eastAsia" w:cs="仿宋" w:asciiTheme="majorEastAsia" w:hAnsiTheme="majorEastAsia" w:eastAsiaTheme="majorEastAsia"/>
          <w:sz w:val="28"/>
          <w:szCs w:val="28"/>
        </w:rPr>
        <w:t>29</w:t>
      </w:r>
      <w:r>
        <w:rPr>
          <w:rFonts w:hint="eastAsia" w:cs="仿宋" w:asciiTheme="majorEastAsia" w:hAnsiTheme="majorEastAsia" w:eastAsiaTheme="majorEastAsia"/>
          <w:sz w:val="28"/>
          <w:szCs w:val="28"/>
        </w:rPr>
        <w:fldChar w:fldCharType="end"/>
      </w:r>
      <w:r>
        <w:rPr>
          <w:rFonts w:hint="eastAsia" w:cs="仿宋" w:asciiTheme="majorEastAsia" w:hAnsiTheme="majorEastAsia" w:eastAsiaTheme="majorEastAsia"/>
          <w:sz w:val="28"/>
          <w:szCs w:val="28"/>
        </w:rPr>
        <w:fldChar w:fldCharType="end"/>
      </w:r>
    </w:p>
    <w:p>
      <w:pPr>
        <w:pStyle w:val="2"/>
        <w:tabs>
          <w:tab w:val="right" w:leader="dot" w:pos="9629"/>
        </w:tabs>
        <w:spacing w:line="480" w:lineRule="auto"/>
        <w:ind w:left="223" w:leftChars="106" w:firstLine="222" w:firstLineChars="79"/>
        <w:rPr>
          <w:rFonts w:hint="eastAsia" w:cs="宋体" w:asciiTheme="majorEastAsia" w:hAnsiTheme="majorEastAsia" w:eastAsiaTheme="majorEastAsia"/>
          <w:b w:val="0"/>
          <w:bCs w:val="0"/>
          <w:caps w:val="0"/>
          <w:color w:val="000000"/>
          <w:kern w:val="2"/>
          <w:sz w:val="24"/>
          <w:lang w:val="en-US" w:eastAsia="zh-CN"/>
        </w:rPr>
      </w:pPr>
      <w:r>
        <w:rPr>
          <w:rFonts w:cs="宋体" w:asciiTheme="majorEastAsia" w:hAnsiTheme="majorEastAsia" w:eastAsiaTheme="majorEastAsia"/>
          <w:color w:val="000000"/>
          <w:szCs w:val="28"/>
        </w:rPr>
        <w:fldChar w:fldCharType="end"/>
      </w:r>
    </w:p>
    <w:p>
      <w:pPr>
        <w:widowControl/>
        <w:spacing w:line="276" w:lineRule="auto"/>
        <w:jc w:val="center"/>
        <w:rPr>
          <w:rFonts w:cs="宋体" w:asciiTheme="majorEastAsia" w:hAnsiTheme="majorEastAsia" w:eastAsiaTheme="majorEastAsia"/>
          <w:color w:val="000000"/>
          <w:kern w:val="0"/>
          <w:sz w:val="22"/>
          <w:szCs w:val="22"/>
        </w:rPr>
      </w:pPr>
    </w:p>
    <w:p>
      <w:pPr>
        <w:widowControl/>
        <w:spacing w:line="276" w:lineRule="auto"/>
        <w:jc w:val="center"/>
        <w:rPr>
          <w:rFonts w:cs="宋体" w:asciiTheme="majorEastAsia" w:hAnsiTheme="majorEastAsia" w:eastAsiaTheme="majorEastAsia"/>
          <w:color w:val="000000"/>
          <w:kern w:val="0"/>
          <w:sz w:val="22"/>
          <w:szCs w:val="22"/>
        </w:rPr>
      </w:pPr>
    </w:p>
    <w:p>
      <w:pPr>
        <w:widowControl/>
        <w:spacing w:line="276" w:lineRule="auto"/>
        <w:jc w:val="center"/>
        <w:rPr>
          <w:rFonts w:cs="宋体" w:asciiTheme="majorEastAsia" w:hAnsiTheme="majorEastAsia" w:eastAsiaTheme="majorEastAsia"/>
          <w:b/>
          <w:color w:val="000000"/>
          <w:sz w:val="36"/>
          <w:szCs w:val="20"/>
        </w:rPr>
        <w:sectPr>
          <w:pgSz w:w="11907" w:h="16840"/>
          <w:pgMar w:top="1247" w:right="1247" w:bottom="1247" w:left="1020" w:header="851" w:footer="992" w:gutter="397"/>
          <w:cols w:space="0" w:num="1"/>
          <w:docGrid w:linePitch="435" w:charSpace="0"/>
        </w:sectPr>
      </w:pPr>
    </w:p>
    <w:p>
      <w:pPr>
        <w:pStyle w:val="3"/>
        <w:tabs>
          <w:tab w:val="left" w:pos="0"/>
          <w:tab w:val="left" w:pos="3165"/>
          <w:tab w:val="center" w:pos="4153"/>
        </w:tabs>
        <w:autoSpaceDE w:val="0"/>
        <w:autoSpaceDN w:val="0"/>
        <w:adjustRightInd w:val="0"/>
        <w:spacing w:before="0" w:after="0" w:line="360" w:lineRule="auto"/>
        <w:jc w:val="center"/>
        <w:rPr>
          <w:rFonts w:ascii="华文中宋" w:hAnsi="华文中宋" w:eastAsia="华文中宋"/>
          <w:sz w:val="32"/>
          <w:szCs w:val="32"/>
        </w:rPr>
      </w:pPr>
      <w:bookmarkStart w:id="2" w:name="_Toc25558"/>
      <w:r>
        <w:rPr>
          <w:rFonts w:hint="eastAsia" w:cs="仿宋" w:asciiTheme="majorEastAsia" w:hAnsiTheme="majorEastAsia" w:eastAsiaTheme="majorEastAsia"/>
          <w:color w:val="000000"/>
        </w:rPr>
        <w:t>第一章</w:t>
      </w:r>
      <w:r>
        <w:rPr>
          <w:rFonts w:hint="eastAsia" w:cs="仿宋" w:asciiTheme="majorEastAsia" w:hAnsiTheme="majorEastAsia" w:eastAsiaTheme="majorEastAsia"/>
          <w:color w:val="000000"/>
          <w:lang w:val="en-US" w:eastAsia="zh-CN"/>
        </w:rPr>
        <w:t xml:space="preserve">  </w:t>
      </w:r>
      <w:bookmarkEnd w:id="2"/>
      <w:bookmarkStart w:id="3" w:name="_Toc28359001"/>
      <w:bookmarkStart w:id="4" w:name="_Toc35393789"/>
      <w:r>
        <w:rPr>
          <w:rFonts w:hint="eastAsia"/>
          <w:b/>
          <w:bCs/>
        </w:rPr>
        <w:t>招标公告</w:t>
      </w:r>
      <w:bookmarkEnd w:id="3"/>
      <w:bookmarkEnd w:id="4"/>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rFonts w:ascii="仿宋" w:hAnsi="仿宋" w:eastAsia="仿宋"/>
          <w:sz w:val="32"/>
          <w:szCs w:val="32"/>
        </w:rPr>
      </w:pPr>
      <w:r>
        <w:rPr>
          <w:rFonts w:hint="eastAsia" w:ascii="仿宋" w:hAnsi="仿宋" w:eastAsia="仿宋"/>
          <w:sz w:val="32"/>
          <w:szCs w:val="32"/>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640" w:firstLineChars="200"/>
        <w:textAlignment w:val="auto"/>
        <w:outlineLvl w:val="9"/>
        <w:rPr>
          <w:sz w:val="32"/>
          <w:szCs w:val="32"/>
        </w:rPr>
      </w:pP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三青山镇大房身村扶持发展新型农村集体经济项目</w:t>
      </w:r>
      <w:r>
        <w:rPr>
          <w:rFonts w:hint="eastAsia" w:ascii="仿宋" w:hAnsi="仿宋" w:eastAsia="仿宋"/>
          <w:sz w:val="32"/>
          <w:szCs w:val="32"/>
          <w:u w:val="single"/>
          <w:lang w:val="en-US" w:eastAsia="zh-CN"/>
        </w:rPr>
        <w:t xml:space="preserve"> </w:t>
      </w:r>
      <w:r>
        <w:rPr>
          <w:rFonts w:hint="eastAsia" w:ascii="仿宋" w:hAnsi="仿宋" w:eastAsia="仿宋"/>
          <w:sz w:val="32"/>
          <w:szCs w:val="32"/>
          <w:u w:val="none"/>
          <w:lang w:eastAsia="zh-CN"/>
        </w:rPr>
        <w:t>采购项目的潜在供应商应登录政采云平台https://www.zcygov.cn/在线申请获取采购文件（进入“项目采购”应用，在获取采购文件菜单中选择项目，申请获取采购文件）。获取采购文件，并于</w:t>
      </w:r>
      <w:r>
        <w:rPr>
          <w:rFonts w:hint="eastAsia" w:ascii="仿宋" w:hAnsi="仿宋" w:eastAsia="仿宋"/>
          <w:sz w:val="32"/>
          <w:szCs w:val="32"/>
          <w:u w:val="single"/>
          <w:lang w:eastAsia="zh-CN"/>
        </w:rPr>
        <w:t>2025年04月21日09点30分</w:t>
      </w:r>
      <w:r>
        <w:rPr>
          <w:rFonts w:hint="eastAsia" w:ascii="仿宋" w:hAnsi="仿宋" w:eastAsia="仿宋"/>
          <w:sz w:val="32"/>
          <w:szCs w:val="32"/>
          <w:u w:val="none"/>
          <w:lang w:eastAsia="zh-CN"/>
        </w:rPr>
        <w:t>（北京时间）前提交</w:t>
      </w:r>
      <w:r>
        <w:rPr>
          <w:rFonts w:hint="eastAsia" w:ascii="仿宋" w:hAnsi="仿宋" w:eastAsia="仿宋"/>
          <w:sz w:val="32"/>
          <w:szCs w:val="32"/>
          <w:u w:val="none"/>
          <w:lang w:val="en-US" w:eastAsia="zh-CN"/>
        </w:rPr>
        <w:t>投标</w:t>
      </w:r>
      <w:r>
        <w:rPr>
          <w:rFonts w:hint="eastAsia" w:ascii="仿宋" w:hAnsi="仿宋" w:eastAsia="仿宋"/>
          <w:sz w:val="32"/>
          <w:szCs w:val="32"/>
          <w:u w:val="none"/>
          <w:lang w:eastAsia="zh-CN"/>
        </w:rPr>
        <w:t>文件。</w:t>
      </w:r>
    </w:p>
    <w:p>
      <w:pPr>
        <w:pStyle w:val="4"/>
        <w:pageBreakBefore w:val="0"/>
        <w:widowControl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bookmarkStart w:id="5" w:name="_Toc28359002"/>
      <w:bookmarkStart w:id="6" w:name="_Toc28359079"/>
      <w:bookmarkStart w:id="7" w:name="_Toc35393621"/>
      <w:bookmarkStart w:id="8" w:name="_Toc35393790"/>
      <w:bookmarkStart w:id="9" w:name="_Hlk24379207"/>
      <w:r>
        <w:rPr>
          <w:rFonts w:hint="eastAsia" w:ascii="黑体" w:hAnsi="黑体" w:cs="宋体"/>
          <w:b w:val="0"/>
          <w:i w:val="0"/>
          <w:iCs w:val="0"/>
          <w:sz w:val="32"/>
          <w:szCs w:val="32"/>
        </w:rPr>
        <w:t>一、项目基本情况</w:t>
      </w:r>
      <w:bookmarkEnd w:id="5"/>
      <w:bookmarkEnd w:id="6"/>
      <w:bookmarkEnd w:id="7"/>
      <w:bookmarkEnd w:id="8"/>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lang w:val="en-US" w:eastAsia="zh-CN"/>
        </w:rPr>
        <w:t>采购任务编号：采购计划-[2025]-00020号；</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仿宋" w:hAnsi="仿宋" w:eastAsia="仿宋"/>
          <w:i w:val="0"/>
          <w:iCs w:val="0"/>
          <w:color w:val="FF0000"/>
          <w:sz w:val="32"/>
          <w:szCs w:val="32"/>
          <w:lang w:val="en-US" w:eastAsia="zh-CN"/>
        </w:rPr>
      </w:pPr>
      <w:r>
        <w:rPr>
          <w:rFonts w:hint="eastAsia" w:ascii="仿宋" w:hAnsi="仿宋" w:eastAsia="仿宋"/>
          <w:i w:val="0"/>
          <w:iCs w:val="0"/>
          <w:sz w:val="32"/>
          <w:szCs w:val="32"/>
        </w:rPr>
        <w:t>项目编号：</w:t>
      </w:r>
      <w:bookmarkStart w:id="10" w:name="OLE_LINK44"/>
      <w:r>
        <w:rPr>
          <w:rFonts w:hint="eastAsia" w:ascii="仿宋" w:hAnsi="仿宋" w:eastAsia="仿宋"/>
          <w:i w:val="0"/>
          <w:iCs w:val="0"/>
          <w:sz w:val="32"/>
          <w:szCs w:val="32"/>
          <w:lang w:val="en-US" w:eastAsia="zh-CN"/>
        </w:rPr>
        <w:t>采购计划-[2025]-00020号-DLJ-004</w:t>
      </w:r>
      <w:bookmarkEnd w:id="10"/>
      <w:r>
        <w:rPr>
          <w:rFonts w:hint="eastAsia" w:ascii="仿宋" w:hAnsi="仿宋" w:eastAsia="仿宋"/>
          <w:i w:val="0"/>
          <w:i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i w:val="0"/>
          <w:iCs w:val="0"/>
          <w:sz w:val="32"/>
          <w:szCs w:val="32"/>
          <w:lang w:eastAsia="zh-CN"/>
        </w:rPr>
      </w:pPr>
      <w:r>
        <w:rPr>
          <w:rFonts w:hint="eastAsia" w:ascii="仿宋" w:hAnsi="仿宋" w:eastAsia="仿宋"/>
          <w:i w:val="0"/>
          <w:iCs w:val="0"/>
          <w:sz w:val="32"/>
          <w:szCs w:val="32"/>
        </w:rPr>
        <w:t>项目名称：</w:t>
      </w:r>
      <w:bookmarkStart w:id="11" w:name="OLE_LINK43"/>
      <w:r>
        <w:rPr>
          <w:rFonts w:hint="eastAsia" w:ascii="仿宋" w:hAnsi="仿宋" w:eastAsia="仿宋"/>
          <w:i w:val="0"/>
          <w:iCs w:val="0"/>
          <w:sz w:val="32"/>
          <w:szCs w:val="32"/>
          <w:lang w:eastAsia="zh-CN"/>
        </w:rPr>
        <w:t>三青山镇大房身村扶持发展新型农村集体经济项目</w:t>
      </w:r>
      <w:bookmarkEnd w:id="11"/>
      <w:r>
        <w:rPr>
          <w:rFonts w:hint="eastAsia" w:ascii="仿宋" w:hAnsi="仿宋" w:eastAsia="仿宋"/>
          <w:i w:val="0"/>
          <w:iCs w:val="0"/>
          <w:sz w:val="32"/>
          <w:szCs w:val="32"/>
          <w:lang w:eastAsia="zh-CN"/>
        </w:rPr>
        <w:t>；</w:t>
      </w:r>
    </w:p>
    <w:bookmarkEnd w:id="9"/>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i w:val="0"/>
          <w:iCs w:val="0"/>
          <w:sz w:val="32"/>
          <w:szCs w:val="32"/>
          <w:lang w:val="en-US" w:eastAsia="zh-CN"/>
        </w:rPr>
      </w:pPr>
      <w:r>
        <w:rPr>
          <w:rFonts w:hint="eastAsia" w:ascii="仿宋" w:hAnsi="仿宋" w:eastAsia="仿宋"/>
          <w:i w:val="0"/>
          <w:iCs w:val="0"/>
          <w:sz w:val="32"/>
          <w:szCs w:val="32"/>
        </w:rPr>
        <w:t>预算金额：</w:t>
      </w:r>
      <w:bookmarkStart w:id="12" w:name="OLE_LINK45"/>
      <w:r>
        <w:rPr>
          <w:rFonts w:hint="eastAsia" w:ascii="仿宋" w:hAnsi="仿宋" w:eastAsia="仿宋"/>
          <w:i w:val="0"/>
          <w:iCs w:val="0"/>
          <w:sz w:val="32"/>
          <w:szCs w:val="32"/>
          <w:lang w:val="en-US" w:eastAsia="zh-CN"/>
        </w:rPr>
        <w:t>79.5000</w:t>
      </w:r>
      <w:bookmarkEnd w:id="12"/>
      <w:r>
        <w:rPr>
          <w:rFonts w:hint="eastAsia" w:ascii="仿宋" w:hAnsi="仿宋" w:eastAsia="仿宋"/>
          <w:i w:val="0"/>
          <w:iCs w:val="0"/>
          <w:sz w:val="32"/>
          <w:szCs w:val="32"/>
          <w:lang w:val="en-US" w:eastAsia="zh-CN"/>
        </w:rPr>
        <w:t>万元；</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i w:val="0"/>
          <w:iCs w:val="0"/>
          <w:sz w:val="32"/>
          <w:szCs w:val="32"/>
        </w:rPr>
      </w:pPr>
      <w:r>
        <w:rPr>
          <w:rFonts w:hint="eastAsia" w:ascii="仿宋" w:hAnsi="仿宋" w:eastAsia="仿宋"/>
          <w:i w:val="0"/>
          <w:iCs w:val="0"/>
          <w:sz w:val="32"/>
          <w:szCs w:val="32"/>
        </w:rPr>
        <w:t>最高限价：</w:t>
      </w:r>
      <w:r>
        <w:rPr>
          <w:rFonts w:hint="eastAsia" w:ascii="仿宋" w:hAnsi="仿宋" w:eastAsia="仿宋"/>
          <w:i w:val="0"/>
          <w:iCs w:val="0"/>
          <w:sz w:val="32"/>
          <w:szCs w:val="32"/>
          <w:lang w:eastAsia="zh-CN"/>
        </w:rPr>
        <w:t>79.5000万元</w:t>
      </w:r>
      <w:r>
        <w:rPr>
          <w:rFonts w:hint="eastAsia" w:ascii="仿宋" w:hAnsi="仿宋" w:eastAsia="仿宋"/>
          <w:i w:val="0"/>
          <w:i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仿宋" w:hAnsi="仿宋" w:eastAsia="仿宋"/>
          <w:i w:val="0"/>
          <w:iCs w:val="0"/>
          <w:sz w:val="32"/>
          <w:szCs w:val="32"/>
          <w:lang w:val="en-US" w:eastAsia="zh-CN"/>
        </w:rPr>
      </w:pPr>
      <w:r>
        <w:rPr>
          <w:rFonts w:hint="eastAsia" w:ascii="仿宋" w:hAnsi="仿宋" w:eastAsia="仿宋"/>
          <w:i w:val="0"/>
          <w:iCs w:val="0"/>
          <w:sz w:val="32"/>
          <w:szCs w:val="32"/>
        </w:rPr>
        <w:t>采购需求：</w:t>
      </w:r>
      <w:r>
        <w:rPr>
          <w:rFonts w:hint="eastAsia" w:ascii="仿宋" w:hAnsi="仿宋" w:eastAsia="仿宋"/>
          <w:i w:val="0"/>
          <w:iCs w:val="0"/>
          <w:sz w:val="32"/>
          <w:szCs w:val="32"/>
          <w:lang w:val="en-US" w:eastAsia="zh-CN"/>
        </w:rPr>
        <w:t>机械设备</w:t>
      </w:r>
      <w:r>
        <w:rPr>
          <w:rFonts w:hint="eastAsia" w:ascii="仿宋" w:hAnsi="仿宋" w:eastAsia="仿宋"/>
          <w:i w:val="0"/>
          <w:iCs w:val="0"/>
          <w:sz w:val="32"/>
          <w:szCs w:val="32"/>
        </w:rPr>
        <w:t>，采购清单所包含全部内容；</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i w:val="0"/>
          <w:iCs w:val="0"/>
          <w:sz w:val="32"/>
          <w:szCs w:val="32"/>
          <w:u w:val="single"/>
          <w:lang w:val="en-US" w:eastAsia="zh-CN"/>
        </w:rPr>
      </w:pPr>
      <w:r>
        <w:rPr>
          <w:rFonts w:hint="eastAsia" w:ascii="仿宋" w:hAnsi="仿宋" w:eastAsia="仿宋"/>
          <w:i w:val="0"/>
          <w:iCs w:val="0"/>
          <w:sz w:val="32"/>
          <w:szCs w:val="32"/>
        </w:rPr>
        <w:t>合同履行期限</w:t>
      </w:r>
      <w:r>
        <w:rPr>
          <w:rFonts w:hint="eastAsia" w:ascii="仿宋" w:hAnsi="仿宋" w:eastAsia="仿宋"/>
          <w:i w:val="0"/>
          <w:iCs w:val="0"/>
          <w:sz w:val="32"/>
          <w:szCs w:val="32"/>
          <w:lang w:eastAsia="zh-CN"/>
        </w:rPr>
        <w:t>（供货期）</w:t>
      </w:r>
      <w:r>
        <w:rPr>
          <w:rFonts w:hint="eastAsia" w:ascii="仿宋" w:hAnsi="仿宋" w:eastAsia="仿宋"/>
          <w:i w:val="0"/>
          <w:iCs w:val="0"/>
          <w:sz w:val="32"/>
          <w:szCs w:val="32"/>
        </w:rPr>
        <w:t>：</w:t>
      </w:r>
      <w:r>
        <w:rPr>
          <w:rFonts w:hint="eastAsia" w:ascii="仿宋" w:hAnsi="仿宋" w:eastAsia="仿宋"/>
          <w:i w:val="0"/>
          <w:iCs w:val="0"/>
          <w:sz w:val="32"/>
          <w:szCs w:val="32"/>
          <w:lang w:eastAsia="zh-CN"/>
        </w:rPr>
        <w:t>合同签订后7日内供货、安装、调试完毕，并保证投入使用</w:t>
      </w:r>
      <w:r>
        <w:rPr>
          <w:rFonts w:hint="eastAsia" w:ascii="仿宋" w:hAnsi="仿宋" w:eastAsia="仿宋"/>
          <w:i w:val="0"/>
          <w:iCs w:val="0"/>
          <w:sz w:val="32"/>
          <w:szCs w:val="32"/>
          <w:u w:val="none"/>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ascii="仿宋" w:hAnsi="仿宋" w:eastAsia="仿宋"/>
          <w:i w:val="0"/>
          <w:iCs w:val="0"/>
          <w:sz w:val="32"/>
          <w:szCs w:val="32"/>
        </w:rPr>
      </w:pPr>
      <w:r>
        <w:rPr>
          <w:rFonts w:hint="eastAsia" w:ascii="仿宋" w:hAnsi="仿宋" w:eastAsia="仿宋"/>
          <w:i w:val="0"/>
          <w:iCs w:val="0"/>
          <w:sz w:val="32"/>
          <w:szCs w:val="32"/>
        </w:rPr>
        <w:t>本项目</w:t>
      </w:r>
      <w:r>
        <w:rPr>
          <w:rFonts w:hint="eastAsia" w:ascii="仿宋" w:hAnsi="仿宋" w:eastAsia="仿宋"/>
          <w:i w:val="0"/>
          <w:iCs w:val="0"/>
          <w:sz w:val="32"/>
          <w:szCs w:val="32"/>
          <w:u w:val="none"/>
          <w:lang w:eastAsia="zh-CN"/>
        </w:rPr>
        <w:t>不</w:t>
      </w:r>
      <w:r>
        <w:rPr>
          <w:rFonts w:hint="eastAsia" w:ascii="仿宋" w:hAnsi="仿宋" w:eastAsia="仿宋"/>
          <w:i w:val="0"/>
          <w:iCs w:val="0"/>
          <w:sz w:val="32"/>
          <w:szCs w:val="32"/>
        </w:rPr>
        <w:t>接受联合体投标。</w:t>
      </w:r>
    </w:p>
    <w:p>
      <w:pPr>
        <w:pStyle w:val="4"/>
        <w:pageBreakBefore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bookmarkStart w:id="13" w:name="_Toc35393791"/>
      <w:bookmarkStart w:id="14" w:name="_Toc28359003"/>
      <w:bookmarkStart w:id="15" w:name="_Toc35393622"/>
      <w:bookmarkStart w:id="16" w:name="_Toc28359080"/>
      <w:r>
        <w:rPr>
          <w:rFonts w:hint="eastAsia" w:ascii="黑体" w:hAnsi="黑体" w:cs="宋体"/>
          <w:b w:val="0"/>
          <w:i w:val="0"/>
          <w:iCs w:val="0"/>
          <w:sz w:val="32"/>
          <w:szCs w:val="32"/>
        </w:rPr>
        <w:t>二、申请人的资格要求：</w:t>
      </w:r>
      <w:bookmarkEnd w:id="13"/>
      <w:bookmarkEnd w:id="14"/>
      <w:bookmarkEnd w:id="15"/>
      <w:bookmarkEnd w:id="16"/>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lang w:eastAsia="zh-CN"/>
        </w:rPr>
      </w:pPr>
      <w:bookmarkStart w:id="17" w:name="_Toc28359004"/>
      <w:bookmarkStart w:id="18" w:name="_Toc28359081"/>
      <w:r>
        <w:rPr>
          <w:rFonts w:hint="eastAsia" w:ascii="仿宋" w:hAnsi="仿宋" w:eastAsia="仿宋"/>
          <w:b w:val="0"/>
          <w:bCs w:val="0"/>
          <w:i w:val="0"/>
          <w:iCs w:val="0"/>
          <w:sz w:val="32"/>
          <w:szCs w:val="32"/>
          <w:lang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2.落实政府采购政策需满足的资格要求：投标人须在中华人民共和国境内注册，具有独立法人资格，具有有效营业执照，符合政府采购政策落实文件的要求。</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lang w:eastAsia="zh-CN"/>
        </w:rPr>
      </w:pPr>
      <w:bookmarkStart w:id="19" w:name="OLE_LINK1"/>
      <w:r>
        <w:rPr>
          <w:rFonts w:hint="eastAsia" w:ascii="仿宋" w:hAnsi="仿宋" w:eastAsia="仿宋"/>
          <w:b w:val="0"/>
          <w:bCs w:val="0"/>
          <w:i w:val="0"/>
          <w:iCs w:val="0"/>
          <w:sz w:val="32"/>
          <w:szCs w:val="32"/>
          <w:lang w:eastAsia="zh-CN"/>
        </w:rPr>
        <w:t>2.1</w:t>
      </w:r>
      <w:r>
        <w:rPr>
          <w:rFonts w:hint="eastAsia" w:ascii="仿宋" w:hAnsi="仿宋" w:eastAsia="仿宋"/>
          <w:sz w:val="32"/>
          <w:szCs w:val="32"/>
          <w:lang w:val="en-US" w:eastAsia="zh-CN"/>
        </w:rPr>
        <w:t>本项目全部面向中小企业采购</w:t>
      </w:r>
      <w:r>
        <w:rPr>
          <w:rFonts w:hint="eastAsia" w:ascii="仿宋" w:hAnsi="仿宋" w:eastAsia="仿宋"/>
          <w:b w:val="0"/>
          <w:bCs w:val="0"/>
          <w:i w:val="0"/>
          <w:i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lang w:eastAsia="zh-CN"/>
        </w:rPr>
      </w:pPr>
      <w:r>
        <w:rPr>
          <w:rFonts w:hint="eastAsia" w:ascii="仿宋" w:hAnsi="仿宋" w:eastAsia="仿宋"/>
          <w:b w:val="0"/>
          <w:bCs w:val="0"/>
          <w:i w:val="0"/>
          <w:iCs w:val="0"/>
          <w:sz w:val="32"/>
          <w:szCs w:val="32"/>
          <w:lang w:eastAsia="zh-CN"/>
        </w:rPr>
        <w:t>2.2</w:t>
      </w:r>
      <w:r>
        <w:rPr>
          <w:rFonts w:hint="eastAsia" w:ascii="仿宋" w:hAnsi="仿宋" w:eastAsia="仿宋"/>
          <w:sz w:val="32"/>
          <w:szCs w:val="32"/>
          <w:lang w:val="en-US" w:eastAsia="zh-CN"/>
        </w:rPr>
        <w:t>中小企业划分标准执行《关于印发中小企业划型标准规定的通知》（工信部联企业〔2011〕300号）文件；</w:t>
      </w:r>
    </w:p>
    <w:p>
      <w:pPr>
        <w:pageBreakBefore w:val="0"/>
        <w:kinsoku/>
        <w:wordWrap/>
        <w:overflowPunct/>
        <w:topLinePunct w:val="0"/>
        <w:autoSpaceDE/>
        <w:autoSpaceDN/>
        <w:bidi w:val="0"/>
        <w:adjustRightInd/>
        <w:snapToGrid/>
        <w:spacing w:line="360" w:lineRule="auto"/>
        <w:ind w:firstLine="640" w:firstLineChars="200"/>
        <w:textAlignment w:val="auto"/>
        <w:rPr>
          <w:rFonts w:hint="default"/>
          <w:lang w:val="en-US" w:eastAsia="zh-CN"/>
        </w:rPr>
      </w:pPr>
      <w:r>
        <w:rPr>
          <w:rFonts w:hint="eastAsia" w:ascii="仿宋" w:hAnsi="仿宋" w:eastAsia="仿宋" w:cs="Times New Roman"/>
          <w:sz w:val="32"/>
          <w:szCs w:val="32"/>
          <w:lang w:val="en-US" w:eastAsia="zh-CN"/>
        </w:rPr>
        <w:t>2.3政策落实执行《政府采购促进中小企业发展管理办法》（财库〔2020〕46 号）；</w:t>
      </w:r>
      <w:bookmarkEnd w:id="19"/>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3.本项目的特定资格要求：</w:t>
      </w:r>
      <w:bookmarkStart w:id="20" w:name="_Toc35393623"/>
      <w:bookmarkStart w:id="21" w:name="_Toc35393792"/>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bookmarkStart w:id="22" w:name="OLE_LINK2"/>
      <w:r>
        <w:rPr>
          <w:rFonts w:hint="eastAsia" w:ascii="仿宋" w:hAnsi="仿宋" w:eastAsia="仿宋"/>
          <w:b w:val="0"/>
          <w:bCs w:val="0"/>
          <w:i w:val="0"/>
          <w:iCs w:val="0"/>
          <w:sz w:val="32"/>
          <w:szCs w:val="32"/>
        </w:rPr>
        <w:t>3.</w:t>
      </w:r>
      <w:r>
        <w:rPr>
          <w:rFonts w:hint="eastAsia" w:ascii="仿宋" w:hAnsi="仿宋" w:eastAsia="仿宋"/>
          <w:b w:val="0"/>
          <w:bCs w:val="0"/>
          <w:i w:val="0"/>
          <w:iCs w:val="0"/>
          <w:sz w:val="32"/>
          <w:szCs w:val="32"/>
          <w:lang w:val="en-US" w:eastAsia="zh-CN"/>
        </w:rPr>
        <w:t>1</w:t>
      </w:r>
      <w:r>
        <w:rPr>
          <w:rFonts w:hint="eastAsia" w:ascii="仿宋" w:hAnsi="仿宋" w:eastAsia="仿宋"/>
          <w:b w:val="0"/>
          <w:bCs w:val="0"/>
          <w:i w:val="0"/>
          <w:iCs w:val="0"/>
          <w:sz w:val="32"/>
          <w:szCs w:val="32"/>
        </w:rPr>
        <w:t>供应商须具有独立法人资格的生产制造商或代理经销商，并具有</w:t>
      </w:r>
      <w:r>
        <w:rPr>
          <w:rFonts w:hint="eastAsia" w:ascii="仿宋" w:hAnsi="仿宋" w:eastAsia="仿宋"/>
          <w:b w:val="0"/>
          <w:bCs w:val="0"/>
          <w:i w:val="0"/>
          <w:iCs w:val="0"/>
          <w:sz w:val="32"/>
          <w:szCs w:val="32"/>
          <w:lang w:eastAsia="zh-CN"/>
        </w:rPr>
        <w:t>履行合同</w:t>
      </w:r>
      <w:r>
        <w:rPr>
          <w:rFonts w:hint="eastAsia" w:ascii="仿宋" w:hAnsi="仿宋" w:eastAsia="仿宋"/>
          <w:b w:val="0"/>
          <w:bCs w:val="0"/>
          <w:i w:val="0"/>
          <w:iCs w:val="0"/>
          <w:sz w:val="32"/>
          <w:szCs w:val="32"/>
        </w:rPr>
        <w:t>的能力。</w:t>
      </w:r>
      <w:bookmarkEnd w:id="22"/>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3.2本项目不接受被列入“信用中国”网站，失信被执行人、政府采购严重违法失信行为记录名单、重大税收违法失信主体，不接受被列入“中国政府采购网”政府采购严重违法失信行为信息记录的供应商，不接受被工商行政管理机关在全国企业信用信息公示系统（www.gsxt.gov.cn）中列入严重违法失信企业名单，不接受在近三年（2022年1月1日至2024年12月31日）内供应商或其法定代表人在“中国裁判文书网”(wenshu.court.gov.cn)上有行贿犯罪行为记录的参与投标响应。</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3.3拒绝列入政府取消投标资格记录期间的企业或个人参与投标响应。</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3.4本项目投标采购活动的每个环节不得更换被授权人。</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 w:val="0"/>
          <w:bCs w:val="0"/>
          <w:i w:val="0"/>
          <w:iCs w:val="0"/>
          <w:sz w:val="32"/>
          <w:szCs w:val="32"/>
        </w:rPr>
      </w:pPr>
      <w:r>
        <w:rPr>
          <w:rFonts w:hint="eastAsia" w:ascii="仿宋" w:hAnsi="仿宋" w:eastAsia="仿宋"/>
          <w:b w:val="0"/>
          <w:bCs w:val="0"/>
          <w:i w:val="0"/>
          <w:iCs w:val="0"/>
          <w:sz w:val="32"/>
          <w:szCs w:val="32"/>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p>
      <w:pPr>
        <w:pStyle w:val="4"/>
        <w:pageBreakBefore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r>
        <w:rPr>
          <w:rFonts w:hint="eastAsia" w:ascii="黑体" w:hAnsi="黑体" w:cs="宋体"/>
          <w:b w:val="0"/>
          <w:i w:val="0"/>
          <w:iCs w:val="0"/>
          <w:sz w:val="32"/>
          <w:szCs w:val="32"/>
        </w:rPr>
        <w:t>三、获取招标文件</w:t>
      </w:r>
      <w:bookmarkEnd w:id="17"/>
      <w:bookmarkEnd w:id="18"/>
      <w:bookmarkEnd w:id="20"/>
      <w:bookmarkEnd w:id="21"/>
    </w:p>
    <w:p>
      <w:pPr>
        <w:keepNext w:val="0"/>
        <w:keepLines w:val="0"/>
        <w:pageBreakBefore w:val="0"/>
        <w:widowControl w:val="0"/>
        <w:kinsoku/>
        <w:wordWrap/>
        <w:overflowPunct/>
        <w:topLinePunct w:val="0"/>
        <w:autoSpaceDE/>
        <w:autoSpaceDN/>
        <w:bidi w:val="0"/>
        <w:adjustRightInd/>
        <w:snapToGrid/>
        <w:spacing w:line="360" w:lineRule="auto"/>
        <w:ind w:firstLine="539"/>
        <w:textAlignment w:val="auto"/>
        <w:outlineLvl w:val="9"/>
        <w:rPr>
          <w:rFonts w:ascii="仿宋" w:hAnsi="仿宋" w:eastAsia="仿宋" w:cs="宋体"/>
          <w:i w:val="0"/>
          <w:iCs w:val="0"/>
          <w:sz w:val="32"/>
          <w:szCs w:val="32"/>
        </w:rPr>
      </w:pPr>
      <w:r>
        <w:rPr>
          <w:rFonts w:hint="eastAsia" w:ascii="仿宋" w:hAnsi="仿宋" w:eastAsia="仿宋" w:cs="宋体"/>
          <w:i w:val="0"/>
          <w:iCs w:val="0"/>
          <w:sz w:val="32"/>
          <w:szCs w:val="32"/>
        </w:rPr>
        <w:t>时间：</w:t>
      </w:r>
      <w:r>
        <w:rPr>
          <w:rFonts w:hint="eastAsia" w:ascii="仿宋" w:hAnsi="仿宋" w:eastAsia="仿宋" w:cs="宋体"/>
          <w:i w:val="0"/>
          <w:iCs w:val="0"/>
          <w:sz w:val="32"/>
          <w:szCs w:val="32"/>
          <w:u w:val="single"/>
          <w:lang w:val="en-US" w:eastAsia="zh-CN"/>
        </w:rPr>
        <w:t>2025</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03</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31</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2025</w:t>
      </w:r>
      <w:r>
        <w:rPr>
          <w:rFonts w:hint="eastAsia" w:ascii="仿宋" w:hAnsi="仿宋" w:eastAsia="仿宋" w:cs="宋体"/>
          <w:i w:val="0"/>
          <w:iCs w:val="0"/>
          <w:sz w:val="32"/>
          <w:szCs w:val="32"/>
          <w:u w:val="single"/>
        </w:rPr>
        <w:t>年</w:t>
      </w:r>
      <w:r>
        <w:rPr>
          <w:rFonts w:hint="eastAsia" w:ascii="仿宋" w:hAnsi="仿宋" w:eastAsia="仿宋" w:cs="宋体"/>
          <w:i w:val="0"/>
          <w:iCs w:val="0"/>
          <w:sz w:val="32"/>
          <w:szCs w:val="32"/>
          <w:u w:val="single"/>
          <w:lang w:val="en-US" w:eastAsia="zh-CN"/>
        </w:rPr>
        <w:t>04</w:t>
      </w:r>
      <w:r>
        <w:rPr>
          <w:rFonts w:hint="eastAsia" w:ascii="仿宋" w:hAnsi="仿宋" w:eastAsia="仿宋" w:cs="宋体"/>
          <w:i w:val="0"/>
          <w:iCs w:val="0"/>
          <w:sz w:val="32"/>
          <w:szCs w:val="32"/>
          <w:u w:val="single"/>
        </w:rPr>
        <w:t>月</w:t>
      </w:r>
      <w:r>
        <w:rPr>
          <w:rFonts w:hint="eastAsia" w:ascii="仿宋" w:hAnsi="仿宋" w:eastAsia="仿宋" w:cs="宋体"/>
          <w:i w:val="0"/>
          <w:iCs w:val="0"/>
          <w:sz w:val="32"/>
          <w:szCs w:val="32"/>
          <w:u w:val="single"/>
          <w:lang w:val="en-US" w:eastAsia="zh-CN"/>
        </w:rPr>
        <w:t>08</w:t>
      </w:r>
      <w:r>
        <w:rPr>
          <w:rFonts w:hint="eastAsia" w:ascii="仿宋" w:hAnsi="仿宋" w:eastAsia="仿宋" w:cs="宋体"/>
          <w:i w:val="0"/>
          <w:iCs w:val="0"/>
          <w:sz w:val="32"/>
          <w:szCs w:val="32"/>
          <w:u w:val="single"/>
        </w:rPr>
        <w:t>日</w:t>
      </w:r>
      <w:r>
        <w:rPr>
          <w:rFonts w:hint="eastAsia" w:ascii="仿宋" w:hAnsi="仿宋" w:eastAsia="仿宋" w:cs="宋体"/>
          <w:i w:val="0"/>
          <w:iCs w:val="0"/>
          <w:sz w:val="32"/>
          <w:szCs w:val="32"/>
        </w:rPr>
        <w:t>，每天上</w:t>
      </w:r>
      <w:r>
        <w:rPr>
          <w:rFonts w:hint="eastAsia" w:ascii="仿宋" w:hAnsi="仿宋" w:eastAsia="仿宋" w:cs="宋体"/>
          <w:i w:val="0"/>
          <w:iCs w:val="0"/>
          <w:sz w:val="32"/>
          <w:szCs w:val="32"/>
          <w:u w:val="none"/>
        </w:rPr>
        <w:t>午</w:t>
      </w:r>
      <w:r>
        <w:rPr>
          <w:rFonts w:hint="eastAsia" w:ascii="仿宋" w:hAnsi="仿宋" w:eastAsia="仿宋" w:cs="宋体"/>
          <w:i w:val="0"/>
          <w:iCs w:val="0"/>
          <w:sz w:val="32"/>
          <w:szCs w:val="32"/>
          <w:u w:val="single"/>
          <w:lang w:val="en-US" w:eastAsia="zh-CN"/>
        </w:rPr>
        <w:t>8:30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11:30</w:t>
      </w:r>
      <w:r>
        <w:rPr>
          <w:rFonts w:hint="eastAsia" w:ascii="仿宋" w:hAnsi="仿宋" w:eastAsia="仿宋" w:cs="宋体"/>
          <w:i w:val="0"/>
          <w:iCs w:val="0"/>
          <w:sz w:val="32"/>
          <w:szCs w:val="32"/>
        </w:rPr>
        <w:t>，下午</w:t>
      </w:r>
      <w:r>
        <w:rPr>
          <w:rFonts w:hint="eastAsia" w:ascii="仿宋" w:hAnsi="仿宋" w:eastAsia="仿宋" w:cs="宋体"/>
          <w:i w:val="0"/>
          <w:iCs w:val="0"/>
          <w:sz w:val="32"/>
          <w:szCs w:val="32"/>
          <w:u w:val="single"/>
          <w:lang w:val="en-US" w:eastAsia="zh-CN"/>
        </w:rPr>
        <w:t>13：30</w:t>
      </w:r>
      <w:r>
        <w:rPr>
          <w:rFonts w:hint="eastAsia" w:ascii="仿宋" w:hAnsi="仿宋" w:eastAsia="仿宋" w:cs="宋体"/>
          <w:i w:val="0"/>
          <w:iCs w:val="0"/>
          <w:sz w:val="32"/>
          <w:szCs w:val="32"/>
        </w:rPr>
        <w:t>至</w:t>
      </w:r>
      <w:r>
        <w:rPr>
          <w:rFonts w:hint="eastAsia" w:ascii="仿宋" w:hAnsi="仿宋" w:eastAsia="仿宋" w:cs="宋体"/>
          <w:i w:val="0"/>
          <w:iCs w:val="0"/>
          <w:sz w:val="32"/>
          <w:szCs w:val="32"/>
          <w:u w:val="single"/>
          <w:lang w:val="en-US" w:eastAsia="zh-CN"/>
        </w:rPr>
        <w:t>16:30</w:t>
      </w:r>
      <w:r>
        <w:rPr>
          <w:rFonts w:hint="eastAsia" w:ascii="仿宋" w:hAnsi="仿宋" w:eastAsia="仿宋" w:cs="宋体"/>
          <w:i w:val="0"/>
          <w:iCs w:val="0"/>
          <w:sz w:val="32"/>
          <w:szCs w:val="32"/>
        </w:rPr>
        <w:t>（北京时间，</w:t>
      </w:r>
      <w:r>
        <w:rPr>
          <w:rFonts w:ascii="仿宋" w:hAnsi="仿宋" w:eastAsia="仿宋" w:cs="宋体"/>
          <w:i w:val="0"/>
          <w:iCs w:val="0"/>
          <w:sz w:val="32"/>
          <w:szCs w:val="32"/>
        </w:rPr>
        <w:t>法定节假日</w:t>
      </w:r>
      <w:r>
        <w:rPr>
          <w:rFonts w:hint="eastAsia" w:ascii="仿宋" w:hAnsi="仿宋" w:eastAsia="仿宋" w:cs="宋体"/>
          <w:i w:val="0"/>
          <w:iCs w:val="0"/>
          <w:sz w:val="32"/>
          <w:szCs w:val="32"/>
        </w:rPr>
        <w:t>除外）</w:t>
      </w:r>
    </w:p>
    <w:p>
      <w:pPr>
        <w:pageBreakBefore w:val="0"/>
        <w:kinsoku/>
        <w:wordWrap/>
        <w:overflowPunct/>
        <w:topLinePunct w:val="0"/>
        <w:autoSpaceDE/>
        <w:autoSpaceDN/>
        <w:bidi w:val="0"/>
        <w:adjustRightInd/>
        <w:snapToGrid/>
        <w:spacing w:line="440" w:lineRule="exact"/>
        <w:ind w:firstLine="540"/>
        <w:textAlignment w:val="auto"/>
        <w:rPr>
          <w:rFonts w:ascii="仿宋" w:hAnsi="仿宋" w:eastAsia="仿宋" w:cs="宋体"/>
          <w:sz w:val="32"/>
          <w:szCs w:val="32"/>
          <w:u w:val="single"/>
        </w:rPr>
      </w:pPr>
      <w:r>
        <w:rPr>
          <w:rFonts w:hint="eastAsia" w:ascii="仿宋" w:hAnsi="仿宋" w:eastAsia="仿宋" w:cs="宋体"/>
          <w:sz w:val="32"/>
          <w:szCs w:val="32"/>
        </w:rPr>
        <w:t>地点：供应商登录政采云平台https://www.zcygov.cn/在线申请获取采购文件（进入“项目采购”应用，在获取采购文件菜单中选择项目，申请获取采购文件）</w:t>
      </w:r>
      <w:r>
        <w:rPr>
          <w:rFonts w:hint="eastAsia" w:ascii="仿宋" w:hAnsi="仿宋" w:eastAsia="仿宋" w:cs="宋体"/>
          <w:sz w:val="32"/>
          <w:szCs w:val="32"/>
          <w:lang w:eastAsia="zh-CN"/>
        </w:rPr>
        <w:t>。</w:t>
      </w:r>
    </w:p>
    <w:p>
      <w:pPr>
        <w:pageBreakBefore w:val="0"/>
        <w:kinsoku/>
        <w:wordWrap/>
        <w:overflowPunct/>
        <w:topLinePunct w:val="0"/>
        <w:autoSpaceDE/>
        <w:autoSpaceDN/>
        <w:bidi w:val="0"/>
        <w:adjustRightInd/>
        <w:snapToGrid/>
        <w:spacing w:line="440" w:lineRule="exact"/>
        <w:ind w:firstLine="540"/>
        <w:textAlignment w:val="auto"/>
        <w:rPr>
          <w:rFonts w:hint="eastAsia" w:ascii="仿宋" w:hAnsi="仿宋" w:eastAsia="仿宋" w:cs="宋体"/>
          <w:sz w:val="32"/>
          <w:szCs w:val="32"/>
          <w:lang w:val="en-US" w:eastAsia="zh-CN"/>
        </w:rPr>
      </w:pPr>
      <w:r>
        <w:rPr>
          <w:rFonts w:hint="eastAsia" w:ascii="仿宋" w:hAnsi="仿宋" w:eastAsia="仿宋" w:cs="宋体"/>
          <w:sz w:val="32"/>
          <w:szCs w:val="32"/>
        </w:rPr>
        <w:t>方式：</w:t>
      </w:r>
      <w:r>
        <w:rPr>
          <w:rFonts w:hint="eastAsia" w:ascii="仿宋" w:hAnsi="仿宋" w:eastAsia="仿宋" w:cs="宋体"/>
          <w:sz w:val="32"/>
          <w:szCs w:val="32"/>
          <w:lang w:val="en-US" w:eastAsia="zh-CN"/>
        </w:rPr>
        <w:t>网上免费获取(潜在供应商自行登录政府采购云平台(网址:http://www.zcygov.cn)注册(网址:https://middle.zcygov.cn/v-settle-front/registry)并下载竞争性投标文件，其他途径获取的招标文件开标时-律按无效响应处理)。</w:t>
      </w:r>
    </w:p>
    <w:p>
      <w:pPr>
        <w:pageBreakBefore w:val="0"/>
        <w:kinsoku/>
        <w:wordWrap/>
        <w:overflowPunct/>
        <w:topLinePunct w:val="0"/>
        <w:autoSpaceDE/>
        <w:autoSpaceDN/>
        <w:bidi w:val="0"/>
        <w:adjustRightInd/>
        <w:snapToGrid/>
        <w:spacing w:line="440" w:lineRule="exact"/>
        <w:ind w:firstLine="540"/>
        <w:textAlignment w:val="auto"/>
        <w:rPr>
          <w:rFonts w:hint="default" w:ascii="仿宋" w:hAnsi="仿宋" w:eastAsia="仿宋" w:cs="宋体"/>
          <w:b w:val="0"/>
          <w:bCs w:val="0"/>
          <w:i w:val="0"/>
          <w:iCs w:val="0"/>
          <w:caps w:val="0"/>
          <w:kern w:val="2"/>
          <w:sz w:val="32"/>
          <w:szCs w:val="32"/>
          <w:lang w:val="en-US" w:eastAsia="zh-CN" w:bidi="ar-SA"/>
        </w:rPr>
      </w:pPr>
      <w:r>
        <w:rPr>
          <w:rFonts w:hint="eastAsia" w:ascii="仿宋" w:hAnsi="仿宋" w:eastAsia="仿宋" w:cs="宋体"/>
          <w:sz w:val="32"/>
          <w:szCs w:val="32"/>
          <w:lang w:val="en-US" w:eastAsia="zh-CN"/>
        </w:rPr>
        <w:t>售价：0元</w:t>
      </w:r>
    </w:p>
    <w:p>
      <w:pPr>
        <w:pStyle w:val="4"/>
        <w:pageBreakBefore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bookmarkStart w:id="23" w:name="_Toc28359082"/>
      <w:bookmarkStart w:id="24" w:name="_Toc28359005"/>
      <w:bookmarkStart w:id="25" w:name="_Toc35393624"/>
      <w:bookmarkStart w:id="26" w:name="_Toc35393793"/>
      <w:r>
        <w:rPr>
          <w:rFonts w:hint="eastAsia" w:ascii="黑体" w:hAnsi="黑体" w:cs="宋体"/>
          <w:b w:val="0"/>
          <w:i w:val="0"/>
          <w:iCs w:val="0"/>
          <w:sz w:val="32"/>
          <w:szCs w:val="32"/>
        </w:rPr>
        <w:t>四、提交投标文件</w:t>
      </w:r>
      <w:bookmarkEnd w:id="23"/>
      <w:bookmarkEnd w:id="24"/>
      <w:r>
        <w:rPr>
          <w:rFonts w:hint="eastAsia" w:ascii="黑体" w:hAnsi="黑体" w:cs="宋体"/>
          <w:b w:val="0"/>
          <w:i w:val="0"/>
          <w:iCs w:val="0"/>
          <w:sz w:val="32"/>
          <w:szCs w:val="32"/>
        </w:rPr>
        <w:t>截止时间、开标时间和地点</w:t>
      </w:r>
      <w:bookmarkEnd w:id="25"/>
      <w:bookmarkEnd w:id="26"/>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bCs/>
          <w:i w:val="0"/>
          <w:iCs w:val="0"/>
          <w:sz w:val="32"/>
          <w:szCs w:val="32"/>
          <w:lang w:eastAsia="zh-CN"/>
        </w:rPr>
      </w:pPr>
      <w:r>
        <w:rPr>
          <w:rFonts w:hint="eastAsia" w:ascii="仿宋" w:hAnsi="仿宋" w:eastAsia="仿宋"/>
          <w:bCs/>
          <w:i w:val="0"/>
          <w:iCs w:val="0"/>
          <w:sz w:val="32"/>
          <w:szCs w:val="32"/>
          <w:u w:val="none"/>
          <w:lang w:eastAsia="zh-CN"/>
        </w:rPr>
        <w:t>时间：</w:t>
      </w:r>
      <w:r>
        <w:rPr>
          <w:rFonts w:hint="eastAsia" w:ascii="仿宋" w:hAnsi="仿宋" w:eastAsia="仿宋"/>
          <w:bCs/>
          <w:i w:val="0"/>
          <w:iCs w:val="0"/>
          <w:sz w:val="32"/>
          <w:szCs w:val="32"/>
          <w:u w:val="single"/>
        </w:rPr>
        <w:t xml:space="preserve"> </w:t>
      </w:r>
      <w:bookmarkStart w:id="651" w:name="_GoBack"/>
      <w:bookmarkEnd w:id="651"/>
      <w:r>
        <w:rPr>
          <w:rFonts w:hint="eastAsia" w:ascii="仿宋" w:hAnsi="仿宋" w:eastAsia="仿宋"/>
          <w:bCs/>
          <w:i w:val="0"/>
          <w:iCs w:val="0"/>
          <w:sz w:val="32"/>
          <w:szCs w:val="32"/>
          <w:u w:val="single"/>
          <w:lang w:val="en-US" w:eastAsia="zh-CN"/>
        </w:rPr>
        <w:t>2025年04月21日09点30分</w:t>
      </w:r>
      <w:r>
        <w:rPr>
          <w:rFonts w:hint="eastAsia" w:ascii="仿宋" w:hAnsi="仿宋" w:eastAsia="仿宋"/>
          <w:bCs/>
          <w:i w:val="0"/>
          <w:iCs w:val="0"/>
          <w:sz w:val="32"/>
          <w:szCs w:val="32"/>
        </w:rPr>
        <w:t>（北京时间）</w:t>
      </w:r>
      <w:r>
        <w:rPr>
          <w:rFonts w:hint="eastAsia" w:ascii="仿宋" w:hAnsi="仿宋" w:eastAsia="仿宋"/>
          <w:bCs/>
          <w:i w:val="0"/>
          <w:i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cs="宋体"/>
          <w:i w:val="0"/>
          <w:iCs w:val="0"/>
          <w:sz w:val="32"/>
          <w:szCs w:val="32"/>
          <w:u w:val="single"/>
        </w:rPr>
      </w:pPr>
      <w:r>
        <w:rPr>
          <w:rFonts w:hint="eastAsia" w:ascii="仿宋" w:hAnsi="仿宋" w:eastAsia="仿宋"/>
          <w:i w:val="0"/>
          <w:iCs w:val="0"/>
          <w:sz w:val="32"/>
          <w:szCs w:val="32"/>
        </w:rPr>
        <w:t>地点：</w:t>
      </w:r>
      <w:r>
        <w:rPr>
          <w:rFonts w:hint="eastAsia" w:ascii="仿宋" w:hAnsi="仿宋" w:eastAsia="仿宋"/>
          <w:i w:val="0"/>
          <w:iCs w:val="0"/>
          <w:sz w:val="32"/>
          <w:szCs w:val="32"/>
          <w:u w:val="none"/>
          <w:lang w:eastAsia="zh-CN"/>
        </w:rPr>
        <w:t>长春市高新区鸿达街248号吉林日报副楼4楼吉利招平台第三开标室。</w:t>
      </w:r>
      <w:r>
        <w:rPr>
          <w:rFonts w:hint="eastAsia" w:ascii="仿宋" w:hAnsi="仿宋" w:eastAsia="仿宋" w:cs="宋体"/>
          <w:i w:val="0"/>
          <w:iCs w:val="0"/>
          <w:sz w:val="32"/>
          <w:szCs w:val="32"/>
          <w:u w:val="none"/>
        </w:rPr>
        <w:t>逾期送达的或者未送达指定地点的投标文件，招标人不予受理。有效投标人不足三家时，招标人另行组织招标。</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default" w:ascii="仿宋" w:hAnsi="仿宋" w:eastAsia="仿宋" w:cs="宋体"/>
          <w:i w:val="0"/>
          <w:iCs w:val="0"/>
          <w:sz w:val="32"/>
          <w:szCs w:val="32"/>
          <w:u w:val="none"/>
          <w:lang w:val="en-US" w:eastAsia="zh-CN"/>
        </w:rPr>
      </w:pPr>
      <w:r>
        <w:rPr>
          <w:rFonts w:hint="eastAsia" w:ascii="仿宋" w:hAnsi="仿宋" w:eastAsia="仿宋" w:cs="宋体"/>
          <w:i w:val="0"/>
          <w:iCs w:val="0"/>
          <w:sz w:val="32"/>
          <w:szCs w:val="32"/>
          <w:u w:val="none"/>
          <w:lang w:val="en-US" w:eastAsia="zh-CN"/>
        </w:rPr>
        <w:t>本项目执行电子化招投标，须通过政府采购云平台(网址:http://www.zcygov.cn)递交电子版投标文件。投标操作流程:供应商在政府采购云平台网注册入库成为正式供应商后，在平台上按《政府采购项目电子交易管理操作指南-供应商》进行投标操作。数字证书办理及投标技术咨询:可登录“政采云”平台点击右侧咨询小采，获取采小蜜智能服务管家帮助，或拨打政采云服务热线 95763获取帮助。</w:t>
      </w:r>
    </w:p>
    <w:p>
      <w:pPr>
        <w:pStyle w:val="4"/>
        <w:pageBreakBefore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bookmarkStart w:id="27" w:name="_Toc28359084"/>
      <w:bookmarkStart w:id="28" w:name="_Toc28359007"/>
      <w:bookmarkStart w:id="29" w:name="_Toc35393625"/>
      <w:bookmarkStart w:id="30" w:name="_Toc35393794"/>
      <w:r>
        <w:rPr>
          <w:rFonts w:hint="eastAsia" w:ascii="黑体" w:hAnsi="黑体" w:cs="宋体"/>
          <w:b w:val="0"/>
          <w:i w:val="0"/>
          <w:iCs w:val="0"/>
          <w:sz w:val="32"/>
          <w:szCs w:val="32"/>
        </w:rPr>
        <w:t>五、公告期限</w:t>
      </w:r>
      <w:bookmarkEnd w:id="27"/>
      <w:bookmarkEnd w:id="28"/>
      <w:bookmarkEnd w:id="29"/>
      <w:bookmarkEnd w:id="30"/>
    </w:p>
    <w:p>
      <w:pPr>
        <w:pageBreakBefore w:val="0"/>
        <w:kinsoku/>
        <w:wordWrap/>
        <w:overflowPunct/>
        <w:topLinePunct w:val="0"/>
        <w:autoSpaceDE/>
        <w:autoSpaceDN/>
        <w:bidi w:val="0"/>
        <w:adjustRightInd/>
        <w:snapToGrid/>
        <w:spacing w:line="360" w:lineRule="auto"/>
        <w:ind w:firstLine="640" w:firstLineChars="200"/>
        <w:textAlignment w:val="auto"/>
        <w:rPr>
          <w:rFonts w:ascii="仿宋" w:hAnsi="仿宋" w:eastAsia="仿宋" w:cs="宋体"/>
          <w:i w:val="0"/>
          <w:iCs w:val="0"/>
          <w:kern w:val="0"/>
          <w:sz w:val="32"/>
          <w:szCs w:val="32"/>
        </w:rPr>
      </w:pPr>
      <w:r>
        <w:rPr>
          <w:rFonts w:hint="eastAsia" w:ascii="仿宋" w:hAnsi="仿宋" w:eastAsia="仿宋" w:cs="宋体"/>
          <w:i w:val="0"/>
          <w:iCs w:val="0"/>
          <w:kern w:val="0"/>
          <w:sz w:val="32"/>
          <w:szCs w:val="32"/>
        </w:rPr>
        <w:t>自本公告发布之日起5个工作日。</w:t>
      </w:r>
    </w:p>
    <w:p>
      <w:pPr>
        <w:pStyle w:val="4"/>
        <w:pageBreakBefore w:val="0"/>
        <w:numPr>
          <w:ilvl w:val="0"/>
          <w:numId w:val="1"/>
        </w:numPr>
        <w:kinsoku/>
        <w:wordWrap/>
        <w:overflowPunct/>
        <w:topLinePunct w:val="0"/>
        <w:autoSpaceDE/>
        <w:autoSpaceDN/>
        <w:bidi w:val="0"/>
        <w:adjustRightInd/>
        <w:snapToGrid/>
        <w:spacing w:line="360" w:lineRule="auto"/>
        <w:textAlignment w:val="auto"/>
        <w:rPr>
          <w:rFonts w:hint="eastAsia" w:ascii="黑体" w:hAnsi="黑体" w:cs="宋体"/>
          <w:b w:val="0"/>
          <w:i w:val="0"/>
          <w:iCs w:val="0"/>
          <w:sz w:val="32"/>
          <w:szCs w:val="32"/>
        </w:rPr>
      </w:pPr>
      <w:bookmarkStart w:id="31" w:name="_Toc35393795"/>
      <w:bookmarkStart w:id="32" w:name="_Toc35393626"/>
      <w:r>
        <w:rPr>
          <w:rFonts w:hint="eastAsia" w:ascii="黑体" w:hAnsi="黑体" w:cs="宋体"/>
          <w:b w:val="0"/>
          <w:i w:val="0"/>
          <w:iCs w:val="0"/>
          <w:sz w:val="32"/>
          <w:szCs w:val="32"/>
        </w:rPr>
        <w:t>其他补充事宜</w:t>
      </w:r>
      <w:bookmarkEnd w:id="31"/>
      <w:bookmarkEnd w:id="32"/>
    </w:p>
    <w:p>
      <w:pPr>
        <w:pageBreakBefore w:val="0"/>
        <w:kinsoku/>
        <w:wordWrap/>
        <w:overflowPunct/>
        <w:topLinePunct w:val="0"/>
        <w:autoSpaceDE/>
        <w:autoSpaceDN/>
        <w:bidi w:val="0"/>
        <w:adjustRightInd/>
        <w:snapToGrid/>
        <w:spacing w:line="440" w:lineRule="exact"/>
        <w:ind w:firstLine="640" w:firstLineChars="200"/>
        <w:textAlignment w:val="auto"/>
        <w:rPr>
          <w:rFonts w:hint="eastAsia" w:ascii="仿宋" w:hAnsi="仿宋" w:eastAsia="仿宋"/>
          <w:b w:val="0"/>
          <w:bCs w:val="0"/>
          <w:i w:val="0"/>
          <w:iCs w:val="0"/>
          <w:sz w:val="32"/>
          <w:szCs w:val="32"/>
          <w:lang w:eastAsia="zh-CN"/>
        </w:rPr>
      </w:pPr>
      <w:bookmarkStart w:id="33" w:name="OLE_LINK3"/>
      <w:r>
        <w:rPr>
          <w:rFonts w:hint="eastAsia" w:ascii="仿宋" w:hAnsi="仿宋" w:eastAsia="仿宋" w:cs="Times New Roman"/>
          <w:sz w:val="32"/>
          <w:szCs w:val="32"/>
        </w:rPr>
        <w:t>本次招标公告同时在“政采云”平台(http://www.zcygov.cn)同步推送到吉林省政府采购网(http://www.ccgp-jilin.gov.cn/)、中国政府采购网发布。</w:t>
      </w:r>
    </w:p>
    <w:bookmarkEnd w:id="33"/>
    <w:p>
      <w:pPr>
        <w:pStyle w:val="4"/>
        <w:pageBreakBefore w:val="0"/>
        <w:kinsoku/>
        <w:wordWrap/>
        <w:overflowPunct/>
        <w:topLinePunct w:val="0"/>
        <w:autoSpaceDE/>
        <w:autoSpaceDN/>
        <w:bidi w:val="0"/>
        <w:adjustRightInd/>
        <w:snapToGrid/>
        <w:spacing w:line="360" w:lineRule="auto"/>
        <w:textAlignment w:val="auto"/>
        <w:rPr>
          <w:rFonts w:ascii="黑体" w:hAnsi="黑体" w:cs="宋体"/>
          <w:b w:val="0"/>
          <w:i w:val="0"/>
          <w:iCs w:val="0"/>
          <w:sz w:val="32"/>
          <w:szCs w:val="32"/>
        </w:rPr>
      </w:pPr>
      <w:bookmarkStart w:id="34" w:name="_Toc35393796"/>
      <w:bookmarkStart w:id="35" w:name="_Toc28359085"/>
      <w:bookmarkStart w:id="36" w:name="_Toc28359008"/>
      <w:bookmarkStart w:id="37" w:name="_Toc35393627"/>
      <w:r>
        <w:rPr>
          <w:rFonts w:hint="eastAsia" w:ascii="黑体" w:hAnsi="黑体" w:cs="宋体"/>
          <w:b w:val="0"/>
          <w:i w:val="0"/>
          <w:iCs w:val="0"/>
          <w:sz w:val="32"/>
          <w:szCs w:val="32"/>
        </w:rPr>
        <w:t>七、对本次招标提出询问，请按</w:t>
      </w:r>
      <w:r>
        <w:rPr>
          <w:rFonts w:ascii="黑体" w:hAnsi="黑体" w:cs="宋体"/>
          <w:b w:val="0"/>
          <w:i w:val="0"/>
          <w:iCs w:val="0"/>
          <w:sz w:val="32"/>
          <w:szCs w:val="32"/>
        </w:rPr>
        <w:t>以下方式</w:t>
      </w:r>
      <w:r>
        <w:rPr>
          <w:rFonts w:hint="eastAsia" w:ascii="黑体" w:hAnsi="黑体" w:cs="宋体"/>
          <w:b w:val="0"/>
          <w:i w:val="0"/>
          <w:iCs w:val="0"/>
          <w:sz w:val="32"/>
          <w:szCs w:val="32"/>
        </w:rPr>
        <w:t>联系。</w:t>
      </w:r>
      <w:bookmarkEnd w:id="34"/>
      <w:bookmarkEnd w:id="35"/>
      <w:bookmarkEnd w:id="36"/>
      <w:bookmarkEnd w:id="37"/>
    </w:p>
    <w:p>
      <w:pPr>
        <w:pageBreakBefore w:val="0"/>
        <w:widowControl/>
        <w:kinsoku/>
        <w:wordWrap/>
        <w:overflowPunct/>
        <w:topLinePunct w:val="0"/>
        <w:autoSpaceDE/>
        <w:autoSpaceDN/>
        <w:bidi w:val="0"/>
        <w:adjustRightInd/>
        <w:snapToGrid/>
        <w:spacing w:line="360" w:lineRule="auto"/>
        <w:jc w:val="left"/>
        <w:textAlignment w:val="auto"/>
        <w:rPr>
          <w:rFonts w:ascii="仿宋_GB2312" w:eastAsia="仿宋_GB2312"/>
          <w:i w:val="0"/>
          <w:iCs w:val="0"/>
          <w:sz w:val="32"/>
          <w:szCs w:val="32"/>
        </w:rPr>
      </w:pPr>
      <w:r>
        <w:rPr>
          <w:rFonts w:hint="eastAsia" w:ascii="仿宋" w:hAnsi="仿宋" w:eastAsia="仿宋" w:cs="宋体"/>
          <w:i w:val="0"/>
          <w:iCs w:val="0"/>
          <w:sz w:val="32"/>
          <w:szCs w:val="32"/>
        </w:rPr>
        <w:t>　　　1.采购人信息</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名 称：</w:t>
      </w:r>
      <w:bookmarkStart w:id="38" w:name="OLE_LINK46"/>
      <w:r>
        <w:rPr>
          <w:rFonts w:hint="eastAsia" w:ascii="仿宋" w:hAnsi="仿宋" w:eastAsia="仿宋"/>
          <w:i w:val="0"/>
          <w:iCs w:val="0"/>
          <w:sz w:val="32"/>
          <w:szCs w:val="32"/>
          <w:u w:val="single"/>
          <w:lang w:eastAsia="zh-CN"/>
        </w:rPr>
        <w:t>长岭县三青山镇综合服务中心</w:t>
      </w:r>
      <w:bookmarkEnd w:id="38"/>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i w:val="0"/>
          <w:iCs w:val="0"/>
          <w:sz w:val="32"/>
          <w:szCs w:val="32"/>
        </w:rPr>
        <w:t>地址：</w:t>
      </w:r>
      <w:r>
        <w:rPr>
          <w:rFonts w:hint="eastAsia" w:ascii="仿宋" w:hAnsi="仿宋" w:eastAsia="仿宋"/>
          <w:i w:val="0"/>
          <w:iCs w:val="0"/>
          <w:sz w:val="32"/>
          <w:szCs w:val="32"/>
          <w:u w:val="single"/>
          <w:lang w:eastAsia="zh-CN"/>
        </w:rPr>
        <w:t>长岭县</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hint="default" w:ascii="仿宋" w:hAnsi="仿宋" w:eastAsia="仿宋"/>
          <w:i w:val="0"/>
          <w:iCs w:val="0"/>
          <w:sz w:val="32"/>
          <w:szCs w:val="32"/>
          <w:u w:val="single"/>
          <w:lang w:val="en-US" w:eastAsia="zh-CN"/>
        </w:rPr>
      </w:pPr>
      <w:r>
        <w:rPr>
          <w:rFonts w:hint="eastAsia" w:ascii="仿宋" w:hAnsi="仿宋" w:eastAsia="仿宋"/>
          <w:i w:val="0"/>
          <w:iCs w:val="0"/>
          <w:sz w:val="32"/>
          <w:szCs w:val="32"/>
        </w:rPr>
        <w:t>联系方式：</w:t>
      </w:r>
      <w:bookmarkStart w:id="39" w:name="_Toc28359086"/>
      <w:bookmarkStart w:id="40" w:name="_Toc28359009"/>
      <w:r>
        <w:rPr>
          <w:rFonts w:hint="eastAsia" w:ascii="仿宋" w:hAnsi="仿宋" w:eastAsia="仿宋"/>
          <w:i w:val="0"/>
          <w:iCs w:val="0"/>
          <w:sz w:val="32"/>
          <w:szCs w:val="32"/>
          <w:u w:val="single"/>
          <w:lang w:val="en-US" w:eastAsia="zh-CN"/>
        </w:rPr>
        <w:t>15774303466</w:t>
      </w:r>
    </w:p>
    <w:p>
      <w:pPr>
        <w:pageBreakBefore w:val="0"/>
        <w:kinsoku/>
        <w:wordWrap/>
        <w:overflowPunct/>
        <w:topLinePunct w:val="0"/>
        <w:autoSpaceDE/>
        <w:autoSpaceDN/>
        <w:bidi w:val="0"/>
        <w:adjustRightInd/>
        <w:snapToGrid/>
        <w:spacing w:line="360" w:lineRule="auto"/>
        <w:ind w:left="1179" w:leftChars="371" w:hanging="400" w:hangingChars="125"/>
        <w:jc w:val="left"/>
        <w:textAlignment w:val="auto"/>
        <w:rPr>
          <w:rFonts w:ascii="仿宋" w:hAnsi="仿宋" w:eastAsia="仿宋"/>
          <w:i w:val="0"/>
          <w:iCs w:val="0"/>
          <w:sz w:val="32"/>
          <w:szCs w:val="32"/>
        </w:rPr>
      </w:pPr>
      <w:r>
        <w:rPr>
          <w:rFonts w:hint="eastAsia" w:ascii="仿宋" w:hAnsi="仿宋" w:eastAsia="仿宋" w:cs="宋体"/>
          <w:i w:val="0"/>
          <w:iCs w:val="0"/>
          <w:sz w:val="32"/>
          <w:szCs w:val="32"/>
        </w:rPr>
        <w:t>2.采购代理机构信息</w:t>
      </w:r>
      <w:bookmarkEnd w:id="39"/>
      <w:bookmarkEnd w:id="40"/>
    </w:p>
    <w:p>
      <w:pPr>
        <w:pageBreakBefore w:val="0"/>
        <w:kinsoku/>
        <w:wordWrap/>
        <w:overflowPunct/>
        <w:topLinePunct w:val="0"/>
        <w:autoSpaceDE/>
        <w:autoSpaceDN/>
        <w:bidi w:val="0"/>
        <w:adjustRightInd/>
        <w:snapToGrid/>
        <w:spacing w:line="360" w:lineRule="auto"/>
        <w:ind w:firstLine="960" w:firstLineChars="300"/>
        <w:textAlignment w:val="auto"/>
        <w:rPr>
          <w:rFonts w:hint="eastAsia" w:ascii="仿宋" w:hAnsi="仿宋" w:eastAsia="仿宋"/>
          <w:i w:val="0"/>
          <w:iCs w:val="0"/>
          <w:sz w:val="32"/>
          <w:szCs w:val="32"/>
          <w:lang w:eastAsia="zh-CN"/>
        </w:rPr>
      </w:pPr>
      <w:r>
        <w:rPr>
          <w:rFonts w:hint="eastAsia" w:ascii="仿宋" w:hAnsi="仿宋" w:eastAsia="仿宋"/>
          <w:i w:val="0"/>
          <w:iCs w:val="0"/>
          <w:sz w:val="32"/>
          <w:szCs w:val="32"/>
        </w:rPr>
        <w:t>名 称：</w:t>
      </w:r>
      <w:r>
        <w:rPr>
          <w:rFonts w:hint="eastAsia" w:ascii="仿宋" w:hAnsi="仿宋" w:eastAsia="仿宋"/>
          <w:i w:val="0"/>
          <w:iCs w:val="0"/>
          <w:sz w:val="32"/>
          <w:szCs w:val="32"/>
          <w:u w:val="single"/>
          <w:lang w:eastAsia="zh-CN"/>
        </w:rPr>
        <w:t>东联建建筑咨询有限公司</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地　址：</w:t>
      </w:r>
      <w:r>
        <w:rPr>
          <w:rFonts w:hint="eastAsia" w:ascii="仿宋" w:hAnsi="仿宋" w:eastAsia="仿宋"/>
          <w:i w:val="0"/>
          <w:iCs w:val="0"/>
          <w:sz w:val="32"/>
          <w:szCs w:val="32"/>
          <w:u w:val="single"/>
        </w:rPr>
        <w:t>吉林省松原市长岭县</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rPr>
      </w:pPr>
      <w:r>
        <w:rPr>
          <w:rFonts w:hint="eastAsia" w:ascii="仿宋" w:hAnsi="仿宋" w:eastAsia="仿宋"/>
          <w:i w:val="0"/>
          <w:iCs w:val="0"/>
          <w:sz w:val="32"/>
          <w:szCs w:val="32"/>
        </w:rPr>
        <w:t>联系方式：</w:t>
      </w:r>
      <w:bookmarkStart w:id="41" w:name="_Toc28359087"/>
      <w:bookmarkStart w:id="42" w:name="_Toc28359010"/>
      <w:r>
        <w:rPr>
          <w:rFonts w:hint="eastAsia" w:ascii="仿宋" w:hAnsi="仿宋" w:eastAsia="仿宋"/>
          <w:i w:val="0"/>
          <w:iCs w:val="0"/>
          <w:sz w:val="32"/>
          <w:szCs w:val="32"/>
          <w:u w:val="single"/>
          <w:lang w:val="en-US" w:eastAsia="zh-CN"/>
        </w:rPr>
        <w:t>15843891444</w:t>
      </w:r>
    </w:p>
    <w:p>
      <w:pPr>
        <w:pageBreakBefore w:val="0"/>
        <w:kinsoku/>
        <w:wordWrap/>
        <w:overflowPunct/>
        <w:topLinePunct w:val="0"/>
        <w:autoSpaceDE/>
        <w:autoSpaceDN/>
        <w:bidi w:val="0"/>
        <w:adjustRightInd/>
        <w:snapToGrid/>
        <w:spacing w:line="360" w:lineRule="auto"/>
        <w:ind w:firstLine="960" w:firstLineChars="300"/>
        <w:textAlignment w:val="auto"/>
        <w:rPr>
          <w:rFonts w:ascii="仿宋" w:hAnsi="仿宋" w:eastAsia="仿宋"/>
          <w:i w:val="0"/>
          <w:iCs w:val="0"/>
          <w:sz w:val="32"/>
          <w:szCs w:val="32"/>
          <w:u w:val="single"/>
        </w:rPr>
      </w:pPr>
      <w:r>
        <w:rPr>
          <w:rFonts w:hint="eastAsia" w:ascii="仿宋" w:hAnsi="仿宋" w:eastAsia="仿宋" w:cs="宋体"/>
          <w:i w:val="0"/>
          <w:iCs w:val="0"/>
          <w:sz w:val="32"/>
          <w:szCs w:val="32"/>
        </w:rPr>
        <w:t>3.项目</w:t>
      </w:r>
      <w:r>
        <w:rPr>
          <w:rFonts w:ascii="仿宋" w:hAnsi="仿宋" w:eastAsia="仿宋" w:cs="宋体"/>
          <w:i w:val="0"/>
          <w:iCs w:val="0"/>
          <w:sz w:val="32"/>
          <w:szCs w:val="32"/>
        </w:rPr>
        <w:t>联系方式</w:t>
      </w:r>
      <w:bookmarkEnd w:id="41"/>
      <w:bookmarkEnd w:id="42"/>
    </w:p>
    <w:p>
      <w:pPr>
        <w:pStyle w:val="13"/>
        <w:pageBreakBefore w:val="0"/>
        <w:kinsoku/>
        <w:wordWrap/>
        <w:overflowPunct/>
        <w:topLinePunct w:val="0"/>
        <w:autoSpaceDE/>
        <w:autoSpaceDN/>
        <w:bidi w:val="0"/>
        <w:adjustRightInd/>
        <w:snapToGrid/>
        <w:spacing w:line="360" w:lineRule="auto"/>
        <w:ind w:firstLine="960" w:firstLineChars="300"/>
        <w:textAlignment w:val="auto"/>
        <w:rPr>
          <w:rFonts w:hint="default" w:ascii="仿宋" w:hAnsi="仿宋" w:eastAsia="仿宋"/>
          <w:i w:val="0"/>
          <w:iCs w:val="0"/>
          <w:sz w:val="32"/>
          <w:szCs w:val="32"/>
          <w:lang w:val="en-US" w:eastAsia="zh-CN"/>
        </w:rPr>
      </w:pPr>
      <w:r>
        <w:rPr>
          <w:rFonts w:hint="eastAsia" w:ascii="仿宋" w:hAnsi="仿宋" w:eastAsia="仿宋"/>
          <w:i w:val="0"/>
          <w:iCs w:val="0"/>
          <w:sz w:val="32"/>
          <w:szCs w:val="32"/>
        </w:rPr>
        <w:t>项目联系人：</w:t>
      </w:r>
      <w:r>
        <w:rPr>
          <w:rFonts w:hint="eastAsia" w:ascii="仿宋" w:hAnsi="仿宋" w:eastAsia="仿宋"/>
          <w:i w:val="0"/>
          <w:iCs w:val="0"/>
          <w:sz w:val="32"/>
          <w:szCs w:val="32"/>
          <w:u w:val="single"/>
          <w:lang w:eastAsia="zh-CN"/>
        </w:rPr>
        <w:t>刘嘉冶</w:t>
      </w:r>
    </w:p>
    <w:p>
      <w:pPr>
        <w:pStyle w:val="27"/>
        <w:pageBreakBefore w:val="0"/>
        <w:widowControl/>
        <w:kinsoku/>
        <w:wordWrap/>
        <w:overflowPunct/>
        <w:topLinePunct w:val="0"/>
        <w:autoSpaceDE/>
        <w:autoSpaceDN/>
        <w:bidi w:val="0"/>
        <w:adjustRightInd/>
        <w:snapToGrid/>
        <w:spacing w:beforeAutospacing="0" w:afterAutospacing="0" w:line="360" w:lineRule="auto"/>
        <w:ind w:firstLine="988" w:firstLineChars="309"/>
        <w:textAlignment w:val="auto"/>
        <w:rPr>
          <w:rFonts w:hint="eastAsia" w:ascii="宋体" w:hAnsi="宋体" w:eastAsia="仿宋" w:cs="宋体"/>
          <w:color w:val="394351"/>
          <w:sz w:val="22"/>
          <w:szCs w:val="22"/>
          <w:u w:val="single"/>
          <w:shd w:val="clear" w:color="auto" w:fill="FFFFFF"/>
          <w:lang w:eastAsia="zh-CN"/>
        </w:rPr>
      </w:pPr>
      <w:r>
        <w:rPr>
          <w:rFonts w:hint="eastAsia" w:ascii="仿宋" w:hAnsi="仿宋" w:eastAsia="仿宋"/>
          <w:i w:val="0"/>
          <w:iCs w:val="0"/>
          <w:sz w:val="32"/>
          <w:szCs w:val="32"/>
        </w:rPr>
        <w:t>电　话：</w:t>
      </w:r>
      <w:r>
        <w:rPr>
          <w:rFonts w:hint="eastAsia" w:ascii="仿宋" w:hAnsi="仿宋" w:eastAsia="仿宋"/>
          <w:i w:val="0"/>
          <w:iCs w:val="0"/>
          <w:sz w:val="32"/>
          <w:szCs w:val="32"/>
          <w:u w:val="single"/>
          <w:lang w:eastAsia="zh-CN"/>
        </w:rPr>
        <w:t>15843891444</w:t>
      </w:r>
    </w:p>
    <w:p>
      <w:pPr>
        <w:spacing w:line="220" w:lineRule="atLeast"/>
        <w:jc w:val="both"/>
        <w:rPr>
          <w:rFonts w:cs="宋体" w:asciiTheme="majorEastAsia" w:hAnsiTheme="majorEastAsia" w:eastAsiaTheme="majorEastAsia"/>
          <w:color w:val="000000"/>
          <w:sz w:val="36"/>
          <w:szCs w:val="20"/>
        </w:rPr>
      </w:pPr>
    </w:p>
    <w:p>
      <w:pPr>
        <w:pStyle w:val="3"/>
        <w:tabs>
          <w:tab w:val="left" w:pos="0"/>
          <w:tab w:val="left" w:pos="3165"/>
          <w:tab w:val="center" w:pos="4153"/>
        </w:tabs>
        <w:autoSpaceDE w:val="0"/>
        <w:autoSpaceDN w:val="0"/>
        <w:adjustRightInd w:val="0"/>
        <w:spacing w:before="0" w:after="0" w:line="360" w:lineRule="auto"/>
        <w:jc w:val="center"/>
        <w:rPr>
          <w:rFonts w:hint="eastAsia"/>
          <w:b/>
          <w:bCs/>
        </w:rPr>
      </w:pPr>
    </w:p>
    <w:p>
      <w:pPr>
        <w:rPr>
          <w:rFonts w:hint="eastAsia"/>
          <w:b/>
          <w:bCs/>
        </w:rPr>
      </w:pPr>
    </w:p>
    <w:p>
      <w:pPr>
        <w:rPr>
          <w:rFonts w:hint="eastAsia"/>
          <w:b/>
          <w:bCs/>
        </w:rPr>
      </w:pPr>
    </w:p>
    <w:p>
      <w:pPr>
        <w:pStyle w:val="3"/>
        <w:tabs>
          <w:tab w:val="left" w:pos="0"/>
          <w:tab w:val="left" w:pos="3165"/>
          <w:tab w:val="center" w:pos="4153"/>
        </w:tabs>
        <w:autoSpaceDE w:val="0"/>
        <w:autoSpaceDN w:val="0"/>
        <w:adjustRightInd w:val="0"/>
        <w:spacing w:before="0" w:after="0" w:line="360" w:lineRule="auto"/>
        <w:jc w:val="center"/>
        <w:rPr>
          <w:rFonts w:hint="eastAsia"/>
          <w:b/>
          <w:bCs/>
        </w:rPr>
      </w:pPr>
      <w:r>
        <w:rPr>
          <w:rFonts w:hint="eastAsia"/>
          <w:b/>
          <w:bCs/>
        </w:rPr>
        <w:t>第二章</w:t>
      </w:r>
      <w:r>
        <w:rPr>
          <w:rFonts w:hint="eastAsia"/>
          <w:b/>
          <w:bCs/>
          <w:lang w:val="en-US" w:eastAsia="zh-CN"/>
        </w:rPr>
        <w:t xml:space="preserve">  </w:t>
      </w:r>
      <w:r>
        <w:rPr>
          <w:rFonts w:hint="eastAsia"/>
          <w:b/>
          <w:bCs/>
        </w:rPr>
        <w:t>供应商须知</w:t>
      </w:r>
    </w:p>
    <w:p>
      <w:pPr>
        <w:pStyle w:val="4"/>
        <w:spacing w:line="276" w:lineRule="auto"/>
        <w:jc w:val="center"/>
        <w:rPr>
          <w:rFonts w:cs="宋体" w:asciiTheme="majorEastAsia" w:hAnsiTheme="majorEastAsia" w:eastAsiaTheme="majorEastAsia"/>
          <w:b w:val="0"/>
          <w:bCs w:val="0"/>
          <w:color w:val="000000"/>
          <w:kern w:val="0"/>
        </w:rPr>
      </w:pPr>
      <w:bookmarkStart w:id="43" w:name="_Toc504654674"/>
      <w:bookmarkStart w:id="44" w:name="_Toc28947"/>
      <w:r>
        <w:rPr>
          <w:rFonts w:hint="eastAsia" w:cs="宋体" w:asciiTheme="majorEastAsia" w:hAnsiTheme="majorEastAsia" w:eastAsiaTheme="majorEastAsia"/>
          <w:b w:val="0"/>
          <w:color w:val="000000"/>
          <w:kern w:val="0"/>
        </w:rPr>
        <w:t>供应商须知</w:t>
      </w:r>
      <w:r>
        <w:rPr>
          <w:rFonts w:hint="eastAsia" w:cs="宋体" w:asciiTheme="majorEastAsia" w:hAnsiTheme="majorEastAsia" w:eastAsiaTheme="majorEastAsia"/>
          <w:b w:val="0"/>
          <w:bCs w:val="0"/>
          <w:color w:val="000000"/>
          <w:kern w:val="0"/>
        </w:rPr>
        <w:t>前附表</w:t>
      </w:r>
      <w:bookmarkEnd w:id="43"/>
      <w:bookmarkEnd w:id="44"/>
    </w:p>
    <w:tbl>
      <w:tblPr>
        <w:tblStyle w:val="30"/>
        <w:tblW w:w="10348" w:type="dxa"/>
        <w:tblInd w:w="-45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9"/>
        <w:gridCol w:w="2515"/>
        <w:gridCol w:w="68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条款号</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条款名称</w:t>
            </w:r>
          </w:p>
        </w:tc>
        <w:tc>
          <w:tcPr>
            <w:tcW w:w="6804" w:type="dxa"/>
            <w:tcBorders>
              <w:top w:val="single" w:color="auto" w:sz="4" w:space="0"/>
              <w:left w:val="single" w:color="auto" w:sz="4" w:space="0"/>
              <w:bottom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编列内容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采购人</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 购 人：</w:t>
            </w:r>
            <w:r>
              <w:rPr>
                <w:rFonts w:hint="eastAsia" w:cs="宋体" w:asciiTheme="majorEastAsia" w:hAnsiTheme="majorEastAsia" w:eastAsiaTheme="majorEastAsia"/>
                <w:color w:val="000000"/>
                <w:szCs w:val="21"/>
                <w:lang w:eastAsia="zh-CN"/>
              </w:rPr>
              <w:t>长岭县三青山镇综合服务中心</w:t>
            </w:r>
          </w:p>
          <w:p>
            <w:pPr>
              <w:spacing w:line="276" w:lineRule="auto"/>
              <w:rPr>
                <w:rFonts w:hint="eastAsia"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地址：长岭县</w:t>
            </w:r>
          </w:p>
          <w:p>
            <w:pPr>
              <w:spacing w:line="276" w:lineRule="auto"/>
              <w:rPr>
                <w:rFonts w:hint="default"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联系人：</w:t>
            </w:r>
            <w:r>
              <w:rPr>
                <w:rFonts w:hint="eastAsia" w:cs="宋体" w:asciiTheme="majorEastAsia" w:hAnsiTheme="majorEastAsia" w:eastAsiaTheme="majorEastAsia"/>
                <w:color w:val="000000"/>
                <w:szCs w:val="21"/>
                <w:lang w:val="en-US" w:eastAsia="zh-CN"/>
              </w:rPr>
              <w:t>宋广浩</w:t>
            </w:r>
          </w:p>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电话：</w:t>
            </w:r>
            <w:r>
              <w:rPr>
                <w:rFonts w:hint="eastAsia" w:cs="宋体" w:asciiTheme="majorEastAsia" w:hAnsiTheme="majorEastAsia" w:eastAsiaTheme="majorEastAsia"/>
                <w:color w:val="000000"/>
                <w:szCs w:val="21"/>
                <w:lang w:eastAsia="zh-CN"/>
              </w:rPr>
              <w:t>15774303466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招标代理机构</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采购代理机构：</w:t>
            </w:r>
            <w:r>
              <w:rPr>
                <w:rFonts w:hint="eastAsia" w:cs="宋体" w:asciiTheme="majorEastAsia" w:hAnsiTheme="majorEastAsia" w:eastAsiaTheme="majorEastAsia"/>
                <w:color w:val="000000"/>
                <w:szCs w:val="21"/>
                <w:lang w:eastAsia="zh-CN"/>
              </w:rPr>
              <w:t>东联建建筑咨询有限公司</w:t>
            </w:r>
          </w:p>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地址：吉林省松原市长岭县</w:t>
            </w:r>
          </w:p>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联 系 人：</w:t>
            </w:r>
            <w:r>
              <w:rPr>
                <w:rFonts w:hint="eastAsia" w:cs="宋体" w:asciiTheme="majorEastAsia" w:hAnsiTheme="majorEastAsia" w:eastAsiaTheme="majorEastAsia"/>
                <w:color w:val="000000"/>
                <w:szCs w:val="21"/>
                <w:lang w:eastAsia="zh-CN"/>
              </w:rPr>
              <w:t>刘嘉冶</w:t>
            </w:r>
          </w:p>
          <w:p>
            <w:pPr>
              <w:spacing w:line="276" w:lineRule="auto"/>
              <w:jc w:val="left"/>
              <w:rPr>
                <w:rFonts w:hint="eastAsia"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联系电话：</w:t>
            </w:r>
            <w:r>
              <w:rPr>
                <w:rFonts w:hint="eastAsia" w:cs="宋体" w:asciiTheme="majorEastAsia" w:hAnsiTheme="majorEastAsia" w:eastAsiaTheme="majorEastAsia"/>
                <w:color w:val="000000"/>
                <w:szCs w:val="21"/>
                <w:lang w:eastAsia="zh-CN"/>
              </w:rPr>
              <w:t>15843891444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项目名称</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三青山镇大房身村扶持发展新型农村集体经济项目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项目编号</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en-US" w:eastAsia="zh-CN"/>
              </w:rPr>
              <w:t>采购计划-[2025]-00020号-DLJ-004</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资金来源及比例</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default" w:cs="宋体" w:asciiTheme="majorEastAsia" w:hAnsiTheme="majorEastAsia" w:eastAsiaTheme="majorEastAsia"/>
                <w:color w:val="000000"/>
                <w:szCs w:val="21"/>
                <w:lang w:val="en-US" w:eastAsia="zh-CN"/>
              </w:rPr>
            </w:pPr>
            <w:r>
              <w:rPr>
                <w:rFonts w:hint="eastAsia" w:cs="宋体" w:asciiTheme="majorEastAsia" w:hAnsiTheme="majorEastAsia" w:eastAsiaTheme="majorEastAsia"/>
                <w:color w:val="000000"/>
                <w:szCs w:val="21"/>
              </w:rPr>
              <w:t>财政资金</w:t>
            </w:r>
            <w:r>
              <w:rPr>
                <w:rFonts w:hint="eastAsia" w:cs="宋体" w:asciiTheme="majorEastAsia" w:hAnsiTheme="majorEastAsia" w:eastAsiaTheme="majorEastAsia"/>
                <w:color w:val="000000"/>
                <w:szCs w:val="21"/>
                <w:lang w:val="en-US" w:eastAsia="zh-CN"/>
              </w:rPr>
              <w:t>100%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资金落实情况</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采购内容</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详见招标文件第五章.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4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合同履行期限（供货期）</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szCs w:val="21"/>
              </w:rPr>
            </w:pPr>
            <w:r>
              <w:rPr>
                <w:rFonts w:hint="eastAsia" w:cs="宋体" w:asciiTheme="majorEastAsia" w:hAnsiTheme="majorEastAsia" w:eastAsiaTheme="majorEastAsia"/>
                <w:szCs w:val="21"/>
                <w:lang w:eastAsia="zh-CN"/>
              </w:rPr>
              <w:t>合同签订后7日内供货、安装、调试完毕，并保证投入使用；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交货地点</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szCs w:val="21"/>
                <w:lang w:eastAsia="zh-CN"/>
              </w:rPr>
            </w:pPr>
            <w:r>
              <w:rPr>
                <w:rFonts w:hint="eastAsia" w:cs="宋体" w:asciiTheme="majorEastAsia" w:hAnsiTheme="majorEastAsia" w:eastAsiaTheme="majorEastAsia"/>
                <w:color w:val="000000"/>
                <w:szCs w:val="21"/>
                <w:lang w:eastAsia="zh-CN"/>
              </w:rPr>
              <w:t>长岭县三青山镇综合服务中心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供应商资质条件、能力和信誉</w:t>
            </w:r>
          </w:p>
        </w:tc>
        <w:tc>
          <w:tcPr>
            <w:tcW w:w="6804" w:type="dxa"/>
            <w:tcBorders>
              <w:top w:val="single" w:color="auto" w:sz="4" w:space="0"/>
              <w:left w:val="single" w:color="auto" w:sz="4" w:space="0"/>
              <w:bottom w:val="single" w:color="auto" w:sz="4" w:space="0"/>
            </w:tcBorders>
            <w:vAlign w:val="center"/>
          </w:tcPr>
          <w:p>
            <w:pPr>
              <w:pStyle w:val="5"/>
              <w:ind w:firstLine="0"/>
              <w:rPr>
                <w:rFonts w:hint="eastAsia"/>
                <w:sz w:val="21"/>
                <w:szCs w:val="21"/>
              </w:rPr>
            </w:pPr>
            <w:r>
              <w:rPr>
                <w:rFonts w:hint="eastAsia"/>
                <w:sz w:val="21"/>
                <w:szCs w:val="21"/>
              </w:rPr>
              <w:t>1.满足《中华人民共和国政府采购法》第二十二条规定；</w:t>
            </w:r>
          </w:p>
          <w:p>
            <w:pPr>
              <w:pStyle w:val="5"/>
              <w:ind w:firstLine="0"/>
              <w:rPr>
                <w:rFonts w:hint="eastAsia"/>
                <w:sz w:val="21"/>
                <w:szCs w:val="21"/>
              </w:rPr>
            </w:pPr>
            <w:r>
              <w:rPr>
                <w:rFonts w:hint="eastAsia"/>
                <w:sz w:val="21"/>
                <w:szCs w:val="21"/>
              </w:rPr>
              <w:t>2.落实政府采购政策需满足的资格要求：投标人须在中华人民共和国境内注册，具有独立法人资格，具有有效营业执照，符合政府采购政策落实文件的要求。</w:t>
            </w:r>
          </w:p>
          <w:p>
            <w:pPr>
              <w:pStyle w:val="5"/>
              <w:ind w:firstLine="0"/>
              <w:rPr>
                <w:rFonts w:hint="eastAsia"/>
                <w:sz w:val="21"/>
                <w:szCs w:val="21"/>
                <w:lang w:eastAsia="zh-CN"/>
              </w:rPr>
            </w:pPr>
            <w:r>
              <w:rPr>
                <w:rFonts w:hint="eastAsia"/>
                <w:sz w:val="21"/>
                <w:szCs w:val="21"/>
                <w:lang w:eastAsia="zh-CN"/>
              </w:rPr>
              <w:t>2.1本项目全部面向中小企业采购；</w:t>
            </w:r>
          </w:p>
          <w:p>
            <w:pPr>
              <w:pStyle w:val="5"/>
              <w:ind w:firstLine="0"/>
              <w:rPr>
                <w:rFonts w:hint="eastAsia"/>
                <w:sz w:val="21"/>
                <w:szCs w:val="21"/>
                <w:lang w:eastAsia="zh-CN"/>
              </w:rPr>
            </w:pPr>
            <w:r>
              <w:rPr>
                <w:rFonts w:hint="eastAsia"/>
                <w:sz w:val="21"/>
                <w:szCs w:val="21"/>
                <w:lang w:eastAsia="zh-CN"/>
              </w:rPr>
              <w:t>2.2中小企业划分标准执行《关于印发中小企业划型标准规定的通知》（工信部联企业〔2011〕300号）文件；</w:t>
            </w:r>
          </w:p>
          <w:p>
            <w:pPr>
              <w:pStyle w:val="5"/>
              <w:ind w:firstLine="0"/>
              <w:rPr>
                <w:rFonts w:hint="eastAsia"/>
                <w:sz w:val="21"/>
                <w:szCs w:val="21"/>
                <w:lang w:val="en-US" w:eastAsia="zh-CN"/>
              </w:rPr>
            </w:pPr>
            <w:r>
              <w:rPr>
                <w:rFonts w:hint="eastAsia"/>
                <w:sz w:val="21"/>
                <w:szCs w:val="21"/>
                <w:lang w:eastAsia="zh-CN"/>
              </w:rPr>
              <w:t>2.3政策落实执行《政府采购促进中小企业发展管理办法》（财库〔2020〕46 号）；</w:t>
            </w:r>
          </w:p>
          <w:p>
            <w:pPr>
              <w:pStyle w:val="5"/>
              <w:ind w:firstLine="0"/>
              <w:rPr>
                <w:rFonts w:hint="eastAsia"/>
                <w:sz w:val="21"/>
                <w:szCs w:val="21"/>
              </w:rPr>
            </w:pPr>
            <w:r>
              <w:rPr>
                <w:rFonts w:hint="eastAsia"/>
                <w:sz w:val="21"/>
                <w:szCs w:val="21"/>
              </w:rPr>
              <w:t>3.本项目的特定资格要求：</w:t>
            </w:r>
          </w:p>
          <w:p>
            <w:pPr>
              <w:pStyle w:val="5"/>
              <w:ind w:firstLine="0"/>
              <w:rPr>
                <w:rFonts w:hint="eastAsia"/>
                <w:sz w:val="21"/>
                <w:szCs w:val="21"/>
              </w:rPr>
            </w:pPr>
            <w:r>
              <w:rPr>
                <w:rFonts w:hint="eastAsia"/>
                <w:sz w:val="21"/>
                <w:szCs w:val="21"/>
              </w:rPr>
              <w:t>3.1供应商须具有独立法人资格的生产制造商或代理经销商，并具有履行合同的能力。</w:t>
            </w:r>
          </w:p>
          <w:p>
            <w:pPr>
              <w:pStyle w:val="5"/>
              <w:ind w:firstLine="0"/>
              <w:rPr>
                <w:rFonts w:hint="eastAsia"/>
                <w:sz w:val="21"/>
                <w:szCs w:val="21"/>
              </w:rPr>
            </w:pPr>
            <w:r>
              <w:rPr>
                <w:rFonts w:hint="eastAsia"/>
                <w:sz w:val="21"/>
                <w:szCs w:val="21"/>
              </w:rPr>
              <w:t>3.2本项目不接受被列入“信用中国”网站，失信被执行人、政府采购严重违法失信行为记录名单、重大税收违法失信主体，不接受被列入“中国政府采购网”政府采购严重违法失信行为信息记录的供应商，不接受被工商行政管理机关在全国企业信用信息公示系统（www.gsxt.gov.cn）中列入严重违法失信企业名单，不接受在近三年（2022年1月1日至2024年12月31日）内供应商或其法定代表人在“中国裁判文书网”(wenshu.court.gov.cn)上有行贿犯罪行为记录的参与投标响应。</w:t>
            </w:r>
          </w:p>
          <w:p>
            <w:pPr>
              <w:pStyle w:val="5"/>
              <w:ind w:firstLine="0"/>
              <w:rPr>
                <w:rFonts w:hint="eastAsia"/>
                <w:sz w:val="21"/>
                <w:szCs w:val="21"/>
              </w:rPr>
            </w:pPr>
            <w:r>
              <w:rPr>
                <w:rFonts w:hint="eastAsia"/>
                <w:sz w:val="21"/>
                <w:szCs w:val="21"/>
              </w:rPr>
              <w:t>3.3拒绝列入政府取消投标资格记录期间的企业或个人参与投标响应。</w:t>
            </w:r>
          </w:p>
          <w:p>
            <w:pPr>
              <w:pStyle w:val="5"/>
              <w:ind w:firstLine="0"/>
              <w:rPr>
                <w:rFonts w:hint="eastAsia"/>
                <w:sz w:val="21"/>
                <w:szCs w:val="21"/>
              </w:rPr>
            </w:pPr>
            <w:r>
              <w:rPr>
                <w:rFonts w:hint="eastAsia"/>
                <w:sz w:val="21"/>
                <w:szCs w:val="21"/>
              </w:rPr>
              <w:t>3.4本项目投标采购活动的每个环节不得更换被授权人。</w:t>
            </w:r>
          </w:p>
          <w:p>
            <w:pPr>
              <w:pStyle w:val="5"/>
              <w:ind w:firstLine="0"/>
              <w:rPr>
                <w:sz w:val="21"/>
                <w:szCs w:val="21"/>
              </w:rPr>
            </w:pPr>
            <w:r>
              <w:rPr>
                <w:rFonts w:hint="eastAsia"/>
                <w:sz w:val="21"/>
                <w:szCs w:val="21"/>
              </w:rPr>
              <w:t>3.5具有投资参股关系的关联企业，或具有直接管理和被管理关系的母子公司，或同一母子公司的子公司，或法定代表人为同一人的两个及两个以上法人不得同时对同一标段投标，否则均按废标处理。与采购人存在利害关系可能影响招标公正性的法人、其他组织或个人，不能参加投标。单位负责人同一或者存在控股、管理关系的不同单位，不得参加同一标段投标或者未划分标段的同一招标项目投标。违反上述规定的，相关投标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11</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kern w:val="0"/>
                <w:szCs w:val="21"/>
                <w:highlight w:val="none"/>
                <w:lang w:val="zh-CN"/>
              </w:rPr>
              <w:t>踏勘现场</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hint="eastAsia" w:cs="宋体" w:asciiTheme="majorEastAsia" w:hAnsiTheme="majorEastAsia" w:eastAsiaTheme="majorEastAsia"/>
                <w:color w:val="000000"/>
                <w:szCs w:val="21"/>
                <w:highlight w:val="none"/>
                <w:lang w:val="en-US" w:eastAsia="zh-CN"/>
              </w:rPr>
            </w:pPr>
            <w:r>
              <w:rPr>
                <w:rFonts w:hint="eastAsia" w:cs="宋体" w:asciiTheme="majorEastAsia" w:hAnsiTheme="majorEastAsia" w:eastAsiaTheme="majorEastAsia"/>
                <w:color w:val="000000"/>
                <w:szCs w:val="21"/>
                <w:highlight w:val="none"/>
                <w:lang w:val="en-US" w:eastAsia="zh-CN"/>
              </w:rPr>
              <w:t>不组织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12</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是否接受联合体投标</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13</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标前预备会</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不召开</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14</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供应商提出问题的</w:t>
            </w:r>
          </w:p>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截止时间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10</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15</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采购人书面澄清的时间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分包、偏离</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构成招标文件的其他材料</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rPr>
              <w:t>招标人发出的答疑、补遗、澄清文件。供货要求等相关材料</w:t>
            </w:r>
            <w:r>
              <w:rPr>
                <w:rFonts w:hint="eastAsia" w:cs="宋体" w:asciiTheme="majorEastAsia" w:hAnsiTheme="majorEastAsia" w:eastAsiaTheme="majorEastAsia"/>
                <w:color w:val="000000"/>
                <w:szCs w:val="21"/>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供应商要求澄清招标文件的截止时间</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投标截止时间前</w:t>
            </w:r>
            <w:r>
              <w:rPr>
                <w:rFonts w:cs="宋体" w:asciiTheme="majorEastAsia" w:hAnsiTheme="majorEastAsia" w:eastAsiaTheme="majorEastAsia"/>
                <w:color w:val="000000"/>
                <w:kern w:val="0"/>
                <w:szCs w:val="21"/>
              </w:rPr>
              <w:t>15</w:t>
            </w:r>
            <w:r>
              <w:rPr>
                <w:rFonts w:hint="eastAsia" w:cs="宋体" w:asciiTheme="majorEastAsia" w:hAnsiTheme="majorEastAsia" w:eastAsiaTheme="majorEastAsia"/>
                <w:color w:val="000000"/>
                <w:kern w:val="0"/>
                <w:szCs w:val="21"/>
                <w:lang w:val="zh-CN"/>
              </w:rPr>
              <w:t>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投标截止时间</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eastAsia="zh-CN"/>
              </w:rPr>
              <w:t>2025年04月21日09点30分</w:t>
            </w:r>
            <w:r>
              <w:rPr>
                <w:rFonts w:hint="eastAsia" w:cs="宋体" w:asciiTheme="majorEastAsia" w:hAnsiTheme="majorEastAsia" w:eastAsiaTheme="majorEastAsia"/>
                <w:color w:val="000000"/>
                <w:szCs w:val="21"/>
              </w:rPr>
              <w:t>（北京时间）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供应商确认收到招标文件澄清的时间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在收到相应澄清文件后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供应商确认收到招标文件修改的时间</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在收到相应修改文件后</w:t>
            </w:r>
            <w:r>
              <w:rPr>
                <w:rFonts w:cs="宋体" w:asciiTheme="majorEastAsia" w:hAnsiTheme="majorEastAsia" w:eastAsiaTheme="majorEastAsia"/>
                <w:color w:val="000000"/>
                <w:kern w:val="0"/>
                <w:szCs w:val="21"/>
                <w:u w:val="single"/>
              </w:rPr>
              <w:t>24</w:t>
            </w:r>
            <w:r>
              <w:rPr>
                <w:rFonts w:hint="eastAsia" w:cs="宋体" w:asciiTheme="majorEastAsia" w:hAnsiTheme="majorEastAsia" w:eastAsiaTheme="majorEastAsia"/>
                <w:color w:val="000000"/>
                <w:kern w:val="0"/>
                <w:szCs w:val="21"/>
                <w:u w:val="single"/>
                <w:lang w:val="zh-CN"/>
              </w:rPr>
              <w:t>小时</w:t>
            </w:r>
            <w:r>
              <w:rPr>
                <w:rFonts w:hint="eastAsia" w:cs="宋体" w:asciiTheme="majorEastAsia" w:hAnsiTheme="majorEastAsia" w:eastAsiaTheme="majorEastAsia"/>
                <w:color w:val="000000"/>
                <w:kern w:val="0"/>
                <w:szCs w:val="21"/>
                <w:lang w:val="zh-CN"/>
              </w:rPr>
              <w:t>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投标有效期</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kern w:val="0"/>
                <w:szCs w:val="21"/>
                <w:lang w:val="zh-CN"/>
              </w:rPr>
            </w:pPr>
            <w:r>
              <w:rPr>
                <w:rFonts w:cs="宋体" w:asciiTheme="majorEastAsia" w:hAnsiTheme="majorEastAsia" w:eastAsiaTheme="majorEastAsia"/>
                <w:color w:val="000000"/>
                <w:szCs w:val="21"/>
              </w:rPr>
              <w:t>90</w:t>
            </w:r>
            <w:r>
              <w:rPr>
                <w:rFonts w:hint="eastAsia" w:cs="宋体" w:asciiTheme="majorEastAsia" w:hAnsiTheme="majorEastAsia" w:eastAsiaTheme="majorEastAsia"/>
                <w:color w:val="000000"/>
                <w:szCs w:val="21"/>
              </w:rPr>
              <w:t>日历天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kern w:val="0"/>
                <w:szCs w:val="21"/>
                <w:lang w:val="zh-CN"/>
              </w:rPr>
              <w:t>投标保证金</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√否：（依据《松原市优化提升营商环境建设 60 条》和《关于印发&lt;松原市政府集中采购目录及标准&gt;的通知》（松财办〔2021〕186 号）要求， 预算金额在500万元以下的政府采购项目，不收取投标保证金。）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24</w:t>
            </w:r>
          </w:p>
        </w:tc>
        <w:tc>
          <w:tcPr>
            <w:tcW w:w="2515" w:type="dxa"/>
            <w:tcBorders>
              <w:top w:val="single" w:color="auto" w:sz="4" w:space="0"/>
              <w:left w:val="single" w:color="auto" w:sz="4" w:space="0"/>
              <w:bottom w:val="single" w:color="auto" w:sz="4" w:space="0"/>
              <w:right w:val="single" w:color="auto" w:sz="4" w:space="0"/>
            </w:tcBorders>
            <w:vAlign w:val="center"/>
          </w:tcPr>
          <w:p>
            <w:pPr>
              <w:pStyle w:val="93"/>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w:t>
            </w:r>
            <w:r>
              <w:rPr>
                <w:rFonts w:hint="eastAsia"/>
                <w:szCs w:val="21"/>
                <w:lang w:eastAsia="zh-CN"/>
              </w:rPr>
              <w:t>三</w:t>
            </w:r>
            <w:r>
              <w:rPr>
                <w:rFonts w:hint="eastAsia"/>
                <w:szCs w:val="21"/>
              </w:rPr>
              <w:t>年财务状况的年份要求</w:t>
            </w:r>
          </w:p>
        </w:tc>
        <w:tc>
          <w:tcPr>
            <w:tcW w:w="6804" w:type="dxa"/>
            <w:tcBorders>
              <w:top w:val="single" w:color="auto" w:sz="4" w:space="0"/>
              <w:left w:val="single" w:color="auto" w:sz="4" w:space="0"/>
              <w:bottom w:val="single" w:color="auto" w:sz="4" w:space="0"/>
            </w:tcBorders>
            <w:vAlign w:val="center"/>
          </w:tcPr>
          <w:p>
            <w:pPr>
              <w:pStyle w:val="93"/>
              <w:tabs>
                <w:tab w:val="left" w:pos="660"/>
                <w:tab w:val="left" w:pos="1641"/>
              </w:tabs>
              <w:spacing w:line="400" w:lineRule="exact"/>
              <w:ind w:left="105" w:leftChars="50" w:right="105" w:rightChars="50"/>
              <w:contextualSpacing/>
              <w:rPr>
                <w:rFonts w:hint="eastAsia" w:eastAsia="宋体" w:cs="宋体" w:asciiTheme="majorEastAsia" w:hAnsiTheme="majorEastAsia"/>
                <w:color w:val="000000"/>
                <w:szCs w:val="21"/>
                <w:lang w:val="en-US" w:eastAsia="zh-CN"/>
              </w:rPr>
            </w:pPr>
            <w:r>
              <w:rPr>
                <w:rFonts w:hint="eastAsia"/>
                <w:szCs w:val="21"/>
                <w:lang w:val="en-US" w:eastAsia="zh-CN"/>
              </w:rPr>
              <w:t>2021年、2022年、2023年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25</w:t>
            </w:r>
          </w:p>
        </w:tc>
        <w:tc>
          <w:tcPr>
            <w:tcW w:w="2515" w:type="dxa"/>
            <w:tcBorders>
              <w:top w:val="single" w:color="auto" w:sz="4" w:space="0"/>
              <w:left w:val="single" w:color="auto" w:sz="4" w:space="0"/>
              <w:bottom w:val="single" w:color="auto" w:sz="4" w:space="0"/>
              <w:right w:val="single" w:color="auto" w:sz="4" w:space="0"/>
            </w:tcBorders>
            <w:vAlign w:val="center"/>
          </w:tcPr>
          <w:p>
            <w:pPr>
              <w:pStyle w:val="93"/>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近年完成的类似项目情况的时间要求</w:t>
            </w:r>
          </w:p>
        </w:tc>
        <w:tc>
          <w:tcPr>
            <w:tcW w:w="6804" w:type="dxa"/>
            <w:tcBorders>
              <w:top w:val="single" w:color="auto" w:sz="4" w:space="0"/>
              <w:left w:val="single" w:color="auto" w:sz="4" w:space="0"/>
              <w:bottom w:val="single" w:color="auto" w:sz="4" w:space="0"/>
            </w:tcBorders>
            <w:vAlign w:val="center"/>
          </w:tcPr>
          <w:p>
            <w:pPr>
              <w:pStyle w:val="93"/>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26</w:t>
            </w:r>
          </w:p>
        </w:tc>
        <w:tc>
          <w:tcPr>
            <w:tcW w:w="2515" w:type="dxa"/>
            <w:tcBorders>
              <w:top w:val="single" w:color="auto" w:sz="4" w:space="0"/>
              <w:left w:val="single" w:color="auto" w:sz="4" w:space="0"/>
              <w:bottom w:val="single" w:color="auto" w:sz="4" w:space="0"/>
              <w:right w:val="single" w:color="auto" w:sz="4" w:space="0"/>
            </w:tcBorders>
            <w:vAlign w:val="center"/>
          </w:tcPr>
          <w:p>
            <w:pPr>
              <w:pStyle w:val="93"/>
              <w:spacing w:line="400" w:lineRule="exact"/>
              <w:ind w:left="105" w:leftChars="50" w:right="105" w:rightChars="50"/>
              <w:contextualSpacing/>
              <w:jc w:val="center"/>
              <w:rPr>
                <w:rFonts w:cs="宋体" w:asciiTheme="majorEastAsia" w:hAnsiTheme="majorEastAsia" w:eastAsiaTheme="majorEastAsia"/>
                <w:color w:val="000000"/>
                <w:szCs w:val="21"/>
              </w:rPr>
            </w:pPr>
            <w:r>
              <w:rPr>
                <w:rFonts w:hint="eastAsia"/>
                <w:szCs w:val="21"/>
              </w:rPr>
              <w:t>近年发生的诉讼及仲裁情况的时间要求</w:t>
            </w:r>
          </w:p>
        </w:tc>
        <w:tc>
          <w:tcPr>
            <w:tcW w:w="6804" w:type="dxa"/>
            <w:tcBorders>
              <w:top w:val="single" w:color="auto" w:sz="4" w:space="0"/>
              <w:left w:val="single" w:color="auto" w:sz="4" w:space="0"/>
              <w:bottom w:val="single" w:color="auto" w:sz="4" w:space="0"/>
            </w:tcBorders>
            <w:vAlign w:val="center"/>
          </w:tcPr>
          <w:p>
            <w:pPr>
              <w:pStyle w:val="93"/>
              <w:tabs>
                <w:tab w:val="left" w:pos="1397"/>
                <w:tab w:val="left" w:pos="2167"/>
                <w:tab w:val="left" w:pos="2940"/>
              </w:tabs>
              <w:spacing w:line="400" w:lineRule="exact"/>
              <w:ind w:left="105" w:leftChars="50" w:right="105" w:rightChars="50"/>
              <w:contextualSpacing/>
              <w:rPr>
                <w:rFonts w:hint="eastAsia" w:cs="宋体" w:asciiTheme="majorEastAsia" w:hAnsiTheme="majorEastAsia" w:eastAsiaTheme="majorEastAsia"/>
                <w:color w:val="000000"/>
                <w:szCs w:val="21"/>
                <w:lang w:eastAsia="zh-CN"/>
              </w:rPr>
            </w:pPr>
            <w:r>
              <w:rPr>
                <w:rFonts w:hint="eastAsia" w:eastAsiaTheme="majorEastAsia"/>
                <w:szCs w:val="21"/>
                <w:lang w:eastAsia="zh-CN"/>
              </w:rPr>
              <w:t>202</w:t>
            </w:r>
            <w:r>
              <w:rPr>
                <w:rFonts w:hint="eastAsia" w:eastAsiaTheme="majorEastAsia"/>
                <w:szCs w:val="21"/>
                <w:lang w:val="en-US" w:eastAsia="zh-CN"/>
              </w:rPr>
              <w:t>2</w:t>
            </w:r>
            <w:r>
              <w:rPr>
                <w:rFonts w:hint="eastAsia" w:eastAsiaTheme="majorEastAsia"/>
                <w:szCs w:val="21"/>
                <w:lang w:eastAsia="zh-CN"/>
              </w:rPr>
              <w:t>年1月1日至今</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是否允许递交</w:t>
            </w:r>
          </w:p>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备选投标方案</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95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签字或盖章要求</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w:t>
            </w:r>
            <w:r>
              <w:rPr>
                <w:rFonts w:cs="宋体" w:asciiTheme="majorEastAsia" w:hAnsiTheme="majorEastAsia" w:eastAsiaTheme="majorEastAsia"/>
                <w:color w:val="000000"/>
                <w:szCs w:val="21"/>
                <w:lang w:val="zh-CN"/>
              </w:rPr>
              <w:t>1</w:t>
            </w:r>
            <w:r>
              <w:rPr>
                <w:rFonts w:hint="eastAsia" w:cs="宋体" w:asciiTheme="majorEastAsia" w:hAnsiTheme="majorEastAsia" w:eastAsiaTheme="majorEastAsia"/>
                <w:color w:val="000000"/>
                <w:szCs w:val="21"/>
                <w:lang w:val="zh-CN"/>
              </w:rPr>
              <w:t>）所有要求签字的位置都应用不褪色的墨水或签字笔由本人亲笔手写签字（包括姓和名），不得用盖章（如签名章、签字章等）代替，也不得由他人代签。</w:t>
            </w:r>
          </w:p>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w:t>
            </w:r>
            <w:r>
              <w:rPr>
                <w:rFonts w:cs="宋体" w:asciiTheme="majorEastAsia" w:hAnsiTheme="majorEastAsia" w:eastAsiaTheme="majorEastAsia"/>
                <w:color w:val="000000"/>
                <w:szCs w:val="21"/>
                <w:lang w:val="zh-CN"/>
              </w:rPr>
              <w:t>2</w:t>
            </w:r>
            <w:r>
              <w:rPr>
                <w:rFonts w:hint="eastAsia" w:cs="宋体" w:asciiTheme="majorEastAsia" w:hAnsiTheme="majorEastAsia" w:eastAsiaTheme="majorEastAsia"/>
                <w:color w:val="000000"/>
                <w:szCs w:val="21"/>
                <w:lang w:val="zh-CN"/>
              </w:rPr>
              <w:t>）所有要求盖章的位置都应加盖投标单位（法定名称）章（公章），不得使用专用章（如经济合同章、投标专用章等）或下属单位印章代替。</w:t>
            </w:r>
          </w:p>
          <w:p>
            <w:pPr>
              <w:spacing w:line="276" w:lineRule="auto"/>
              <w:jc w:val="left"/>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szCs w:val="21"/>
                <w:lang w:val="zh-CN"/>
              </w:rPr>
              <w:t>（</w:t>
            </w:r>
            <w:r>
              <w:rPr>
                <w:rFonts w:cs="宋体" w:asciiTheme="majorEastAsia" w:hAnsiTheme="majorEastAsia" w:eastAsiaTheme="majorEastAsia"/>
                <w:color w:val="000000"/>
                <w:szCs w:val="21"/>
                <w:lang w:val="zh-CN"/>
              </w:rPr>
              <w:t>3</w:t>
            </w:r>
            <w:r>
              <w:rPr>
                <w:rFonts w:hint="eastAsia" w:cs="宋体" w:asciiTheme="majorEastAsia" w:hAnsiTheme="majorEastAsia" w:eastAsiaTheme="majorEastAsia"/>
                <w:color w:val="000000"/>
                <w:szCs w:val="21"/>
                <w:lang w:val="zh-CN"/>
              </w:rPr>
              <w:t>）投标文件格式中要求供应商“法定代表人或其委托代理人”签字的，如法定代表人亲自投标而不委托代理人投标，由法定代表人签字；如法定代表人授权委托代理人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29</w:t>
            </w:r>
          </w:p>
        </w:tc>
        <w:tc>
          <w:tcPr>
            <w:tcW w:w="251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276" w:lineRule="auto"/>
              <w:jc w:val="center"/>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投标文件份数</w:t>
            </w:r>
          </w:p>
        </w:tc>
        <w:tc>
          <w:tcPr>
            <w:tcW w:w="6804" w:type="dxa"/>
            <w:tcBorders>
              <w:top w:val="single" w:color="auto" w:sz="4" w:space="0"/>
              <w:left w:val="single" w:color="auto" w:sz="4" w:space="0"/>
              <w:bottom w:val="single" w:color="auto" w:sz="4" w:space="0"/>
            </w:tcBorders>
            <w:vAlign w:val="center"/>
          </w:tcPr>
          <w:p>
            <w:pPr>
              <w:autoSpaceDE w:val="0"/>
              <w:autoSpaceDN w:val="0"/>
              <w:adjustRightInd w:val="0"/>
              <w:spacing w:line="276" w:lineRule="auto"/>
              <w:rPr>
                <w:rFonts w:cs="宋体" w:asciiTheme="majorEastAsia" w:hAnsiTheme="majorEastAsia" w:eastAsiaTheme="majorEastAsia"/>
                <w:color w:val="000000"/>
                <w:kern w:val="0"/>
                <w:szCs w:val="21"/>
                <w:lang w:val="zh-CN"/>
              </w:rPr>
            </w:pPr>
            <w:r>
              <w:rPr>
                <w:rFonts w:hint="eastAsia" w:cs="宋体" w:asciiTheme="majorEastAsia" w:hAnsiTheme="majorEastAsia" w:eastAsiaTheme="majorEastAsia"/>
                <w:color w:val="000000"/>
                <w:kern w:val="0"/>
                <w:szCs w:val="21"/>
                <w:lang w:val="zh-CN"/>
              </w:rPr>
              <w:t>本一份，副本二份（注：以上文件仅做存档使用，不作为评标的依据），开标结束后3个工作日内将投标文件（打印版）纸质版邮寄至吉林省鑫政工程咨询有限公司（地址：长岭县长岭镇金域融城4号楼门市，联系人：刘嘉冶，电话：</w:t>
            </w:r>
            <w:r>
              <w:rPr>
                <w:rFonts w:hint="eastAsia" w:cs="宋体" w:asciiTheme="majorEastAsia" w:hAnsiTheme="majorEastAsia" w:eastAsiaTheme="majorEastAsia"/>
                <w:color w:val="000000"/>
                <w:kern w:val="0"/>
                <w:szCs w:val="21"/>
                <w:lang w:val="en-US" w:eastAsia="zh-CN"/>
              </w:rPr>
              <w:t>15843891444</w:t>
            </w:r>
            <w:r>
              <w:rPr>
                <w:rFonts w:hint="eastAsia" w:cs="宋体" w:asciiTheme="majorEastAsia" w:hAnsiTheme="majorEastAsia" w:eastAsiaTheme="majorEastAsia"/>
                <w:color w:val="000000"/>
                <w:kern w:val="0"/>
                <w:szCs w:val="21"/>
                <w:lang w:val="zh-CN"/>
              </w:rPr>
              <w:t>）（电子版1份文件用U盘存储（word和PDF版），不留密码）。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装订要求</w:t>
            </w:r>
          </w:p>
        </w:tc>
        <w:tc>
          <w:tcPr>
            <w:tcW w:w="6804" w:type="dxa"/>
            <w:tcBorders>
              <w:top w:val="single" w:color="auto" w:sz="4" w:space="0"/>
              <w:left w:val="single" w:color="auto" w:sz="4" w:space="0"/>
              <w:bottom w:val="single" w:color="auto" w:sz="4" w:space="0"/>
            </w:tcBorders>
            <w:vAlign w:val="center"/>
          </w:tcPr>
          <w:p>
            <w:pPr>
              <w:spacing w:line="400" w:lineRule="exact"/>
              <w:ind w:left="105" w:leftChars="50" w:right="105" w:rightChars="50"/>
              <w:contextualSpacing/>
              <w:rPr>
                <w:szCs w:val="21"/>
              </w:rPr>
            </w:pPr>
            <w:r>
              <w:rPr>
                <w:rFonts w:hint="eastAsia"/>
                <w:szCs w:val="21"/>
              </w:rPr>
              <w:t>投标文件应按以下要求装订：</w:t>
            </w:r>
          </w:p>
          <w:p>
            <w:pPr>
              <w:spacing w:line="400" w:lineRule="exact"/>
              <w:ind w:left="105" w:leftChars="50" w:right="105" w:rightChars="50"/>
              <w:contextualSpacing/>
              <w:rPr>
                <w:szCs w:val="21"/>
              </w:rPr>
            </w:pPr>
            <w:r>
              <w:rPr>
                <w:rFonts w:hint="eastAsia"/>
                <w:szCs w:val="21"/>
              </w:rPr>
              <w:t>每册采用书册方式装订，装订应牢固、整齐、便于保管和利用、不易拆散和换页，不得采用活页装订</w:t>
            </w:r>
          </w:p>
          <w:p>
            <w:pPr>
              <w:spacing w:line="400" w:lineRule="exact"/>
              <w:ind w:left="105" w:leftChars="50" w:right="105" w:rightChars="50"/>
              <w:contextualSpacing/>
              <w:rPr>
                <w:szCs w:val="21"/>
              </w:rPr>
            </w:pPr>
            <w:r>
              <w:rPr>
                <w:szCs w:val="21"/>
              </w:rPr>
              <w:t>1.投标文件正本和副本的封面上应清楚地标记“正本”或“副本”的字样。当副本和正本不一致时，以正本为准。</w:t>
            </w:r>
          </w:p>
          <w:p>
            <w:pPr>
              <w:spacing w:line="400" w:lineRule="exact"/>
              <w:ind w:left="105" w:leftChars="50" w:right="105" w:rightChars="50"/>
              <w:contextualSpacing/>
              <w:rPr>
                <w:rFonts w:cs="宋体" w:asciiTheme="majorEastAsia" w:hAnsiTheme="majorEastAsia" w:eastAsiaTheme="majorEastAsia"/>
                <w:color w:val="000000"/>
                <w:szCs w:val="21"/>
              </w:rPr>
            </w:pPr>
            <w:r>
              <w:rPr>
                <w:szCs w:val="21"/>
              </w:rPr>
              <w:t>2.投标文件的正本与副本应分别装订成册，并编制目录。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eastAsia="zh-CN"/>
              </w:rPr>
              <w:t>其他材料</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lang w:eastAsia="zh-CN"/>
              </w:rPr>
              <w:t>标书内复印件加盖公章</w:t>
            </w:r>
          </w:p>
          <w:p>
            <w:pPr>
              <w:spacing w:line="276" w:lineRule="auto"/>
              <w:jc w:val="left"/>
            </w:pPr>
            <w:r>
              <w:rPr>
                <w:rFonts w:hint="eastAsia"/>
              </w:rPr>
              <w:t>（</w:t>
            </w:r>
            <w:r>
              <w:t>1</w:t>
            </w:r>
            <w:r>
              <w:rPr>
                <w:rFonts w:hint="eastAsia"/>
              </w:rPr>
              <w:t>）企业法定代表人授权委托书；</w:t>
            </w:r>
          </w:p>
          <w:p>
            <w:pPr>
              <w:spacing w:line="276" w:lineRule="auto"/>
              <w:jc w:val="left"/>
            </w:pPr>
            <w:r>
              <w:rPr>
                <w:rFonts w:hint="eastAsia"/>
              </w:rPr>
              <w:t>（</w:t>
            </w:r>
            <w:r>
              <w:t>2</w:t>
            </w:r>
            <w:r>
              <w:rPr>
                <w:rFonts w:hint="eastAsia"/>
              </w:rPr>
              <w:t>）被授权人身份证或法定代表人身份证；</w:t>
            </w:r>
          </w:p>
          <w:p>
            <w:pPr>
              <w:spacing w:line="276" w:lineRule="auto"/>
              <w:jc w:val="left"/>
            </w:pPr>
            <w:r>
              <w:rPr>
                <w:rFonts w:hint="eastAsia"/>
              </w:rPr>
              <w:t>（</w:t>
            </w:r>
            <w:r>
              <w:t>3</w:t>
            </w:r>
            <w:r>
              <w:rPr>
                <w:rFonts w:hint="eastAsia"/>
              </w:rPr>
              <w:t>）企业营业执照副本；</w:t>
            </w:r>
          </w:p>
          <w:p>
            <w:pPr>
              <w:spacing w:line="276" w:lineRule="auto"/>
              <w:jc w:val="left"/>
            </w:pPr>
            <w:r>
              <w:rPr>
                <w:rFonts w:hint="eastAsia"/>
              </w:rPr>
              <w:t>（</w:t>
            </w:r>
            <w:r>
              <w:t>4</w:t>
            </w:r>
            <w:r>
              <w:rPr>
                <w:rFonts w:hint="eastAsia"/>
              </w:rPr>
              <w:t>）有依法缴纳税收和社会保障资金的良好记录证明（</w:t>
            </w:r>
            <w:r>
              <w:rPr>
                <w:rFonts w:hint="eastAsia"/>
                <w:lang w:val="en-US" w:eastAsia="zh-CN"/>
              </w:rPr>
              <w:t>2024年6月至今任意一月即可</w:t>
            </w:r>
            <w:r>
              <w:rPr>
                <w:rFonts w:hint="eastAsia"/>
              </w:rPr>
              <w:t>）</w:t>
            </w:r>
          </w:p>
          <w:p>
            <w:pPr>
              <w:spacing w:line="276" w:lineRule="auto"/>
              <w:jc w:val="left"/>
              <w:rPr>
                <w:rFonts w:hint="eastAsia" w:eastAsia="宋体"/>
                <w:lang w:eastAsia="zh-CN"/>
              </w:rPr>
            </w:pPr>
            <w:r>
              <w:rPr>
                <w:rFonts w:hint="eastAsia"/>
              </w:rPr>
              <w:t>（5）提供</w:t>
            </w:r>
            <w:r>
              <w:rPr>
                <w:rFonts w:hint="eastAsia"/>
                <w:lang w:eastAsia="zh-CN"/>
              </w:rPr>
              <w:t>近三年（2021、2022、2023年）</w:t>
            </w:r>
            <w:r>
              <w:rPr>
                <w:rFonts w:hint="eastAsia"/>
              </w:rPr>
              <w:t>财务报表（包含现金流量表、资产负债表、利润表，加盖财务章）或经会计师事务所审计的财务审计报告或基本开户银行在投标截止时间前六个月内出具的资信证明。（标书内复印件加盖公章）</w:t>
            </w:r>
          </w:p>
          <w:p>
            <w:pPr>
              <w:spacing w:line="276" w:lineRule="auto"/>
              <w:jc w:val="left"/>
            </w:pPr>
            <w:r>
              <w:rPr>
                <w:rFonts w:hint="eastAsia"/>
              </w:rPr>
              <w:t>（6）提供“信用中国”网站（</w:t>
            </w:r>
            <w:r>
              <w:t>www.creditchina.gov.cn</w:t>
            </w:r>
            <w:r>
              <w:rPr>
                <w:rFonts w:hint="eastAsia"/>
              </w:rPr>
              <w:t>）未列入①失信被执行人、</w:t>
            </w:r>
            <w:r>
              <w:rPr>
                <w:rFonts w:hint="eastAsia"/>
                <w:lang w:val="en-US" w:eastAsia="zh-CN"/>
              </w:rPr>
              <w:t>严重失信主体名单、</w:t>
            </w:r>
            <w:r>
              <w:rPr>
                <w:rFonts w:hint="eastAsia"/>
              </w:rPr>
              <w:t>税收违法</w:t>
            </w:r>
            <w:r>
              <w:rPr>
                <w:rFonts w:hint="eastAsia"/>
                <w:lang w:val="en-US" w:eastAsia="zh-CN"/>
              </w:rPr>
              <w:t>黑名单、</w:t>
            </w:r>
            <w:r>
              <w:rPr>
                <w:rFonts w:hint="eastAsia"/>
              </w:rPr>
              <w:t>政府采购</w:t>
            </w:r>
            <w:r>
              <w:rPr>
                <w:rFonts w:hint="eastAsia"/>
                <w:lang w:val="en-US" w:eastAsia="zh-CN"/>
              </w:rPr>
              <w:t>严重违法失信行为</w:t>
            </w:r>
            <w:r>
              <w:rPr>
                <w:rFonts w:hint="eastAsia"/>
              </w:rPr>
              <w:t>记录名单的官网截图并加盖公章；提供中国政府采购网（</w:t>
            </w:r>
            <w:r>
              <w:t>www.ccgp.gov.cn</w:t>
            </w:r>
            <w:r>
              <w:rPr>
                <w:rFonts w:hint="eastAsia"/>
              </w:rPr>
              <w:t>）未列入</w:t>
            </w:r>
            <w:r>
              <w:rPr>
                <w:rFonts w:hint="eastAsia"/>
                <w:lang w:eastAsia="zh-CN"/>
              </w:rPr>
              <w:t>政府采购严重违法失信行为信息记录</w:t>
            </w:r>
            <w:r>
              <w:rPr>
                <w:rFonts w:hint="eastAsia"/>
              </w:rPr>
              <w:t>的官网截图并加盖公章。（查询时点为获取招标文件开始至投标文件递交截止期间）；</w:t>
            </w:r>
          </w:p>
          <w:p>
            <w:pPr>
              <w:spacing w:line="276" w:lineRule="auto"/>
              <w:jc w:val="left"/>
            </w:pPr>
            <w:r>
              <w:rPr>
                <w:rFonts w:hint="eastAsia"/>
              </w:rPr>
              <w:t>（7）提供《中国裁判文书网》（http://wenshu.court.gov.cn/）投标人</w:t>
            </w:r>
            <w:r>
              <w:rPr>
                <w:rFonts w:hint="eastAsia"/>
                <w:lang w:eastAsia="zh-CN"/>
              </w:rPr>
              <w:t>或</w:t>
            </w:r>
            <w:r>
              <w:rPr>
                <w:rFonts w:hint="eastAsia"/>
              </w:rPr>
              <w:t>法定代表人无行贿犯罪档案查询记录网站截图证明。</w:t>
            </w:r>
          </w:p>
          <w:p>
            <w:pPr>
              <w:pStyle w:val="5"/>
              <w:ind w:firstLine="0"/>
              <w:rPr>
                <w:rFonts w:hint="eastAsia" w:cs="宋体" w:asciiTheme="majorEastAsia" w:hAnsiTheme="majorEastAsia" w:eastAsiaTheme="majorEastAsia"/>
                <w:color w:val="000000"/>
                <w:sz w:val="21"/>
                <w:szCs w:val="21"/>
                <w:lang w:eastAsia="zh-CN"/>
              </w:rPr>
            </w:pPr>
            <w:r>
              <w:rPr>
                <w:rFonts w:hint="eastAsia" w:cs="宋体" w:asciiTheme="majorEastAsia" w:hAnsiTheme="majorEastAsia" w:eastAsiaTheme="majorEastAsia"/>
                <w:color w:val="000000"/>
                <w:sz w:val="21"/>
                <w:szCs w:val="21"/>
              </w:rPr>
              <w:t>（</w:t>
            </w:r>
            <w:r>
              <w:rPr>
                <w:rFonts w:hint="eastAsia" w:cs="宋体" w:asciiTheme="majorEastAsia" w:hAnsiTheme="majorEastAsia" w:eastAsiaTheme="majorEastAsia"/>
                <w:color w:val="000000"/>
                <w:sz w:val="21"/>
                <w:szCs w:val="21"/>
                <w:lang w:val="en-US" w:eastAsia="zh-CN"/>
              </w:rPr>
              <w:t>8</w:t>
            </w:r>
            <w:r>
              <w:rPr>
                <w:rFonts w:hint="eastAsia" w:cs="宋体" w:asciiTheme="majorEastAsia" w:hAnsiTheme="majorEastAsia" w:eastAsiaTheme="majorEastAsia"/>
                <w:color w:val="000000"/>
                <w:sz w:val="21"/>
                <w:szCs w:val="21"/>
              </w:rPr>
              <w:t>）基本账户开户许可证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封套上写明</w:t>
            </w:r>
          </w:p>
        </w:tc>
        <w:tc>
          <w:tcPr>
            <w:tcW w:w="6804" w:type="dxa"/>
            <w:tcBorders>
              <w:top w:val="single" w:color="auto" w:sz="4" w:space="0"/>
              <w:left w:val="single" w:color="auto" w:sz="4" w:space="0"/>
              <w:bottom w:val="single" w:color="auto" w:sz="4" w:space="0"/>
            </w:tcBorders>
          </w:tcPr>
          <w:p>
            <w:pPr>
              <w:spacing w:line="276" w:lineRule="auto"/>
              <w:jc w:val="left"/>
              <w:rPr>
                <w:rFonts w:hint="eastAsia" w:cs="宋体" w:asciiTheme="majorEastAsia" w:hAnsiTheme="majorEastAsia" w:eastAsiaTheme="majorEastAsia"/>
                <w:color w:val="000000"/>
                <w:szCs w:val="21"/>
                <w:lang w:eastAsia="zh-CN"/>
              </w:rPr>
            </w:pPr>
            <w:r>
              <w:rPr>
                <w:rFonts w:hint="eastAsia" w:cs="宋体" w:asciiTheme="majorEastAsia" w:hAnsiTheme="majorEastAsia" w:eastAsiaTheme="majorEastAsia"/>
                <w:color w:val="000000"/>
                <w:szCs w:val="21"/>
                <w:lang w:val="en-US" w:eastAsia="zh-CN"/>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46"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递交投标文件地点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Cs/>
                <w:color w:val="000000"/>
                <w:szCs w:val="21"/>
              </w:rPr>
            </w:pPr>
            <w:r>
              <w:rPr>
                <w:rFonts w:hint="eastAsia" w:cs="宋体" w:asciiTheme="majorEastAsia" w:hAnsiTheme="majorEastAsia" w:eastAsiaTheme="majorEastAsia"/>
                <w:bCs/>
                <w:color w:val="000000"/>
                <w:szCs w:val="21"/>
                <w:highlight w:val="none"/>
              </w:rPr>
              <w:t>本项目执行电子化招投标，须通过政府采购云平台(网址:http://www.zcygov.cn)递交电子版投标文件。投标操作流程:供应商在政府采购云平台网注册入库成为正式供应商后，在平台上按《政府采购项目电子交易管理操作指南-供应商》进行投标操作。数字证书办理及投标技术咨询:可登录“政采云”平台点击右侧咨询小采，获取采小蜜智能服务管家帮助，或拨打政采云服务热线 95763获取帮助。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是否退还投标文件</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否。</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开标时间和地点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highlight w:val="none"/>
              </w:rPr>
            </w:pPr>
            <w:r>
              <w:rPr>
                <w:rFonts w:hint="eastAsia" w:cs="宋体" w:asciiTheme="majorEastAsia" w:hAnsiTheme="majorEastAsia" w:eastAsiaTheme="majorEastAsia"/>
                <w:color w:val="000000"/>
                <w:szCs w:val="21"/>
                <w:highlight w:val="none"/>
              </w:rPr>
              <w:t>开标时间：</w:t>
            </w:r>
            <w:r>
              <w:rPr>
                <w:rFonts w:hint="eastAsia" w:cs="宋体" w:asciiTheme="majorEastAsia" w:hAnsiTheme="majorEastAsia" w:eastAsiaTheme="majorEastAsia"/>
                <w:bCs/>
                <w:color w:val="000000"/>
                <w:szCs w:val="21"/>
                <w:highlight w:val="none"/>
                <w:u w:val="single"/>
                <w:lang w:val="en-US" w:eastAsia="zh-CN"/>
              </w:rPr>
              <w:t>2025年04月21日09点30分</w:t>
            </w:r>
            <w:r>
              <w:rPr>
                <w:rFonts w:hint="eastAsia" w:cs="宋体" w:asciiTheme="majorEastAsia" w:hAnsiTheme="majorEastAsia" w:eastAsiaTheme="majorEastAsia"/>
                <w:bCs/>
                <w:color w:val="000000"/>
                <w:szCs w:val="21"/>
                <w:highlight w:val="none"/>
                <w:u w:val="single"/>
              </w:rPr>
              <w:t>（北京时间）</w:t>
            </w:r>
          </w:p>
          <w:p>
            <w:pPr>
              <w:spacing w:line="276" w:lineRule="auto"/>
              <w:rPr>
                <w:rFonts w:hint="eastAsia" w:cs="宋体" w:asciiTheme="majorEastAsia" w:hAnsiTheme="majorEastAsia" w:eastAsiaTheme="majorEastAsia"/>
                <w:bCs/>
                <w:color w:val="000000"/>
                <w:szCs w:val="21"/>
                <w:lang w:eastAsia="zh-CN"/>
              </w:rPr>
            </w:pPr>
            <w:r>
              <w:rPr>
                <w:rFonts w:hint="eastAsia" w:cs="宋体" w:asciiTheme="majorEastAsia" w:hAnsiTheme="majorEastAsia" w:eastAsiaTheme="majorEastAsia"/>
                <w:color w:val="000000"/>
                <w:szCs w:val="21"/>
                <w:highlight w:val="none"/>
              </w:rPr>
              <w:t>开标地点：</w:t>
            </w:r>
            <w:r>
              <w:rPr>
                <w:rFonts w:hint="eastAsia" w:ascii="宋体" w:hAnsi="宋体" w:cs="宋体" w:eastAsiaTheme="majorEastAsia"/>
                <w:color w:val="394351"/>
                <w:szCs w:val="21"/>
                <w:highlight w:val="none"/>
                <w:u w:val="single"/>
                <w:shd w:val="clear" w:color="auto" w:fill="FFFFFF"/>
                <w:lang w:eastAsia="zh-CN"/>
              </w:rPr>
              <w:t>长春市高新区鸿达街248号吉林日报副楼4楼吉利招平台第三开标室。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36</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开标程序</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 xml:space="preserve"> 本项目执行电子化招投标，须通过政府采购云平台(网址:http://www.zcygov.cn)递交电子版投标文件。投标操作流程:供应商在政府采购云平台网注册入库成为正式供应商后，在平台上按《政府采购项目电子交易管理操作指南-供应商》进行投标操作。数字证书办理及投标技术咨询:可登录“政采云”平台点击右侧咨询小采，获取采小蜜智能服务管家帮助，或拨打政采云服务热线 95763获取帮助。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37</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评标委员会的组建</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评标委员会构成</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u w:val="single"/>
                <w:lang w:val="en-US" w:eastAsia="zh-CN"/>
              </w:rPr>
              <w:t>5</w:t>
            </w:r>
            <w:r>
              <w:rPr>
                <w:rFonts w:hint="eastAsia" w:cs="宋体" w:asciiTheme="majorEastAsia" w:hAnsiTheme="majorEastAsia" w:eastAsiaTheme="majorEastAsia"/>
                <w:color w:val="000000"/>
                <w:szCs w:val="21"/>
              </w:rPr>
              <w:t>人组成。</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评标专家确定方式：</w:t>
            </w:r>
            <w:r>
              <w:rPr>
                <w:rFonts w:hint="eastAsia" w:cs="宋体" w:asciiTheme="majorEastAsia" w:hAnsiTheme="majorEastAsia" w:eastAsiaTheme="majorEastAsia"/>
                <w:bCs/>
                <w:color w:val="000000"/>
                <w:kern w:val="15"/>
                <w:szCs w:val="21"/>
              </w:rPr>
              <w:t>采购人在有关部门的监督下从评标专家库中随机抽取。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3"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38</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中标人公示媒介及期限</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公示媒介：“政采云”平台(http://www.zcygov.cn)同步推送到吉林省政府采购网(http://www.ccgp-jilin.gov.cn/)、中国政府采购网。</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公示期限：</w:t>
            </w:r>
            <w:r>
              <w:rPr>
                <w:rFonts w:cs="宋体" w:asciiTheme="majorEastAsia" w:hAnsiTheme="majorEastAsia" w:eastAsiaTheme="majorEastAsia"/>
                <w:color w:val="000000"/>
                <w:szCs w:val="21"/>
              </w:rPr>
              <w:t>1</w:t>
            </w:r>
            <w:r>
              <w:rPr>
                <w:rFonts w:hint="eastAsia" w:cs="宋体" w:asciiTheme="majorEastAsia" w:hAnsiTheme="majorEastAsia" w:eastAsiaTheme="majorEastAsia"/>
                <w:color w:val="000000"/>
                <w:szCs w:val="21"/>
              </w:rPr>
              <w:t>个工作日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39</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是否授权评标委员会确定中标人</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lang w:val="zh-CN"/>
              </w:rPr>
              <w:t>√</w:t>
            </w:r>
            <w:r>
              <w:rPr>
                <w:rFonts w:hint="eastAsia" w:cs="宋体" w:asciiTheme="majorEastAsia" w:hAnsiTheme="majorEastAsia" w:eastAsiaTheme="majorEastAsia"/>
                <w:color w:val="000000"/>
                <w:szCs w:val="21"/>
              </w:rPr>
              <w:t>否：评标委员会推荐</w:t>
            </w: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名中标候选人，并标明推荐顺序。采购人将依据评标委员会推荐的中标候选人确定中标人。</w:t>
            </w:r>
          </w:p>
          <w:p>
            <w:pPr>
              <w:spacing w:line="276" w:lineRule="auto"/>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40</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履约保证金</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是否要求中标人提交履约保证金：</w:t>
            </w:r>
          </w:p>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sym w:font="Wingdings 2" w:char="00A3"/>
            </w:r>
            <w:r>
              <w:rPr>
                <w:rFonts w:hint="eastAsia" w:cs="宋体" w:asciiTheme="majorEastAsia" w:hAnsiTheme="majorEastAsia" w:eastAsiaTheme="majorEastAsia"/>
                <w:color w:val="000000"/>
                <w:szCs w:val="21"/>
                <w:lang w:val="zh-CN"/>
              </w:rPr>
              <w:t>要求：履约担保的形式：银行保函</w:t>
            </w:r>
          </w:p>
          <w:p>
            <w:pPr>
              <w:spacing w:line="276" w:lineRule="auto"/>
              <w:ind w:firstLine="840" w:firstLineChars="400"/>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履约保函的金额：合同价的</w:t>
            </w:r>
            <w:r>
              <w:rPr>
                <w:rFonts w:hint="eastAsia" w:cs="宋体" w:asciiTheme="majorEastAsia" w:hAnsiTheme="majorEastAsia" w:eastAsiaTheme="majorEastAsia"/>
                <w:color w:val="000000"/>
                <w:szCs w:val="21"/>
              </w:rPr>
              <w:t>0</w:t>
            </w:r>
            <w:r>
              <w:rPr>
                <w:rFonts w:cs="宋体" w:asciiTheme="majorEastAsia" w:hAnsiTheme="majorEastAsia" w:eastAsiaTheme="majorEastAsia"/>
                <w:color w:val="000000"/>
                <w:szCs w:val="21"/>
                <w:lang w:val="zh-CN"/>
              </w:rPr>
              <w:t>%</w:t>
            </w:r>
          </w:p>
          <w:p>
            <w:pPr>
              <w:spacing w:line="276" w:lineRule="auto"/>
              <w:jc w:val="left"/>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√不要求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8"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41</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lang w:val="zh-CN"/>
              </w:rPr>
            </w:pPr>
            <w:r>
              <w:rPr>
                <w:rFonts w:hint="eastAsia" w:cs="宋体" w:asciiTheme="majorEastAsia" w:hAnsiTheme="majorEastAsia" w:eastAsiaTheme="majorEastAsia"/>
                <w:color w:val="000000"/>
                <w:szCs w:val="21"/>
                <w:lang w:val="zh-CN"/>
              </w:rPr>
              <w:t>质保期</w:t>
            </w:r>
          </w:p>
        </w:tc>
        <w:tc>
          <w:tcPr>
            <w:tcW w:w="6804" w:type="dxa"/>
            <w:tcBorders>
              <w:top w:val="single" w:color="auto" w:sz="4" w:space="0"/>
              <w:left w:val="single" w:color="auto" w:sz="4" w:space="0"/>
              <w:bottom w:val="single" w:color="auto" w:sz="4" w:space="0"/>
            </w:tcBorders>
            <w:vAlign w:val="center"/>
          </w:tcPr>
          <w:p>
            <w:pPr>
              <w:spacing w:line="276" w:lineRule="auto"/>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1年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42</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招标代理服务费</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color w:val="000000"/>
                <w:szCs w:val="21"/>
              </w:rPr>
            </w:pPr>
            <w:bookmarkStart w:id="45" w:name="OLE_LINK4"/>
            <w:r>
              <w:rPr>
                <w:rFonts w:hint="eastAsia" w:hAnsi="宋体"/>
                <w:color w:val="auto"/>
                <w:kern w:val="2"/>
                <w:sz w:val="21"/>
                <w:szCs w:val="21"/>
                <w:lang w:val="en-US" w:eastAsia="zh-CN"/>
              </w:rPr>
              <w:t>按照国家发展改革委《关于招标代理服务收费有关问题的通知》(发改办价格 〔2003〕857 号) 、国家发展改革委《关于进一步放开建设项目专业服务价格的通知》(发改价格〔2015〕 299 号) 文件规定及合同约定，向中标人收取。</w:t>
            </w:r>
            <w:bookmarkEnd w:id="45"/>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43</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最高投标限价</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
                <w:color w:val="000000"/>
                <w:szCs w:val="21"/>
              </w:rPr>
            </w:pPr>
            <w:r>
              <w:rPr>
                <w:rFonts w:hint="eastAsia" w:cs="宋体" w:asciiTheme="majorEastAsia" w:hAnsiTheme="majorEastAsia" w:eastAsiaTheme="majorEastAsia"/>
                <w:bCs/>
                <w:color w:val="000000"/>
                <w:szCs w:val="21"/>
                <w:lang w:val="en-US" w:eastAsia="zh-CN"/>
              </w:rPr>
              <w:t>79.5000万元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44</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是否选用电子标</w:t>
            </w:r>
          </w:p>
        </w:tc>
        <w:tc>
          <w:tcPr>
            <w:tcW w:w="6804" w:type="dxa"/>
            <w:tcBorders>
              <w:top w:val="single" w:color="auto" w:sz="4" w:space="0"/>
              <w:left w:val="single" w:color="auto" w:sz="4" w:space="0"/>
              <w:bottom w:val="single" w:color="auto" w:sz="4" w:space="0"/>
            </w:tcBorders>
            <w:vAlign w:val="center"/>
          </w:tcPr>
          <w:p>
            <w:pPr>
              <w:spacing w:line="276" w:lineRule="auto"/>
              <w:rPr>
                <w:rFonts w:hint="eastAsia" w:cs="宋体" w:asciiTheme="majorEastAsia" w:hAnsiTheme="majorEastAsia" w:eastAsiaTheme="majorEastAsia"/>
                <w:bCs/>
                <w:color w:val="000000"/>
                <w:szCs w:val="21"/>
                <w:lang w:eastAsia="zh-CN"/>
              </w:rPr>
            </w:pPr>
            <w:r>
              <w:rPr>
                <w:rFonts w:hint="eastAsia" w:cs="宋体" w:asciiTheme="majorEastAsia" w:hAnsiTheme="majorEastAsia" w:eastAsiaTheme="majorEastAsia"/>
                <w:bCs/>
                <w:color w:val="000000"/>
                <w:szCs w:val="21"/>
                <w:lang w:val="en-US" w:eastAsia="zh-CN"/>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029" w:type="dxa"/>
            <w:tcBorders>
              <w:top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45</w:t>
            </w:r>
          </w:p>
        </w:tc>
        <w:tc>
          <w:tcPr>
            <w:tcW w:w="2515" w:type="dxa"/>
            <w:tcBorders>
              <w:top w:val="single" w:color="auto" w:sz="4" w:space="0"/>
              <w:left w:val="single" w:color="auto" w:sz="4" w:space="0"/>
              <w:bottom w:val="single" w:color="auto" w:sz="4" w:space="0"/>
              <w:right w:val="single" w:color="auto" w:sz="4" w:space="0"/>
            </w:tcBorders>
            <w:vAlign w:val="center"/>
          </w:tcPr>
          <w:p>
            <w:pPr>
              <w:spacing w:line="276" w:lineRule="auto"/>
              <w:jc w:val="center"/>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付款方式</w:t>
            </w:r>
          </w:p>
        </w:tc>
        <w:tc>
          <w:tcPr>
            <w:tcW w:w="6804" w:type="dxa"/>
            <w:tcBorders>
              <w:top w:val="single" w:color="auto" w:sz="4" w:space="0"/>
              <w:left w:val="single" w:color="auto" w:sz="4" w:space="0"/>
              <w:bottom w:val="single" w:color="auto" w:sz="4" w:space="0"/>
            </w:tcBorders>
            <w:vAlign w:val="center"/>
          </w:tcPr>
          <w:p>
            <w:pPr>
              <w:spacing w:line="276" w:lineRule="auto"/>
              <w:rPr>
                <w:rFonts w:cs="宋体" w:asciiTheme="majorEastAsia" w:hAnsiTheme="majorEastAsia" w:eastAsiaTheme="majorEastAsia"/>
                <w:bCs/>
                <w:color w:val="000000"/>
                <w:szCs w:val="21"/>
              </w:rPr>
            </w:pPr>
            <w:r>
              <w:rPr>
                <w:rFonts w:hint="eastAsia" w:cs="宋体" w:asciiTheme="majorEastAsia" w:hAnsiTheme="majorEastAsia" w:eastAsiaTheme="majorEastAsia"/>
                <w:bCs/>
                <w:color w:val="000000"/>
                <w:szCs w:val="21"/>
              </w:rPr>
              <w:t>以甲乙双方实际合同为准。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10348" w:type="dxa"/>
            <w:gridSpan w:val="3"/>
            <w:tcBorders>
              <w:top w:val="single" w:color="auto" w:sz="4" w:space="0"/>
              <w:bottom w:val="single" w:color="auto" w:sz="4" w:space="0"/>
            </w:tcBorders>
            <w:vAlign w:val="center"/>
          </w:tcPr>
          <w:p>
            <w:pPr>
              <w:spacing w:line="276" w:lineRule="auto"/>
              <w:rPr>
                <w:rFonts w:cs="宋体" w:asciiTheme="majorEastAsia" w:hAnsiTheme="majorEastAsia" w:eastAsiaTheme="majorEastAsia"/>
                <w:b/>
                <w:bCs/>
                <w:color w:val="000000"/>
                <w:szCs w:val="21"/>
              </w:rPr>
            </w:pPr>
            <w:r>
              <w:rPr>
                <w:rFonts w:hint="eastAsia" w:cs="宋体" w:asciiTheme="majorEastAsia" w:hAnsiTheme="majorEastAsia" w:eastAsiaTheme="majorEastAsia"/>
                <w:b/>
                <w:bCs/>
                <w:color w:val="000000"/>
                <w:szCs w:val="21"/>
              </w:rPr>
              <w:t>※招标公告与招标文件不一致之处，以招标文件为准。</w:t>
            </w:r>
          </w:p>
        </w:tc>
      </w:tr>
    </w:tbl>
    <w:p>
      <w:pPr>
        <w:pStyle w:val="4"/>
        <w:spacing w:line="276" w:lineRule="auto"/>
        <w:rPr>
          <w:rFonts w:cs="宋体" w:asciiTheme="majorEastAsia" w:hAnsiTheme="majorEastAsia" w:eastAsiaTheme="majorEastAsia"/>
          <w:color w:val="000000"/>
          <w:szCs w:val="30"/>
        </w:rPr>
      </w:pPr>
      <w:bookmarkStart w:id="46" w:name="_Toc504654675"/>
      <w:r>
        <w:rPr>
          <w:rFonts w:cs="宋体" w:asciiTheme="majorEastAsia" w:hAnsiTheme="majorEastAsia" w:eastAsiaTheme="majorEastAsia"/>
          <w:color w:val="000000"/>
          <w:szCs w:val="30"/>
        </w:rPr>
        <w:br w:type="page"/>
      </w:r>
    </w:p>
    <w:p>
      <w:pPr>
        <w:pStyle w:val="4"/>
        <w:spacing w:line="276" w:lineRule="auto"/>
        <w:rPr>
          <w:rFonts w:cs="宋体" w:asciiTheme="majorEastAsia" w:hAnsiTheme="majorEastAsia" w:eastAsiaTheme="majorEastAsia"/>
          <w:color w:val="000000"/>
          <w:szCs w:val="30"/>
        </w:rPr>
      </w:pPr>
      <w:bookmarkStart w:id="47" w:name="_Toc15856"/>
      <w:r>
        <w:rPr>
          <w:rFonts w:hint="eastAsia" w:cs="宋体" w:asciiTheme="majorEastAsia" w:hAnsiTheme="majorEastAsia" w:eastAsiaTheme="majorEastAsia"/>
          <w:color w:val="000000"/>
          <w:szCs w:val="30"/>
        </w:rPr>
        <w:t>一、总则</w:t>
      </w:r>
      <w:bookmarkEnd w:id="46"/>
      <w:bookmarkEnd w:id="47"/>
      <w:bookmarkStart w:id="48" w:name="_Toc445473482"/>
    </w:p>
    <w:p>
      <w:pPr>
        <w:pStyle w:val="28"/>
        <w:spacing w:line="360" w:lineRule="auto"/>
        <w:ind w:left="-61" w:leftChars="-70" w:hanging="86" w:hangingChars="36"/>
        <w:jc w:val="left"/>
        <w:rPr>
          <w:rFonts w:cs="宋体" w:asciiTheme="majorEastAsia" w:hAnsiTheme="majorEastAsia" w:eastAsiaTheme="majorEastAsia"/>
          <w:b w:val="0"/>
          <w:color w:val="000000"/>
          <w:kern w:val="2"/>
          <w:sz w:val="24"/>
          <w:szCs w:val="24"/>
          <w:lang w:val="zh-CN"/>
        </w:rPr>
      </w:pPr>
      <w:bookmarkStart w:id="49" w:name="_Toc17486"/>
      <w:bookmarkStart w:id="50" w:name="_Toc504479638"/>
      <w:bookmarkStart w:id="51" w:name="_Toc504479187"/>
      <w:bookmarkStart w:id="52" w:name="_Toc504654676"/>
      <w:r>
        <w:rPr>
          <w:rFonts w:cs="宋体" w:asciiTheme="majorEastAsia" w:hAnsiTheme="majorEastAsia" w:eastAsiaTheme="majorEastAsia"/>
          <w:b w:val="0"/>
          <w:color w:val="000000"/>
          <w:kern w:val="2"/>
          <w:sz w:val="24"/>
          <w:szCs w:val="24"/>
          <w:lang w:val="zh-CN"/>
        </w:rPr>
        <w:t>1</w:t>
      </w:r>
      <w:r>
        <w:rPr>
          <w:rFonts w:hint="eastAsia" w:cs="宋体" w:asciiTheme="majorEastAsia" w:hAnsiTheme="majorEastAsia" w:eastAsiaTheme="majorEastAsia"/>
          <w:b w:val="0"/>
          <w:color w:val="000000"/>
          <w:kern w:val="2"/>
          <w:sz w:val="24"/>
          <w:szCs w:val="24"/>
          <w:lang w:val="zh-CN"/>
        </w:rPr>
        <w:t>、</w:t>
      </w:r>
      <w:bookmarkEnd w:id="48"/>
      <w:r>
        <w:rPr>
          <w:rFonts w:hint="eastAsia" w:cs="宋体" w:asciiTheme="majorEastAsia" w:hAnsiTheme="majorEastAsia" w:eastAsiaTheme="majorEastAsia"/>
          <w:b w:val="0"/>
          <w:color w:val="000000"/>
          <w:kern w:val="2"/>
          <w:sz w:val="24"/>
          <w:szCs w:val="24"/>
          <w:lang w:val="zh-CN"/>
        </w:rPr>
        <w:t>根据《中华人民共和国招标投标法》、《中华人民共和国招标投标法实施条例》、《政府采购货物和服务招标投标管理办法》等有关法律、法规和规章的规定，本招标项目已具备招标条件，现对该项目进行公开招标。</w:t>
      </w:r>
      <w:bookmarkEnd w:id="49"/>
      <w:bookmarkEnd w:id="50"/>
      <w:bookmarkEnd w:id="51"/>
      <w:bookmarkEnd w:id="52"/>
    </w:p>
    <w:p>
      <w:pPr>
        <w:pStyle w:val="28"/>
        <w:spacing w:before="0" w:after="0" w:line="360" w:lineRule="auto"/>
        <w:ind w:left="-147" w:leftChars="-70"/>
        <w:jc w:val="both"/>
        <w:outlineLvl w:val="9"/>
        <w:rPr>
          <w:rFonts w:cs="宋体" w:asciiTheme="majorEastAsia" w:hAnsiTheme="majorEastAsia" w:eastAsiaTheme="majorEastAsia"/>
          <w:b/>
          <w:bCs w:val="0"/>
          <w:color w:val="000000"/>
          <w:kern w:val="2"/>
          <w:sz w:val="24"/>
          <w:szCs w:val="24"/>
          <w:lang w:val="zh-CN"/>
        </w:rPr>
      </w:pPr>
      <w:bookmarkStart w:id="53" w:name="_Toc19008"/>
      <w:bookmarkStart w:id="54" w:name="_Toc504479639"/>
      <w:bookmarkStart w:id="55" w:name="_Toc445473483"/>
      <w:bookmarkStart w:id="56" w:name="_Toc504479188"/>
      <w:bookmarkStart w:id="57" w:name="_Toc504654677"/>
      <w:r>
        <w:rPr>
          <w:rFonts w:cs="宋体" w:asciiTheme="majorEastAsia" w:hAnsiTheme="majorEastAsia" w:eastAsiaTheme="majorEastAsia"/>
          <w:b/>
          <w:bCs w:val="0"/>
          <w:color w:val="000000"/>
          <w:kern w:val="2"/>
          <w:sz w:val="24"/>
          <w:szCs w:val="24"/>
          <w:lang w:val="zh-CN"/>
        </w:rPr>
        <w:t>2</w:t>
      </w:r>
      <w:r>
        <w:rPr>
          <w:rFonts w:hint="eastAsia" w:cs="宋体" w:asciiTheme="majorEastAsia" w:hAnsiTheme="majorEastAsia" w:eastAsiaTheme="majorEastAsia"/>
          <w:b/>
          <w:bCs w:val="0"/>
          <w:color w:val="000000"/>
          <w:kern w:val="2"/>
          <w:sz w:val="24"/>
          <w:szCs w:val="24"/>
          <w:lang w:val="zh-CN"/>
        </w:rPr>
        <w:t>、维护招标、投标当事人的合法权益、反对不正当竞争。</w:t>
      </w:r>
      <w:bookmarkEnd w:id="53"/>
      <w:bookmarkEnd w:id="54"/>
      <w:bookmarkEnd w:id="55"/>
      <w:bookmarkEnd w:id="56"/>
      <w:bookmarkEnd w:id="57"/>
    </w:p>
    <w:p>
      <w:pPr>
        <w:pStyle w:val="28"/>
        <w:spacing w:before="0" w:after="0" w:line="360" w:lineRule="auto"/>
        <w:ind w:left="-147" w:leftChars="-70"/>
        <w:contextualSpacing/>
        <w:jc w:val="both"/>
        <w:outlineLvl w:val="9"/>
        <w:rPr>
          <w:rFonts w:hint="eastAsia" w:cs="宋体" w:asciiTheme="majorEastAsia" w:hAnsiTheme="majorEastAsia" w:eastAsiaTheme="majorEastAsia"/>
          <w:b/>
          <w:bCs w:val="0"/>
          <w:color w:val="000000"/>
          <w:kern w:val="2"/>
          <w:sz w:val="24"/>
          <w:szCs w:val="24"/>
          <w:lang w:val="zh-CN"/>
        </w:rPr>
      </w:pPr>
      <w:bookmarkStart w:id="58" w:name="_Toc504479640"/>
      <w:bookmarkStart w:id="59" w:name="_Toc445473484"/>
      <w:bookmarkStart w:id="60" w:name="_Toc504479189"/>
      <w:bookmarkStart w:id="61" w:name="_Toc3450"/>
      <w:bookmarkStart w:id="62" w:name="_Toc504654678"/>
      <w:r>
        <w:rPr>
          <w:rFonts w:cs="宋体" w:asciiTheme="majorEastAsia" w:hAnsiTheme="majorEastAsia" w:eastAsiaTheme="majorEastAsia"/>
          <w:b/>
          <w:bCs w:val="0"/>
          <w:color w:val="000000"/>
          <w:kern w:val="2"/>
          <w:sz w:val="24"/>
          <w:szCs w:val="24"/>
          <w:lang w:val="zh-CN"/>
        </w:rPr>
        <w:t>3</w:t>
      </w:r>
      <w:r>
        <w:rPr>
          <w:rFonts w:hint="eastAsia" w:cs="宋体" w:asciiTheme="majorEastAsia" w:hAnsiTheme="majorEastAsia" w:eastAsiaTheme="majorEastAsia"/>
          <w:b/>
          <w:bCs w:val="0"/>
          <w:color w:val="000000"/>
          <w:kern w:val="2"/>
          <w:sz w:val="24"/>
          <w:szCs w:val="24"/>
          <w:lang w:val="zh-CN"/>
        </w:rPr>
        <w:t>、参加投标的企业必须符合以下要求：</w:t>
      </w:r>
      <w:bookmarkEnd w:id="58"/>
      <w:bookmarkEnd w:id="59"/>
      <w:bookmarkEnd w:id="60"/>
      <w:bookmarkEnd w:id="61"/>
      <w:bookmarkEnd w:id="62"/>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1.满足《中华人民共和国政府采购法》第二十二条规定；</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2.落实政府采购政策需满足的资格要求：投标人须在中华人民共和国境内注册，具有独立法人资格，具有有效营业执照，符合政府采购政策落实文件的要求。</w:t>
      </w:r>
    </w:p>
    <w:p>
      <w:pPr>
        <w:spacing w:line="360" w:lineRule="auto"/>
        <w:ind w:left="-147" w:leftChars="-70"/>
        <w:rPr>
          <w:rFonts w:hint="eastAsia" w:cs="宋体" w:asciiTheme="majorEastAsia" w:hAnsiTheme="majorEastAsia" w:eastAsiaTheme="majorEastAsia"/>
          <w:bCs/>
          <w:color w:val="000000"/>
          <w:sz w:val="24"/>
          <w:lang w:eastAsia="zh-CN"/>
        </w:rPr>
      </w:pPr>
      <w:r>
        <w:rPr>
          <w:rFonts w:hint="eastAsia" w:cs="宋体" w:asciiTheme="majorEastAsia" w:hAnsiTheme="majorEastAsia" w:eastAsiaTheme="majorEastAsia"/>
          <w:bCs/>
          <w:color w:val="000000"/>
          <w:sz w:val="24"/>
          <w:lang w:eastAsia="zh-CN"/>
        </w:rPr>
        <w:t>2.1</w:t>
      </w:r>
      <w:r>
        <w:rPr>
          <w:rFonts w:hint="eastAsia" w:cs="宋体" w:asciiTheme="majorEastAsia" w:hAnsiTheme="majorEastAsia" w:eastAsiaTheme="majorEastAsia"/>
          <w:bCs/>
          <w:color w:val="000000"/>
          <w:sz w:val="24"/>
          <w:lang w:val="en-US" w:eastAsia="zh-CN"/>
        </w:rPr>
        <w:t>本项目全部面向中小企业采购</w:t>
      </w:r>
      <w:r>
        <w:rPr>
          <w:rFonts w:hint="eastAsia" w:cs="宋体" w:asciiTheme="majorEastAsia" w:hAnsiTheme="majorEastAsia" w:eastAsiaTheme="majorEastAsia"/>
          <w:bCs/>
          <w:color w:val="000000"/>
          <w:sz w:val="24"/>
          <w:lang w:eastAsia="zh-CN"/>
        </w:rPr>
        <w:t>；</w:t>
      </w:r>
    </w:p>
    <w:p>
      <w:pPr>
        <w:spacing w:line="360" w:lineRule="auto"/>
        <w:ind w:left="-147" w:leftChars="-70"/>
        <w:rPr>
          <w:rFonts w:hint="eastAsia" w:cs="宋体" w:asciiTheme="majorEastAsia" w:hAnsiTheme="majorEastAsia" w:eastAsiaTheme="majorEastAsia"/>
          <w:bCs/>
          <w:color w:val="000000"/>
          <w:sz w:val="24"/>
          <w:lang w:eastAsia="zh-CN"/>
        </w:rPr>
      </w:pPr>
      <w:r>
        <w:rPr>
          <w:rFonts w:hint="eastAsia" w:cs="宋体" w:asciiTheme="majorEastAsia" w:hAnsiTheme="majorEastAsia" w:eastAsiaTheme="majorEastAsia"/>
          <w:bCs/>
          <w:color w:val="000000"/>
          <w:sz w:val="24"/>
          <w:lang w:eastAsia="zh-CN"/>
        </w:rPr>
        <w:t>2.2</w:t>
      </w:r>
      <w:r>
        <w:rPr>
          <w:rFonts w:hint="eastAsia" w:cs="宋体" w:asciiTheme="majorEastAsia" w:hAnsiTheme="majorEastAsia" w:eastAsiaTheme="majorEastAsia"/>
          <w:bCs/>
          <w:color w:val="000000"/>
          <w:sz w:val="24"/>
          <w:lang w:val="en-US" w:eastAsia="zh-CN"/>
        </w:rPr>
        <w:t>中小企业划分标准执行《关于印发中小企业划型标准规定的通知》（工信部联企业〔2011〕300号）文件</w:t>
      </w:r>
      <w:r>
        <w:rPr>
          <w:rFonts w:hint="eastAsia" w:cs="宋体" w:asciiTheme="majorEastAsia" w:hAnsiTheme="majorEastAsia" w:eastAsiaTheme="majorEastAsia"/>
          <w:bCs/>
          <w:color w:val="000000"/>
          <w:sz w:val="24"/>
          <w:lang w:eastAsia="zh-CN"/>
        </w:rPr>
        <w:t>；</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lang w:val="en-US" w:eastAsia="zh-CN"/>
        </w:rPr>
        <w:t>2.3政策落实执行《政府采购促进中小企业发展管理办法》（财库〔2020〕46 号）；</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3.本项目的特定资格要求：</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3.1供应商须具有独立法人资格的生产制造商或代理经销商，并具有履行合同的能力。</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3.2本项目不接受被列入“信用中国”网站失信被执行人、严重失信主体名单、税收违法黑名单、政府采购严重违法失信行为记录名单的供应商参与投标，不接受被列入“中国政府采购网”政府采购严重违法失信行为信息记录的供应商参与投标。</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3.3拒绝列入政府取消投标资格记录期间的企业或个人投标。</w:t>
      </w:r>
    </w:p>
    <w:p>
      <w:pPr>
        <w:spacing w:line="360" w:lineRule="auto"/>
        <w:ind w:left="-147" w:leftChars="-70"/>
        <w:rPr>
          <w:rFonts w:hint="eastAsia"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3.4本项目招投标活动的每个环节不得更换被授权人。</w:t>
      </w:r>
    </w:p>
    <w:p>
      <w:pPr>
        <w:spacing w:line="360" w:lineRule="auto"/>
        <w:ind w:left="-147" w:leftChars="-70"/>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3.5与招标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pPr>
        <w:spacing w:line="360" w:lineRule="auto"/>
        <w:ind w:left="-147" w:leftChars="-70"/>
        <w:rPr>
          <w:rFonts w:cs="宋体" w:asciiTheme="majorEastAsia" w:hAnsiTheme="majorEastAsia" w:eastAsiaTheme="majorEastAsia"/>
          <w:b/>
          <w:bCs w:val="0"/>
          <w:color w:val="000000"/>
          <w:sz w:val="24"/>
        </w:rPr>
      </w:pPr>
      <w:r>
        <w:rPr>
          <w:rFonts w:cs="宋体" w:asciiTheme="majorEastAsia" w:hAnsiTheme="majorEastAsia" w:eastAsiaTheme="majorEastAsia"/>
          <w:b/>
          <w:bCs w:val="0"/>
          <w:color w:val="000000"/>
          <w:sz w:val="24"/>
        </w:rPr>
        <w:t>4</w:t>
      </w:r>
      <w:r>
        <w:rPr>
          <w:rFonts w:hint="eastAsia" w:cs="宋体" w:asciiTheme="majorEastAsia" w:hAnsiTheme="majorEastAsia" w:eastAsiaTheme="majorEastAsia"/>
          <w:b/>
          <w:bCs w:val="0"/>
          <w:color w:val="000000"/>
          <w:sz w:val="24"/>
        </w:rPr>
        <w:t>、投标费用</w:t>
      </w:r>
    </w:p>
    <w:p>
      <w:pPr>
        <w:spacing w:line="360" w:lineRule="auto"/>
        <w:ind w:left="-84" w:leftChars="-40" w:firstLine="360" w:firstLineChars="1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供应商应承担其编制投标文件与递交文件所涉及的一切费用。不管投标结果如何，采购人及招标代理机构对上述费用不负任何责任。</w:t>
      </w:r>
    </w:p>
    <w:p>
      <w:pPr>
        <w:spacing w:line="360" w:lineRule="auto"/>
        <w:ind w:left="21" w:leftChars="0" w:hanging="21" w:hangingChars="7"/>
        <w:rPr>
          <w:rFonts w:cs="宋体" w:asciiTheme="majorEastAsia" w:hAnsiTheme="majorEastAsia" w:eastAsiaTheme="majorEastAsia"/>
          <w:color w:val="000000"/>
          <w:sz w:val="24"/>
        </w:rPr>
      </w:pPr>
      <w:r>
        <w:rPr>
          <w:rFonts w:hint="eastAsia" w:cs="宋体" w:asciiTheme="majorEastAsia" w:hAnsiTheme="majorEastAsia" w:eastAsiaTheme="majorEastAsia"/>
          <w:b/>
          <w:bCs/>
          <w:color w:val="000000"/>
          <w:sz w:val="30"/>
          <w:szCs w:val="30"/>
        </w:rPr>
        <w:t>二、项目概况</w:t>
      </w:r>
    </w:p>
    <w:p>
      <w:pPr>
        <w:spacing w:line="360" w:lineRule="auto"/>
        <w:ind w:left="-84" w:leftChars="-40"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val="en-US" w:eastAsia="zh-CN"/>
        </w:rPr>
        <w:t>机械设备</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详见</w:t>
      </w:r>
      <w:r>
        <w:rPr>
          <w:rFonts w:hint="eastAsia" w:cs="宋体" w:asciiTheme="majorEastAsia" w:hAnsiTheme="majorEastAsia" w:eastAsiaTheme="majorEastAsia"/>
          <w:color w:val="000000"/>
          <w:sz w:val="24"/>
          <w:lang w:eastAsia="zh-CN"/>
        </w:rPr>
        <w:t>采购货物清单</w:t>
      </w:r>
      <w:r>
        <w:rPr>
          <w:rFonts w:hint="eastAsia" w:cs="宋体" w:asciiTheme="majorEastAsia" w:hAnsiTheme="majorEastAsia" w:eastAsiaTheme="majorEastAsia"/>
          <w:color w:val="000000"/>
          <w:sz w:val="24"/>
        </w:rPr>
        <w:t>；</w:t>
      </w:r>
    </w:p>
    <w:p>
      <w:pPr>
        <w:pStyle w:val="4"/>
        <w:spacing w:line="360" w:lineRule="auto"/>
        <w:rPr>
          <w:rFonts w:cs="宋体" w:asciiTheme="majorEastAsia" w:hAnsiTheme="majorEastAsia" w:eastAsiaTheme="majorEastAsia"/>
          <w:color w:val="000000"/>
          <w:szCs w:val="30"/>
        </w:rPr>
      </w:pPr>
      <w:bookmarkStart w:id="63" w:name="_Toc9226"/>
      <w:r>
        <w:rPr>
          <w:rFonts w:hint="eastAsia" w:cs="宋体" w:asciiTheme="majorEastAsia" w:hAnsiTheme="majorEastAsia" w:eastAsiaTheme="majorEastAsia"/>
          <w:color w:val="000000"/>
          <w:szCs w:val="30"/>
        </w:rPr>
        <w:t>三、招标文件</w:t>
      </w:r>
      <w:bookmarkEnd w:id="63"/>
    </w:p>
    <w:p>
      <w:pPr>
        <w:pStyle w:val="10"/>
        <w:spacing w:line="360" w:lineRule="auto"/>
        <w:ind w:left="0" w:leftChars="0" w:right="20" w:firstLine="0" w:firstLineChars="0"/>
        <w:jc w:val="left"/>
        <w:rPr>
          <w:rFonts w:cs="宋体" w:asciiTheme="majorEastAsia" w:hAnsiTheme="majorEastAsia" w:eastAsiaTheme="majorEastAsia"/>
          <w:b w:val="0"/>
          <w:color w:val="000000"/>
          <w:sz w:val="24"/>
          <w:szCs w:val="24"/>
        </w:rPr>
      </w:pPr>
      <w:r>
        <w:rPr>
          <w:rFonts w:cs="宋体" w:asciiTheme="majorEastAsia" w:hAnsiTheme="majorEastAsia" w:eastAsiaTheme="majorEastAsia"/>
          <w:b w:val="0"/>
          <w:color w:val="000000"/>
          <w:sz w:val="24"/>
          <w:szCs w:val="24"/>
        </w:rPr>
        <w:t>1</w:t>
      </w:r>
      <w:r>
        <w:rPr>
          <w:rFonts w:hint="eastAsia" w:cs="宋体" w:asciiTheme="majorEastAsia" w:hAnsiTheme="majorEastAsia" w:eastAsiaTheme="majorEastAsia"/>
          <w:b w:val="0"/>
          <w:color w:val="000000"/>
          <w:sz w:val="24"/>
          <w:szCs w:val="24"/>
        </w:rPr>
        <w:t>、本招标文件包括：</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(1)</w:t>
      </w:r>
      <w:r>
        <w:rPr>
          <w:rFonts w:hint="eastAsia" w:cs="宋体" w:asciiTheme="majorEastAsia" w:hAnsiTheme="majorEastAsia" w:eastAsiaTheme="majorEastAsia"/>
          <w:bCs/>
          <w:color w:val="000000"/>
          <w:sz w:val="24"/>
          <w:lang w:val="zh-CN"/>
        </w:rPr>
        <w:t>招标公告；</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供应商须知</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w:t>
      </w:r>
      <w:r>
        <w:rPr>
          <w:rFonts w:hint="eastAsia" w:cs="宋体" w:asciiTheme="majorEastAsia" w:hAnsiTheme="majorEastAsia" w:eastAsiaTheme="majorEastAsia"/>
          <w:bCs/>
          <w:color w:val="000000"/>
          <w:sz w:val="24"/>
          <w:lang w:val="zh-CN"/>
        </w:rPr>
        <w:t>评标办法</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w:t>
      </w:r>
      <w:r>
        <w:rPr>
          <w:rFonts w:hint="eastAsia" w:cs="宋体" w:asciiTheme="majorEastAsia" w:hAnsiTheme="majorEastAsia" w:eastAsiaTheme="majorEastAsia"/>
          <w:bCs/>
          <w:color w:val="000000"/>
          <w:sz w:val="24"/>
          <w:lang w:val="zh-CN"/>
        </w:rPr>
        <w:t>合同条款</w:t>
      </w:r>
    </w:p>
    <w:p>
      <w:pPr>
        <w:autoSpaceDE w:val="0"/>
        <w:autoSpaceDN w:val="0"/>
        <w:adjustRightInd w:val="0"/>
        <w:spacing w:line="360" w:lineRule="auto"/>
        <w:ind w:leftChars="-40" w:hanging="84" w:hangingChars="3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w:t>
      </w:r>
      <w:r>
        <w:rPr>
          <w:rFonts w:cs="宋体" w:asciiTheme="majorEastAsia" w:hAnsiTheme="majorEastAsia" w:eastAsiaTheme="majorEastAsia"/>
          <w:bCs/>
          <w:color w:val="000000"/>
          <w:sz w:val="24"/>
          <w:lang w:val="zh-CN"/>
        </w:rPr>
        <w:t>5</w:t>
      </w:r>
      <w:r>
        <w:rPr>
          <w:rFonts w:hint="eastAsia" w:cs="宋体" w:asciiTheme="majorEastAsia" w:hAnsiTheme="majorEastAsia" w:eastAsiaTheme="majorEastAsia"/>
          <w:bCs/>
          <w:color w:val="000000"/>
          <w:sz w:val="24"/>
          <w:lang w:val="zh-CN"/>
        </w:rPr>
        <w:t>）技术标准和要求</w:t>
      </w:r>
    </w:p>
    <w:p>
      <w:pPr>
        <w:autoSpaceDE w:val="0"/>
        <w:autoSpaceDN w:val="0"/>
        <w:adjustRightInd w:val="0"/>
        <w:spacing w:line="360" w:lineRule="auto"/>
        <w:ind w:left="-84" w:leftChars="-40" w:firstLine="120" w:firstLineChars="5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 xml:space="preserve">(6) </w:t>
      </w:r>
      <w:r>
        <w:rPr>
          <w:rFonts w:hint="eastAsia" w:cs="宋体" w:asciiTheme="majorEastAsia" w:hAnsiTheme="majorEastAsia" w:eastAsiaTheme="majorEastAsia"/>
          <w:bCs/>
          <w:color w:val="000000"/>
          <w:sz w:val="24"/>
          <w:lang w:val="zh-CN"/>
        </w:rPr>
        <w:t>投标文件格式。</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w:t>
      </w:r>
      <w:r>
        <w:rPr>
          <w:rFonts w:hint="eastAsia" w:cs="宋体" w:asciiTheme="majorEastAsia" w:hAnsiTheme="majorEastAsia" w:eastAsiaTheme="majorEastAsia"/>
          <w:bCs/>
          <w:color w:val="000000"/>
          <w:sz w:val="24"/>
          <w:lang w:val="zh-CN"/>
        </w:rPr>
        <w:t>、供应商应认真阅读招标文件中所含的投标须知、合同条款、技术规范、规定格式等内容，供应商的投标文件应在实质上响应招标文件的要求，否则，供应商的投标文件将被拒绝。</w:t>
      </w:r>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3</w:t>
      </w:r>
      <w:r>
        <w:rPr>
          <w:rFonts w:hint="eastAsia" w:cs="宋体" w:asciiTheme="majorEastAsia" w:hAnsiTheme="majorEastAsia" w:eastAsiaTheme="majorEastAsia"/>
          <w:b/>
          <w:color w:val="000000"/>
          <w:sz w:val="24"/>
          <w:lang w:val="zh-CN"/>
        </w:rPr>
        <w:t>、招标文件的解释</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3.1</w:t>
      </w:r>
      <w:r>
        <w:rPr>
          <w:rFonts w:hint="eastAsia" w:cs="宋体" w:asciiTheme="majorEastAsia" w:hAnsiTheme="majorEastAsia" w:eastAsiaTheme="majorEastAsia"/>
          <w:bCs/>
          <w:color w:val="000000"/>
          <w:sz w:val="24"/>
          <w:lang w:val="zh-CN"/>
        </w:rPr>
        <w:t>供应商在获得招标文件后，如有问题需要采购人澄清和解答，应在投标截止日期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日以前将需澄淸及答疑内容以书面形式并加盖供应商公章提交招标代理机构，招标代理机构将在投标截止日期</w:t>
      </w:r>
      <w:r>
        <w:rPr>
          <w:rFonts w:cs="宋体" w:asciiTheme="majorEastAsia" w:hAnsiTheme="majorEastAsia" w:eastAsiaTheme="majorEastAsia"/>
          <w:bCs/>
          <w:color w:val="000000"/>
          <w:sz w:val="24"/>
        </w:rPr>
        <w:t>15</w:t>
      </w:r>
      <w:r>
        <w:rPr>
          <w:rFonts w:hint="eastAsia" w:cs="宋体" w:asciiTheme="majorEastAsia" w:hAnsiTheme="majorEastAsia" w:eastAsiaTheme="majorEastAsia"/>
          <w:bCs/>
          <w:color w:val="000000"/>
          <w:sz w:val="24"/>
          <w:lang w:val="zh-CN"/>
        </w:rPr>
        <w:t>日以前做出答复。招标代理机构只对书面问题做出答复。答复内容以答疑文件的形式发给所有招标文件收受人</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但不指明问题来源</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3.2</w:t>
      </w:r>
      <w:r>
        <w:rPr>
          <w:rFonts w:hint="eastAsia" w:cs="宋体" w:asciiTheme="majorEastAsia" w:hAnsiTheme="majorEastAsia" w:eastAsiaTheme="majorEastAsia"/>
          <w:bCs/>
          <w:color w:val="000000"/>
          <w:sz w:val="24"/>
          <w:lang w:val="zh-CN"/>
        </w:rPr>
        <w:t>在投标截止日期</w:t>
      </w:r>
      <w:r>
        <w:rPr>
          <w:rFonts w:cs="宋体" w:asciiTheme="majorEastAsia" w:hAnsiTheme="majorEastAsia" w:eastAsiaTheme="majorEastAsia"/>
          <w:bCs/>
          <w:color w:val="000000"/>
          <w:sz w:val="24"/>
          <w:lang w:val="zh-CN"/>
        </w:rPr>
        <w:t>15</w:t>
      </w:r>
      <w:r>
        <w:rPr>
          <w:rFonts w:hint="eastAsia" w:cs="宋体" w:asciiTheme="majorEastAsia" w:hAnsiTheme="majorEastAsia" w:eastAsiaTheme="majorEastAsia"/>
          <w:bCs/>
          <w:color w:val="000000"/>
          <w:sz w:val="24"/>
          <w:lang w:val="zh-CN"/>
        </w:rPr>
        <w:t>日以前，无论处于何种原因，采购人可能以补充文件的方式修改招标文件的非实质性内容，影响开标日期的，开标日期相应顺延。补充文件将发给所有招标文件收受人。</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3.3</w:t>
      </w:r>
      <w:r>
        <w:rPr>
          <w:rFonts w:hint="eastAsia" w:cs="宋体" w:asciiTheme="majorEastAsia" w:hAnsiTheme="majorEastAsia" w:eastAsiaTheme="majorEastAsia"/>
          <w:bCs/>
          <w:color w:val="000000"/>
          <w:sz w:val="24"/>
          <w:lang w:val="zh-CN"/>
        </w:rPr>
        <w:t>补充</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答疑</w:t>
      </w:r>
      <w:r>
        <w:rPr>
          <w:rFonts w:cs="宋体" w:asciiTheme="majorEastAsia" w:hAnsiTheme="majorEastAsia" w:eastAsiaTheme="majorEastAsia"/>
          <w:bCs/>
          <w:color w:val="000000"/>
          <w:sz w:val="24"/>
          <w:lang w:val="zh-CN"/>
        </w:rPr>
        <w:t>)</w:t>
      </w:r>
      <w:r>
        <w:rPr>
          <w:rFonts w:hint="eastAsia" w:cs="宋体" w:asciiTheme="majorEastAsia" w:hAnsiTheme="majorEastAsia" w:eastAsiaTheme="majorEastAsia"/>
          <w:bCs/>
          <w:color w:val="000000"/>
          <w:sz w:val="24"/>
          <w:lang w:val="zh-CN"/>
        </w:rPr>
        <w:t>文件是招标文件的组成部分，与招标文件具有同等效力。</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3.4</w:t>
      </w:r>
      <w:r>
        <w:rPr>
          <w:rFonts w:hint="eastAsia" w:cs="宋体" w:asciiTheme="majorEastAsia" w:hAnsiTheme="majorEastAsia" w:eastAsiaTheme="majorEastAsia"/>
          <w:bCs/>
          <w:color w:val="000000"/>
          <w:sz w:val="24"/>
          <w:lang w:val="zh-CN"/>
        </w:rPr>
        <w:t>供应商在每一次收到答复结果后应及时以书面形式通知招标代理机构，确认已收到该答复结果。</w:t>
      </w:r>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4</w:t>
      </w:r>
      <w:r>
        <w:rPr>
          <w:rFonts w:hint="eastAsia" w:cs="宋体" w:asciiTheme="majorEastAsia" w:hAnsiTheme="majorEastAsia" w:eastAsiaTheme="majorEastAsia"/>
          <w:b/>
          <w:color w:val="000000"/>
          <w:sz w:val="24"/>
          <w:lang w:val="zh-CN"/>
        </w:rPr>
        <w:t>、招标文件的修改</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w:t>
      </w:r>
      <w:r>
        <w:rPr>
          <w:rFonts w:hint="eastAsia" w:cs="宋体" w:asciiTheme="majorEastAsia" w:hAnsiTheme="majorEastAsia" w:eastAsiaTheme="majorEastAsia"/>
          <w:bCs/>
          <w:color w:val="000000"/>
          <w:sz w:val="24"/>
          <w:lang w:val="zh-CN"/>
        </w:rPr>
        <w:t>在投标截止以前，采购人可以用补充文件的方式修改招标文件，补充文件将构成招标文件的一部分。</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补充文件将以书面形式发给所有招标文件收受人，招标文件收受人应以书面形式回复招标代理机构确认收到每一份补充文件。</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4.3</w:t>
      </w:r>
      <w:r>
        <w:rPr>
          <w:rFonts w:hint="eastAsia" w:cs="宋体" w:asciiTheme="majorEastAsia" w:hAnsiTheme="majorEastAsia" w:eastAsiaTheme="majorEastAsia"/>
          <w:bCs/>
          <w:color w:val="000000"/>
          <w:sz w:val="24"/>
          <w:lang w:val="zh-CN"/>
        </w:rPr>
        <w:t>为了给供应商合理的时间，使其在编制投标文件时把补充文件内容考虑进去，采购人可以依规延长投标截止时间，并将此变更书面通知所有招标文件收受人。</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4.4</w:t>
      </w:r>
      <w:r>
        <w:rPr>
          <w:rFonts w:hint="eastAsia" w:cs="宋体" w:asciiTheme="majorEastAsia" w:hAnsiTheme="majorEastAsia" w:eastAsiaTheme="majorEastAsia"/>
          <w:bCs/>
          <w:color w:val="000000"/>
          <w:sz w:val="24"/>
          <w:lang w:val="zh-CN"/>
        </w:rPr>
        <w:t>当招标文件、补充文件、答疑纪要内容相互矛盾时，以最后发出的通知（或纪要）为准。</w:t>
      </w:r>
    </w:p>
    <w:p>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64" w:name="_Toc435021070"/>
      <w:bookmarkStart w:id="65" w:name="_Toc201719081"/>
      <w:bookmarkStart w:id="66" w:name="_Toc429224640"/>
      <w:bookmarkStart w:id="67" w:name="_Toc445473485"/>
      <w:r>
        <w:rPr>
          <w:rFonts w:hint="eastAsia" w:cs="宋体" w:asciiTheme="majorEastAsia" w:hAnsiTheme="majorEastAsia" w:eastAsiaTheme="majorEastAsia"/>
          <w:b/>
          <w:bCs/>
          <w:color w:val="000000"/>
          <w:sz w:val="30"/>
          <w:szCs w:val="30"/>
          <w:lang w:val="zh-CN"/>
        </w:rPr>
        <w:t>四</w:t>
      </w:r>
      <w:bookmarkEnd w:id="64"/>
      <w:bookmarkEnd w:id="65"/>
      <w:bookmarkEnd w:id="66"/>
      <w:r>
        <w:rPr>
          <w:rFonts w:hint="eastAsia" w:cs="宋体" w:asciiTheme="majorEastAsia" w:hAnsiTheme="majorEastAsia" w:eastAsiaTheme="majorEastAsia"/>
          <w:b/>
          <w:bCs/>
          <w:color w:val="000000"/>
          <w:sz w:val="30"/>
          <w:szCs w:val="30"/>
          <w:lang w:val="zh-CN"/>
        </w:rPr>
        <w:t>、投标文件</w:t>
      </w:r>
      <w:bookmarkEnd w:id="67"/>
    </w:p>
    <w:p>
      <w:pPr>
        <w:autoSpaceDE w:val="0"/>
        <w:autoSpaceDN w:val="0"/>
        <w:adjustRightInd w:val="0"/>
        <w:spacing w:line="360" w:lineRule="auto"/>
        <w:ind w:left="-44" w:leftChars="-21" w:firstLine="43" w:firstLineChars="18"/>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1</w:t>
      </w:r>
      <w:r>
        <w:rPr>
          <w:rFonts w:hint="eastAsia" w:cs="宋体" w:asciiTheme="majorEastAsia" w:hAnsiTheme="majorEastAsia" w:eastAsiaTheme="majorEastAsia"/>
          <w:b/>
          <w:color w:val="000000"/>
          <w:sz w:val="24"/>
          <w:lang w:val="zh-CN"/>
        </w:rPr>
        <w:t>、投标文件的语言</w:t>
      </w:r>
    </w:p>
    <w:p>
      <w:pPr>
        <w:spacing w:line="360" w:lineRule="auto"/>
        <w:ind w:left="-109" w:leftChars="-52" w:firstLine="240" w:firstLineChars="1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与投标有关的所有文件必须使用中文。</w:t>
      </w:r>
    </w:p>
    <w:p>
      <w:pPr>
        <w:spacing w:line="360" w:lineRule="auto"/>
        <w:ind w:left="-27" w:leftChars="-13" w:firstLine="27" w:firstLineChars="11"/>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2</w:t>
      </w:r>
      <w:r>
        <w:rPr>
          <w:rFonts w:hint="eastAsia" w:cs="宋体" w:asciiTheme="majorEastAsia" w:hAnsiTheme="majorEastAsia" w:eastAsiaTheme="majorEastAsia"/>
          <w:b/>
          <w:bCs/>
          <w:color w:val="000000"/>
          <w:sz w:val="24"/>
        </w:rPr>
        <w:t>、投标文件的组成</w:t>
      </w:r>
    </w:p>
    <w:p>
      <w:pPr>
        <w:spacing w:line="360" w:lineRule="auto"/>
        <w:contextualSpacing/>
        <w:rPr>
          <w:rFonts w:cs="宋体" w:asciiTheme="majorEastAsia" w:hAnsiTheme="majorEastAsia" w:eastAsiaTheme="majorEastAsia"/>
          <w:color w:val="000000"/>
          <w:sz w:val="24"/>
        </w:rPr>
      </w:pPr>
      <w:bookmarkStart w:id="68" w:name="_Toc504479196"/>
      <w:bookmarkStart w:id="69" w:name="_Toc504654683"/>
      <w:bookmarkStart w:id="70" w:name="_Toc504479647"/>
      <w:bookmarkStart w:id="71" w:name="_Toc445473486"/>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投标文件应由价格部分、商务部分、技术部分三部分组成。投标文件严格按第六章投标文件格式填写。</w:t>
      </w:r>
    </w:p>
    <w:p>
      <w:pPr>
        <w:spacing w:before="120"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价格部分应包括：</w:t>
      </w:r>
    </w:p>
    <w:p>
      <w:pPr>
        <w:spacing w:line="360" w:lineRule="auto"/>
        <w:ind w:firstLine="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w:t>
      </w:r>
    </w:p>
    <w:p>
      <w:pPr>
        <w:spacing w:line="360" w:lineRule="auto"/>
        <w:ind w:left="426"/>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w:t>
      </w:r>
    </w:p>
    <w:p>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2.3</w:t>
      </w:r>
      <w:r>
        <w:rPr>
          <w:rFonts w:hint="eastAsia" w:cs="宋体" w:asciiTheme="majorEastAsia" w:hAnsiTheme="majorEastAsia" w:eastAsiaTheme="majorEastAsia"/>
          <w:color w:val="000000"/>
          <w:sz w:val="24"/>
        </w:rPr>
        <w:t>商务及资格审查部分：</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bCs/>
          <w:color w:val="000000"/>
          <w:sz w:val="24"/>
          <w:lang w:val="zh-CN"/>
        </w:rPr>
        <w:t>供应商</w:t>
      </w:r>
      <w:r>
        <w:rPr>
          <w:rFonts w:hint="eastAsia" w:cs="宋体" w:asciiTheme="majorEastAsia" w:hAnsiTheme="majorEastAsia" w:eastAsiaTheme="majorEastAsia"/>
          <w:color w:val="000000"/>
          <w:sz w:val="24"/>
        </w:rPr>
        <w:t>基本情况表；</w:t>
      </w:r>
    </w:p>
    <w:p>
      <w:pPr>
        <w:tabs>
          <w:tab w:val="left" w:pos="770"/>
        </w:tabs>
        <w:spacing w:line="360" w:lineRule="auto"/>
        <w:ind w:firstLine="480" w:firstLineChars="200"/>
        <w:contextualSpacing/>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w:t>
      </w:r>
    </w:p>
    <w:p>
      <w:pPr>
        <w:tabs>
          <w:tab w:val="left" w:pos="770"/>
        </w:tabs>
        <w:spacing w:line="360" w:lineRule="auto"/>
        <w:contextualSpacing/>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2.4</w:t>
      </w:r>
      <w:r>
        <w:rPr>
          <w:rFonts w:hint="eastAsia" w:cs="宋体" w:asciiTheme="majorEastAsia" w:hAnsiTheme="majorEastAsia" w:eastAsiaTheme="majorEastAsia"/>
          <w:color w:val="000000"/>
          <w:sz w:val="24"/>
        </w:rPr>
        <w:t>技术部分应包括但不限于以下内容：</w:t>
      </w:r>
    </w:p>
    <w:p>
      <w:pPr>
        <w:tabs>
          <w:tab w:val="left" w:pos="770"/>
        </w:tabs>
        <w:spacing w:line="360" w:lineRule="auto"/>
        <w:ind w:firstLine="480" w:firstLineChars="200"/>
        <w:contextualSpacing/>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rPr>
        <w:t>技术部分偏离表</w:t>
      </w:r>
    </w:p>
    <w:p>
      <w:pPr>
        <w:spacing w:line="360" w:lineRule="auto"/>
        <w:ind w:left="-2" w:leftChars="0" w:firstLine="0" w:firstLineChars="0"/>
        <w:rPr>
          <w:rFonts w:cs="宋体" w:asciiTheme="majorEastAsia" w:hAnsiTheme="majorEastAsia" w:eastAsiaTheme="majorEastAsia"/>
          <w:b/>
          <w:bCs/>
          <w:color w:val="000000"/>
          <w:sz w:val="24"/>
        </w:rPr>
      </w:pPr>
      <w:r>
        <w:rPr>
          <w:rFonts w:cs="宋体" w:asciiTheme="majorEastAsia" w:hAnsiTheme="majorEastAsia" w:eastAsiaTheme="majorEastAsia"/>
          <w:b/>
          <w:bCs/>
          <w:color w:val="000000"/>
          <w:sz w:val="24"/>
        </w:rPr>
        <w:t>3</w:t>
      </w:r>
      <w:r>
        <w:rPr>
          <w:rFonts w:hint="eastAsia" w:cs="宋体" w:asciiTheme="majorEastAsia" w:hAnsiTheme="majorEastAsia" w:eastAsiaTheme="majorEastAsia"/>
          <w:b/>
          <w:bCs/>
          <w:color w:val="000000"/>
          <w:sz w:val="24"/>
        </w:rPr>
        <w:t>、投标报价</w:t>
      </w:r>
      <w:bookmarkEnd w:id="68"/>
      <w:bookmarkEnd w:id="69"/>
      <w:bookmarkEnd w:id="70"/>
      <w:bookmarkEnd w:id="71"/>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72" w:name="_Toc24917"/>
      <w:bookmarkStart w:id="73" w:name="_Toc504479648"/>
      <w:bookmarkStart w:id="74" w:name="_Toc445473487"/>
      <w:bookmarkStart w:id="75" w:name="_Toc504654684"/>
      <w:bookmarkStart w:id="76" w:name="_Toc504479197"/>
      <w:r>
        <w:rPr>
          <w:rFonts w:cs="宋体" w:asciiTheme="majorEastAsia" w:hAnsiTheme="majorEastAsia" w:eastAsiaTheme="majorEastAsia"/>
          <w:b w:val="0"/>
          <w:bCs w:val="0"/>
          <w:color w:val="000000"/>
          <w:kern w:val="2"/>
          <w:sz w:val="24"/>
          <w:szCs w:val="24"/>
        </w:rPr>
        <w:t>3.1</w:t>
      </w:r>
      <w:r>
        <w:rPr>
          <w:rFonts w:hint="eastAsia" w:cs="宋体" w:asciiTheme="majorEastAsia" w:hAnsiTheme="majorEastAsia" w:eastAsiaTheme="majorEastAsia"/>
          <w:b w:val="0"/>
          <w:bCs w:val="0"/>
          <w:color w:val="000000"/>
          <w:kern w:val="2"/>
          <w:sz w:val="24"/>
          <w:szCs w:val="24"/>
        </w:rPr>
        <w:t>投标报价根据本次发包项目的范围、答疑纪要、招标文件的要求，供应商根据现场情况并应结合企业情况自主报价进行编制。</w:t>
      </w:r>
      <w:bookmarkEnd w:id="72"/>
      <w:bookmarkEnd w:id="73"/>
      <w:bookmarkEnd w:id="74"/>
      <w:bookmarkEnd w:id="75"/>
      <w:bookmarkEnd w:id="76"/>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77" w:name="_Toc504654685"/>
      <w:bookmarkStart w:id="78" w:name="_Toc445473488"/>
      <w:bookmarkStart w:id="79" w:name="_Toc504479649"/>
      <w:bookmarkStart w:id="80" w:name="_Toc373"/>
      <w:bookmarkStart w:id="81" w:name="_Toc504479198"/>
      <w:r>
        <w:rPr>
          <w:rFonts w:cs="宋体" w:asciiTheme="majorEastAsia" w:hAnsiTheme="majorEastAsia" w:eastAsiaTheme="majorEastAsia"/>
          <w:b w:val="0"/>
          <w:bCs w:val="0"/>
          <w:color w:val="000000"/>
          <w:kern w:val="2"/>
          <w:sz w:val="24"/>
          <w:szCs w:val="24"/>
        </w:rPr>
        <w:t>3.2</w:t>
      </w:r>
      <w:r>
        <w:rPr>
          <w:rFonts w:hint="eastAsia" w:cs="宋体" w:asciiTheme="majorEastAsia" w:hAnsiTheme="majorEastAsia" w:eastAsiaTheme="majorEastAsia"/>
          <w:b w:val="0"/>
          <w:bCs w:val="0"/>
          <w:color w:val="000000"/>
          <w:kern w:val="2"/>
          <w:sz w:val="24"/>
          <w:szCs w:val="24"/>
        </w:rPr>
        <w:t>供应商在报价时还应充分考虑项目实施期间包括物价变动在内的各种风险因素。</w:t>
      </w:r>
      <w:bookmarkEnd w:id="77"/>
      <w:bookmarkEnd w:id="78"/>
      <w:bookmarkEnd w:id="79"/>
      <w:bookmarkEnd w:id="80"/>
      <w:bookmarkEnd w:id="81"/>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2" w:name="_Toc445473489"/>
      <w:bookmarkStart w:id="83" w:name="_Toc504479650"/>
      <w:bookmarkStart w:id="84" w:name="_Toc504654686"/>
      <w:bookmarkStart w:id="85" w:name="_Toc504479199"/>
      <w:bookmarkStart w:id="86" w:name="_Toc18493"/>
      <w:r>
        <w:rPr>
          <w:rFonts w:cs="宋体" w:asciiTheme="majorEastAsia" w:hAnsiTheme="majorEastAsia" w:eastAsiaTheme="majorEastAsia"/>
          <w:b w:val="0"/>
          <w:bCs w:val="0"/>
          <w:color w:val="000000"/>
          <w:kern w:val="2"/>
          <w:sz w:val="24"/>
          <w:szCs w:val="24"/>
        </w:rPr>
        <w:t>3.3</w:t>
      </w:r>
      <w:r>
        <w:rPr>
          <w:rFonts w:hint="eastAsia" w:cs="宋体" w:asciiTheme="majorEastAsia" w:hAnsiTheme="majorEastAsia" w:eastAsiaTheme="majorEastAsia"/>
          <w:b w:val="0"/>
          <w:bCs w:val="0"/>
          <w:color w:val="000000"/>
          <w:kern w:val="2"/>
          <w:sz w:val="24"/>
          <w:szCs w:val="24"/>
        </w:rPr>
        <w:t>投标报价为本项目全部费用，本项目中投标队伍的工作和生活等费用，以及在工作过程中因投标队伍需要第三方配合而产生的相关费用，由供应商自行解决。</w:t>
      </w:r>
      <w:bookmarkEnd w:id="82"/>
      <w:bookmarkEnd w:id="83"/>
      <w:bookmarkEnd w:id="84"/>
      <w:bookmarkEnd w:id="85"/>
      <w:bookmarkEnd w:id="86"/>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87" w:name="_Toc435021075"/>
      <w:bookmarkStart w:id="88" w:name="_Toc429224645"/>
      <w:bookmarkStart w:id="89" w:name="_Toc504654687"/>
      <w:bookmarkStart w:id="90" w:name="_Toc445473490"/>
      <w:bookmarkStart w:id="91" w:name="_Toc12504"/>
      <w:bookmarkStart w:id="92" w:name="_Toc504479651"/>
      <w:bookmarkStart w:id="93" w:name="_Toc504479200"/>
      <w:r>
        <w:rPr>
          <w:rFonts w:cs="宋体" w:asciiTheme="majorEastAsia" w:hAnsiTheme="majorEastAsia" w:eastAsiaTheme="majorEastAsia"/>
          <w:b w:val="0"/>
          <w:bCs w:val="0"/>
          <w:color w:val="000000"/>
          <w:kern w:val="2"/>
          <w:sz w:val="24"/>
          <w:szCs w:val="24"/>
        </w:rPr>
        <w:t>3.4</w:t>
      </w:r>
      <w:r>
        <w:rPr>
          <w:rFonts w:hint="eastAsia" w:cs="宋体" w:asciiTheme="majorEastAsia" w:hAnsiTheme="majorEastAsia" w:eastAsiaTheme="majorEastAsia"/>
          <w:b w:val="0"/>
          <w:bCs w:val="0"/>
          <w:color w:val="000000"/>
          <w:kern w:val="2"/>
          <w:sz w:val="24"/>
          <w:szCs w:val="24"/>
        </w:rPr>
        <w:t>投标和支付所使用的货币：</w:t>
      </w:r>
      <w:bookmarkEnd w:id="87"/>
      <w:bookmarkEnd w:id="88"/>
      <w:r>
        <w:rPr>
          <w:rFonts w:hint="eastAsia" w:cs="宋体" w:asciiTheme="majorEastAsia" w:hAnsiTheme="majorEastAsia" w:eastAsiaTheme="majorEastAsia"/>
          <w:b w:val="0"/>
          <w:bCs w:val="0"/>
          <w:color w:val="000000"/>
          <w:kern w:val="2"/>
          <w:sz w:val="24"/>
          <w:szCs w:val="24"/>
        </w:rPr>
        <w:t>供应商填报的投标报价均以人民币为计价依据，合同实施时亦以人民币支付。</w:t>
      </w:r>
      <w:bookmarkEnd w:id="89"/>
      <w:bookmarkEnd w:id="90"/>
      <w:bookmarkEnd w:id="91"/>
      <w:bookmarkEnd w:id="92"/>
      <w:bookmarkEnd w:id="93"/>
    </w:p>
    <w:p>
      <w:pPr>
        <w:pStyle w:val="28"/>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94" w:name="_Toc504479652"/>
      <w:bookmarkStart w:id="95" w:name="_Toc26848"/>
      <w:bookmarkStart w:id="96" w:name="_Toc504479201"/>
      <w:bookmarkStart w:id="97" w:name="_Toc504654688"/>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、投标文件的递交</w:t>
      </w:r>
      <w:bookmarkEnd w:id="94"/>
      <w:bookmarkEnd w:id="95"/>
      <w:bookmarkEnd w:id="96"/>
      <w:bookmarkEnd w:id="97"/>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98" w:name="_Toc504479653"/>
      <w:bookmarkStart w:id="99" w:name="_Toc504479202"/>
      <w:bookmarkStart w:id="100" w:name="_Toc12589"/>
      <w:bookmarkStart w:id="101" w:name="_Toc504654689"/>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投标文件的密封与标志</w:t>
      </w:r>
      <w:bookmarkEnd w:id="98"/>
      <w:bookmarkEnd w:id="99"/>
      <w:bookmarkEnd w:id="100"/>
      <w:bookmarkEnd w:id="101"/>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02" w:name="_Toc30022"/>
      <w:bookmarkStart w:id="103" w:name="_Toc504479205"/>
      <w:bookmarkStart w:id="104" w:name="_Toc504479656"/>
      <w:bookmarkStart w:id="105" w:name="_Toc504654691"/>
      <w:r>
        <w:rPr>
          <w:rFonts w:hint="eastAsia" w:cs="宋体" w:asciiTheme="majorEastAsia" w:hAnsiTheme="majorEastAsia" w:eastAsiaTheme="majorEastAsia"/>
          <w:b w:val="0"/>
          <w:bCs w:val="0"/>
          <w:color w:val="000000"/>
          <w:kern w:val="2"/>
          <w:sz w:val="24"/>
          <w:szCs w:val="24"/>
        </w:rPr>
        <w:t>投标人应提交投标文件正本</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份、副本</w:t>
      </w:r>
      <w:r>
        <w:rPr>
          <w:rFonts w:hint="eastAsia" w:cs="宋体" w:asciiTheme="majorEastAsia" w:hAnsiTheme="majorEastAsia" w:eastAsiaTheme="majorEastAsia"/>
          <w:b w:val="0"/>
          <w:bCs w:val="0"/>
          <w:color w:val="000000"/>
          <w:kern w:val="2"/>
          <w:sz w:val="24"/>
          <w:szCs w:val="24"/>
          <w:lang w:val="en-US" w:eastAsia="zh-CN"/>
        </w:rPr>
        <w:t>2</w:t>
      </w:r>
      <w:r>
        <w:rPr>
          <w:rFonts w:hint="eastAsia" w:cs="宋体" w:asciiTheme="majorEastAsia" w:hAnsiTheme="majorEastAsia" w:eastAsiaTheme="majorEastAsia"/>
          <w:b w:val="0"/>
          <w:bCs w:val="0"/>
          <w:color w:val="000000"/>
          <w:kern w:val="2"/>
          <w:sz w:val="24"/>
          <w:szCs w:val="24"/>
        </w:rPr>
        <w:t>份，电子版1份，并标明“正本”、“副本”等字样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投标文件的正本和副本</w:t>
      </w:r>
      <w:r>
        <w:rPr>
          <w:rFonts w:hint="eastAsia" w:cs="宋体" w:asciiTheme="majorEastAsia" w:hAnsiTheme="majorEastAsia" w:eastAsiaTheme="majorEastAsia"/>
          <w:b w:val="0"/>
          <w:bCs w:val="0"/>
          <w:color w:val="000000"/>
          <w:kern w:val="2"/>
          <w:sz w:val="24"/>
          <w:szCs w:val="24"/>
          <w:lang w:eastAsia="zh-CN"/>
        </w:rPr>
        <w:t>合并</w:t>
      </w:r>
      <w:r>
        <w:rPr>
          <w:rFonts w:hint="eastAsia" w:cs="宋体" w:asciiTheme="majorEastAsia" w:hAnsiTheme="majorEastAsia" w:eastAsiaTheme="majorEastAsia"/>
          <w:b w:val="0"/>
          <w:bCs w:val="0"/>
          <w:color w:val="000000"/>
          <w:kern w:val="2"/>
          <w:sz w:val="24"/>
          <w:szCs w:val="24"/>
        </w:rPr>
        <w:t>密封，加贴封条，封口处应加盖投标人公章</w:t>
      </w:r>
      <w:r>
        <w:rPr>
          <w:rFonts w:hint="eastAsia" w:cs="宋体" w:asciiTheme="majorEastAsia" w:hAnsiTheme="majorEastAsia" w:eastAsiaTheme="majorEastAsia"/>
          <w:b w:val="0"/>
          <w:bCs w:val="0"/>
          <w:color w:val="000000"/>
          <w:kern w:val="2"/>
          <w:sz w:val="24"/>
          <w:szCs w:val="24"/>
          <w:lang w:eastAsia="zh-CN"/>
        </w:rPr>
        <w:t>，</w:t>
      </w:r>
      <w:r>
        <w:rPr>
          <w:rFonts w:hint="eastAsia" w:cs="宋体" w:asciiTheme="majorEastAsia" w:hAnsiTheme="majorEastAsia" w:eastAsiaTheme="majorEastAsia"/>
          <w:b w:val="0"/>
          <w:bCs w:val="0"/>
          <w:color w:val="000000"/>
          <w:kern w:val="2"/>
          <w:sz w:val="24"/>
          <w:szCs w:val="24"/>
        </w:rPr>
        <w:t>同时分别在封皮上标注项目名称、项目编号、投标单位名称、开标时间截止前不得开封字样等，详见投标人须知前附表；以上为硬性指标，其中一项未通过为没有实质性响应按废标处理</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02"/>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rPr>
      </w:pPr>
      <w:bookmarkStart w:id="106" w:name="_Toc18287"/>
      <w:r>
        <w:rPr>
          <w:rFonts w:cs="宋体" w:asciiTheme="majorEastAsia" w:hAnsiTheme="majorEastAsia" w:eastAsiaTheme="majorEastAsia"/>
          <w:b w:val="0"/>
          <w:bCs w:val="0"/>
          <w:color w:val="000000"/>
          <w:kern w:val="2"/>
          <w:sz w:val="24"/>
          <w:szCs w:val="24"/>
        </w:rPr>
        <w:t>4.1.2</w:t>
      </w:r>
      <w:r>
        <w:rPr>
          <w:rFonts w:hint="eastAsia" w:cs="宋体" w:asciiTheme="majorEastAsia" w:hAnsiTheme="majorEastAsia" w:eastAsiaTheme="majorEastAsia"/>
          <w:b w:val="0"/>
          <w:bCs w:val="0"/>
          <w:color w:val="000000"/>
          <w:kern w:val="2"/>
          <w:sz w:val="24"/>
          <w:szCs w:val="24"/>
        </w:rPr>
        <w:t>投标文件正本与副本均应使用不能擦去的墨水打印或书写，</w:t>
      </w:r>
      <w:bookmarkEnd w:id="103"/>
      <w:bookmarkEnd w:id="104"/>
      <w:bookmarkEnd w:id="105"/>
      <w:r>
        <w:rPr>
          <w:rFonts w:hint="eastAsia" w:cs="宋体" w:asciiTheme="majorEastAsia" w:hAnsiTheme="majorEastAsia" w:eastAsiaTheme="majorEastAsia"/>
          <w:b w:val="0"/>
          <w:bCs w:val="0"/>
          <w:color w:val="000000"/>
          <w:kern w:val="2"/>
          <w:sz w:val="24"/>
          <w:szCs w:val="24"/>
        </w:rPr>
        <w:t>副本可以是正本的复印件。</w:t>
      </w:r>
      <w:bookmarkEnd w:id="106"/>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07" w:name="_Toc504479657"/>
      <w:bookmarkStart w:id="108" w:name="_Toc504654692"/>
      <w:bookmarkStart w:id="109" w:name="_Toc504479206"/>
      <w:r>
        <w:rPr>
          <w:rFonts w:cs="宋体" w:asciiTheme="majorEastAsia" w:hAnsiTheme="majorEastAsia" w:eastAsiaTheme="majorEastAsia"/>
          <w:color w:val="000000"/>
          <w:sz w:val="24"/>
        </w:rPr>
        <w:t>4.1.3</w:t>
      </w:r>
      <w:r>
        <w:rPr>
          <w:rFonts w:hint="eastAsia" w:cs="宋体" w:asciiTheme="majorEastAsia" w:hAnsiTheme="majorEastAsia" w:eastAsiaTheme="majorEastAsia"/>
          <w:color w:val="000000"/>
          <w:sz w:val="24"/>
        </w:rPr>
        <w:t>未按本章第</w:t>
      </w:r>
      <w:r>
        <w:rPr>
          <w:rFonts w:cs="宋体" w:asciiTheme="majorEastAsia" w:hAnsiTheme="majorEastAsia" w:eastAsiaTheme="majorEastAsia"/>
          <w:color w:val="000000"/>
          <w:sz w:val="24"/>
        </w:rPr>
        <w:t>4.1.1</w:t>
      </w:r>
      <w:r>
        <w:rPr>
          <w:rFonts w:hint="eastAsia" w:cs="宋体" w:asciiTheme="majorEastAsia" w:hAnsiTheme="majorEastAsia" w:eastAsiaTheme="majorEastAsia"/>
          <w:color w:val="000000"/>
          <w:sz w:val="24"/>
        </w:rPr>
        <w:t>项或第</w:t>
      </w:r>
      <w:r>
        <w:rPr>
          <w:rFonts w:cs="宋体" w:asciiTheme="majorEastAsia" w:hAnsiTheme="majorEastAsia" w:eastAsiaTheme="majorEastAsia"/>
          <w:color w:val="000000"/>
          <w:sz w:val="24"/>
        </w:rPr>
        <w:t>4.1.2</w:t>
      </w:r>
      <w:r>
        <w:rPr>
          <w:rFonts w:hint="eastAsia" w:cs="宋体" w:asciiTheme="majorEastAsia" w:hAnsiTheme="majorEastAsia" w:eastAsiaTheme="majorEastAsia"/>
          <w:color w:val="000000"/>
          <w:sz w:val="24"/>
        </w:rPr>
        <w:t>项要求密封和加写标记的投标文件，采购人不予受理、视为</w:t>
      </w:r>
      <w:r>
        <w:rPr>
          <w:rFonts w:hint="eastAsia" w:cs="宋体" w:asciiTheme="majorEastAsia" w:hAnsiTheme="majorEastAsia" w:eastAsiaTheme="majorEastAsia"/>
          <w:bCs/>
          <w:color w:val="000000"/>
          <w:sz w:val="24"/>
          <w:lang w:val="zh-CN"/>
        </w:rPr>
        <w:t>不响应招标文件。正本、副本如有不一致之处，以正本为准；如果用数字表示的数额与文字表示的数额不一致时，以文字表示的数额为准。</w:t>
      </w:r>
      <w:bookmarkEnd w:id="107"/>
      <w:bookmarkEnd w:id="108"/>
      <w:bookmarkEnd w:id="109"/>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0" w:name="_Toc504479658"/>
      <w:bookmarkStart w:id="111" w:name="_Toc504479207"/>
      <w:bookmarkStart w:id="112" w:name="_Toc504654693"/>
      <w:r>
        <w:rPr>
          <w:rFonts w:cs="宋体" w:asciiTheme="majorEastAsia" w:hAnsiTheme="majorEastAsia" w:eastAsiaTheme="majorEastAsia"/>
          <w:bCs/>
          <w:color w:val="000000"/>
          <w:sz w:val="24"/>
          <w:lang w:val="zh-CN"/>
        </w:rPr>
        <w:t>4.1.4</w:t>
      </w:r>
      <w:r>
        <w:rPr>
          <w:rFonts w:hint="eastAsia" w:cs="宋体" w:asciiTheme="majorEastAsia" w:hAnsiTheme="majorEastAsia" w:eastAsiaTheme="majorEastAsia"/>
          <w:bCs/>
          <w:color w:val="000000"/>
          <w:sz w:val="24"/>
          <w:lang w:val="zh-CN"/>
        </w:rPr>
        <w:t>全套投标文件应无涂改和行间插字，如有修改须在修改处加盖供应商的企业印章、企业法定代表人或授权委托人签字。</w:t>
      </w:r>
      <w:bookmarkEnd w:id="110"/>
      <w:bookmarkEnd w:id="111"/>
      <w:bookmarkEnd w:id="112"/>
      <w:bookmarkStart w:id="113" w:name="_Toc504479208"/>
      <w:bookmarkStart w:id="114" w:name="_Toc504479659"/>
      <w:bookmarkStart w:id="115" w:name="_Toc504654694"/>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4.1.5</w:t>
      </w:r>
      <w:r>
        <w:rPr>
          <w:rFonts w:hint="eastAsia" w:cs="宋体" w:asciiTheme="majorEastAsia" w:hAnsiTheme="majorEastAsia" w:eastAsiaTheme="majorEastAsia"/>
          <w:bCs/>
          <w:color w:val="000000"/>
          <w:sz w:val="24"/>
          <w:lang w:val="zh-CN"/>
        </w:rPr>
        <w:t>投标文件必须胶装成册，不能为活页装订。</w:t>
      </w:r>
      <w:bookmarkEnd w:id="113"/>
      <w:bookmarkEnd w:id="114"/>
      <w:bookmarkEnd w:id="115"/>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6" w:name="_Toc504654695"/>
      <w:bookmarkStart w:id="117" w:name="_Toc504479209"/>
      <w:bookmarkStart w:id="118" w:name="_Toc504479660"/>
      <w:r>
        <w:rPr>
          <w:rFonts w:cs="宋体" w:asciiTheme="majorEastAsia" w:hAnsiTheme="majorEastAsia" w:eastAsiaTheme="majorEastAsia"/>
          <w:bCs/>
          <w:color w:val="000000"/>
          <w:sz w:val="24"/>
          <w:lang w:val="zh-CN"/>
        </w:rPr>
        <w:t>4.2</w:t>
      </w:r>
      <w:r>
        <w:rPr>
          <w:rFonts w:hint="eastAsia" w:cs="宋体" w:asciiTheme="majorEastAsia" w:hAnsiTheme="majorEastAsia" w:eastAsiaTheme="majorEastAsia"/>
          <w:bCs/>
          <w:color w:val="000000"/>
          <w:sz w:val="24"/>
          <w:lang w:val="zh-CN"/>
        </w:rPr>
        <w:t>投标文件的递交</w:t>
      </w:r>
      <w:bookmarkEnd w:id="116"/>
      <w:bookmarkEnd w:id="117"/>
      <w:bookmarkEnd w:id="118"/>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19" w:name="_Toc504479210"/>
      <w:bookmarkStart w:id="120" w:name="_Toc504654696"/>
      <w:bookmarkStart w:id="121" w:name="_Toc504479661"/>
      <w:r>
        <w:rPr>
          <w:rFonts w:cs="宋体" w:asciiTheme="majorEastAsia" w:hAnsiTheme="majorEastAsia" w:eastAsiaTheme="majorEastAsia"/>
          <w:bCs/>
          <w:color w:val="000000"/>
          <w:sz w:val="24"/>
          <w:lang w:val="zh-CN"/>
        </w:rPr>
        <w:t>4.2.1</w:t>
      </w:r>
      <w:r>
        <w:rPr>
          <w:rFonts w:hint="eastAsia" w:cs="宋体" w:asciiTheme="majorEastAsia" w:hAnsiTheme="majorEastAsia" w:eastAsiaTheme="majorEastAsia"/>
          <w:bCs/>
          <w:color w:val="000000"/>
          <w:sz w:val="24"/>
          <w:lang w:val="zh-CN"/>
        </w:rPr>
        <w:t>供应商应在前附表所规定的投标文件递交截止时间之前将投标文件送达开标地点。</w:t>
      </w:r>
      <w:bookmarkEnd w:id="119"/>
      <w:bookmarkEnd w:id="120"/>
      <w:bookmarkEnd w:id="121"/>
    </w:p>
    <w:p>
      <w:pPr>
        <w:autoSpaceDE w:val="0"/>
        <w:autoSpaceDN w:val="0"/>
        <w:adjustRightInd w:val="0"/>
        <w:spacing w:line="360" w:lineRule="auto"/>
        <w:jc w:val="left"/>
        <w:rPr>
          <w:rFonts w:cs="宋体" w:asciiTheme="majorEastAsia" w:hAnsiTheme="majorEastAsia" w:eastAsiaTheme="majorEastAsia"/>
          <w:bCs/>
          <w:color w:val="000000"/>
          <w:sz w:val="24"/>
          <w:lang w:val="zh-CN"/>
        </w:rPr>
      </w:pPr>
      <w:bookmarkStart w:id="122" w:name="_Toc504479662"/>
      <w:bookmarkStart w:id="123" w:name="_Toc504479211"/>
      <w:bookmarkStart w:id="124" w:name="_Toc504654697"/>
      <w:r>
        <w:rPr>
          <w:rFonts w:cs="宋体" w:asciiTheme="majorEastAsia" w:hAnsiTheme="majorEastAsia" w:eastAsiaTheme="majorEastAsia"/>
          <w:bCs/>
          <w:color w:val="000000"/>
          <w:sz w:val="24"/>
          <w:lang w:val="zh-CN"/>
        </w:rPr>
        <w:t>4.2.2</w:t>
      </w:r>
      <w:r>
        <w:rPr>
          <w:rFonts w:hint="eastAsia" w:cs="宋体" w:asciiTheme="majorEastAsia" w:hAnsiTheme="majorEastAsia" w:eastAsiaTheme="majorEastAsia"/>
          <w:bCs/>
          <w:color w:val="000000"/>
          <w:sz w:val="24"/>
          <w:lang w:val="zh-CN"/>
        </w:rPr>
        <w:t>在投标文件递交截止时间以后送达的投标文件为无效的投标文件，采购人不予受理。</w:t>
      </w:r>
      <w:bookmarkEnd w:id="122"/>
      <w:bookmarkEnd w:id="123"/>
      <w:bookmarkEnd w:id="124"/>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bookmarkStart w:id="125" w:name="_Toc504479663"/>
      <w:bookmarkStart w:id="126" w:name="_Toc504654698"/>
      <w:bookmarkStart w:id="127" w:name="_Toc504479212"/>
      <w:r>
        <w:rPr>
          <w:rFonts w:cs="宋体" w:asciiTheme="majorEastAsia" w:hAnsiTheme="majorEastAsia" w:eastAsiaTheme="majorEastAsia"/>
          <w:b/>
          <w:color w:val="000000"/>
          <w:sz w:val="24"/>
          <w:lang w:val="zh-CN"/>
        </w:rPr>
        <w:t>5</w:t>
      </w:r>
      <w:r>
        <w:rPr>
          <w:rFonts w:hint="eastAsia" w:cs="宋体" w:asciiTheme="majorEastAsia" w:hAnsiTheme="majorEastAsia" w:eastAsiaTheme="majorEastAsia"/>
          <w:b/>
          <w:color w:val="000000"/>
          <w:sz w:val="24"/>
          <w:lang w:val="zh-CN"/>
        </w:rPr>
        <w:t>、投标有效期</w:t>
      </w:r>
      <w:bookmarkEnd w:id="125"/>
      <w:bookmarkEnd w:id="126"/>
      <w:bookmarkEnd w:id="127"/>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28" w:name="_Toc504479213"/>
      <w:bookmarkStart w:id="129" w:name="_Toc504654699"/>
      <w:bookmarkStart w:id="130" w:name="_Toc504479664"/>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投标有效期从本须知前附表所规定的投标文件递交截止时间起开始计算。投标文件在本须知前附表所规定的日历天内保持有效。</w:t>
      </w:r>
      <w:bookmarkEnd w:id="128"/>
      <w:bookmarkEnd w:id="129"/>
      <w:bookmarkEnd w:id="130"/>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31" w:name="_Toc504479665"/>
      <w:bookmarkStart w:id="132" w:name="_Toc504479214"/>
      <w:bookmarkStart w:id="133" w:name="_Toc504654700"/>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bCs/>
          <w:color w:val="000000"/>
          <w:sz w:val="24"/>
          <w:lang w:val="zh-CN"/>
        </w:rPr>
        <w:t>如果出现特殊情况，采购人可要求供应商将投标有效期延长一段时间。这种要求和供应商的答复均应以书面形式进行。同意延期的供应商不需要也不允许修改其投标文件。</w:t>
      </w:r>
      <w:bookmarkEnd w:id="131"/>
      <w:bookmarkEnd w:id="132"/>
      <w:bookmarkEnd w:id="133"/>
    </w:p>
    <w:p>
      <w:pPr>
        <w:autoSpaceDE w:val="0"/>
        <w:autoSpaceDN w:val="0"/>
        <w:adjustRightInd w:val="0"/>
        <w:spacing w:line="360" w:lineRule="auto"/>
        <w:ind w:left="-2" w:leftChars="0" w:firstLine="0" w:firstLineChars="0"/>
        <w:jc w:val="left"/>
        <w:rPr>
          <w:rFonts w:cs="宋体" w:asciiTheme="majorEastAsia" w:hAnsiTheme="majorEastAsia" w:eastAsiaTheme="majorEastAsia"/>
          <w:b/>
          <w:color w:val="000000"/>
          <w:sz w:val="24"/>
          <w:lang w:val="zh-CN"/>
        </w:rPr>
      </w:pPr>
      <w:r>
        <w:rPr>
          <w:rFonts w:cs="宋体" w:asciiTheme="majorEastAsia" w:hAnsiTheme="majorEastAsia" w:eastAsiaTheme="majorEastAsia"/>
          <w:b/>
          <w:color w:val="000000"/>
          <w:sz w:val="24"/>
          <w:lang w:val="zh-CN"/>
        </w:rPr>
        <w:t>6</w:t>
      </w:r>
      <w:r>
        <w:rPr>
          <w:rFonts w:hint="eastAsia" w:cs="宋体" w:asciiTheme="majorEastAsia" w:hAnsiTheme="majorEastAsia" w:eastAsiaTheme="majorEastAsia"/>
          <w:b/>
          <w:color w:val="000000"/>
          <w:sz w:val="24"/>
          <w:lang w:val="zh-CN"/>
        </w:rPr>
        <w:t>、投标保证金（不适用）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6.1</w:t>
      </w:r>
      <w:r>
        <w:rPr>
          <w:rFonts w:hint="eastAsia" w:cs="宋体" w:asciiTheme="majorEastAsia" w:hAnsiTheme="majorEastAsia" w:eastAsiaTheme="majorEastAsia"/>
          <w:bCs/>
          <w:color w:val="000000"/>
          <w:sz w:val="24"/>
          <w:lang w:val="zh-CN"/>
        </w:rPr>
        <w:t>投标保证金是参加本项目的必要条件，交纳金额按招标文件要求执行。为了保护采购人免遭因供应商的行为而蒙受的损失，在因供应商的行为使采购人的权益受到损害时，投标保证金将不予退还。</w:t>
      </w:r>
    </w:p>
    <w:p>
      <w:pPr>
        <w:autoSpaceDE w:val="0"/>
        <w:autoSpaceDN w:val="0"/>
        <w:adjustRightInd w:val="0"/>
        <w:spacing w:line="360" w:lineRule="auto"/>
        <w:ind w:left="0" w:leftChars="0" w:firstLine="0" w:firstLineChars="0"/>
        <w:jc w:val="left"/>
        <w:rPr>
          <w:rFonts w:hint="eastAsia" w:cs="宋体" w:asciiTheme="majorEastAsia" w:hAnsiTheme="majorEastAsia" w:eastAsiaTheme="majorEastAsia"/>
          <w:b/>
          <w:color w:val="000000"/>
          <w:sz w:val="24"/>
          <w:lang w:eastAsia="zh-CN"/>
        </w:rPr>
      </w:pPr>
      <w:bookmarkStart w:id="134" w:name="_Toc504479215"/>
      <w:bookmarkStart w:id="135" w:name="_Toc504479666"/>
      <w:bookmarkStart w:id="136" w:name="_Toc504654701"/>
      <w:r>
        <w:rPr>
          <w:rFonts w:cs="宋体" w:asciiTheme="majorEastAsia" w:hAnsiTheme="majorEastAsia" w:eastAsiaTheme="majorEastAsia"/>
          <w:bCs/>
          <w:color w:val="000000"/>
          <w:sz w:val="24"/>
          <w:lang w:val="zh-CN"/>
        </w:rPr>
        <w:t>6.2</w:t>
      </w:r>
      <w:r>
        <w:rPr>
          <w:rFonts w:hint="eastAsia" w:cs="宋体" w:asciiTheme="majorEastAsia" w:hAnsiTheme="majorEastAsia" w:eastAsiaTheme="majorEastAsia"/>
          <w:bCs/>
          <w:color w:val="000000"/>
          <w:sz w:val="24"/>
          <w:lang w:val="zh-CN"/>
        </w:rPr>
        <w:t>投标保证金额</w:t>
      </w:r>
      <w:bookmarkEnd w:id="134"/>
      <w:bookmarkEnd w:id="135"/>
      <w:bookmarkEnd w:id="136"/>
      <w:r>
        <w:rPr>
          <w:rFonts w:hint="eastAsia" w:cs="宋体" w:asciiTheme="majorEastAsia" w:hAnsiTheme="majorEastAsia" w:eastAsiaTheme="majorEastAsia"/>
          <w:bCs/>
          <w:color w:val="000000"/>
          <w:sz w:val="24"/>
          <w:lang w:val="zh-CN"/>
        </w:rPr>
        <w:t>：</w:t>
      </w:r>
      <w:r>
        <w:rPr>
          <w:rFonts w:hint="eastAsia" w:cs="宋体" w:asciiTheme="majorEastAsia" w:hAnsiTheme="majorEastAsia" w:eastAsiaTheme="majorEastAsia"/>
          <w:b/>
          <w:color w:val="000000"/>
          <w:sz w:val="24"/>
          <w:lang w:val="en-US" w:eastAsia="zh-CN"/>
        </w:rPr>
        <w:t>/</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lang w:val="zh-CN"/>
        </w:rPr>
      </w:pPr>
      <w:bookmarkStart w:id="137" w:name="_Toc504479216"/>
      <w:bookmarkStart w:id="138" w:name="_Toc504654702"/>
      <w:bookmarkStart w:id="139" w:name="_Toc504479667"/>
      <w:r>
        <w:rPr>
          <w:rFonts w:cs="宋体" w:asciiTheme="majorEastAsia" w:hAnsiTheme="majorEastAsia" w:eastAsiaTheme="majorEastAsia"/>
          <w:bCs/>
          <w:color w:val="000000"/>
          <w:sz w:val="24"/>
          <w:lang w:val="zh-CN"/>
        </w:rPr>
        <w:t>6.3</w:t>
      </w:r>
      <w:bookmarkEnd w:id="137"/>
      <w:bookmarkEnd w:id="138"/>
      <w:bookmarkEnd w:id="139"/>
      <w:r>
        <w:rPr>
          <w:rFonts w:hint="eastAsia" w:cs="宋体" w:asciiTheme="majorEastAsia" w:hAnsiTheme="majorEastAsia" w:eastAsiaTheme="majorEastAsia"/>
          <w:bCs/>
          <w:color w:val="000000"/>
          <w:sz w:val="24"/>
          <w:lang w:val="zh-CN"/>
        </w:rPr>
        <w:t>递交方式：投标保证金应当以支票、汇票、本票或者金融机构、担保机构出具的保函等非现金形式提交。以现金缴纳的投标保证金应当从参加投标供应商的基本账户转出。采用保函方式的，应在提交响应文件时一并提交；采用其他方式的，应在提交响应文件截止日前交纳（不含截止日），以资金到账为准，否则视为放弃投标。投标保证金付款账户名称应与参加投标供应商名称一致。</w:t>
      </w:r>
    </w:p>
    <w:p>
      <w:pPr>
        <w:pStyle w:val="5"/>
        <w:spacing w:line="360" w:lineRule="auto"/>
        <w:ind w:firstLine="0"/>
        <w:rPr>
          <w:lang w:val="zh-CN"/>
        </w:rPr>
      </w:pPr>
      <w:r>
        <w:rPr>
          <w:rFonts w:hint="eastAsia"/>
        </w:rPr>
        <w:t>6.4</w:t>
      </w:r>
      <w:r>
        <w:rPr>
          <w:rFonts w:hint="eastAsia"/>
          <w:lang w:val="zh-CN"/>
        </w:rPr>
        <w:t>投标保证金是响应文件的一个组成部分。凡没有按要求提交投保保证金的，其投标文件无效。</w:t>
      </w:r>
    </w:p>
    <w:p>
      <w:pPr>
        <w:pStyle w:val="5"/>
        <w:spacing w:line="360" w:lineRule="auto"/>
        <w:ind w:firstLine="0"/>
        <w:rPr>
          <w:lang w:val="zh-CN"/>
        </w:rPr>
      </w:pPr>
      <w:r>
        <w:rPr>
          <w:rFonts w:hint="eastAsia"/>
        </w:rPr>
        <w:t>6.5</w:t>
      </w:r>
      <w:r>
        <w:rPr>
          <w:rFonts w:hint="eastAsia"/>
          <w:lang w:val="zh-CN"/>
        </w:rPr>
        <w:t>松原市公共资源交易中心按规定退还投标保证金，但因供应商自身原因导致无法及时退还的除外。</w:t>
      </w:r>
    </w:p>
    <w:p>
      <w:pPr>
        <w:autoSpaceDE w:val="0"/>
        <w:autoSpaceDN w:val="0"/>
        <w:adjustRightInd w:val="0"/>
        <w:spacing w:line="360" w:lineRule="auto"/>
        <w:jc w:val="left"/>
        <w:rPr>
          <w:rFonts w:cs="宋体" w:asciiTheme="majorEastAsia" w:hAnsiTheme="majorEastAsia" w:eastAsiaTheme="majorEastAsia"/>
          <w:color w:val="000000"/>
          <w:sz w:val="24"/>
          <w:lang w:val="zh-CN"/>
        </w:rPr>
      </w:pPr>
      <w:r>
        <w:rPr>
          <w:rFonts w:cs="宋体" w:asciiTheme="majorEastAsia" w:hAnsiTheme="majorEastAsia" w:eastAsiaTheme="majorEastAsia"/>
          <w:color w:val="000000"/>
          <w:sz w:val="24"/>
          <w:lang w:val="zh-CN"/>
        </w:rPr>
        <w:t>6.</w:t>
      </w:r>
      <w:r>
        <w:rPr>
          <w:rFonts w:hint="eastAsia" w:cs="宋体" w:asciiTheme="majorEastAsia" w:hAnsiTheme="majorEastAsia" w:eastAsiaTheme="majorEastAsia"/>
          <w:color w:val="000000"/>
          <w:sz w:val="24"/>
        </w:rPr>
        <w:t>6</w:t>
      </w:r>
      <w:r>
        <w:rPr>
          <w:rFonts w:hint="eastAsia" w:cs="宋体" w:asciiTheme="majorEastAsia" w:hAnsiTheme="majorEastAsia" w:eastAsiaTheme="majorEastAsia"/>
          <w:color w:val="000000"/>
          <w:sz w:val="24"/>
          <w:lang w:val="zh-CN"/>
        </w:rPr>
        <w:t>下列情况之一发生时，投标保证金将不予退还：</w:t>
      </w:r>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40" w:name="_Toc21830"/>
      <w:bookmarkStart w:id="141" w:name="_Toc504479668"/>
      <w:bookmarkStart w:id="142" w:name="_Toc504654703"/>
      <w:bookmarkStart w:id="143" w:name="_Toc504479217"/>
      <w:bookmarkStart w:id="144" w:name="_Toc445473508"/>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）供应商在招标文件规定的投标有效期内撤回其投标；</w:t>
      </w:r>
      <w:bookmarkEnd w:id="140"/>
      <w:bookmarkEnd w:id="141"/>
      <w:bookmarkEnd w:id="142"/>
      <w:bookmarkEnd w:id="143"/>
      <w:bookmarkEnd w:id="144"/>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45" w:name="_Toc16312"/>
      <w:bookmarkStart w:id="146" w:name="_Toc504654704"/>
      <w:bookmarkStart w:id="147" w:name="_Toc504479218"/>
      <w:bookmarkStart w:id="148" w:name="_Toc504479669"/>
      <w:bookmarkStart w:id="149" w:name="_Toc445473509"/>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）供应商恶意串通使招标失去竞争性的；</w:t>
      </w:r>
      <w:bookmarkEnd w:id="145"/>
      <w:bookmarkEnd w:id="146"/>
      <w:bookmarkEnd w:id="147"/>
      <w:bookmarkEnd w:id="148"/>
      <w:bookmarkEnd w:id="149"/>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0" w:name="_Toc504479670"/>
      <w:bookmarkStart w:id="151" w:name="_Toc8625"/>
      <w:bookmarkStart w:id="152" w:name="_Toc445473510"/>
      <w:bookmarkStart w:id="153" w:name="_Toc504479219"/>
      <w:bookmarkStart w:id="154" w:name="_Toc504654705"/>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）向政府集中采购机构或评标委员会有意提供虚假材料的；</w:t>
      </w:r>
      <w:bookmarkEnd w:id="150"/>
      <w:bookmarkEnd w:id="151"/>
      <w:bookmarkEnd w:id="152"/>
      <w:bookmarkEnd w:id="153"/>
      <w:bookmarkEnd w:id="154"/>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55" w:name="_Toc445473511"/>
      <w:bookmarkStart w:id="156" w:name="_Toc16455"/>
      <w:bookmarkStart w:id="157" w:name="_Toc504479220"/>
      <w:bookmarkStart w:id="158" w:name="_Toc504479671"/>
      <w:bookmarkStart w:id="159" w:name="_Toc504654706"/>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）投标文件出现妨碍公平竞争的行为的；</w:t>
      </w:r>
      <w:bookmarkEnd w:id="155"/>
      <w:bookmarkEnd w:id="156"/>
      <w:bookmarkEnd w:id="157"/>
      <w:bookmarkEnd w:id="158"/>
      <w:bookmarkEnd w:id="159"/>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0" w:name="_Toc23985"/>
      <w:bookmarkStart w:id="161" w:name="_Toc504479221"/>
      <w:bookmarkStart w:id="162" w:name="_Toc445473512"/>
      <w:bookmarkStart w:id="163" w:name="_Toc504479672"/>
      <w:bookmarkStart w:id="164" w:name="_Toc504654707"/>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rPr>
        <w:t>）未在规定的期限内领取中标通知书的；</w:t>
      </w:r>
      <w:bookmarkEnd w:id="160"/>
      <w:bookmarkEnd w:id="161"/>
      <w:bookmarkEnd w:id="162"/>
      <w:bookmarkEnd w:id="163"/>
      <w:bookmarkEnd w:id="164"/>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65" w:name="_Toc504479673"/>
      <w:bookmarkStart w:id="166" w:name="_Toc1508"/>
      <w:bookmarkStart w:id="167" w:name="_Toc445473513"/>
      <w:bookmarkStart w:id="168" w:name="_Toc504654708"/>
      <w:bookmarkStart w:id="169" w:name="_Toc504479222"/>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）中标人因自身原因在中标通知书规定的时间内未能与采购人签订合同的；</w:t>
      </w:r>
      <w:bookmarkEnd w:id="165"/>
      <w:bookmarkEnd w:id="166"/>
      <w:bookmarkEnd w:id="167"/>
      <w:bookmarkEnd w:id="168"/>
      <w:bookmarkEnd w:id="169"/>
    </w:p>
    <w:p>
      <w:pPr>
        <w:pStyle w:val="28"/>
        <w:spacing w:before="0" w:after="0" w:line="360" w:lineRule="auto"/>
        <w:ind w:left="3" w:leftChars="-107" w:hanging="228" w:hangingChars="95"/>
        <w:jc w:val="left"/>
        <w:outlineLvl w:val="9"/>
        <w:rPr>
          <w:rFonts w:cs="宋体" w:asciiTheme="majorEastAsia" w:hAnsiTheme="majorEastAsia" w:eastAsiaTheme="majorEastAsia"/>
          <w:b w:val="0"/>
          <w:bCs w:val="0"/>
          <w:color w:val="000000"/>
          <w:kern w:val="2"/>
          <w:sz w:val="24"/>
          <w:szCs w:val="24"/>
        </w:rPr>
      </w:pPr>
      <w:bookmarkStart w:id="170" w:name="_Toc2086"/>
      <w:bookmarkStart w:id="171" w:name="_Toc445473514"/>
      <w:bookmarkStart w:id="172" w:name="_Toc504479674"/>
      <w:bookmarkStart w:id="173" w:name="_Toc504479223"/>
      <w:bookmarkStart w:id="174" w:name="_Toc504654709"/>
      <w:r>
        <w:rPr>
          <w:rFonts w:hint="eastAsia" w:cs="宋体" w:asciiTheme="majorEastAsia" w:hAnsiTheme="majorEastAsia" w:eastAsiaTheme="majorEastAsia"/>
          <w:b w:val="0"/>
          <w:bCs w:val="0"/>
          <w:color w:val="000000"/>
          <w:kern w:val="2"/>
          <w:sz w:val="24"/>
          <w:szCs w:val="24"/>
        </w:rPr>
        <w:t>（</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）违反政府釆购法及有关法律、法规的。</w:t>
      </w:r>
      <w:bookmarkEnd w:id="170"/>
      <w:bookmarkEnd w:id="171"/>
      <w:bookmarkEnd w:id="172"/>
      <w:bookmarkEnd w:id="173"/>
      <w:bookmarkEnd w:id="174"/>
      <w:bookmarkStart w:id="175" w:name="_Toc445473515"/>
      <w:bookmarkStart w:id="176" w:name="_Toc504479224"/>
      <w:bookmarkStart w:id="177" w:name="_Toc504479675"/>
      <w:bookmarkStart w:id="178" w:name="_Toc504654710"/>
    </w:p>
    <w:p>
      <w:pPr>
        <w:pStyle w:val="28"/>
        <w:spacing w:before="0" w:after="0" w:line="360" w:lineRule="auto"/>
        <w:ind w:left="-2" w:leftChars="0" w:firstLine="0" w:firstLineChars="0"/>
        <w:jc w:val="left"/>
        <w:outlineLvl w:val="9"/>
        <w:rPr>
          <w:rFonts w:cs="宋体" w:asciiTheme="majorEastAsia" w:hAnsiTheme="majorEastAsia" w:eastAsiaTheme="majorEastAsia"/>
          <w:color w:val="000000"/>
          <w:kern w:val="2"/>
          <w:sz w:val="24"/>
          <w:szCs w:val="24"/>
        </w:rPr>
      </w:pPr>
      <w:bookmarkStart w:id="179" w:name="_Toc23612"/>
      <w:r>
        <w:rPr>
          <w:rFonts w:cs="宋体" w:asciiTheme="majorEastAsia" w:hAnsiTheme="majorEastAsia" w:eastAsiaTheme="majorEastAsia"/>
          <w:color w:val="000000"/>
          <w:kern w:val="2"/>
          <w:sz w:val="24"/>
          <w:szCs w:val="24"/>
        </w:rPr>
        <w:t>7</w:t>
      </w:r>
      <w:r>
        <w:rPr>
          <w:rFonts w:hint="eastAsia" w:cs="宋体" w:asciiTheme="majorEastAsia" w:hAnsiTheme="majorEastAsia" w:eastAsiaTheme="majorEastAsia"/>
          <w:color w:val="000000"/>
          <w:kern w:val="2"/>
          <w:sz w:val="24"/>
          <w:szCs w:val="24"/>
        </w:rPr>
        <w:t>、投标文件的修改、补充与撤回</w:t>
      </w:r>
      <w:bookmarkEnd w:id="175"/>
      <w:bookmarkEnd w:id="176"/>
      <w:bookmarkEnd w:id="177"/>
      <w:bookmarkEnd w:id="178"/>
      <w:bookmarkEnd w:id="179"/>
    </w:p>
    <w:p>
      <w:pPr>
        <w:pStyle w:val="28"/>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80" w:name="_Toc429224675"/>
      <w:bookmarkStart w:id="181" w:name="_Toc435021105"/>
      <w:bookmarkStart w:id="182" w:name="_Toc504479225"/>
      <w:bookmarkStart w:id="183" w:name="_Toc11542"/>
      <w:bookmarkStart w:id="184" w:name="_Toc504654711"/>
      <w:bookmarkStart w:id="185" w:name="_Toc504479676"/>
      <w:bookmarkStart w:id="186" w:name="_Toc445473516"/>
      <w:r>
        <w:rPr>
          <w:rFonts w:cs="宋体" w:asciiTheme="majorEastAsia" w:hAnsiTheme="majorEastAsia" w:eastAsiaTheme="majorEastAsia"/>
          <w:b w:val="0"/>
          <w:bCs w:val="0"/>
          <w:color w:val="000000"/>
          <w:kern w:val="2"/>
          <w:sz w:val="24"/>
          <w:szCs w:val="24"/>
        </w:rPr>
        <w:t>7. 1</w:t>
      </w:r>
      <w:r>
        <w:rPr>
          <w:rFonts w:hint="eastAsia" w:cs="宋体" w:asciiTheme="majorEastAsia" w:hAnsiTheme="majorEastAsia" w:eastAsiaTheme="majorEastAsia"/>
          <w:b w:val="0"/>
          <w:bCs w:val="0"/>
          <w:color w:val="000000"/>
          <w:kern w:val="2"/>
          <w:sz w:val="24"/>
          <w:szCs w:val="24"/>
        </w:rPr>
        <w:t>供应商可以在投标文件递交截止时间之前以书面形式修改、补充或撤回投标文件。</w:t>
      </w:r>
      <w:bookmarkEnd w:id="180"/>
      <w:bookmarkEnd w:id="181"/>
      <w:r>
        <w:rPr>
          <w:rFonts w:hint="eastAsia" w:cs="宋体" w:asciiTheme="majorEastAsia" w:hAnsiTheme="majorEastAsia" w:eastAsiaTheme="majorEastAsia"/>
          <w:b w:val="0"/>
          <w:bCs w:val="0"/>
          <w:color w:val="000000"/>
          <w:kern w:val="2"/>
          <w:sz w:val="24"/>
          <w:szCs w:val="24"/>
        </w:rPr>
        <w:t>在投标文件递交截止时间后不能修改、补充或撤回投标文件。</w:t>
      </w:r>
      <w:bookmarkEnd w:id="182"/>
      <w:bookmarkEnd w:id="183"/>
      <w:bookmarkEnd w:id="184"/>
      <w:bookmarkEnd w:id="185"/>
      <w:bookmarkEnd w:id="186"/>
    </w:p>
    <w:p>
      <w:pPr>
        <w:pStyle w:val="28"/>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87" w:name="_Toc504479226"/>
      <w:bookmarkStart w:id="188" w:name="_Toc504479677"/>
      <w:bookmarkStart w:id="189" w:name="_Toc504654712"/>
      <w:bookmarkStart w:id="190" w:name="_Toc31265"/>
      <w:bookmarkStart w:id="191" w:name="_Toc445473517"/>
      <w:r>
        <w:rPr>
          <w:rFonts w:cs="宋体" w:asciiTheme="majorEastAsia" w:hAnsiTheme="majorEastAsia" w:eastAsiaTheme="majorEastAsia"/>
          <w:b w:val="0"/>
          <w:bCs w:val="0"/>
          <w:color w:val="000000"/>
          <w:kern w:val="2"/>
          <w:sz w:val="24"/>
          <w:szCs w:val="24"/>
        </w:rPr>
        <w:t>7.2</w:t>
      </w:r>
      <w:r>
        <w:rPr>
          <w:rFonts w:hint="eastAsia" w:cs="宋体" w:asciiTheme="majorEastAsia" w:hAnsiTheme="majorEastAsia" w:eastAsiaTheme="majorEastAsia"/>
          <w:b w:val="0"/>
          <w:bCs w:val="0"/>
          <w:color w:val="000000"/>
          <w:kern w:val="2"/>
          <w:sz w:val="24"/>
          <w:szCs w:val="24"/>
        </w:rPr>
        <w:t>投标文件的修改、补充与撤回，供应商均须按本款的规定密封、标志和递交</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标明“修改”“补充”或“撤回”字样</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w:t>
      </w:r>
      <w:bookmarkEnd w:id="187"/>
      <w:bookmarkEnd w:id="188"/>
      <w:bookmarkEnd w:id="189"/>
      <w:bookmarkEnd w:id="190"/>
      <w:bookmarkEnd w:id="191"/>
      <w:bookmarkStart w:id="192" w:name="_Toc504479227"/>
      <w:bookmarkStart w:id="193" w:name="_Toc504654713"/>
      <w:bookmarkStart w:id="194" w:name="_Toc504479678"/>
      <w:bookmarkStart w:id="195" w:name="_Toc445473518"/>
    </w:p>
    <w:p>
      <w:pPr>
        <w:pStyle w:val="28"/>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rPr>
      </w:pPr>
      <w:bookmarkStart w:id="196" w:name="_Toc8038"/>
      <w:r>
        <w:rPr>
          <w:rFonts w:cs="宋体" w:asciiTheme="majorEastAsia" w:hAnsiTheme="majorEastAsia" w:eastAsiaTheme="majorEastAsia"/>
          <w:b w:val="0"/>
          <w:bCs w:val="0"/>
          <w:color w:val="000000"/>
          <w:kern w:val="2"/>
          <w:sz w:val="24"/>
          <w:szCs w:val="24"/>
        </w:rPr>
        <w:t>7.3</w:t>
      </w:r>
      <w:r>
        <w:rPr>
          <w:rFonts w:hint="eastAsia" w:cs="宋体" w:asciiTheme="majorEastAsia" w:hAnsiTheme="majorEastAsia" w:eastAsiaTheme="majorEastAsia"/>
          <w:b w:val="0"/>
          <w:bCs w:val="0"/>
          <w:color w:val="000000"/>
          <w:kern w:val="2"/>
          <w:sz w:val="24"/>
          <w:szCs w:val="24"/>
        </w:rPr>
        <w:t>在投标有效期内，供应商不能撤回其投标文件。</w:t>
      </w:r>
      <w:bookmarkEnd w:id="192"/>
      <w:bookmarkEnd w:id="193"/>
      <w:bookmarkEnd w:id="194"/>
      <w:bookmarkEnd w:id="195"/>
      <w:bookmarkEnd w:id="196"/>
    </w:p>
    <w:p>
      <w:pPr>
        <w:spacing w:line="360" w:lineRule="auto"/>
        <w:ind w:left="21" w:leftChars="-40" w:hanging="105" w:hangingChars="35"/>
        <w:rPr>
          <w:rFonts w:cs="宋体" w:asciiTheme="majorEastAsia" w:hAnsiTheme="majorEastAsia" w:eastAsiaTheme="majorEastAsia"/>
          <w:b/>
          <w:bCs/>
          <w:color w:val="000000"/>
          <w:sz w:val="30"/>
          <w:szCs w:val="30"/>
        </w:rPr>
      </w:pPr>
      <w:bookmarkStart w:id="197" w:name="_Toc445473519"/>
      <w:r>
        <w:rPr>
          <w:rFonts w:hint="eastAsia" w:cs="宋体" w:asciiTheme="majorEastAsia" w:hAnsiTheme="majorEastAsia" w:eastAsiaTheme="majorEastAsia"/>
          <w:b/>
          <w:bCs/>
          <w:color w:val="000000"/>
          <w:sz w:val="30"/>
          <w:szCs w:val="30"/>
        </w:rPr>
        <w:t>五、开标</w:t>
      </w:r>
      <w:bookmarkEnd w:id="197"/>
    </w:p>
    <w:p>
      <w:pPr>
        <w:pStyle w:val="28"/>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198" w:name="_Toc504654715"/>
      <w:bookmarkStart w:id="199" w:name="_Toc26841"/>
      <w:bookmarkStart w:id="200" w:name="_Toc504479680"/>
      <w:bookmarkStart w:id="201" w:name="_Toc445473520"/>
      <w:bookmarkStart w:id="202" w:name="_Toc504479229"/>
      <w:r>
        <w:rPr>
          <w:rFonts w:cs="宋体" w:asciiTheme="majorEastAsia" w:hAnsiTheme="majorEastAsia" w:eastAsiaTheme="majorEastAsia"/>
          <w:color w:val="000000"/>
          <w:kern w:val="2"/>
          <w:sz w:val="24"/>
          <w:szCs w:val="24"/>
        </w:rPr>
        <w:t>1</w:t>
      </w:r>
      <w:r>
        <w:rPr>
          <w:rFonts w:hint="eastAsia" w:cs="宋体" w:asciiTheme="majorEastAsia" w:hAnsiTheme="majorEastAsia" w:eastAsiaTheme="majorEastAsia"/>
          <w:color w:val="000000"/>
          <w:kern w:val="2"/>
          <w:sz w:val="24"/>
          <w:szCs w:val="24"/>
        </w:rPr>
        <w:t>、开标要求事项</w:t>
      </w:r>
      <w:bookmarkEnd w:id="198"/>
      <w:bookmarkEnd w:id="199"/>
      <w:bookmarkEnd w:id="200"/>
      <w:bookmarkEnd w:id="201"/>
      <w:bookmarkEnd w:id="20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03" w:name="_Toc429224680"/>
      <w:bookmarkStart w:id="204" w:name="_Toc435021110"/>
      <w:bookmarkStart w:id="205" w:name="_Toc504479230"/>
      <w:bookmarkStart w:id="206" w:name="_Toc504654716"/>
      <w:bookmarkStart w:id="207" w:name="_Toc445473521"/>
      <w:bookmarkStart w:id="208" w:name="_Toc504479681"/>
      <w:bookmarkStart w:id="209" w:name="_Toc1387"/>
      <w:r>
        <w:rPr>
          <w:rFonts w:cs="宋体" w:asciiTheme="majorEastAsia" w:hAnsiTheme="majorEastAsia" w:eastAsiaTheme="majorEastAsia"/>
          <w:b w:val="0"/>
          <w:bCs w:val="0"/>
          <w:color w:val="000000"/>
          <w:kern w:val="2"/>
          <w:sz w:val="24"/>
          <w:szCs w:val="24"/>
        </w:rPr>
        <w:t>1.1</w:t>
      </w:r>
      <w:r>
        <w:rPr>
          <w:rFonts w:hint="eastAsia" w:cs="宋体" w:asciiTheme="majorEastAsia" w:hAnsiTheme="majorEastAsia" w:eastAsiaTheme="majorEastAsia"/>
          <w:b w:val="0"/>
          <w:bCs w:val="0"/>
          <w:color w:val="000000"/>
          <w:kern w:val="2"/>
          <w:sz w:val="24"/>
          <w:szCs w:val="24"/>
          <w:lang w:val="zh-CN"/>
        </w:rPr>
        <w:t>开标时间：</w:t>
      </w:r>
      <w:bookmarkEnd w:id="203"/>
      <w:bookmarkEnd w:id="204"/>
      <w:r>
        <w:rPr>
          <w:rFonts w:hint="eastAsia" w:cs="宋体" w:asciiTheme="majorEastAsia" w:hAnsiTheme="majorEastAsia" w:eastAsiaTheme="majorEastAsia"/>
          <w:b w:val="0"/>
          <w:bCs w:val="0"/>
          <w:color w:val="000000"/>
          <w:kern w:val="2"/>
          <w:sz w:val="24"/>
          <w:szCs w:val="24"/>
          <w:lang w:val="zh-CN"/>
        </w:rPr>
        <w:t>见投标须知前附表。</w:t>
      </w:r>
      <w:bookmarkEnd w:id="205"/>
      <w:bookmarkEnd w:id="206"/>
      <w:bookmarkEnd w:id="207"/>
      <w:bookmarkEnd w:id="208"/>
      <w:bookmarkEnd w:id="209"/>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10" w:name="_Toc435021111"/>
      <w:bookmarkStart w:id="211" w:name="_Toc429224681"/>
      <w:bookmarkStart w:id="212" w:name="_Toc5859"/>
      <w:bookmarkStart w:id="213" w:name="_Toc445473522"/>
      <w:bookmarkStart w:id="214" w:name="_Toc504654717"/>
      <w:bookmarkStart w:id="215" w:name="_Toc504479231"/>
      <w:bookmarkStart w:id="216" w:name="_Toc504479682"/>
      <w:r>
        <w:rPr>
          <w:rFonts w:cs="宋体" w:asciiTheme="majorEastAsia" w:hAnsiTheme="majorEastAsia" w:eastAsiaTheme="majorEastAsia"/>
          <w:b w:val="0"/>
          <w:bCs w:val="0"/>
          <w:color w:val="000000"/>
          <w:kern w:val="2"/>
          <w:sz w:val="24"/>
          <w:szCs w:val="24"/>
          <w:lang w:val="zh-CN"/>
        </w:rPr>
        <w:t>1.2</w:t>
      </w:r>
      <w:r>
        <w:rPr>
          <w:rFonts w:hint="eastAsia" w:cs="宋体" w:asciiTheme="majorEastAsia" w:hAnsiTheme="majorEastAsia" w:eastAsiaTheme="majorEastAsia"/>
          <w:b w:val="0"/>
          <w:bCs w:val="0"/>
          <w:color w:val="000000"/>
          <w:kern w:val="2"/>
          <w:sz w:val="24"/>
          <w:szCs w:val="24"/>
          <w:lang w:val="zh-CN"/>
        </w:rPr>
        <w:t>开标地点：</w:t>
      </w:r>
      <w:bookmarkEnd w:id="210"/>
      <w:bookmarkEnd w:id="211"/>
      <w:r>
        <w:rPr>
          <w:rFonts w:hint="eastAsia" w:cs="宋体" w:asciiTheme="majorEastAsia" w:hAnsiTheme="majorEastAsia" w:eastAsiaTheme="majorEastAsia"/>
          <w:b w:val="0"/>
          <w:bCs w:val="0"/>
          <w:color w:val="000000"/>
          <w:kern w:val="2"/>
          <w:sz w:val="24"/>
          <w:szCs w:val="24"/>
          <w:lang w:val="zh-CN"/>
        </w:rPr>
        <w:t>见投标须知前附表。</w:t>
      </w:r>
      <w:bookmarkEnd w:id="212"/>
      <w:bookmarkEnd w:id="213"/>
      <w:bookmarkEnd w:id="214"/>
      <w:bookmarkEnd w:id="215"/>
      <w:bookmarkEnd w:id="216"/>
    </w:p>
    <w:p>
      <w:pPr>
        <w:pStyle w:val="28"/>
        <w:spacing w:before="0" w:after="0" w:line="360" w:lineRule="auto"/>
        <w:ind w:left="55" w:leftChars="0" w:hanging="55" w:hangingChars="23"/>
        <w:jc w:val="left"/>
        <w:outlineLvl w:val="9"/>
        <w:rPr>
          <w:rFonts w:cs="宋体" w:asciiTheme="majorEastAsia" w:hAnsiTheme="majorEastAsia" w:eastAsiaTheme="majorEastAsia"/>
          <w:color w:val="000000"/>
          <w:sz w:val="24"/>
          <w:szCs w:val="24"/>
        </w:rPr>
      </w:pPr>
      <w:bookmarkStart w:id="217" w:name="_Toc445473523"/>
      <w:bookmarkStart w:id="218" w:name="_Toc30499"/>
      <w:bookmarkStart w:id="219" w:name="_Toc504654718"/>
      <w:bookmarkStart w:id="220" w:name="_Toc504479683"/>
      <w:bookmarkStart w:id="221" w:name="_Toc504479232"/>
      <w:r>
        <w:rPr>
          <w:rFonts w:cs="宋体" w:asciiTheme="majorEastAsia" w:hAnsiTheme="majorEastAsia" w:eastAsiaTheme="majorEastAsia"/>
          <w:b w:val="0"/>
          <w:bCs w:val="0"/>
          <w:color w:val="000000"/>
          <w:kern w:val="2"/>
          <w:sz w:val="24"/>
          <w:szCs w:val="24"/>
          <w:lang w:val="zh-CN"/>
        </w:rPr>
        <w:t>1.3</w:t>
      </w:r>
      <w:r>
        <w:rPr>
          <w:rFonts w:hint="eastAsia" w:cs="宋体" w:asciiTheme="majorEastAsia" w:hAnsiTheme="majorEastAsia" w:eastAsiaTheme="majorEastAsia"/>
          <w:b w:val="0"/>
          <w:bCs w:val="0"/>
          <w:color w:val="000000"/>
          <w:kern w:val="2"/>
          <w:sz w:val="24"/>
          <w:szCs w:val="24"/>
          <w:lang w:val="zh-CN"/>
        </w:rPr>
        <w:t>招标代理机构主持会议并做好开标记录</w:t>
      </w:r>
      <w:r>
        <w:rPr>
          <w:rFonts w:hint="eastAsia" w:cs="宋体" w:asciiTheme="majorEastAsia" w:hAnsiTheme="majorEastAsia" w:eastAsiaTheme="majorEastAsia"/>
          <w:b w:val="0"/>
          <w:color w:val="000000"/>
          <w:sz w:val="24"/>
          <w:szCs w:val="24"/>
        </w:rPr>
        <w:t>。</w:t>
      </w:r>
      <w:bookmarkEnd w:id="217"/>
      <w:bookmarkEnd w:id="218"/>
      <w:bookmarkEnd w:id="219"/>
      <w:bookmarkEnd w:id="220"/>
      <w:bookmarkEnd w:id="221"/>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rPr>
      </w:pPr>
      <w:bookmarkStart w:id="222" w:name="_Toc435021113"/>
      <w:bookmarkStart w:id="223" w:name="_Toc429224683"/>
      <w:bookmarkStart w:id="224" w:name="_Toc31190"/>
      <w:bookmarkStart w:id="225" w:name="_Toc445473524"/>
      <w:bookmarkStart w:id="226" w:name="_Toc504479684"/>
      <w:bookmarkStart w:id="227" w:name="_Toc504479233"/>
      <w:bookmarkStart w:id="228" w:name="_Toc504654719"/>
      <w:r>
        <w:rPr>
          <w:rFonts w:cs="宋体" w:asciiTheme="majorEastAsia" w:hAnsiTheme="majorEastAsia" w:eastAsiaTheme="majorEastAsia"/>
          <w:b w:val="0"/>
          <w:bCs w:val="0"/>
          <w:color w:val="000000"/>
          <w:kern w:val="2"/>
          <w:sz w:val="24"/>
          <w:szCs w:val="24"/>
        </w:rPr>
        <w:t>1.</w:t>
      </w:r>
      <w:bookmarkEnd w:id="222"/>
      <w:bookmarkEnd w:id="223"/>
      <w:r>
        <w:rPr>
          <w:rFonts w:cs="宋体" w:asciiTheme="majorEastAsia" w:hAnsiTheme="majorEastAsia" w:eastAsiaTheme="majorEastAsia"/>
          <w:b w:val="0"/>
          <w:bCs w:val="0"/>
          <w:color w:val="000000"/>
          <w:kern w:val="2"/>
          <w:sz w:val="24"/>
          <w:szCs w:val="24"/>
        </w:rPr>
        <w:t xml:space="preserve"> 4</w:t>
      </w:r>
      <w:r>
        <w:rPr>
          <w:rFonts w:hint="eastAsia" w:cs="宋体" w:asciiTheme="majorEastAsia" w:hAnsiTheme="majorEastAsia" w:eastAsiaTheme="majorEastAsia"/>
          <w:b w:val="0"/>
          <w:bCs w:val="0"/>
          <w:color w:val="000000"/>
          <w:kern w:val="2"/>
          <w:sz w:val="24"/>
          <w:szCs w:val="24"/>
        </w:rPr>
        <w:t>供应商须派法定代表人或授权委托人准时参加开标会议并签名报到，以证明其出席开标会议。</w:t>
      </w:r>
      <w:bookmarkEnd w:id="224"/>
      <w:bookmarkEnd w:id="225"/>
      <w:bookmarkEnd w:id="226"/>
      <w:bookmarkEnd w:id="227"/>
      <w:bookmarkEnd w:id="228"/>
    </w:p>
    <w:p>
      <w:pPr>
        <w:pStyle w:val="28"/>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rPr>
      </w:pPr>
      <w:bookmarkStart w:id="229" w:name="_Toc504654720"/>
      <w:bookmarkStart w:id="230" w:name="_Toc445473525"/>
      <w:bookmarkStart w:id="231" w:name="_Toc8980"/>
      <w:bookmarkStart w:id="232" w:name="_Toc504479234"/>
      <w:bookmarkStart w:id="233" w:name="_Toc504479685"/>
      <w:r>
        <w:rPr>
          <w:rFonts w:cs="宋体" w:asciiTheme="majorEastAsia" w:hAnsiTheme="majorEastAsia" w:eastAsiaTheme="majorEastAsia"/>
          <w:color w:val="000000"/>
          <w:kern w:val="2"/>
          <w:sz w:val="24"/>
          <w:szCs w:val="24"/>
        </w:rPr>
        <w:t>2</w:t>
      </w:r>
      <w:r>
        <w:rPr>
          <w:rFonts w:hint="eastAsia" w:cs="宋体" w:asciiTheme="majorEastAsia" w:hAnsiTheme="majorEastAsia" w:eastAsiaTheme="majorEastAsia"/>
          <w:color w:val="000000"/>
          <w:kern w:val="2"/>
          <w:sz w:val="24"/>
          <w:szCs w:val="24"/>
        </w:rPr>
        <w:t>、开标会议程序</w:t>
      </w:r>
      <w:bookmarkEnd w:id="229"/>
      <w:bookmarkEnd w:id="230"/>
      <w:bookmarkEnd w:id="231"/>
      <w:bookmarkEnd w:id="232"/>
      <w:bookmarkEnd w:id="233"/>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34" w:name="_Toc435021115"/>
      <w:bookmarkStart w:id="235" w:name="_Toc429224685"/>
      <w:bookmarkStart w:id="236" w:name="_Toc445473526"/>
      <w:bookmarkStart w:id="237" w:name="_Toc72"/>
      <w:bookmarkStart w:id="238" w:name="_Toc504479686"/>
      <w:bookmarkStart w:id="239" w:name="_Toc504479235"/>
      <w:bookmarkStart w:id="240" w:name="_Toc504654721"/>
      <w:r>
        <w:rPr>
          <w:rFonts w:cs="宋体" w:asciiTheme="majorEastAsia" w:hAnsiTheme="majorEastAsia" w:eastAsiaTheme="majorEastAsia"/>
          <w:b w:val="0"/>
          <w:bCs w:val="0"/>
          <w:color w:val="000000"/>
          <w:kern w:val="2"/>
          <w:sz w:val="24"/>
          <w:szCs w:val="24"/>
        </w:rPr>
        <w:t>2.</w:t>
      </w:r>
      <w:bookmarkEnd w:id="234"/>
      <w:bookmarkEnd w:id="235"/>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lang w:val="zh-CN"/>
        </w:rPr>
        <w:t>开标由招标代理主持，邀请所有供应商参加，并在招标文件规定的时间、地点公开进行，同时接受招标监督部门的监督。</w:t>
      </w:r>
      <w:bookmarkEnd w:id="236"/>
      <w:bookmarkEnd w:id="237"/>
      <w:bookmarkEnd w:id="238"/>
      <w:bookmarkEnd w:id="239"/>
      <w:bookmarkEnd w:id="240"/>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41" w:name="_Toc504654722"/>
      <w:bookmarkStart w:id="242" w:name="_Toc445473527"/>
      <w:bookmarkStart w:id="243" w:name="_Toc504479687"/>
      <w:bookmarkStart w:id="244" w:name="_Toc22293"/>
      <w:bookmarkStart w:id="245" w:name="_Toc504479236"/>
      <w:r>
        <w:rPr>
          <w:rFonts w:cs="宋体" w:asciiTheme="majorEastAsia" w:hAnsiTheme="majorEastAsia" w:eastAsiaTheme="majorEastAsia"/>
          <w:b w:val="0"/>
          <w:bCs w:val="0"/>
          <w:color w:val="000000"/>
          <w:kern w:val="2"/>
          <w:sz w:val="24"/>
          <w:szCs w:val="24"/>
          <w:lang w:val="zh-CN"/>
        </w:rPr>
        <w:t>2.2</w:t>
      </w:r>
      <w:r>
        <w:rPr>
          <w:rFonts w:hint="eastAsia" w:cs="宋体" w:asciiTheme="majorEastAsia" w:hAnsiTheme="majorEastAsia" w:eastAsiaTheme="majorEastAsia"/>
          <w:b w:val="0"/>
          <w:bCs w:val="0"/>
          <w:color w:val="000000"/>
          <w:kern w:val="2"/>
          <w:sz w:val="24"/>
          <w:szCs w:val="24"/>
          <w:lang w:val="zh-CN"/>
        </w:rPr>
        <w:t>开标时间到后，主持人宣布开标会议正式开始。</w:t>
      </w:r>
      <w:bookmarkEnd w:id="241"/>
      <w:bookmarkEnd w:id="242"/>
      <w:bookmarkEnd w:id="243"/>
      <w:bookmarkEnd w:id="244"/>
      <w:bookmarkEnd w:id="245"/>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46" w:name="_Toc429224687"/>
      <w:bookmarkStart w:id="247" w:name="_Toc435021117"/>
      <w:bookmarkStart w:id="248" w:name="_Toc504479688"/>
      <w:bookmarkStart w:id="249" w:name="_Toc504479237"/>
      <w:bookmarkStart w:id="250" w:name="_Toc445473528"/>
      <w:bookmarkStart w:id="251" w:name="_Toc23519"/>
      <w:bookmarkStart w:id="252" w:name="_Toc504654723"/>
      <w:r>
        <w:rPr>
          <w:rFonts w:cs="宋体" w:asciiTheme="majorEastAsia" w:hAnsiTheme="majorEastAsia" w:eastAsiaTheme="majorEastAsia"/>
          <w:b w:val="0"/>
          <w:bCs w:val="0"/>
          <w:color w:val="000000"/>
          <w:kern w:val="2"/>
          <w:sz w:val="24"/>
          <w:szCs w:val="24"/>
          <w:lang w:val="zh-CN"/>
        </w:rPr>
        <w:t>2.</w:t>
      </w:r>
      <w:bookmarkEnd w:id="246"/>
      <w:bookmarkEnd w:id="247"/>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宣布开标会议纪律。</w:t>
      </w:r>
      <w:bookmarkEnd w:id="248"/>
      <w:bookmarkEnd w:id="249"/>
      <w:bookmarkEnd w:id="250"/>
      <w:bookmarkEnd w:id="251"/>
      <w:bookmarkEnd w:id="25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3" w:name="_Toc445473529"/>
      <w:bookmarkStart w:id="254" w:name="_Toc504479238"/>
      <w:bookmarkStart w:id="255" w:name="_Toc504654724"/>
      <w:bookmarkStart w:id="256" w:name="_Toc504479689"/>
      <w:bookmarkStart w:id="257" w:name="_Toc29854"/>
      <w:r>
        <w:rPr>
          <w:rFonts w:hint="eastAsia" w:cs="宋体" w:asciiTheme="majorEastAsia" w:hAnsiTheme="majorEastAsia" w:eastAsiaTheme="majorEastAsia"/>
          <w:b w:val="0"/>
          <w:bCs w:val="0"/>
          <w:color w:val="000000"/>
          <w:kern w:val="2"/>
          <w:sz w:val="24"/>
          <w:szCs w:val="24"/>
          <w:lang w:val="zh-CN"/>
        </w:rPr>
        <w:t>①到会人员成自觉维护会场秩序，服从会务人员安排。</w:t>
      </w:r>
      <w:bookmarkEnd w:id="253"/>
      <w:bookmarkEnd w:id="254"/>
      <w:bookmarkEnd w:id="255"/>
      <w:bookmarkEnd w:id="256"/>
      <w:bookmarkEnd w:id="257"/>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58" w:name="_Toc504654725"/>
      <w:bookmarkStart w:id="259" w:name="_Toc504479690"/>
      <w:bookmarkStart w:id="260" w:name="_Toc445473530"/>
      <w:bookmarkStart w:id="261" w:name="_Toc11515"/>
      <w:bookmarkStart w:id="262" w:name="_Toc504479239"/>
      <w:r>
        <w:rPr>
          <w:rFonts w:hint="eastAsia" w:cs="宋体" w:asciiTheme="majorEastAsia" w:hAnsiTheme="majorEastAsia" w:eastAsiaTheme="majorEastAsia"/>
          <w:b w:val="0"/>
          <w:bCs w:val="0"/>
          <w:color w:val="000000"/>
          <w:kern w:val="2"/>
          <w:sz w:val="24"/>
          <w:szCs w:val="24"/>
          <w:lang w:val="zh-CN"/>
        </w:rPr>
        <w:t>②所有与会人员的通讯工具暂停使用。</w:t>
      </w:r>
      <w:bookmarkEnd w:id="258"/>
      <w:bookmarkEnd w:id="259"/>
      <w:bookmarkEnd w:id="260"/>
      <w:bookmarkEnd w:id="261"/>
      <w:bookmarkEnd w:id="26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3" w:name="_Toc21578"/>
      <w:bookmarkStart w:id="264" w:name="_Toc504654726"/>
      <w:bookmarkStart w:id="265" w:name="_Toc445473531"/>
      <w:bookmarkStart w:id="266" w:name="_Toc504479691"/>
      <w:bookmarkStart w:id="267" w:name="_Toc504479240"/>
      <w:r>
        <w:rPr>
          <w:rFonts w:hint="eastAsia" w:cs="宋体" w:asciiTheme="majorEastAsia" w:hAnsiTheme="majorEastAsia" w:eastAsiaTheme="majorEastAsia"/>
          <w:b w:val="0"/>
          <w:bCs w:val="0"/>
          <w:color w:val="000000"/>
          <w:kern w:val="2"/>
          <w:sz w:val="24"/>
          <w:szCs w:val="24"/>
          <w:lang w:val="zh-CN"/>
        </w:rPr>
        <w:t>③非工作原因，不得来回走动。</w:t>
      </w:r>
      <w:bookmarkEnd w:id="263"/>
      <w:bookmarkEnd w:id="264"/>
      <w:bookmarkEnd w:id="265"/>
      <w:bookmarkEnd w:id="266"/>
      <w:bookmarkEnd w:id="267"/>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68" w:name="_Toc445473532"/>
      <w:bookmarkStart w:id="269" w:name="_Toc504654727"/>
      <w:bookmarkStart w:id="270" w:name="_Toc504479692"/>
      <w:bookmarkStart w:id="271" w:name="_Toc504479241"/>
      <w:bookmarkStart w:id="272" w:name="_Toc9368"/>
      <w:r>
        <w:rPr>
          <w:rFonts w:hint="eastAsia" w:cs="宋体" w:asciiTheme="majorEastAsia" w:hAnsiTheme="majorEastAsia" w:eastAsiaTheme="majorEastAsia"/>
          <w:b w:val="0"/>
          <w:bCs w:val="0"/>
          <w:color w:val="000000"/>
          <w:kern w:val="2"/>
          <w:sz w:val="24"/>
          <w:szCs w:val="24"/>
          <w:lang w:val="zh-CN"/>
        </w:rPr>
        <w:t>④供应商如有异议，可向采购人和监督部门书面陈述，不得高声喧哗，妨碍正常开标。</w:t>
      </w:r>
      <w:bookmarkEnd w:id="268"/>
      <w:bookmarkEnd w:id="269"/>
      <w:bookmarkEnd w:id="270"/>
      <w:bookmarkEnd w:id="271"/>
      <w:bookmarkEnd w:id="27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3" w:name="_Toc504654728"/>
      <w:bookmarkStart w:id="274" w:name="_Toc504479693"/>
      <w:bookmarkStart w:id="275" w:name="_Toc504479242"/>
      <w:bookmarkStart w:id="276" w:name="_Toc31407"/>
      <w:bookmarkStart w:id="277" w:name="_Toc445473533"/>
      <w:r>
        <w:rPr>
          <w:rFonts w:cs="宋体" w:asciiTheme="majorEastAsia" w:hAnsiTheme="majorEastAsia" w:eastAsiaTheme="majorEastAsia"/>
          <w:b w:val="0"/>
          <w:bCs w:val="0"/>
          <w:color w:val="000000"/>
          <w:kern w:val="2"/>
          <w:sz w:val="24"/>
          <w:szCs w:val="24"/>
          <w:lang w:val="zh-CN"/>
        </w:rPr>
        <w:t>2.4</w:t>
      </w:r>
      <w:r>
        <w:rPr>
          <w:rFonts w:hint="eastAsia" w:cs="宋体" w:asciiTheme="majorEastAsia" w:hAnsiTheme="majorEastAsia" w:eastAsiaTheme="majorEastAsia"/>
          <w:b w:val="0"/>
          <w:bCs w:val="0"/>
          <w:color w:val="000000"/>
          <w:kern w:val="2"/>
          <w:sz w:val="24"/>
          <w:szCs w:val="24"/>
          <w:lang w:val="zh-CN"/>
        </w:rPr>
        <w:t>介绍到会监督部门代表、采购人代表及供应商。</w:t>
      </w:r>
      <w:bookmarkEnd w:id="273"/>
      <w:bookmarkEnd w:id="274"/>
      <w:bookmarkEnd w:id="275"/>
      <w:bookmarkEnd w:id="276"/>
      <w:bookmarkEnd w:id="277"/>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78" w:name="_Toc504479694"/>
      <w:bookmarkStart w:id="279" w:name="_Toc504654729"/>
      <w:bookmarkStart w:id="280" w:name="_Toc445473534"/>
      <w:bookmarkStart w:id="281" w:name="_Toc5720"/>
      <w:bookmarkStart w:id="282" w:name="_Toc504479243"/>
      <w:r>
        <w:rPr>
          <w:rFonts w:cs="宋体" w:asciiTheme="majorEastAsia" w:hAnsiTheme="majorEastAsia" w:eastAsiaTheme="majorEastAsia"/>
          <w:b w:val="0"/>
          <w:bCs w:val="0"/>
          <w:color w:val="000000"/>
          <w:kern w:val="2"/>
          <w:sz w:val="24"/>
          <w:szCs w:val="24"/>
          <w:lang w:val="zh-CN"/>
        </w:rPr>
        <w:t>2.5</w:t>
      </w:r>
      <w:r>
        <w:rPr>
          <w:rFonts w:hint="eastAsia" w:cs="宋体" w:asciiTheme="majorEastAsia" w:hAnsiTheme="majorEastAsia" w:eastAsiaTheme="majorEastAsia"/>
          <w:b w:val="0"/>
          <w:bCs w:val="0"/>
          <w:color w:val="000000"/>
          <w:kern w:val="2"/>
          <w:sz w:val="24"/>
          <w:szCs w:val="24"/>
          <w:lang w:val="zh-CN"/>
        </w:rPr>
        <w:t>由供应商与监督部门同时检查投标文件密封情况，并宣布检查结果。</w:t>
      </w:r>
      <w:bookmarkEnd w:id="278"/>
      <w:bookmarkEnd w:id="279"/>
      <w:bookmarkEnd w:id="280"/>
      <w:bookmarkEnd w:id="281"/>
      <w:bookmarkEnd w:id="28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3" w:name="_Toc504479244"/>
      <w:bookmarkStart w:id="284" w:name="_Toc20670"/>
      <w:bookmarkStart w:id="285" w:name="_Toc504654730"/>
      <w:bookmarkStart w:id="286" w:name="_Toc504479695"/>
      <w:bookmarkStart w:id="287" w:name="_Toc445473535"/>
      <w:r>
        <w:rPr>
          <w:rFonts w:cs="宋体" w:asciiTheme="majorEastAsia" w:hAnsiTheme="majorEastAsia" w:eastAsiaTheme="majorEastAsia"/>
          <w:b w:val="0"/>
          <w:bCs w:val="0"/>
          <w:color w:val="000000"/>
          <w:kern w:val="2"/>
          <w:sz w:val="24"/>
          <w:szCs w:val="24"/>
          <w:lang w:val="zh-CN"/>
        </w:rPr>
        <w:t>2.6</w:t>
      </w:r>
      <w:r>
        <w:rPr>
          <w:rFonts w:hint="eastAsia" w:cs="宋体" w:asciiTheme="majorEastAsia" w:hAnsiTheme="majorEastAsia" w:eastAsiaTheme="majorEastAsia"/>
          <w:b w:val="0"/>
          <w:bCs w:val="0"/>
          <w:color w:val="000000"/>
          <w:kern w:val="2"/>
          <w:sz w:val="24"/>
          <w:szCs w:val="24"/>
          <w:lang w:val="zh-CN"/>
        </w:rPr>
        <w:t>唱标并制作开标记录表。</w:t>
      </w:r>
      <w:bookmarkEnd w:id="283"/>
      <w:bookmarkEnd w:id="284"/>
      <w:bookmarkEnd w:id="285"/>
      <w:bookmarkEnd w:id="286"/>
      <w:bookmarkEnd w:id="287"/>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88" w:name="_Toc504479245"/>
      <w:bookmarkStart w:id="289" w:name="_Toc504479696"/>
      <w:bookmarkStart w:id="290" w:name="_Toc445473536"/>
      <w:bookmarkStart w:id="291" w:name="_Toc504654731"/>
      <w:bookmarkStart w:id="292" w:name="_Toc989"/>
      <w:r>
        <w:rPr>
          <w:rFonts w:cs="宋体" w:asciiTheme="majorEastAsia" w:hAnsiTheme="majorEastAsia" w:eastAsiaTheme="majorEastAsia"/>
          <w:b w:val="0"/>
          <w:bCs w:val="0"/>
          <w:color w:val="000000"/>
          <w:kern w:val="2"/>
          <w:sz w:val="24"/>
          <w:szCs w:val="24"/>
          <w:lang w:val="zh-CN"/>
        </w:rPr>
        <w:t>2.7</w:t>
      </w:r>
      <w:r>
        <w:rPr>
          <w:rFonts w:hint="eastAsia" w:cs="宋体" w:asciiTheme="majorEastAsia" w:hAnsiTheme="majorEastAsia" w:eastAsiaTheme="majorEastAsia"/>
          <w:b w:val="0"/>
          <w:bCs w:val="0"/>
          <w:color w:val="000000"/>
          <w:kern w:val="2"/>
          <w:sz w:val="24"/>
          <w:szCs w:val="24"/>
          <w:lang w:val="zh-CN"/>
        </w:rPr>
        <w:t>宣布暂时休会，转入评标程序。</w:t>
      </w:r>
      <w:bookmarkEnd w:id="288"/>
      <w:bookmarkEnd w:id="289"/>
      <w:bookmarkEnd w:id="290"/>
      <w:bookmarkEnd w:id="291"/>
      <w:bookmarkEnd w:id="292"/>
    </w:p>
    <w:p>
      <w:pPr>
        <w:pStyle w:val="28"/>
        <w:spacing w:before="0" w:after="0" w:line="360" w:lineRule="auto"/>
        <w:ind w:left="55" w:leftChars="0" w:hanging="55" w:hangingChars="23"/>
        <w:jc w:val="left"/>
        <w:outlineLvl w:val="9"/>
        <w:rPr>
          <w:rFonts w:cs="宋体" w:asciiTheme="majorEastAsia" w:hAnsiTheme="majorEastAsia" w:eastAsiaTheme="majorEastAsia"/>
          <w:b w:val="0"/>
          <w:bCs w:val="0"/>
          <w:color w:val="000000"/>
          <w:kern w:val="2"/>
          <w:sz w:val="24"/>
          <w:szCs w:val="24"/>
          <w:lang w:val="zh-CN"/>
        </w:rPr>
      </w:pPr>
      <w:bookmarkStart w:id="293" w:name="_Toc504479697"/>
      <w:bookmarkStart w:id="294" w:name="_Toc504654732"/>
      <w:bookmarkStart w:id="295" w:name="_Toc25661"/>
      <w:bookmarkStart w:id="296" w:name="_Toc504479246"/>
      <w:bookmarkStart w:id="297" w:name="_Toc445473537"/>
      <w:r>
        <w:rPr>
          <w:rFonts w:cs="宋体" w:asciiTheme="majorEastAsia" w:hAnsiTheme="majorEastAsia" w:eastAsiaTheme="majorEastAsia"/>
          <w:b w:val="0"/>
          <w:bCs w:val="0"/>
          <w:color w:val="000000"/>
          <w:kern w:val="2"/>
          <w:sz w:val="24"/>
          <w:szCs w:val="24"/>
          <w:lang w:val="zh-CN"/>
        </w:rPr>
        <w:t>2.8</w:t>
      </w:r>
      <w:r>
        <w:rPr>
          <w:rFonts w:hint="eastAsia" w:cs="宋体" w:asciiTheme="majorEastAsia" w:hAnsiTheme="majorEastAsia" w:eastAsiaTheme="majorEastAsia"/>
          <w:b w:val="0"/>
          <w:bCs w:val="0"/>
          <w:color w:val="000000"/>
          <w:kern w:val="2"/>
          <w:sz w:val="24"/>
          <w:szCs w:val="24"/>
          <w:lang w:val="zh-CN"/>
        </w:rPr>
        <w:t>开标会议结束。</w:t>
      </w:r>
      <w:bookmarkEnd w:id="293"/>
      <w:bookmarkEnd w:id="294"/>
      <w:bookmarkEnd w:id="295"/>
      <w:bookmarkEnd w:id="296"/>
      <w:bookmarkEnd w:id="297"/>
    </w:p>
    <w:p>
      <w:pPr>
        <w:pStyle w:val="28"/>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298" w:name="_Toc504479698"/>
      <w:bookmarkStart w:id="299" w:name="_Toc504654733"/>
      <w:bookmarkStart w:id="300" w:name="_Toc445473538"/>
      <w:bookmarkStart w:id="301" w:name="_Toc13265"/>
      <w:bookmarkStart w:id="302" w:name="_Toc504479247"/>
      <w:r>
        <w:rPr>
          <w:rFonts w:cs="宋体" w:asciiTheme="majorEastAsia" w:hAnsiTheme="majorEastAsia" w:eastAsiaTheme="majorEastAsia"/>
          <w:color w:val="000000"/>
          <w:kern w:val="2"/>
          <w:sz w:val="24"/>
          <w:szCs w:val="24"/>
          <w:lang w:val="zh-CN"/>
        </w:rPr>
        <w:t>3</w:t>
      </w:r>
      <w:r>
        <w:rPr>
          <w:rFonts w:hint="eastAsia" w:cs="宋体" w:asciiTheme="majorEastAsia" w:hAnsiTheme="majorEastAsia" w:eastAsiaTheme="majorEastAsia"/>
          <w:color w:val="000000"/>
          <w:kern w:val="2"/>
          <w:sz w:val="24"/>
          <w:szCs w:val="24"/>
          <w:lang w:val="zh-CN"/>
        </w:rPr>
        <w:t>、不予接收的投标文件</w:t>
      </w:r>
      <w:bookmarkEnd w:id="298"/>
      <w:bookmarkEnd w:id="299"/>
      <w:bookmarkEnd w:id="300"/>
      <w:bookmarkEnd w:id="301"/>
      <w:bookmarkEnd w:id="302"/>
    </w:p>
    <w:p>
      <w:pPr>
        <w:pStyle w:val="28"/>
        <w:spacing w:before="0" w:after="0" w:line="360" w:lineRule="auto"/>
        <w:ind w:left="-3" w:leftChars="0" w:firstLine="3" w:firstLineChars="0"/>
        <w:jc w:val="left"/>
        <w:outlineLvl w:val="9"/>
        <w:rPr>
          <w:rFonts w:cs="宋体" w:asciiTheme="majorEastAsia" w:hAnsiTheme="majorEastAsia" w:eastAsiaTheme="majorEastAsia"/>
          <w:b w:val="0"/>
          <w:bCs w:val="0"/>
          <w:color w:val="000000"/>
          <w:kern w:val="2"/>
          <w:sz w:val="24"/>
          <w:szCs w:val="24"/>
          <w:lang w:val="zh-CN"/>
        </w:rPr>
      </w:pPr>
      <w:bookmarkStart w:id="303" w:name="_Toc445473539"/>
      <w:bookmarkStart w:id="304" w:name="_Toc6443"/>
      <w:bookmarkStart w:id="305" w:name="_Toc504654734"/>
      <w:bookmarkStart w:id="306" w:name="_Toc504479699"/>
      <w:bookmarkStart w:id="307" w:name="_Toc504479248"/>
      <w:r>
        <w:rPr>
          <w:rFonts w:hint="eastAsia" w:cs="宋体" w:asciiTheme="majorEastAsia" w:hAnsiTheme="majorEastAsia" w:eastAsiaTheme="majorEastAsia"/>
          <w:b w:val="0"/>
          <w:bCs w:val="0"/>
          <w:color w:val="000000"/>
          <w:kern w:val="2"/>
          <w:sz w:val="24"/>
          <w:szCs w:val="24"/>
          <w:lang w:val="zh-CN"/>
        </w:rPr>
        <w:t>投标文件有下列情况之一者将被视为无效：</w:t>
      </w:r>
      <w:bookmarkEnd w:id="303"/>
      <w:bookmarkEnd w:id="304"/>
      <w:bookmarkEnd w:id="305"/>
      <w:bookmarkEnd w:id="306"/>
      <w:bookmarkEnd w:id="307"/>
      <w:bookmarkStart w:id="308" w:name="_Toc504479700"/>
      <w:bookmarkStart w:id="309" w:name="_Toc445473540"/>
      <w:bookmarkStart w:id="310" w:name="_Toc504654735"/>
      <w:bookmarkStart w:id="311" w:name="_Toc504479249"/>
    </w:p>
    <w:p>
      <w:pPr>
        <w:pStyle w:val="28"/>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12" w:name="_Toc14926"/>
      <w:r>
        <w:rPr>
          <w:rFonts w:hint="eastAsia" w:cs="宋体" w:asciiTheme="majorEastAsia" w:hAnsiTheme="majorEastAsia" w:eastAsiaTheme="majorEastAsia"/>
          <w:b w:val="0"/>
          <w:bCs w:val="0"/>
          <w:color w:val="000000"/>
          <w:kern w:val="2"/>
          <w:sz w:val="24"/>
          <w:szCs w:val="24"/>
          <w:lang w:val="zh-CN"/>
        </w:rPr>
        <w:t>投标文件未按规定密封</w:t>
      </w:r>
      <w:bookmarkEnd w:id="308"/>
      <w:bookmarkEnd w:id="309"/>
      <w:bookmarkEnd w:id="310"/>
      <w:bookmarkEnd w:id="311"/>
      <w:bookmarkStart w:id="313" w:name="_Toc504479250"/>
      <w:bookmarkStart w:id="314" w:name="_Toc504654736"/>
      <w:bookmarkStart w:id="315" w:name="_Toc504479701"/>
      <w:bookmarkStart w:id="316" w:name="_Toc445473541"/>
      <w:r>
        <w:rPr>
          <w:rFonts w:hint="eastAsia" w:cs="宋体" w:asciiTheme="majorEastAsia" w:hAnsiTheme="majorEastAsia" w:eastAsiaTheme="majorEastAsia"/>
          <w:b w:val="0"/>
          <w:bCs w:val="0"/>
          <w:color w:val="000000"/>
          <w:kern w:val="2"/>
          <w:sz w:val="24"/>
          <w:szCs w:val="24"/>
          <w:lang w:val="zh-CN"/>
        </w:rPr>
        <w:t>；</w:t>
      </w:r>
      <w:bookmarkEnd w:id="312"/>
    </w:p>
    <w:p>
      <w:pPr>
        <w:pStyle w:val="28"/>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17" w:name="_Toc15103"/>
      <w:r>
        <w:rPr>
          <w:rFonts w:hint="eastAsia" w:cs="宋体" w:asciiTheme="majorEastAsia" w:hAnsiTheme="majorEastAsia" w:eastAsiaTheme="majorEastAsia"/>
          <w:b w:val="0"/>
          <w:bCs w:val="0"/>
          <w:color w:val="000000"/>
          <w:kern w:val="2"/>
          <w:sz w:val="24"/>
          <w:szCs w:val="24"/>
          <w:lang w:val="zh-CN"/>
        </w:rPr>
        <w:t>投标截止时间以后送达的投标文件</w:t>
      </w:r>
      <w:bookmarkEnd w:id="313"/>
      <w:bookmarkEnd w:id="314"/>
      <w:bookmarkEnd w:id="315"/>
      <w:bookmarkEnd w:id="316"/>
      <w:r>
        <w:rPr>
          <w:rFonts w:hint="eastAsia" w:cs="宋体" w:asciiTheme="majorEastAsia" w:hAnsiTheme="majorEastAsia" w:eastAsiaTheme="majorEastAsia"/>
          <w:b w:val="0"/>
          <w:bCs w:val="0"/>
          <w:color w:val="000000"/>
          <w:kern w:val="2"/>
          <w:sz w:val="24"/>
          <w:szCs w:val="24"/>
          <w:lang w:val="zh-CN"/>
        </w:rPr>
        <w:t>；</w:t>
      </w:r>
      <w:bookmarkEnd w:id="317"/>
      <w:bookmarkStart w:id="318" w:name="_Toc445473542"/>
      <w:bookmarkStart w:id="319" w:name="_Toc504479251"/>
      <w:bookmarkStart w:id="320" w:name="_Toc504479702"/>
      <w:bookmarkStart w:id="321" w:name="_Toc504654737"/>
    </w:p>
    <w:p>
      <w:pPr>
        <w:pStyle w:val="28"/>
        <w:numPr>
          <w:ilvl w:val="0"/>
          <w:numId w:val="2"/>
        </w:numPr>
        <w:spacing w:before="0" w:after="0" w:line="360" w:lineRule="auto"/>
        <w:ind w:left="0" w:leftChars="0" w:firstLine="0" w:firstLineChars="0"/>
        <w:jc w:val="left"/>
        <w:outlineLvl w:val="9"/>
        <w:rPr>
          <w:rFonts w:cs="宋体" w:asciiTheme="majorEastAsia" w:hAnsiTheme="majorEastAsia" w:eastAsiaTheme="majorEastAsia"/>
          <w:b w:val="0"/>
          <w:bCs w:val="0"/>
          <w:color w:val="000000"/>
          <w:kern w:val="2"/>
          <w:sz w:val="24"/>
          <w:szCs w:val="24"/>
          <w:lang w:val="zh-CN"/>
        </w:rPr>
      </w:pPr>
      <w:bookmarkStart w:id="322" w:name="_Toc17808"/>
      <w:r>
        <w:rPr>
          <w:rFonts w:hint="eastAsia" w:cs="宋体" w:asciiTheme="majorEastAsia" w:hAnsiTheme="majorEastAsia" w:eastAsiaTheme="majorEastAsia"/>
          <w:b w:val="0"/>
          <w:bCs w:val="0"/>
          <w:color w:val="000000"/>
          <w:kern w:val="2"/>
          <w:sz w:val="24"/>
          <w:szCs w:val="24"/>
          <w:lang w:val="zh-CN"/>
        </w:rPr>
        <w:t>没按规定提交投标保证金的。</w:t>
      </w:r>
      <w:bookmarkEnd w:id="318"/>
      <w:bookmarkEnd w:id="319"/>
      <w:bookmarkEnd w:id="320"/>
      <w:bookmarkEnd w:id="321"/>
      <w:bookmarkEnd w:id="322"/>
    </w:p>
    <w:p>
      <w:pPr>
        <w:spacing w:line="360" w:lineRule="auto"/>
        <w:ind w:left="21" w:leftChars="-40" w:hanging="105" w:hangingChars="35"/>
        <w:rPr>
          <w:rFonts w:cs="宋体" w:asciiTheme="majorEastAsia" w:hAnsiTheme="majorEastAsia" w:eastAsiaTheme="majorEastAsia"/>
          <w:b/>
          <w:bCs/>
          <w:color w:val="000000"/>
          <w:sz w:val="30"/>
          <w:szCs w:val="30"/>
          <w:lang w:val="zh-CN"/>
        </w:rPr>
      </w:pPr>
      <w:bookmarkStart w:id="323" w:name="_Toc445473543"/>
      <w:r>
        <w:rPr>
          <w:rFonts w:hint="eastAsia" w:cs="宋体" w:asciiTheme="majorEastAsia" w:hAnsiTheme="majorEastAsia" w:eastAsiaTheme="majorEastAsia"/>
          <w:b/>
          <w:bCs/>
          <w:color w:val="000000"/>
          <w:sz w:val="30"/>
          <w:szCs w:val="30"/>
          <w:lang w:val="zh-CN"/>
        </w:rPr>
        <w:t>六、评标机构</w:t>
      </w:r>
      <w:bookmarkEnd w:id="323"/>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24" w:name="_Toc5410"/>
      <w:bookmarkStart w:id="325" w:name="_Toc504479253"/>
      <w:bookmarkStart w:id="326" w:name="_Toc504654739"/>
      <w:bookmarkStart w:id="327" w:name="_Toc445473544"/>
      <w:bookmarkStart w:id="328" w:name="_Toc504479704"/>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、本项目评标委员会由有关经济、技术方面专家</w:t>
      </w:r>
      <w:r>
        <w:rPr>
          <w:rFonts w:cs="宋体" w:asciiTheme="majorEastAsia" w:hAnsiTheme="majorEastAsia" w:eastAsiaTheme="majorEastAsia"/>
          <w:b w:val="0"/>
          <w:bCs w:val="0"/>
          <w:color w:val="000000"/>
          <w:kern w:val="2"/>
          <w:sz w:val="24"/>
          <w:szCs w:val="24"/>
        </w:rPr>
        <w:t>5</w:t>
      </w:r>
      <w:r>
        <w:rPr>
          <w:rFonts w:hint="eastAsia" w:cs="宋体" w:asciiTheme="majorEastAsia" w:hAnsiTheme="majorEastAsia" w:eastAsiaTheme="majorEastAsia"/>
          <w:b w:val="0"/>
          <w:bCs w:val="0"/>
          <w:color w:val="000000"/>
          <w:kern w:val="2"/>
          <w:sz w:val="24"/>
          <w:szCs w:val="24"/>
          <w:lang w:val="zh-CN"/>
        </w:rPr>
        <w:t>人组成。</w:t>
      </w:r>
      <w:bookmarkEnd w:id="324"/>
      <w:bookmarkEnd w:id="325"/>
      <w:bookmarkEnd w:id="326"/>
      <w:bookmarkEnd w:id="327"/>
      <w:bookmarkEnd w:id="328"/>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29" w:name="_Toc504479705"/>
      <w:bookmarkStart w:id="330" w:name="_Toc22795"/>
      <w:bookmarkStart w:id="331" w:name="_Toc504479254"/>
      <w:bookmarkStart w:id="332" w:name="_Toc504654740"/>
      <w:bookmarkStart w:id="333" w:name="_Toc445473545"/>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、评标专家从有关专家库中随机抽取产生。</w:t>
      </w:r>
      <w:bookmarkEnd w:id="329"/>
      <w:bookmarkEnd w:id="330"/>
      <w:bookmarkEnd w:id="331"/>
      <w:bookmarkEnd w:id="332"/>
      <w:bookmarkEnd w:id="333"/>
    </w:p>
    <w:p>
      <w:pPr>
        <w:pStyle w:val="28"/>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34" w:name="_Toc13345"/>
      <w:bookmarkStart w:id="335" w:name="_Toc504654741"/>
      <w:bookmarkStart w:id="336" w:name="_Toc445473546"/>
      <w:bookmarkStart w:id="337" w:name="_Toc504479255"/>
      <w:bookmarkStart w:id="338" w:name="_Toc504479706"/>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、评标委员会在开标当天组建，其名单在评标结果确定前严格保密。</w:t>
      </w:r>
      <w:bookmarkEnd w:id="334"/>
      <w:bookmarkEnd w:id="335"/>
      <w:bookmarkEnd w:id="336"/>
      <w:bookmarkEnd w:id="337"/>
      <w:bookmarkEnd w:id="338"/>
    </w:p>
    <w:p>
      <w:pPr>
        <w:pStyle w:val="28"/>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39" w:name="_Toc12893"/>
      <w:bookmarkStart w:id="340" w:name="_Toc504479256"/>
      <w:bookmarkStart w:id="341" w:name="_Toc504654742"/>
      <w:bookmarkStart w:id="342" w:name="_Toc445473547"/>
      <w:bookmarkStart w:id="343" w:name="_Toc504479707"/>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、与供应商有利害关系的人应回避，不得进入评标委员会。</w:t>
      </w:r>
      <w:bookmarkEnd w:id="339"/>
      <w:bookmarkEnd w:id="340"/>
      <w:bookmarkEnd w:id="341"/>
      <w:bookmarkEnd w:id="342"/>
      <w:bookmarkEnd w:id="343"/>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lang w:val="zh-CN"/>
        </w:rPr>
      </w:pPr>
      <w:bookmarkStart w:id="344" w:name="_Toc445473548"/>
      <w:bookmarkStart w:id="345" w:name="_Toc504479257"/>
      <w:bookmarkStart w:id="346" w:name="_Toc15707"/>
      <w:bookmarkStart w:id="347" w:name="_Toc504479708"/>
      <w:bookmarkStart w:id="348" w:name="_Toc504654743"/>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lang w:val="zh-CN"/>
        </w:rPr>
        <w:t>、评标委员会成员应当客观、公正地履行职务，遵守职业道德，对所提出的评审意见承担个人责任。</w:t>
      </w:r>
      <w:bookmarkEnd w:id="344"/>
      <w:bookmarkEnd w:id="345"/>
      <w:bookmarkEnd w:id="346"/>
      <w:bookmarkEnd w:id="347"/>
      <w:bookmarkEnd w:id="348"/>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49" w:name="_Toc445473549"/>
      <w:bookmarkStart w:id="350" w:name="_Toc504479709"/>
      <w:bookmarkStart w:id="351" w:name="_Toc504654744"/>
      <w:bookmarkStart w:id="352" w:name="_Toc11964"/>
      <w:bookmarkStart w:id="353" w:name="_Toc504479258"/>
      <w:r>
        <w:rPr>
          <w:rFonts w:cs="宋体" w:asciiTheme="majorEastAsia" w:hAnsiTheme="majorEastAsia" w:eastAsiaTheme="majorEastAsia"/>
          <w:b w:val="0"/>
          <w:bCs w:val="0"/>
          <w:color w:val="000000"/>
          <w:kern w:val="2"/>
          <w:sz w:val="24"/>
          <w:szCs w:val="24"/>
        </w:rPr>
        <w:t>6.1</w:t>
      </w:r>
      <w:r>
        <w:rPr>
          <w:rFonts w:hint="eastAsia" w:cs="宋体" w:asciiTheme="majorEastAsia" w:hAnsiTheme="majorEastAsia" w:eastAsiaTheme="majorEastAsia"/>
          <w:b w:val="0"/>
          <w:bCs w:val="0"/>
          <w:color w:val="000000"/>
          <w:kern w:val="2"/>
          <w:sz w:val="24"/>
          <w:szCs w:val="24"/>
        </w:rPr>
        <w:t>评标原则</w:t>
      </w:r>
      <w:bookmarkEnd w:id="349"/>
      <w:bookmarkEnd w:id="350"/>
      <w:bookmarkEnd w:id="351"/>
      <w:bookmarkEnd w:id="352"/>
      <w:bookmarkEnd w:id="353"/>
    </w:p>
    <w:p>
      <w:pPr>
        <w:pStyle w:val="28"/>
        <w:spacing w:before="0" w:after="0" w:line="360" w:lineRule="auto"/>
        <w:ind w:left="-155" w:leftChars="-74"/>
        <w:jc w:val="left"/>
        <w:outlineLvl w:val="9"/>
        <w:rPr>
          <w:rFonts w:cs="宋体" w:asciiTheme="majorEastAsia" w:hAnsiTheme="majorEastAsia" w:eastAsiaTheme="majorEastAsia"/>
          <w:b w:val="0"/>
          <w:color w:val="000000"/>
          <w:sz w:val="24"/>
          <w:szCs w:val="24"/>
        </w:rPr>
      </w:pPr>
      <w:bookmarkStart w:id="354" w:name="_Toc504479259"/>
      <w:bookmarkStart w:id="355" w:name="_Toc504654745"/>
      <w:bookmarkStart w:id="356" w:name="_Toc504479710"/>
      <w:bookmarkStart w:id="357" w:name="_Toc445473550"/>
      <w:bookmarkStart w:id="358" w:name="_Toc31036"/>
      <w:r>
        <w:rPr>
          <w:rFonts w:hint="eastAsia" w:cs="宋体" w:asciiTheme="majorEastAsia" w:hAnsiTheme="majorEastAsia" w:eastAsiaTheme="majorEastAsia"/>
          <w:b w:val="0"/>
          <w:color w:val="000000"/>
          <w:sz w:val="24"/>
          <w:szCs w:val="24"/>
        </w:rPr>
        <w:t>评标活动遵循公平、公正、科学和择优的原则。</w:t>
      </w:r>
      <w:bookmarkEnd w:id="354"/>
      <w:bookmarkEnd w:id="355"/>
      <w:bookmarkEnd w:id="356"/>
      <w:bookmarkEnd w:id="357"/>
      <w:bookmarkEnd w:id="358"/>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59" w:name="_Toc445473551"/>
      <w:bookmarkStart w:id="360" w:name="_Toc31939"/>
      <w:bookmarkStart w:id="361" w:name="_Toc504479711"/>
      <w:bookmarkStart w:id="362" w:name="_Toc504479260"/>
      <w:bookmarkStart w:id="363" w:name="_Toc504654746"/>
      <w:r>
        <w:rPr>
          <w:rFonts w:cs="宋体" w:asciiTheme="majorEastAsia" w:hAnsiTheme="majorEastAsia" w:eastAsiaTheme="majorEastAsia"/>
          <w:b w:val="0"/>
          <w:bCs w:val="0"/>
          <w:color w:val="000000"/>
          <w:kern w:val="2"/>
          <w:sz w:val="24"/>
          <w:szCs w:val="24"/>
        </w:rPr>
        <w:t>6.2</w:t>
      </w:r>
      <w:r>
        <w:rPr>
          <w:rFonts w:hint="eastAsia" w:cs="宋体" w:asciiTheme="majorEastAsia" w:hAnsiTheme="majorEastAsia" w:eastAsiaTheme="majorEastAsia"/>
          <w:b w:val="0"/>
          <w:bCs w:val="0"/>
          <w:color w:val="000000"/>
          <w:kern w:val="2"/>
          <w:sz w:val="24"/>
          <w:szCs w:val="24"/>
        </w:rPr>
        <w:t>评标</w:t>
      </w:r>
      <w:bookmarkEnd w:id="359"/>
      <w:bookmarkEnd w:id="360"/>
      <w:bookmarkEnd w:id="361"/>
      <w:bookmarkEnd w:id="362"/>
      <w:bookmarkEnd w:id="363"/>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64" w:name="_Toc429224711"/>
      <w:bookmarkStart w:id="365" w:name="_Toc435021141"/>
      <w:bookmarkStart w:id="366" w:name="_Toc445473552"/>
      <w:bookmarkStart w:id="367" w:name="_Toc504479261"/>
      <w:bookmarkStart w:id="368" w:name="_Toc504479712"/>
      <w:bookmarkStart w:id="369" w:name="_Toc504654747"/>
      <w:bookmarkStart w:id="370" w:name="_Toc19530"/>
      <w:r>
        <w:rPr>
          <w:rFonts w:cs="宋体" w:asciiTheme="majorEastAsia" w:hAnsiTheme="majorEastAsia" w:eastAsiaTheme="majorEastAsia"/>
          <w:b w:val="0"/>
          <w:bCs w:val="0"/>
          <w:color w:val="000000"/>
          <w:kern w:val="2"/>
          <w:sz w:val="24"/>
          <w:szCs w:val="24"/>
        </w:rPr>
        <w:t>6.2.1</w:t>
      </w:r>
      <w:r>
        <w:rPr>
          <w:rFonts w:hint="eastAsia" w:cs="宋体" w:asciiTheme="majorEastAsia" w:hAnsiTheme="majorEastAsia" w:eastAsiaTheme="majorEastAsia"/>
          <w:b w:val="0"/>
          <w:bCs w:val="0"/>
          <w:color w:val="000000"/>
          <w:kern w:val="2"/>
          <w:sz w:val="24"/>
          <w:szCs w:val="24"/>
          <w:lang w:val="zh-CN"/>
        </w:rPr>
        <w:t>评标委员会按照“评标办法”规定的方法、评审因素、标准和程序对投标文件进行评审。</w:t>
      </w:r>
      <w:bookmarkEnd w:id="364"/>
      <w:bookmarkEnd w:id="365"/>
      <w:r>
        <w:rPr>
          <w:rFonts w:hint="eastAsia" w:cs="宋体" w:asciiTheme="majorEastAsia" w:hAnsiTheme="majorEastAsia" w:eastAsiaTheme="majorEastAsia"/>
          <w:b w:val="0"/>
          <w:bCs w:val="0"/>
          <w:color w:val="000000"/>
          <w:kern w:val="2"/>
          <w:sz w:val="24"/>
          <w:szCs w:val="24"/>
          <w:lang w:val="zh-CN"/>
        </w:rPr>
        <w:t>“评标办法”没有规定的方法、评审因素和标准，不作为评标依据。</w:t>
      </w:r>
      <w:bookmarkEnd w:id="366"/>
      <w:bookmarkEnd w:id="367"/>
      <w:bookmarkEnd w:id="368"/>
      <w:bookmarkEnd w:id="369"/>
      <w:bookmarkEnd w:id="370"/>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71" w:name="_Toc1493"/>
      <w:bookmarkStart w:id="372" w:name="_Toc504479713"/>
      <w:bookmarkStart w:id="373" w:name="_Toc504479262"/>
      <w:bookmarkStart w:id="374" w:name="_Toc504654748"/>
      <w:bookmarkStart w:id="375" w:name="_Toc445473553"/>
      <w:r>
        <w:rPr>
          <w:rFonts w:cs="宋体" w:asciiTheme="majorEastAsia" w:hAnsiTheme="majorEastAsia" w:eastAsiaTheme="majorEastAsia"/>
          <w:b w:val="0"/>
          <w:bCs w:val="0"/>
          <w:color w:val="000000"/>
          <w:kern w:val="2"/>
          <w:sz w:val="24"/>
          <w:szCs w:val="24"/>
        </w:rPr>
        <w:t>6.2.2</w:t>
      </w:r>
      <w:r>
        <w:rPr>
          <w:rFonts w:hint="eastAsia" w:cs="宋体" w:asciiTheme="majorEastAsia" w:hAnsiTheme="majorEastAsia" w:eastAsiaTheme="majorEastAsia"/>
          <w:b w:val="0"/>
          <w:bCs w:val="0"/>
          <w:color w:val="000000"/>
          <w:kern w:val="2"/>
          <w:sz w:val="24"/>
          <w:szCs w:val="24"/>
        </w:rPr>
        <w:t>、投标文件有下列情形之一的，按</w:t>
      </w:r>
      <w:r>
        <w:rPr>
          <w:rFonts w:hint="eastAsia" w:cs="宋体" w:asciiTheme="majorEastAsia" w:hAnsiTheme="majorEastAsia" w:eastAsiaTheme="majorEastAsia"/>
          <w:b w:val="0"/>
          <w:bCs w:val="0"/>
          <w:color w:val="000000"/>
          <w:kern w:val="2"/>
          <w:sz w:val="24"/>
          <w:szCs w:val="24"/>
          <w:lang w:eastAsia="zh-CN"/>
        </w:rPr>
        <w:t>否决</w:t>
      </w:r>
      <w:r>
        <w:rPr>
          <w:rFonts w:hint="eastAsia" w:cs="宋体" w:asciiTheme="majorEastAsia" w:hAnsiTheme="majorEastAsia" w:eastAsiaTheme="majorEastAsia"/>
          <w:b w:val="0"/>
          <w:bCs w:val="0"/>
          <w:color w:val="000000"/>
          <w:kern w:val="2"/>
          <w:sz w:val="24"/>
          <w:szCs w:val="24"/>
        </w:rPr>
        <w:t>处理：</w:t>
      </w:r>
      <w:bookmarkEnd w:id="371"/>
      <w:bookmarkEnd w:id="372"/>
      <w:bookmarkEnd w:id="373"/>
      <w:bookmarkEnd w:id="374"/>
      <w:bookmarkEnd w:id="375"/>
    </w:p>
    <w:p>
      <w:pPr>
        <w:pStyle w:val="28"/>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376" w:name="_Toc504479263"/>
      <w:bookmarkStart w:id="377" w:name="_Toc32133"/>
      <w:bookmarkStart w:id="378" w:name="_Toc445473554"/>
      <w:bookmarkStart w:id="379" w:name="_Toc504479714"/>
      <w:bookmarkStart w:id="380" w:name="_Toc504654749"/>
      <w:r>
        <w:rPr>
          <w:rFonts w:cs="宋体" w:asciiTheme="majorEastAsia" w:hAnsiTheme="majorEastAsia" w:eastAsiaTheme="majorEastAsia"/>
          <w:b w:val="0"/>
          <w:bCs w:val="0"/>
          <w:color w:val="000000"/>
          <w:kern w:val="2"/>
          <w:sz w:val="24"/>
          <w:szCs w:val="24"/>
        </w:rPr>
        <w:t>1</w:t>
      </w:r>
      <w:r>
        <w:rPr>
          <w:rFonts w:hint="eastAsia" w:cs="宋体" w:asciiTheme="majorEastAsia" w:hAnsiTheme="majorEastAsia" w:eastAsiaTheme="majorEastAsia"/>
          <w:b w:val="0"/>
          <w:bCs w:val="0"/>
          <w:color w:val="000000"/>
          <w:kern w:val="2"/>
          <w:sz w:val="24"/>
          <w:szCs w:val="24"/>
        </w:rPr>
        <w:t>）投标文件中的投标函未加盖供应商公章和法定代表人签字的；</w:t>
      </w:r>
      <w:bookmarkEnd w:id="376"/>
      <w:bookmarkEnd w:id="377"/>
      <w:bookmarkEnd w:id="378"/>
      <w:bookmarkEnd w:id="379"/>
      <w:bookmarkEnd w:id="380"/>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81" w:name="_Toc504479264"/>
      <w:bookmarkStart w:id="382" w:name="_Toc504654750"/>
      <w:bookmarkStart w:id="383" w:name="_Toc445473555"/>
      <w:bookmarkStart w:id="384" w:name="_Toc4974"/>
      <w:bookmarkStart w:id="385" w:name="_Toc504479715"/>
      <w:r>
        <w:rPr>
          <w:rFonts w:cs="宋体" w:asciiTheme="majorEastAsia" w:hAnsiTheme="majorEastAsia" w:eastAsiaTheme="majorEastAsia"/>
          <w:b w:val="0"/>
          <w:bCs w:val="0"/>
          <w:color w:val="000000"/>
          <w:kern w:val="2"/>
          <w:sz w:val="24"/>
          <w:szCs w:val="24"/>
        </w:rPr>
        <w:t>2</w:t>
      </w:r>
      <w:r>
        <w:rPr>
          <w:rFonts w:hint="eastAsia" w:cs="宋体" w:asciiTheme="majorEastAsia" w:hAnsiTheme="majorEastAsia" w:eastAsiaTheme="majorEastAsia"/>
          <w:b w:val="0"/>
          <w:bCs w:val="0"/>
          <w:color w:val="000000"/>
          <w:kern w:val="2"/>
          <w:sz w:val="24"/>
          <w:szCs w:val="24"/>
        </w:rPr>
        <w:t>）投标文件中载明的技术标准和资格文件等不符合招标文件的要求；</w:t>
      </w:r>
      <w:bookmarkEnd w:id="381"/>
      <w:bookmarkEnd w:id="382"/>
      <w:bookmarkEnd w:id="383"/>
      <w:bookmarkEnd w:id="384"/>
      <w:bookmarkEnd w:id="385"/>
    </w:p>
    <w:p>
      <w:pPr>
        <w:pStyle w:val="28"/>
        <w:spacing w:before="0" w:after="0" w:line="360" w:lineRule="auto"/>
        <w:ind w:left="-13" w:leftChars="-6" w:firstLine="12" w:firstLineChars="5"/>
        <w:jc w:val="left"/>
        <w:outlineLvl w:val="9"/>
        <w:rPr>
          <w:rFonts w:cs="宋体" w:asciiTheme="majorEastAsia" w:hAnsiTheme="majorEastAsia" w:eastAsiaTheme="majorEastAsia"/>
          <w:b w:val="0"/>
          <w:bCs w:val="0"/>
          <w:color w:val="000000"/>
          <w:kern w:val="2"/>
          <w:sz w:val="24"/>
          <w:szCs w:val="24"/>
        </w:rPr>
      </w:pPr>
      <w:bookmarkStart w:id="386" w:name="_Toc504654751"/>
      <w:bookmarkStart w:id="387" w:name="_Toc504479716"/>
      <w:bookmarkStart w:id="388" w:name="_Toc23794"/>
      <w:bookmarkStart w:id="389" w:name="_Toc504479265"/>
      <w:bookmarkStart w:id="390" w:name="_Toc445473556"/>
      <w:r>
        <w:rPr>
          <w:rFonts w:cs="宋体" w:asciiTheme="majorEastAsia" w:hAnsiTheme="majorEastAsia" w:eastAsiaTheme="majorEastAsia"/>
          <w:b w:val="0"/>
          <w:bCs w:val="0"/>
          <w:color w:val="000000"/>
          <w:kern w:val="2"/>
          <w:sz w:val="24"/>
          <w:szCs w:val="24"/>
        </w:rPr>
        <w:t>3</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投标文件中有两个或两个以上报价的；</w:t>
      </w:r>
      <w:bookmarkEnd w:id="386"/>
      <w:bookmarkEnd w:id="387"/>
      <w:bookmarkEnd w:id="388"/>
      <w:bookmarkEnd w:id="389"/>
      <w:bookmarkEnd w:id="390"/>
    </w:p>
    <w:p>
      <w:pPr>
        <w:pStyle w:val="28"/>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lang w:val="zh-CN"/>
        </w:rPr>
      </w:pPr>
      <w:bookmarkStart w:id="391" w:name="_Toc504479266"/>
      <w:bookmarkStart w:id="392" w:name="_Toc504479717"/>
      <w:bookmarkStart w:id="393" w:name="_Toc504654752"/>
      <w:bookmarkStart w:id="394" w:name="_Toc6168"/>
      <w:bookmarkStart w:id="395" w:name="_Toc445473557"/>
      <w:r>
        <w:rPr>
          <w:rFonts w:cs="宋体" w:asciiTheme="majorEastAsia" w:hAnsiTheme="majorEastAsia" w:eastAsiaTheme="majorEastAsia"/>
          <w:b w:val="0"/>
          <w:bCs w:val="0"/>
          <w:color w:val="000000"/>
          <w:kern w:val="2"/>
          <w:sz w:val="24"/>
          <w:szCs w:val="24"/>
        </w:rPr>
        <w:t>4</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投标文件的关键内容字迹模糊、无法辨认的；</w:t>
      </w:r>
      <w:bookmarkEnd w:id="391"/>
      <w:bookmarkEnd w:id="392"/>
      <w:bookmarkEnd w:id="393"/>
      <w:bookmarkEnd w:id="394"/>
      <w:bookmarkEnd w:id="395"/>
    </w:p>
    <w:p>
      <w:pPr>
        <w:pStyle w:val="28"/>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396" w:name="_Toc445473558"/>
      <w:bookmarkStart w:id="397" w:name="_Toc504479267"/>
      <w:bookmarkStart w:id="398" w:name="_Toc504479718"/>
      <w:bookmarkStart w:id="399" w:name="_Toc504654753"/>
      <w:bookmarkStart w:id="400" w:name="_Toc13125"/>
      <w:r>
        <w:rPr>
          <w:rFonts w:cs="宋体" w:asciiTheme="majorEastAsia" w:hAnsiTheme="majorEastAsia" w:eastAsiaTheme="majorEastAsia"/>
          <w:b w:val="0"/>
          <w:bCs w:val="0"/>
          <w:color w:val="000000"/>
          <w:kern w:val="2"/>
          <w:sz w:val="24"/>
          <w:szCs w:val="24"/>
          <w:lang w:val="zh-CN"/>
        </w:rPr>
        <w:t>5</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投标文件未按供应商须知中“投标文件密封与标志”规定密封、标志的；</w:t>
      </w:r>
      <w:bookmarkEnd w:id="396"/>
      <w:bookmarkEnd w:id="397"/>
      <w:bookmarkEnd w:id="398"/>
      <w:bookmarkEnd w:id="399"/>
      <w:bookmarkEnd w:id="400"/>
    </w:p>
    <w:p>
      <w:pPr>
        <w:pStyle w:val="28"/>
        <w:spacing w:before="0" w:after="0" w:line="360" w:lineRule="auto"/>
        <w:ind w:left="-13" w:leftChars="-6" w:firstLine="12" w:firstLineChars="5"/>
        <w:jc w:val="both"/>
        <w:outlineLvl w:val="9"/>
        <w:rPr>
          <w:rFonts w:cs="宋体" w:asciiTheme="majorEastAsia" w:hAnsiTheme="majorEastAsia" w:eastAsiaTheme="majorEastAsia"/>
          <w:b w:val="0"/>
          <w:bCs w:val="0"/>
          <w:color w:val="000000"/>
          <w:kern w:val="2"/>
          <w:sz w:val="24"/>
          <w:szCs w:val="24"/>
        </w:rPr>
      </w:pPr>
      <w:bookmarkStart w:id="401" w:name="_Toc504654754"/>
      <w:bookmarkStart w:id="402" w:name="_Toc504479268"/>
      <w:bookmarkStart w:id="403" w:name="_Toc216"/>
      <w:bookmarkStart w:id="404" w:name="_Toc445473559"/>
      <w:bookmarkStart w:id="405" w:name="_Toc504479719"/>
      <w:r>
        <w:rPr>
          <w:rFonts w:cs="宋体" w:asciiTheme="majorEastAsia" w:hAnsiTheme="majorEastAsia" w:eastAsiaTheme="majorEastAsia"/>
          <w:b w:val="0"/>
          <w:bCs w:val="0"/>
          <w:color w:val="000000"/>
          <w:kern w:val="2"/>
          <w:sz w:val="24"/>
          <w:szCs w:val="24"/>
        </w:rPr>
        <w:t>6</w:t>
      </w:r>
      <w:r>
        <w:rPr>
          <w:rFonts w:hint="eastAsia" w:cs="宋体" w:asciiTheme="majorEastAsia" w:hAnsiTheme="majorEastAsia" w:eastAsiaTheme="majorEastAsia"/>
          <w:b w:val="0"/>
          <w:bCs w:val="0"/>
          <w:color w:val="000000"/>
          <w:kern w:val="2"/>
          <w:sz w:val="24"/>
          <w:szCs w:val="24"/>
        </w:rPr>
        <w:t>）投标文件附有采购人不能接受的条件的；</w:t>
      </w:r>
      <w:bookmarkEnd w:id="401"/>
      <w:bookmarkEnd w:id="402"/>
      <w:bookmarkEnd w:id="403"/>
      <w:bookmarkEnd w:id="404"/>
      <w:bookmarkEnd w:id="405"/>
    </w:p>
    <w:p>
      <w:pPr>
        <w:pStyle w:val="28"/>
        <w:spacing w:before="0" w:after="0" w:line="360" w:lineRule="auto"/>
        <w:ind w:left="-13" w:leftChars="-6" w:firstLine="12" w:firstLineChars="5"/>
        <w:jc w:val="both"/>
        <w:outlineLvl w:val="9"/>
        <w:rPr>
          <w:rFonts w:cs="宋体" w:asciiTheme="majorEastAsia" w:hAnsiTheme="majorEastAsia" w:eastAsiaTheme="majorEastAsia"/>
          <w:b w:val="0"/>
          <w:color w:val="000000"/>
          <w:sz w:val="24"/>
          <w:szCs w:val="24"/>
        </w:rPr>
      </w:pPr>
      <w:bookmarkStart w:id="406" w:name="_Toc27646"/>
      <w:bookmarkStart w:id="407" w:name="_Toc445473560"/>
      <w:bookmarkStart w:id="408" w:name="_Toc504654755"/>
      <w:bookmarkStart w:id="409" w:name="_Toc504479269"/>
      <w:bookmarkStart w:id="410" w:name="_Toc504479720"/>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lang w:val="zh-CN"/>
        </w:rPr>
        <w:t>不符合招标文件中规定的其他实质性要求的。</w:t>
      </w:r>
      <w:bookmarkEnd w:id="406"/>
      <w:bookmarkEnd w:id="407"/>
      <w:bookmarkEnd w:id="408"/>
      <w:bookmarkEnd w:id="409"/>
      <w:bookmarkEnd w:id="410"/>
    </w:p>
    <w:p>
      <w:pPr>
        <w:spacing w:line="360" w:lineRule="auto"/>
        <w:ind w:left="21" w:leftChars="0" w:hanging="21" w:hangingChars="7"/>
        <w:rPr>
          <w:rFonts w:cs="宋体" w:asciiTheme="majorEastAsia" w:hAnsiTheme="majorEastAsia" w:eastAsiaTheme="majorEastAsia"/>
          <w:b/>
          <w:bCs/>
          <w:color w:val="000000"/>
          <w:sz w:val="30"/>
          <w:szCs w:val="30"/>
          <w:lang w:val="zh-CN"/>
        </w:rPr>
      </w:pPr>
      <w:bookmarkStart w:id="411" w:name="_Toc445473561"/>
      <w:r>
        <w:rPr>
          <w:rFonts w:hint="eastAsia" w:cs="宋体" w:asciiTheme="majorEastAsia" w:hAnsiTheme="majorEastAsia" w:eastAsiaTheme="majorEastAsia"/>
          <w:b/>
          <w:bCs/>
          <w:color w:val="000000"/>
          <w:sz w:val="30"/>
          <w:szCs w:val="30"/>
          <w:lang w:val="zh-CN"/>
        </w:rPr>
        <w:t>七、合同授予</w:t>
      </w:r>
      <w:bookmarkEnd w:id="411"/>
    </w:p>
    <w:p>
      <w:pPr>
        <w:pStyle w:val="28"/>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12" w:name="_Toc504654757"/>
      <w:bookmarkStart w:id="413" w:name="_Toc504479724"/>
      <w:bookmarkStart w:id="414" w:name="_Toc23387"/>
      <w:bookmarkStart w:id="415" w:name="_Toc504479272"/>
      <w:r>
        <w:rPr>
          <w:rFonts w:cs="宋体" w:asciiTheme="majorEastAsia" w:hAnsiTheme="majorEastAsia" w:eastAsiaTheme="majorEastAsia"/>
          <w:color w:val="000000"/>
          <w:kern w:val="2"/>
          <w:sz w:val="24"/>
          <w:szCs w:val="24"/>
          <w:lang w:val="zh-CN"/>
        </w:rPr>
        <w:t>1</w:t>
      </w:r>
      <w:r>
        <w:rPr>
          <w:rFonts w:hint="eastAsia" w:cs="宋体" w:asciiTheme="majorEastAsia" w:hAnsiTheme="majorEastAsia" w:eastAsiaTheme="majorEastAsia"/>
          <w:color w:val="000000"/>
          <w:kern w:val="2"/>
          <w:sz w:val="24"/>
          <w:szCs w:val="24"/>
          <w:lang w:val="zh-CN"/>
        </w:rPr>
        <w:t>、评标结果异议：</w:t>
      </w:r>
      <w:bookmarkEnd w:id="412"/>
      <w:bookmarkEnd w:id="413"/>
      <w:bookmarkEnd w:id="414"/>
      <w:bookmarkEnd w:id="415"/>
      <w:bookmarkStart w:id="416" w:name="_Toc504479273"/>
      <w:bookmarkStart w:id="417" w:name="_Toc504654758"/>
      <w:bookmarkStart w:id="418" w:name="_Toc504479725"/>
    </w:p>
    <w:p>
      <w:pPr>
        <w:pStyle w:val="28"/>
        <w:spacing w:before="0" w:after="0" w:line="360" w:lineRule="auto"/>
        <w:jc w:val="left"/>
        <w:outlineLvl w:val="9"/>
        <w:rPr>
          <w:rFonts w:cs="宋体" w:asciiTheme="majorEastAsia" w:hAnsiTheme="majorEastAsia" w:eastAsiaTheme="majorEastAsia"/>
          <w:b w:val="0"/>
          <w:bCs w:val="0"/>
          <w:color w:val="000000"/>
          <w:kern w:val="2"/>
          <w:sz w:val="24"/>
          <w:szCs w:val="24"/>
          <w:lang w:val="zh-CN"/>
        </w:rPr>
      </w:pPr>
      <w:bookmarkStart w:id="419" w:name="_Toc13705"/>
      <w:r>
        <w:rPr>
          <w:rFonts w:hint="eastAsia" w:cs="宋体" w:asciiTheme="majorEastAsia" w:hAnsiTheme="majorEastAsia" w:eastAsiaTheme="majorEastAsia"/>
          <w:b w:val="0"/>
          <w:bCs w:val="0"/>
          <w:color w:val="000000"/>
          <w:kern w:val="2"/>
          <w:sz w:val="24"/>
          <w:szCs w:val="24"/>
          <w:lang w:val="zh-CN"/>
        </w:rPr>
        <w:t>供应商或者其他利害关系人对评标结果有异议的，应当在知道或者应知道起</w:t>
      </w:r>
      <w:r>
        <w:rPr>
          <w:rFonts w:cs="宋体" w:asciiTheme="majorEastAsia" w:hAnsiTheme="majorEastAsia" w:eastAsiaTheme="majorEastAsia"/>
          <w:b w:val="0"/>
          <w:bCs w:val="0"/>
          <w:color w:val="000000"/>
          <w:kern w:val="2"/>
          <w:sz w:val="24"/>
          <w:szCs w:val="24"/>
        </w:rPr>
        <w:t>7</w:t>
      </w:r>
      <w:r>
        <w:rPr>
          <w:rFonts w:hint="eastAsia" w:cs="宋体" w:asciiTheme="majorEastAsia" w:hAnsiTheme="majorEastAsia" w:eastAsiaTheme="majorEastAsia"/>
          <w:b w:val="0"/>
          <w:bCs w:val="0"/>
          <w:color w:val="000000"/>
          <w:kern w:val="2"/>
          <w:sz w:val="24"/>
          <w:szCs w:val="24"/>
        </w:rPr>
        <w:t>个工作日内，以书面的形式向采购人、采购代理机构</w:t>
      </w:r>
      <w:r>
        <w:rPr>
          <w:rFonts w:hint="eastAsia" w:cs="宋体" w:asciiTheme="majorEastAsia" w:hAnsiTheme="majorEastAsia" w:eastAsiaTheme="majorEastAsia"/>
          <w:b w:val="0"/>
          <w:bCs w:val="0"/>
          <w:color w:val="000000"/>
          <w:kern w:val="2"/>
          <w:sz w:val="24"/>
          <w:szCs w:val="24"/>
          <w:lang w:val="zh-CN"/>
        </w:rPr>
        <w:t>提出。采购人将在收到异议之日起</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日内作出答复；作出答复前，将暂停招标投标活动。</w:t>
      </w:r>
      <w:bookmarkEnd w:id="416"/>
      <w:bookmarkEnd w:id="417"/>
      <w:bookmarkEnd w:id="418"/>
      <w:bookmarkEnd w:id="419"/>
    </w:p>
    <w:p>
      <w:pPr>
        <w:pStyle w:val="28"/>
        <w:spacing w:before="0" w:after="0" w:line="360" w:lineRule="auto"/>
        <w:ind w:left="0" w:leftChars="0" w:firstLine="0" w:firstLineChars="0"/>
        <w:jc w:val="left"/>
        <w:outlineLvl w:val="9"/>
        <w:rPr>
          <w:rFonts w:cs="宋体" w:asciiTheme="majorEastAsia" w:hAnsiTheme="majorEastAsia" w:eastAsiaTheme="majorEastAsia"/>
          <w:color w:val="000000"/>
          <w:kern w:val="2"/>
          <w:sz w:val="24"/>
          <w:szCs w:val="24"/>
          <w:lang w:val="zh-CN"/>
        </w:rPr>
      </w:pPr>
      <w:bookmarkStart w:id="420" w:name="_Toc504479726"/>
      <w:bookmarkStart w:id="421" w:name="_Toc15909"/>
      <w:bookmarkStart w:id="422" w:name="_Toc504479274"/>
      <w:bookmarkStart w:id="423" w:name="_Toc504654759"/>
      <w:bookmarkStart w:id="424" w:name="_Toc445473562"/>
      <w:r>
        <w:rPr>
          <w:rFonts w:cs="宋体" w:asciiTheme="majorEastAsia" w:hAnsiTheme="majorEastAsia" w:eastAsiaTheme="majorEastAsia"/>
          <w:color w:val="000000"/>
          <w:kern w:val="2"/>
          <w:sz w:val="24"/>
          <w:szCs w:val="24"/>
          <w:lang w:val="zh-CN"/>
        </w:rPr>
        <w:t>2</w:t>
      </w:r>
      <w:r>
        <w:rPr>
          <w:rFonts w:hint="eastAsia" w:cs="宋体" w:asciiTheme="majorEastAsia" w:hAnsiTheme="majorEastAsia" w:eastAsiaTheme="majorEastAsia"/>
          <w:color w:val="000000"/>
          <w:kern w:val="2"/>
          <w:sz w:val="24"/>
          <w:szCs w:val="24"/>
          <w:lang w:val="zh-CN"/>
        </w:rPr>
        <w:t>、定标方式</w:t>
      </w:r>
      <w:bookmarkEnd w:id="420"/>
      <w:bookmarkEnd w:id="421"/>
      <w:bookmarkEnd w:id="422"/>
      <w:bookmarkEnd w:id="423"/>
      <w:bookmarkEnd w:id="424"/>
    </w:p>
    <w:p>
      <w:pPr>
        <w:pStyle w:val="28"/>
        <w:spacing w:before="0" w:after="0" w:line="360" w:lineRule="auto"/>
        <w:ind w:left="57" w:leftChars="27" w:firstLine="60" w:firstLineChars="25"/>
        <w:jc w:val="left"/>
        <w:outlineLvl w:val="9"/>
        <w:rPr>
          <w:rFonts w:cs="宋体" w:asciiTheme="majorEastAsia" w:hAnsiTheme="majorEastAsia" w:eastAsiaTheme="majorEastAsia"/>
          <w:b w:val="0"/>
          <w:bCs w:val="0"/>
          <w:color w:val="000000"/>
          <w:kern w:val="2"/>
          <w:sz w:val="24"/>
          <w:szCs w:val="24"/>
          <w:lang w:val="zh-CN"/>
        </w:rPr>
      </w:pPr>
      <w:bookmarkStart w:id="425" w:name="_Toc28430"/>
      <w:bookmarkStart w:id="426" w:name="_Toc429224722"/>
      <w:bookmarkStart w:id="427" w:name="_Toc445473563"/>
      <w:bookmarkStart w:id="428" w:name="_Toc504479727"/>
      <w:bookmarkStart w:id="429" w:name="_Toc504654760"/>
      <w:bookmarkStart w:id="430" w:name="_Toc504479275"/>
      <w:bookmarkStart w:id="431" w:name="_Toc435021152"/>
      <w:r>
        <w:rPr>
          <w:rFonts w:hint="eastAsia" w:cs="宋体" w:asciiTheme="majorEastAsia" w:hAnsiTheme="majorEastAsia" w:eastAsiaTheme="majorEastAsia"/>
          <w:b w:val="0"/>
          <w:bCs w:val="0"/>
          <w:color w:val="000000"/>
          <w:kern w:val="2"/>
          <w:sz w:val="24"/>
          <w:szCs w:val="24"/>
          <w:lang w:val="zh-CN"/>
        </w:rPr>
        <w:t>按照供应商须知前附表的规定，评标委员会推荐</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名中标候选人，并标明推荐顺序。采购人将依据评标委员会推荐的中标候选人确定中标人。</w:t>
      </w:r>
      <w:bookmarkEnd w:id="425"/>
    </w:p>
    <w:bookmarkEnd w:id="426"/>
    <w:bookmarkEnd w:id="427"/>
    <w:bookmarkEnd w:id="428"/>
    <w:bookmarkEnd w:id="429"/>
    <w:bookmarkEnd w:id="430"/>
    <w:bookmarkEnd w:id="431"/>
    <w:p>
      <w:pPr>
        <w:pStyle w:val="28"/>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32" w:name="_Toc504479728"/>
      <w:bookmarkStart w:id="433" w:name="_Toc445473564"/>
      <w:bookmarkStart w:id="434" w:name="_Toc2955"/>
      <w:bookmarkStart w:id="435" w:name="_Toc504654761"/>
      <w:bookmarkStart w:id="436" w:name="_Toc504479276"/>
      <w:r>
        <w:rPr>
          <w:rFonts w:cs="宋体" w:asciiTheme="majorEastAsia" w:hAnsiTheme="majorEastAsia" w:eastAsiaTheme="majorEastAsia"/>
          <w:color w:val="000000"/>
          <w:kern w:val="2"/>
          <w:sz w:val="24"/>
          <w:szCs w:val="24"/>
        </w:rPr>
        <w:t>3</w:t>
      </w:r>
      <w:r>
        <w:rPr>
          <w:rFonts w:hint="eastAsia" w:cs="宋体" w:asciiTheme="majorEastAsia" w:hAnsiTheme="majorEastAsia" w:eastAsiaTheme="majorEastAsia"/>
          <w:color w:val="000000"/>
          <w:kern w:val="2"/>
          <w:sz w:val="24"/>
          <w:szCs w:val="24"/>
        </w:rPr>
        <w:t>、中标通知书</w:t>
      </w:r>
      <w:bookmarkEnd w:id="432"/>
      <w:bookmarkEnd w:id="433"/>
      <w:bookmarkEnd w:id="434"/>
      <w:bookmarkEnd w:id="435"/>
      <w:bookmarkEnd w:id="436"/>
    </w:p>
    <w:p>
      <w:pPr>
        <w:pStyle w:val="28"/>
        <w:spacing w:before="0" w:after="0" w:line="360" w:lineRule="auto"/>
        <w:ind w:left="52" w:leftChars="0" w:hanging="52" w:hangingChars="22"/>
        <w:jc w:val="both"/>
        <w:outlineLvl w:val="9"/>
        <w:rPr>
          <w:rFonts w:cs="宋体" w:asciiTheme="majorEastAsia" w:hAnsiTheme="majorEastAsia" w:eastAsiaTheme="majorEastAsia"/>
          <w:b w:val="0"/>
          <w:bCs w:val="0"/>
          <w:color w:val="000000"/>
          <w:kern w:val="2"/>
          <w:sz w:val="24"/>
          <w:szCs w:val="24"/>
        </w:rPr>
      </w:pPr>
      <w:bookmarkStart w:id="437" w:name="_Toc14874"/>
      <w:bookmarkStart w:id="438" w:name="_Toc504479729"/>
      <w:bookmarkStart w:id="439" w:name="_Toc445473565"/>
      <w:bookmarkStart w:id="440" w:name="_Toc504479277"/>
      <w:bookmarkStart w:id="441" w:name="_Toc504654762"/>
      <w:r>
        <w:rPr>
          <w:rFonts w:hint="eastAsia" w:cs="宋体" w:asciiTheme="majorEastAsia" w:hAnsiTheme="majorEastAsia" w:eastAsiaTheme="majorEastAsia"/>
          <w:b w:val="0"/>
          <w:bCs w:val="0"/>
          <w:color w:val="000000"/>
          <w:kern w:val="2"/>
          <w:sz w:val="24"/>
          <w:szCs w:val="24"/>
        </w:rPr>
        <w:t>在采购人规定的原投标有效期截止前，采购人将以书面形式通知中标人，并写明采购人对中标的支付总额（本招标文件中称为“中标价格”）。</w:t>
      </w:r>
      <w:bookmarkEnd w:id="437"/>
      <w:bookmarkEnd w:id="438"/>
      <w:bookmarkEnd w:id="439"/>
      <w:bookmarkEnd w:id="440"/>
      <w:bookmarkEnd w:id="441"/>
    </w:p>
    <w:p>
      <w:pPr>
        <w:pStyle w:val="28"/>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42" w:name="_Toc11595"/>
      <w:bookmarkStart w:id="443" w:name="_Toc504654763"/>
      <w:bookmarkStart w:id="444" w:name="_Toc504479278"/>
      <w:bookmarkStart w:id="445" w:name="_Toc504479730"/>
      <w:bookmarkStart w:id="446" w:name="_Toc445473566"/>
      <w:r>
        <w:rPr>
          <w:rFonts w:cs="宋体" w:asciiTheme="majorEastAsia" w:hAnsiTheme="majorEastAsia" w:eastAsiaTheme="majorEastAsia"/>
          <w:color w:val="000000"/>
          <w:kern w:val="2"/>
          <w:sz w:val="24"/>
          <w:szCs w:val="24"/>
        </w:rPr>
        <w:t>4</w:t>
      </w:r>
      <w:r>
        <w:rPr>
          <w:rFonts w:hint="eastAsia" w:cs="宋体" w:asciiTheme="majorEastAsia" w:hAnsiTheme="majorEastAsia" w:eastAsiaTheme="majorEastAsia"/>
          <w:color w:val="000000"/>
          <w:kern w:val="2"/>
          <w:sz w:val="24"/>
          <w:szCs w:val="24"/>
        </w:rPr>
        <w:t>、履约保证金</w:t>
      </w:r>
      <w:bookmarkEnd w:id="442"/>
      <w:bookmarkEnd w:id="443"/>
      <w:bookmarkEnd w:id="444"/>
      <w:bookmarkEnd w:id="445"/>
      <w:bookmarkEnd w:id="446"/>
    </w:p>
    <w:p>
      <w:pPr>
        <w:pStyle w:val="28"/>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47" w:name="_Toc30287"/>
      <w:bookmarkStart w:id="448" w:name="_Toc504479731"/>
      <w:bookmarkStart w:id="449" w:name="_Toc504654764"/>
      <w:bookmarkStart w:id="450" w:name="_Toc504479279"/>
      <w:bookmarkStart w:id="451" w:name="_Toc445473567"/>
      <w:r>
        <w:rPr>
          <w:rFonts w:cs="宋体" w:asciiTheme="majorEastAsia" w:hAnsiTheme="majorEastAsia" w:eastAsiaTheme="majorEastAsia"/>
          <w:b w:val="0"/>
          <w:bCs w:val="0"/>
          <w:color w:val="000000"/>
          <w:kern w:val="2"/>
          <w:sz w:val="24"/>
          <w:szCs w:val="24"/>
        </w:rPr>
        <w:t>4.1</w:t>
      </w:r>
      <w:r>
        <w:rPr>
          <w:rFonts w:hint="eastAsia" w:cs="宋体" w:asciiTheme="majorEastAsia" w:hAnsiTheme="majorEastAsia" w:eastAsiaTheme="majorEastAsia"/>
          <w:b w:val="0"/>
          <w:bCs w:val="0"/>
          <w:color w:val="000000"/>
          <w:kern w:val="2"/>
          <w:sz w:val="24"/>
          <w:szCs w:val="24"/>
        </w:rPr>
        <w:t>在签订合同前，中标人应按投标须知前附表规定的金额向采购人提交履约保证金。</w:t>
      </w:r>
      <w:bookmarkEnd w:id="447"/>
      <w:bookmarkEnd w:id="448"/>
      <w:bookmarkEnd w:id="449"/>
      <w:bookmarkEnd w:id="450"/>
      <w:bookmarkEnd w:id="451"/>
    </w:p>
    <w:p>
      <w:pPr>
        <w:pStyle w:val="28"/>
        <w:spacing w:before="0" w:after="0" w:line="360" w:lineRule="auto"/>
        <w:ind w:left="-4" w:leftChars="0" w:firstLine="4" w:firstLineChars="0"/>
        <w:jc w:val="both"/>
        <w:outlineLvl w:val="9"/>
        <w:rPr>
          <w:rFonts w:cs="宋体" w:asciiTheme="majorEastAsia" w:hAnsiTheme="majorEastAsia" w:eastAsiaTheme="majorEastAsia"/>
          <w:b w:val="0"/>
          <w:bCs w:val="0"/>
          <w:color w:val="000000"/>
          <w:kern w:val="2"/>
          <w:sz w:val="24"/>
          <w:szCs w:val="24"/>
        </w:rPr>
      </w:pPr>
      <w:bookmarkStart w:id="452" w:name="_Toc5617"/>
      <w:bookmarkStart w:id="453" w:name="_Toc504479280"/>
      <w:bookmarkStart w:id="454" w:name="_Toc504479732"/>
      <w:bookmarkStart w:id="455" w:name="_Toc504654765"/>
      <w:bookmarkStart w:id="456" w:name="_Toc445473568"/>
      <w:r>
        <w:rPr>
          <w:rFonts w:cs="宋体" w:asciiTheme="majorEastAsia" w:hAnsiTheme="majorEastAsia" w:eastAsiaTheme="majorEastAsia"/>
          <w:b w:val="0"/>
          <w:bCs w:val="0"/>
          <w:color w:val="000000"/>
          <w:kern w:val="2"/>
          <w:sz w:val="24"/>
          <w:szCs w:val="24"/>
        </w:rPr>
        <w:t>4.2</w:t>
      </w:r>
      <w:r>
        <w:rPr>
          <w:rFonts w:hint="eastAsia" w:cs="宋体" w:asciiTheme="majorEastAsia" w:hAnsiTheme="majorEastAsia" w:eastAsiaTheme="majorEastAsia"/>
          <w:b w:val="0"/>
          <w:bCs w:val="0"/>
          <w:color w:val="000000"/>
          <w:kern w:val="2"/>
          <w:sz w:val="24"/>
          <w:szCs w:val="24"/>
        </w:rPr>
        <w:t>中标人不能按本章供应商须知前附表第</w:t>
      </w:r>
      <w:r>
        <w:rPr>
          <w:rFonts w:cs="宋体" w:asciiTheme="majorEastAsia" w:hAnsiTheme="majorEastAsia" w:eastAsiaTheme="majorEastAsia"/>
          <w:b w:val="0"/>
          <w:bCs w:val="0"/>
          <w:color w:val="000000"/>
          <w:kern w:val="2"/>
          <w:sz w:val="24"/>
          <w:szCs w:val="24"/>
        </w:rPr>
        <w:t>21</w:t>
      </w:r>
      <w:r>
        <w:rPr>
          <w:rFonts w:hint="eastAsia" w:cs="宋体" w:asciiTheme="majorEastAsia" w:hAnsiTheme="majorEastAsia" w:eastAsiaTheme="majorEastAsia"/>
          <w:b w:val="0"/>
          <w:bCs w:val="0"/>
          <w:color w:val="000000"/>
          <w:kern w:val="2"/>
          <w:sz w:val="24"/>
          <w:szCs w:val="24"/>
        </w:rPr>
        <w:t>项要求提交履约保证金的，视为放弃中标，其投标保证金不予退还</w:t>
      </w:r>
      <w:r>
        <w:rPr>
          <w:rFonts w:cs="宋体" w:asciiTheme="majorEastAsia" w:hAnsiTheme="majorEastAsia" w:eastAsiaTheme="majorEastAsia"/>
          <w:b w:val="0"/>
          <w:bCs w:val="0"/>
          <w:color w:val="000000"/>
          <w:kern w:val="2"/>
          <w:sz w:val="24"/>
          <w:szCs w:val="24"/>
        </w:rPr>
        <w:t>,</w:t>
      </w:r>
      <w:r>
        <w:rPr>
          <w:rFonts w:hint="eastAsia" w:cs="宋体" w:asciiTheme="majorEastAsia" w:hAnsiTheme="majorEastAsia" w:eastAsiaTheme="majorEastAsia"/>
          <w:b w:val="0"/>
          <w:bCs w:val="0"/>
          <w:color w:val="000000"/>
          <w:kern w:val="2"/>
          <w:sz w:val="24"/>
          <w:szCs w:val="24"/>
        </w:rPr>
        <w:t>给采购人造成的损失超过投标保证金数额的，中标人还应当对超过部分予以赔偿。</w:t>
      </w:r>
      <w:bookmarkEnd w:id="452"/>
      <w:bookmarkEnd w:id="453"/>
      <w:bookmarkEnd w:id="454"/>
      <w:bookmarkEnd w:id="455"/>
      <w:bookmarkEnd w:id="456"/>
    </w:p>
    <w:p>
      <w:pPr>
        <w:pStyle w:val="28"/>
        <w:spacing w:before="0" w:after="0" w:line="360" w:lineRule="auto"/>
        <w:ind w:left="0" w:leftChars="0" w:firstLine="0" w:firstLineChars="0"/>
        <w:jc w:val="both"/>
        <w:outlineLvl w:val="9"/>
        <w:rPr>
          <w:rFonts w:cs="宋体" w:asciiTheme="majorEastAsia" w:hAnsiTheme="majorEastAsia" w:eastAsiaTheme="majorEastAsia"/>
          <w:color w:val="000000"/>
          <w:kern w:val="2"/>
          <w:sz w:val="24"/>
          <w:szCs w:val="24"/>
        </w:rPr>
      </w:pPr>
      <w:bookmarkStart w:id="457" w:name="_Toc504479281"/>
      <w:bookmarkStart w:id="458" w:name="_Toc504479733"/>
      <w:bookmarkStart w:id="459" w:name="_Toc24495"/>
      <w:bookmarkStart w:id="460" w:name="_Toc504654766"/>
      <w:bookmarkStart w:id="461" w:name="_Toc445473569"/>
      <w:r>
        <w:rPr>
          <w:rFonts w:cs="宋体" w:asciiTheme="majorEastAsia" w:hAnsiTheme="majorEastAsia" w:eastAsiaTheme="majorEastAsia"/>
          <w:color w:val="000000"/>
          <w:kern w:val="2"/>
          <w:sz w:val="24"/>
          <w:szCs w:val="24"/>
        </w:rPr>
        <w:t>5</w:t>
      </w:r>
      <w:r>
        <w:rPr>
          <w:rFonts w:hint="eastAsia" w:cs="宋体" w:asciiTheme="majorEastAsia" w:hAnsiTheme="majorEastAsia" w:eastAsiaTheme="majorEastAsia"/>
          <w:color w:val="000000"/>
          <w:kern w:val="2"/>
          <w:sz w:val="24"/>
          <w:szCs w:val="24"/>
        </w:rPr>
        <w:t>、签订合同</w:t>
      </w:r>
      <w:bookmarkEnd w:id="457"/>
      <w:bookmarkEnd w:id="458"/>
      <w:bookmarkEnd w:id="459"/>
      <w:bookmarkEnd w:id="460"/>
      <w:bookmarkEnd w:id="461"/>
    </w:p>
    <w:p>
      <w:pPr>
        <w:pStyle w:val="28"/>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62" w:name="_Toc429224729"/>
      <w:bookmarkStart w:id="463" w:name="_Toc435021159"/>
      <w:bookmarkStart w:id="464" w:name="_Toc32373"/>
      <w:bookmarkStart w:id="465" w:name="_Toc445473570"/>
      <w:bookmarkStart w:id="466" w:name="_Toc504479282"/>
      <w:bookmarkStart w:id="467" w:name="_Toc504654767"/>
      <w:bookmarkStart w:id="468" w:name="_Toc504479734"/>
      <w:r>
        <w:rPr>
          <w:rFonts w:cs="宋体" w:asciiTheme="majorEastAsia" w:hAnsiTheme="majorEastAsia" w:eastAsiaTheme="majorEastAsia"/>
          <w:b w:val="0"/>
          <w:bCs w:val="0"/>
          <w:color w:val="000000"/>
          <w:kern w:val="2"/>
          <w:sz w:val="24"/>
          <w:szCs w:val="24"/>
        </w:rPr>
        <w:t>5.1</w:t>
      </w:r>
      <w:r>
        <w:rPr>
          <w:rFonts w:hint="eastAsia" w:cs="宋体" w:asciiTheme="majorEastAsia" w:hAnsiTheme="majorEastAsia" w:eastAsiaTheme="majorEastAsia"/>
          <w:b w:val="0"/>
          <w:bCs w:val="0"/>
          <w:color w:val="000000"/>
          <w:kern w:val="2"/>
          <w:sz w:val="24"/>
          <w:szCs w:val="24"/>
          <w:lang w:val="zh-CN"/>
        </w:rPr>
        <w:t>采购人和中标人应当自中标通知书发出之日起</w:t>
      </w:r>
      <w:r>
        <w:rPr>
          <w:rFonts w:cs="宋体" w:asciiTheme="majorEastAsia" w:hAnsiTheme="majorEastAsia" w:eastAsiaTheme="majorEastAsia"/>
          <w:b w:val="0"/>
          <w:bCs w:val="0"/>
          <w:color w:val="000000"/>
          <w:kern w:val="2"/>
          <w:sz w:val="24"/>
          <w:szCs w:val="24"/>
          <w:lang w:val="zh-CN"/>
        </w:rPr>
        <w:t>30</w:t>
      </w:r>
      <w:r>
        <w:rPr>
          <w:rFonts w:hint="eastAsia" w:cs="宋体" w:asciiTheme="majorEastAsia" w:hAnsiTheme="majorEastAsia" w:eastAsiaTheme="majorEastAsia"/>
          <w:b w:val="0"/>
          <w:bCs w:val="0"/>
          <w:color w:val="000000"/>
          <w:kern w:val="2"/>
          <w:sz w:val="24"/>
          <w:szCs w:val="24"/>
          <w:lang w:val="zh-CN"/>
        </w:rPr>
        <w:t>天内，根据招标文件和中标人的投标文件订立书面合同。中标人无正当理由拒签合同的，采购人取消其中标资格，其投标保证金不予退还；</w:t>
      </w:r>
      <w:bookmarkEnd w:id="462"/>
      <w:bookmarkEnd w:id="463"/>
      <w:r>
        <w:rPr>
          <w:rFonts w:hint="eastAsia" w:cs="宋体" w:asciiTheme="majorEastAsia" w:hAnsiTheme="majorEastAsia" w:eastAsiaTheme="majorEastAsia"/>
          <w:b w:val="0"/>
          <w:bCs w:val="0"/>
          <w:color w:val="000000"/>
          <w:kern w:val="2"/>
          <w:sz w:val="24"/>
          <w:szCs w:val="24"/>
          <w:lang w:val="zh-CN"/>
        </w:rPr>
        <w:t>给采购人造成的损失超过投标保证金数额的，中标人还应当对超过部分予以赔偿。</w:t>
      </w:r>
      <w:bookmarkEnd w:id="464"/>
      <w:bookmarkEnd w:id="465"/>
      <w:bookmarkEnd w:id="466"/>
      <w:bookmarkEnd w:id="467"/>
      <w:bookmarkEnd w:id="468"/>
    </w:p>
    <w:p>
      <w:pPr>
        <w:pStyle w:val="28"/>
        <w:spacing w:before="0" w:after="0" w:line="360" w:lineRule="auto"/>
        <w:jc w:val="both"/>
        <w:outlineLvl w:val="9"/>
        <w:rPr>
          <w:rFonts w:cs="宋体" w:asciiTheme="majorEastAsia" w:hAnsiTheme="majorEastAsia" w:eastAsiaTheme="majorEastAsia"/>
          <w:b w:val="0"/>
          <w:bCs w:val="0"/>
          <w:color w:val="000000"/>
          <w:kern w:val="2"/>
          <w:sz w:val="24"/>
          <w:szCs w:val="24"/>
          <w:lang w:val="zh-CN"/>
        </w:rPr>
      </w:pPr>
      <w:bookmarkStart w:id="469" w:name="_Toc429224730"/>
      <w:bookmarkStart w:id="470" w:name="_Toc435021160"/>
      <w:bookmarkStart w:id="471" w:name="_Toc504654768"/>
      <w:bookmarkStart w:id="472" w:name="_Toc504479735"/>
      <w:bookmarkStart w:id="473" w:name="_Toc504479283"/>
      <w:bookmarkStart w:id="474" w:name="_Toc3150"/>
      <w:bookmarkStart w:id="475" w:name="_Toc445473571"/>
      <w:r>
        <w:rPr>
          <w:rFonts w:cs="宋体" w:asciiTheme="majorEastAsia" w:hAnsiTheme="majorEastAsia" w:eastAsiaTheme="majorEastAsia"/>
          <w:b w:val="0"/>
          <w:bCs w:val="0"/>
          <w:color w:val="000000"/>
          <w:kern w:val="2"/>
          <w:sz w:val="24"/>
          <w:szCs w:val="24"/>
          <w:lang w:val="zh-CN"/>
        </w:rPr>
        <w:t>5.2</w:t>
      </w:r>
      <w:r>
        <w:rPr>
          <w:rFonts w:hint="eastAsia" w:cs="宋体" w:asciiTheme="majorEastAsia" w:hAnsiTheme="majorEastAsia" w:eastAsiaTheme="majorEastAsia"/>
          <w:b w:val="0"/>
          <w:bCs w:val="0"/>
          <w:color w:val="000000"/>
          <w:kern w:val="2"/>
          <w:sz w:val="24"/>
          <w:szCs w:val="24"/>
          <w:lang w:val="zh-CN"/>
        </w:rPr>
        <w:t>发出中标通知书后，采购人无正当理由拒签合同的，采购人向中标人退还投标保证金；</w:t>
      </w:r>
      <w:bookmarkEnd w:id="469"/>
      <w:bookmarkEnd w:id="470"/>
      <w:r>
        <w:rPr>
          <w:rFonts w:hint="eastAsia" w:cs="宋体" w:asciiTheme="majorEastAsia" w:hAnsiTheme="majorEastAsia" w:eastAsiaTheme="majorEastAsia"/>
          <w:b w:val="0"/>
          <w:bCs w:val="0"/>
          <w:color w:val="000000"/>
          <w:kern w:val="2"/>
          <w:sz w:val="24"/>
          <w:szCs w:val="24"/>
          <w:lang w:val="zh-CN"/>
        </w:rPr>
        <w:t>给中标人造成损失的，还应当赔偿损失。</w:t>
      </w:r>
      <w:bookmarkEnd w:id="471"/>
      <w:bookmarkEnd w:id="472"/>
      <w:bookmarkEnd w:id="473"/>
      <w:bookmarkEnd w:id="474"/>
      <w:bookmarkEnd w:id="475"/>
      <w:bookmarkStart w:id="476" w:name="_Toc445473572"/>
    </w:p>
    <w:p>
      <w:pPr>
        <w:pStyle w:val="28"/>
        <w:spacing w:before="0" w:after="0" w:line="360" w:lineRule="auto"/>
        <w:ind w:left="-2" w:leftChars="0" w:firstLine="0" w:firstLineChars="0"/>
        <w:jc w:val="both"/>
        <w:outlineLvl w:val="9"/>
        <w:rPr>
          <w:rFonts w:cs="宋体" w:asciiTheme="majorEastAsia" w:hAnsiTheme="majorEastAsia" w:eastAsiaTheme="majorEastAsia"/>
          <w:color w:val="000000"/>
          <w:kern w:val="2"/>
          <w:sz w:val="30"/>
          <w:szCs w:val="30"/>
          <w:lang w:val="zh-CN"/>
        </w:rPr>
      </w:pPr>
      <w:bookmarkStart w:id="477" w:name="_Toc18868"/>
      <w:r>
        <w:rPr>
          <w:rFonts w:hint="eastAsia" w:cs="宋体" w:asciiTheme="majorEastAsia" w:hAnsiTheme="majorEastAsia" w:eastAsiaTheme="majorEastAsia"/>
          <w:color w:val="000000"/>
          <w:kern w:val="2"/>
          <w:sz w:val="30"/>
          <w:szCs w:val="30"/>
          <w:lang w:val="zh-CN"/>
        </w:rPr>
        <w:t>八、在招标釆购中出现下列情形之一的，应予废标</w:t>
      </w:r>
      <w:bookmarkEnd w:id="476"/>
      <w:r>
        <w:rPr>
          <w:rFonts w:hint="eastAsia" w:cs="宋体" w:asciiTheme="majorEastAsia" w:hAnsiTheme="majorEastAsia" w:eastAsiaTheme="majorEastAsia"/>
          <w:color w:val="000000"/>
          <w:kern w:val="2"/>
          <w:sz w:val="30"/>
          <w:szCs w:val="30"/>
          <w:lang w:val="zh-CN"/>
        </w:rPr>
        <w:t>：</w:t>
      </w:r>
      <w:bookmarkEnd w:id="477"/>
    </w:p>
    <w:p>
      <w:pPr>
        <w:pStyle w:val="28"/>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78" w:name="_Toc504479737"/>
      <w:bookmarkStart w:id="479" w:name="_Toc504654770"/>
      <w:bookmarkStart w:id="480" w:name="_Toc11362"/>
      <w:bookmarkStart w:id="481" w:name="_Toc445473573"/>
      <w:bookmarkStart w:id="482" w:name="_Toc504479285"/>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1</w:t>
      </w:r>
      <w:r>
        <w:rPr>
          <w:rFonts w:hint="eastAsia" w:cs="宋体" w:asciiTheme="majorEastAsia" w:hAnsiTheme="majorEastAsia" w:eastAsiaTheme="majorEastAsia"/>
          <w:b w:val="0"/>
          <w:bCs w:val="0"/>
          <w:color w:val="000000"/>
          <w:kern w:val="2"/>
          <w:sz w:val="24"/>
          <w:szCs w:val="24"/>
          <w:lang w:val="zh-CN"/>
        </w:rPr>
        <w:t>）符合专业条件的供应商或者对招标文件作实质响应的供成商不足三家的；</w:t>
      </w:r>
      <w:bookmarkEnd w:id="478"/>
      <w:bookmarkEnd w:id="479"/>
      <w:bookmarkEnd w:id="480"/>
      <w:bookmarkEnd w:id="481"/>
      <w:bookmarkEnd w:id="482"/>
    </w:p>
    <w:p>
      <w:pPr>
        <w:pStyle w:val="28"/>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83" w:name="_Toc445473574"/>
      <w:bookmarkStart w:id="484" w:name="_Toc504479738"/>
      <w:bookmarkStart w:id="485" w:name="_Toc1194"/>
      <w:bookmarkStart w:id="486" w:name="_Toc504654771"/>
      <w:bookmarkStart w:id="487" w:name="_Toc504479286"/>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2</w:t>
      </w:r>
      <w:r>
        <w:rPr>
          <w:rFonts w:hint="eastAsia" w:cs="宋体" w:asciiTheme="majorEastAsia" w:hAnsiTheme="majorEastAsia" w:eastAsiaTheme="majorEastAsia"/>
          <w:b w:val="0"/>
          <w:bCs w:val="0"/>
          <w:color w:val="000000"/>
          <w:kern w:val="2"/>
          <w:sz w:val="24"/>
          <w:szCs w:val="24"/>
          <w:lang w:val="zh-CN"/>
        </w:rPr>
        <w:t>）出现影响釆购公正的违法、违规行为的；</w:t>
      </w:r>
      <w:bookmarkEnd w:id="483"/>
      <w:bookmarkEnd w:id="484"/>
      <w:bookmarkEnd w:id="485"/>
      <w:bookmarkEnd w:id="486"/>
      <w:bookmarkEnd w:id="487"/>
    </w:p>
    <w:p>
      <w:pPr>
        <w:pStyle w:val="28"/>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88" w:name="_Toc504479287"/>
      <w:bookmarkStart w:id="489" w:name="_Toc504654772"/>
      <w:bookmarkStart w:id="490" w:name="_Toc18446"/>
      <w:bookmarkStart w:id="491" w:name="_Toc445473575"/>
      <w:bookmarkStart w:id="492" w:name="_Toc504479739"/>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3</w:t>
      </w:r>
      <w:r>
        <w:rPr>
          <w:rFonts w:hint="eastAsia" w:cs="宋体" w:asciiTheme="majorEastAsia" w:hAnsiTheme="majorEastAsia" w:eastAsiaTheme="majorEastAsia"/>
          <w:b w:val="0"/>
          <w:bCs w:val="0"/>
          <w:color w:val="000000"/>
          <w:kern w:val="2"/>
          <w:sz w:val="24"/>
          <w:szCs w:val="24"/>
          <w:lang w:val="zh-CN"/>
        </w:rPr>
        <w:t>）供应商的报价均超过了采购预算，釆购人不能支付的；</w:t>
      </w:r>
      <w:bookmarkEnd w:id="488"/>
      <w:bookmarkEnd w:id="489"/>
      <w:bookmarkEnd w:id="490"/>
      <w:bookmarkEnd w:id="491"/>
      <w:bookmarkEnd w:id="492"/>
    </w:p>
    <w:p>
      <w:pPr>
        <w:pStyle w:val="28"/>
        <w:spacing w:before="0" w:after="0" w:line="360" w:lineRule="auto"/>
        <w:ind w:left="-3" w:leftChars="-87" w:hanging="180" w:hangingChars="75"/>
        <w:jc w:val="both"/>
        <w:outlineLvl w:val="9"/>
        <w:rPr>
          <w:rFonts w:cs="宋体" w:asciiTheme="majorEastAsia" w:hAnsiTheme="majorEastAsia" w:eastAsiaTheme="majorEastAsia"/>
          <w:b w:val="0"/>
          <w:bCs w:val="0"/>
          <w:color w:val="000000"/>
          <w:kern w:val="2"/>
          <w:sz w:val="24"/>
          <w:szCs w:val="24"/>
          <w:lang w:val="zh-CN"/>
        </w:rPr>
      </w:pPr>
      <w:bookmarkStart w:id="493" w:name="_Toc435021165"/>
      <w:bookmarkStart w:id="494" w:name="_Toc429224735"/>
      <w:bookmarkStart w:id="495" w:name="_Toc504479288"/>
      <w:bookmarkStart w:id="496" w:name="_Toc504479740"/>
      <w:bookmarkStart w:id="497" w:name="_Toc445473576"/>
      <w:bookmarkStart w:id="498" w:name="_Toc29087"/>
      <w:bookmarkStart w:id="499" w:name="_Toc504654773"/>
      <w:r>
        <w:rPr>
          <w:rFonts w:hint="eastAsia" w:cs="宋体" w:asciiTheme="majorEastAsia" w:hAnsiTheme="majorEastAsia" w:eastAsiaTheme="majorEastAsia"/>
          <w:b w:val="0"/>
          <w:bCs w:val="0"/>
          <w:color w:val="000000"/>
          <w:kern w:val="2"/>
          <w:sz w:val="24"/>
          <w:szCs w:val="24"/>
          <w:lang w:val="zh-CN"/>
        </w:rPr>
        <w:t>（</w:t>
      </w:r>
      <w:r>
        <w:rPr>
          <w:rFonts w:cs="宋体" w:asciiTheme="majorEastAsia" w:hAnsiTheme="majorEastAsia" w:eastAsiaTheme="majorEastAsia"/>
          <w:b w:val="0"/>
          <w:bCs w:val="0"/>
          <w:color w:val="000000"/>
          <w:kern w:val="2"/>
          <w:sz w:val="24"/>
          <w:szCs w:val="24"/>
          <w:lang w:val="zh-CN"/>
        </w:rPr>
        <w:t>4</w:t>
      </w:r>
      <w:r>
        <w:rPr>
          <w:rFonts w:hint="eastAsia" w:cs="宋体" w:asciiTheme="majorEastAsia" w:hAnsiTheme="majorEastAsia" w:eastAsiaTheme="majorEastAsia"/>
          <w:b w:val="0"/>
          <w:bCs w:val="0"/>
          <w:color w:val="000000"/>
          <w:kern w:val="2"/>
          <w:sz w:val="24"/>
          <w:szCs w:val="24"/>
          <w:lang w:val="zh-CN"/>
        </w:rPr>
        <w:t>）因重大变故，釆购任务取消的。</w:t>
      </w:r>
      <w:bookmarkEnd w:id="493"/>
      <w:bookmarkEnd w:id="494"/>
      <w:r>
        <w:rPr>
          <w:rFonts w:hint="eastAsia" w:cs="宋体" w:asciiTheme="majorEastAsia" w:hAnsiTheme="majorEastAsia" w:eastAsiaTheme="majorEastAsia"/>
          <w:b w:val="0"/>
          <w:bCs w:val="0"/>
          <w:color w:val="000000"/>
          <w:kern w:val="2"/>
          <w:sz w:val="24"/>
          <w:szCs w:val="24"/>
          <w:lang w:val="zh-CN"/>
        </w:rPr>
        <w:t>废标后，除釆购任务取消外，采购人应重新组织招标。</w:t>
      </w:r>
      <w:bookmarkEnd w:id="495"/>
      <w:bookmarkEnd w:id="496"/>
      <w:bookmarkEnd w:id="497"/>
      <w:bookmarkEnd w:id="498"/>
      <w:bookmarkEnd w:id="499"/>
      <w:bookmarkStart w:id="500" w:name="_Toc445473577"/>
    </w:p>
    <w:p>
      <w:pPr>
        <w:pStyle w:val="28"/>
        <w:spacing w:before="0" w:after="0" w:line="360" w:lineRule="auto"/>
        <w:ind w:left="102" w:leftChars="0" w:hanging="102" w:hangingChars="34"/>
        <w:jc w:val="both"/>
        <w:outlineLvl w:val="9"/>
        <w:rPr>
          <w:rFonts w:cs="宋体" w:asciiTheme="majorEastAsia" w:hAnsiTheme="majorEastAsia" w:eastAsiaTheme="majorEastAsia"/>
          <w:color w:val="000000"/>
          <w:kern w:val="2"/>
          <w:sz w:val="30"/>
          <w:szCs w:val="30"/>
          <w:lang w:val="zh-CN"/>
        </w:rPr>
      </w:pPr>
      <w:bookmarkStart w:id="501" w:name="_Toc20577"/>
      <w:r>
        <w:rPr>
          <w:rFonts w:hint="eastAsia" w:cs="宋体" w:asciiTheme="majorEastAsia" w:hAnsiTheme="majorEastAsia" w:eastAsiaTheme="majorEastAsia"/>
          <w:color w:val="000000"/>
          <w:kern w:val="2"/>
          <w:sz w:val="30"/>
          <w:szCs w:val="30"/>
          <w:lang w:val="zh-CN"/>
        </w:rPr>
        <w:t>九、纪律和监督</w:t>
      </w:r>
      <w:bookmarkEnd w:id="500"/>
      <w:bookmarkEnd w:id="501"/>
    </w:p>
    <w:p>
      <w:pPr>
        <w:pStyle w:val="28"/>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02" w:name="_Toc504479290"/>
      <w:bookmarkStart w:id="503" w:name="_Toc15785"/>
      <w:bookmarkStart w:id="504" w:name="_Toc445473578"/>
      <w:bookmarkStart w:id="505" w:name="_Toc504654775"/>
      <w:bookmarkStart w:id="506" w:name="_Toc504479742"/>
      <w:r>
        <w:rPr>
          <w:rFonts w:cs="宋体" w:asciiTheme="majorEastAsia" w:hAnsiTheme="majorEastAsia" w:eastAsiaTheme="majorEastAsia"/>
          <w:bCs w:val="0"/>
          <w:color w:val="000000"/>
          <w:sz w:val="24"/>
          <w:szCs w:val="24"/>
          <w:lang w:val="zh-CN"/>
        </w:rPr>
        <w:t>1</w:t>
      </w:r>
      <w:r>
        <w:rPr>
          <w:rFonts w:hint="eastAsia" w:cs="宋体" w:asciiTheme="majorEastAsia" w:hAnsiTheme="majorEastAsia" w:eastAsiaTheme="majorEastAsia"/>
          <w:bCs w:val="0"/>
          <w:color w:val="000000"/>
          <w:sz w:val="24"/>
          <w:szCs w:val="24"/>
          <w:lang w:val="zh-CN"/>
        </w:rPr>
        <w:t>、对采购人的纪律要求</w:t>
      </w:r>
      <w:bookmarkEnd w:id="502"/>
      <w:bookmarkEnd w:id="503"/>
      <w:bookmarkEnd w:id="504"/>
      <w:bookmarkEnd w:id="505"/>
      <w:bookmarkEnd w:id="506"/>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采购人不得泄漏招标投标活动中应当保密的情况和资料，不得与供应商串通损害国家利益、社会公共利益或者他人合法权益。</w:t>
      </w:r>
    </w:p>
    <w:p>
      <w:pPr>
        <w:pStyle w:val="28"/>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07" w:name="_Toc17752"/>
      <w:bookmarkStart w:id="508" w:name="_Toc504479743"/>
      <w:bookmarkStart w:id="509" w:name="_Toc445473579"/>
      <w:bookmarkStart w:id="510" w:name="_Toc504654776"/>
      <w:bookmarkStart w:id="511" w:name="_Toc504479291"/>
      <w:r>
        <w:rPr>
          <w:rFonts w:cs="宋体" w:asciiTheme="majorEastAsia" w:hAnsiTheme="majorEastAsia" w:eastAsiaTheme="majorEastAsia"/>
          <w:bCs w:val="0"/>
          <w:color w:val="000000"/>
          <w:sz w:val="24"/>
          <w:szCs w:val="24"/>
          <w:lang w:val="zh-CN"/>
        </w:rPr>
        <w:t>2</w:t>
      </w:r>
      <w:r>
        <w:rPr>
          <w:rFonts w:hint="eastAsia" w:cs="宋体" w:asciiTheme="majorEastAsia" w:hAnsiTheme="majorEastAsia" w:eastAsiaTheme="majorEastAsia"/>
          <w:bCs w:val="0"/>
          <w:color w:val="000000"/>
          <w:sz w:val="24"/>
          <w:szCs w:val="24"/>
          <w:lang w:val="zh-CN"/>
        </w:rPr>
        <w:t>、对供应商的纪律要求</w:t>
      </w:r>
      <w:bookmarkEnd w:id="507"/>
      <w:bookmarkEnd w:id="508"/>
      <w:bookmarkEnd w:id="509"/>
      <w:bookmarkEnd w:id="510"/>
      <w:bookmarkEnd w:id="511"/>
    </w:p>
    <w:p>
      <w:pPr>
        <w:autoSpaceDE w:val="0"/>
        <w:autoSpaceDN w:val="0"/>
        <w:adjustRightInd w:val="0"/>
        <w:spacing w:line="360" w:lineRule="auto"/>
        <w:ind w:left="14" w:leftChars="0" w:hanging="14" w:hangingChars="6"/>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供应商不得相互串通投标或者与采购人串通投标，不得向采购人或者评标委员会成员行贿谋取中标，不得以他人名义投标或者以其他方式弄虚作假骗取中标；供应商不得以任何方式干扰、影响评标工作。</w:t>
      </w:r>
    </w:p>
    <w:p>
      <w:pPr>
        <w:pStyle w:val="28"/>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2" w:name="_Toc504479744"/>
      <w:bookmarkStart w:id="513" w:name="_Toc504479292"/>
      <w:bookmarkStart w:id="514" w:name="_Toc445473580"/>
      <w:bookmarkStart w:id="515" w:name="_Toc504654777"/>
      <w:bookmarkStart w:id="516" w:name="_Toc15141"/>
      <w:r>
        <w:rPr>
          <w:rFonts w:cs="宋体" w:asciiTheme="majorEastAsia" w:hAnsiTheme="majorEastAsia" w:eastAsiaTheme="majorEastAsia"/>
          <w:bCs w:val="0"/>
          <w:color w:val="000000"/>
          <w:sz w:val="24"/>
          <w:szCs w:val="24"/>
          <w:lang w:val="zh-CN"/>
        </w:rPr>
        <w:t>3</w:t>
      </w:r>
      <w:r>
        <w:rPr>
          <w:rFonts w:hint="eastAsia" w:cs="宋体" w:asciiTheme="majorEastAsia" w:hAnsiTheme="majorEastAsia" w:eastAsiaTheme="majorEastAsia"/>
          <w:bCs w:val="0"/>
          <w:color w:val="000000"/>
          <w:sz w:val="24"/>
          <w:szCs w:val="24"/>
          <w:lang w:val="zh-CN"/>
        </w:rPr>
        <w:t>、对评标委员会成员的纪律要求</w:t>
      </w:r>
      <w:bookmarkEnd w:id="512"/>
      <w:bookmarkEnd w:id="513"/>
      <w:bookmarkEnd w:id="514"/>
      <w:bookmarkEnd w:id="515"/>
      <w:bookmarkEnd w:id="516"/>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pPr>
        <w:pStyle w:val="28"/>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17" w:name="_Toc504654778"/>
      <w:bookmarkStart w:id="518" w:name="_Toc230"/>
      <w:bookmarkStart w:id="519" w:name="_Toc445473581"/>
      <w:bookmarkStart w:id="520" w:name="_Toc504479745"/>
      <w:bookmarkStart w:id="521" w:name="_Toc504479293"/>
      <w:r>
        <w:rPr>
          <w:rFonts w:cs="宋体" w:asciiTheme="majorEastAsia" w:hAnsiTheme="majorEastAsia" w:eastAsiaTheme="majorEastAsia"/>
          <w:bCs w:val="0"/>
          <w:color w:val="000000"/>
          <w:sz w:val="24"/>
          <w:szCs w:val="24"/>
          <w:lang w:val="zh-CN"/>
        </w:rPr>
        <w:t>4</w:t>
      </w:r>
      <w:r>
        <w:rPr>
          <w:rFonts w:hint="eastAsia" w:cs="宋体" w:asciiTheme="majorEastAsia" w:hAnsiTheme="majorEastAsia" w:eastAsiaTheme="majorEastAsia"/>
          <w:bCs w:val="0"/>
          <w:color w:val="000000"/>
          <w:sz w:val="24"/>
          <w:szCs w:val="24"/>
          <w:lang w:val="zh-CN"/>
        </w:rPr>
        <w:t>、对与评标活动有关的工作人员的纪律要求</w:t>
      </w:r>
      <w:bookmarkEnd w:id="517"/>
      <w:bookmarkEnd w:id="518"/>
      <w:bookmarkEnd w:id="519"/>
      <w:bookmarkEnd w:id="520"/>
      <w:bookmarkEnd w:id="521"/>
    </w:p>
    <w:p>
      <w:pPr>
        <w:autoSpaceDE w:val="0"/>
        <w:autoSpaceDN w:val="0"/>
        <w:adjustRightInd w:val="0"/>
        <w:spacing w:line="360" w:lineRule="auto"/>
        <w:ind w:left="55" w:leftChars="0" w:hanging="55" w:hangingChars="23"/>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28"/>
        <w:spacing w:before="0" w:after="0" w:line="360" w:lineRule="auto"/>
        <w:ind w:left="0" w:leftChars="0" w:firstLine="0" w:firstLineChars="0"/>
        <w:jc w:val="both"/>
        <w:outlineLvl w:val="9"/>
        <w:rPr>
          <w:rFonts w:cs="宋体" w:asciiTheme="majorEastAsia" w:hAnsiTheme="majorEastAsia" w:eastAsiaTheme="majorEastAsia"/>
          <w:bCs w:val="0"/>
          <w:color w:val="000000"/>
          <w:sz w:val="24"/>
          <w:szCs w:val="24"/>
          <w:lang w:val="zh-CN"/>
        </w:rPr>
      </w:pPr>
      <w:bookmarkStart w:id="522" w:name="_Toc504479746"/>
      <w:bookmarkStart w:id="523" w:name="_Toc4376"/>
      <w:bookmarkStart w:id="524" w:name="_Toc504654779"/>
      <w:bookmarkStart w:id="525" w:name="_Toc445473582"/>
      <w:bookmarkStart w:id="526" w:name="_Toc504479294"/>
      <w:r>
        <w:rPr>
          <w:rFonts w:cs="宋体" w:asciiTheme="majorEastAsia" w:hAnsiTheme="majorEastAsia" w:eastAsiaTheme="majorEastAsia"/>
          <w:bCs w:val="0"/>
          <w:color w:val="000000"/>
          <w:sz w:val="24"/>
          <w:szCs w:val="24"/>
          <w:lang w:val="zh-CN"/>
        </w:rPr>
        <w:t>5</w:t>
      </w:r>
      <w:r>
        <w:rPr>
          <w:rFonts w:hint="eastAsia" w:cs="宋体" w:asciiTheme="majorEastAsia" w:hAnsiTheme="majorEastAsia" w:eastAsiaTheme="majorEastAsia"/>
          <w:bCs w:val="0"/>
          <w:color w:val="000000"/>
          <w:sz w:val="24"/>
          <w:szCs w:val="24"/>
          <w:lang w:val="zh-CN"/>
        </w:rPr>
        <w:t>、投诉</w:t>
      </w:r>
      <w:bookmarkEnd w:id="522"/>
      <w:bookmarkEnd w:id="523"/>
      <w:bookmarkEnd w:id="524"/>
      <w:bookmarkEnd w:id="525"/>
      <w:bookmarkEnd w:id="526"/>
    </w:p>
    <w:p>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5.1</w:t>
      </w:r>
      <w:r>
        <w:rPr>
          <w:rFonts w:hint="eastAsia" w:cs="宋体" w:asciiTheme="majorEastAsia" w:hAnsiTheme="majorEastAsia" w:eastAsiaTheme="majorEastAsia"/>
          <w:bCs/>
          <w:color w:val="000000"/>
          <w:sz w:val="24"/>
          <w:lang w:val="zh-CN"/>
        </w:rPr>
        <w:t>供应商或者其他利害关系人认为招标投标活动不符合法律、行政法规规定的，可以自知道或者应当知道之日起</w:t>
      </w:r>
      <w:r>
        <w:rPr>
          <w:rFonts w:cs="宋体" w:asciiTheme="majorEastAsia" w:hAnsiTheme="majorEastAsia" w:eastAsiaTheme="majorEastAsia"/>
          <w:bCs/>
          <w:color w:val="000000"/>
          <w:sz w:val="24"/>
        </w:rPr>
        <w:t>7</w:t>
      </w:r>
      <w:r>
        <w:rPr>
          <w:rFonts w:hint="eastAsia" w:cs="宋体" w:asciiTheme="majorEastAsia" w:hAnsiTheme="majorEastAsia" w:eastAsiaTheme="majorEastAsia"/>
          <w:bCs/>
          <w:color w:val="000000"/>
          <w:sz w:val="24"/>
        </w:rPr>
        <w:t>个工作</w:t>
      </w:r>
      <w:r>
        <w:rPr>
          <w:rFonts w:hint="eastAsia" w:cs="宋体" w:asciiTheme="majorEastAsia" w:hAnsiTheme="majorEastAsia" w:eastAsiaTheme="majorEastAsia"/>
          <w:bCs/>
          <w:color w:val="000000"/>
          <w:sz w:val="24"/>
          <w:lang w:val="zh-CN"/>
        </w:rPr>
        <w:t>日内向有关行政监督部门投诉。投诉应当有明确的请求和必要的证明材料。</w:t>
      </w:r>
    </w:p>
    <w:p>
      <w:p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5.2</w:t>
      </w:r>
      <w:r>
        <w:rPr>
          <w:rFonts w:hint="eastAsia" w:cs="宋体" w:asciiTheme="majorEastAsia" w:hAnsiTheme="majorEastAsia" w:eastAsiaTheme="majorEastAsia"/>
          <w:color w:val="000000"/>
          <w:sz w:val="24"/>
          <w:lang w:val="zh-CN"/>
        </w:rPr>
        <w:t>供应商投诉时，应当具备以下法定必备条件：</w:t>
      </w:r>
    </w:p>
    <w:p>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投诉供应商应具备以下基木条件：</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①</w:t>
      </w:r>
      <w:r>
        <w:rPr>
          <w:rFonts w:hint="eastAsia" w:cs="宋体" w:asciiTheme="majorEastAsia" w:hAnsiTheme="majorEastAsia" w:eastAsiaTheme="majorEastAsia"/>
          <w:bCs/>
          <w:color w:val="000000"/>
          <w:sz w:val="24"/>
          <w:lang w:val="zh-CN"/>
        </w:rPr>
        <w:t>投诉人是参与所投诉政府采购活动的供应商；</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②</w:t>
      </w:r>
      <w:r>
        <w:rPr>
          <w:rFonts w:hint="eastAsia" w:cs="宋体" w:asciiTheme="majorEastAsia" w:hAnsiTheme="majorEastAsia" w:eastAsiaTheme="majorEastAsia"/>
          <w:bCs/>
          <w:color w:val="000000"/>
          <w:sz w:val="24"/>
          <w:lang w:val="zh-CN"/>
        </w:rPr>
        <w:t>提起投诉前已依法进行质疑；</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color w:val="000000"/>
          <w:sz w:val="24"/>
          <w:lang w:val="zh-CN"/>
        </w:rPr>
        <w:t>③</w:t>
      </w:r>
      <w:r>
        <w:rPr>
          <w:rFonts w:hint="eastAsia" w:cs="宋体" w:asciiTheme="majorEastAsia" w:hAnsiTheme="majorEastAsia" w:eastAsiaTheme="majorEastAsia"/>
          <w:bCs/>
          <w:color w:val="000000"/>
          <w:sz w:val="24"/>
          <w:lang w:val="zh-CN"/>
        </w:rPr>
        <w:t>投诉有效期限内提起投诉；</w:t>
      </w:r>
    </w:p>
    <w:p>
      <w:pPr>
        <w:autoSpaceDE w:val="0"/>
        <w:autoSpaceDN w:val="0"/>
        <w:adjustRightInd w:val="0"/>
        <w:spacing w:line="360" w:lineRule="auto"/>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④属于本财政部门管辖；</w:t>
      </w:r>
    </w:p>
    <w:p>
      <w:pPr>
        <w:autoSpaceDE w:val="0"/>
        <w:autoSpaceDN w:val="0"/>
        <w:adjustRightInd w:val="0"/>
        <w:spacing w:line="360" w:lineRule="auto"/>
        <w:jc w:val="left"/>
        <w:rPr>
          <w:rFonts w:cs="宋体" w:asciiTheme="majorEastAsia" w:hAnsiTheme="majorEastAsia" w:eastAsiaTheme="majorEastAsia"/>
          <w:bCs/>
          <w:color w:val="000000"/>
          <w:sz w:val="24"/>
        </w:rPr>
      </w:pPr>
      <w:r>
        <w:rPr>
          <w:rFonts w:hint="eastAsia" w:cs="宋体" w:asciiTheme="majorEastAsia" w:hAnsiTheme="majorEastAsia" w:eastAsiaTheme="majorEastAsia"/>
          <w:color w:val="000000"/>
          <w:sz w:val="24"/>
          <w:lang w:val="zh-CN"/>
        </w:rPr>
        <w:t>⑤</w:t>
      </w:r>
      <w:r>
        <w:rPr>
          <w:rFonts w:hint="eastAsia" w:cs="宋体" w:asciiTheme="majorEastAsia" w:hAnsiTheme="majorEastAsia" w:eastAsiaTheme="majorEastAsia"/>
          <w:bCs/>
          <w:color w:val="000000"/>
          <w:sz w:val="24"/>
          <w:lang w:val="zh-CN"/>
        </w:rPr>
        <w:t>同一投诉事项未经财政部门投诉处理。</w:t>
      </w:r>
    </w:p>
    <w:p>
      <w:pPr>
        <w:numPr>
          <w:ilvl w:val="0"/>
          <w:numId w:val="3"/>
        </w:numPr>
        <w:autoSpaceDE w:val="0"/>
        <w:autoSpaceDN w:val="0"/>
        <w:adjustRightInd w:val="0"/>
        <w:spacing w:line="360" w:lineRule="auto"/>
        <w:ind w:left="-3" w:leftChars="0" w:firstLine="3"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供应商投诉时，应当提交投诉书，投诉书应包括以下主要内容：</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①投诉人和被投诉人的名称、地址、电话等应齐全；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②具体的投诉事项及事实依据应清晰；</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③质疑和质疑答复情况及相关证明材料等应齐全；</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④投诉事项应与质疑事项一致，应标注提起投诉的日期；</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⑤投诉人为自然人的，应由本人签字；</w:t>
      </w:r>
    </w:p>
    <w:p>
      <w:pPr>
        <w:autoSpaceDE w:val="0"/>
        <w:autoSpaceDN w:val="0"/>
        <w:adjustRightInd w:val="0"/>
        <w:spacing w:line="360" w:lineRule="auto"/>
        <w:ind w:left="0" w:leftChars="0" w:firstLine="0" w:firstLineChars="0"/>
        <w:jc w:val="left"/>
        <w:rPr>
          <w:rFonts w:cs="宋体" w:asciiTheme="majorEastAsia" w:hAnsiTheme="majorEastAsia" w:eastAsiaTheme="majorEastAsia"/>
          <w:bCs/>
          <w:color w:val="000000"/>
          <w:sz w:val="24"/>
        </w:rPr>
      </w:pPr>
      <w:bookmarkStart w:id="527" w:name="bookmark29"/>
      <w:r>
        <w:rPr>
          <w:rFonts w:hint="eastAsia" w:cs="宋体" w:asciiTheme="majorEastAsia" w:hAnsiTheme="majorEastAsia" w:eastAsiaTheme="majorEastAsia"/>
          <w:bCs/>
          <w:color w:val="000000"/>
          <w:sz w:val="24"/>
        </w:rPr>
        <w:t>⑥投诉人为法人或者其他组织的，应由法定代表人或者主要负责人签字盖章并加盖公章。</w:t>
      </w:r>
    </w:p>
    <w:bookmarkEnd w:id="527"/>
    <w:p>
      <w:pPr>
        <w:pStyle w:val="4"/>
        <w:spacing w:line="360" w:lineRule="auto"/>
        <w:rPr>
          <w:rFonts w:cs="宋体" w:asciiTheme="majorEastAsia" w:hAnsiTheme="majorEastAsia" w:eastAsiaTheme="majorEastAsia"/>
          <w:color w:val="000000"/>
          <w:szCs w:val="30"/>
          <w:lang w:val="zh-CN"/>
        </w:rPr>
      </w:pPr>
      <w:bookmarkStart w:id="528" w:name="_Toc30546"/>
      <w:r>
        <w:rPr>
          <w:rFonts w:hint="eastAsia" w:cs="宋体" w:asciiTheme="majorEastAsia" w:hAnsiTheme="majorEastAsia" w:eastAsiaTheme="majorEastAsia"/>
          <w:color w:val="000000"/>
          <w:szCs w:val="30"/>
          <w:lang w:val="zh-CN"/>
        </w:rPr>
        <w:t>十、其它</w:t>
      </w:r>
      <w:bookmarkEnd w:id="528"/>
    </w:p>
    <w:p>
      <w:pPr>
        <w:autoSpaceDE w:val="0"/>
        <w:autoSpaceDN w:val="0"/>
        <w:adjustRightInd w:val="0"/>
        <w:spacing w:line="360" w:lineRule="auto"/>
        <w:jc w:val="left"/>
        <w:rPr>
          <w:rFonts w:cs="宋体" w:asciiTheme="majorEastAsia" w:hAnsiTheme="majorEastAsia" w:eastAsiaTheme="majorEastAsia"/>
          <w:bCs/>
          <w:color w:val="000000"/>
          <w:sz w:val="24"/>
        </w:rPr>
      </w:pPr>
      <w:r>
        <w:rPr>
          <w:rFonts w:cs="宋体" w:asciiTheme="majorEastAsia" w:hAnsiTheme="majorEastAsia" w:eastAsiaTheme="majorEastAsia"/>
          <w:bCs/>
          <w:color w:val="000000"/>
          <w:sz w:val="24"/>
        </w:rPr>
        <w:t>1</w:t>
      </w:r>
      <w:r>
        <w:rPr>
          <w:rFonts w:hint="eastAsia" w:cs="宋体" w:asciiTheme="majorEastAsia" w:hAnsiTheme="majorEastAsia" w:eastAsiaTheme="majorEastAsia"/>
          <w:bCs/>
          <w:color w:val="000000"/>
          <w:sz w:val="24"/>
        </w:rPr>
        <w:t>、未尽事宜，按国家有关规定执行。</w:t>
      </w:r>
    </w:p>
    <w:p>
      <w:pPr>
        <w:autoSpaceDE w:val="0"/>
        <w:autoSpaceDN w:val="0"/>
        <w:adjustRightInd w:val="0"/>
        <w:spacing w:line="360" w:lineRule="auto"/>
        <w:jc w:val="left"/>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、本招标文件的解释权属采购人。</w:t>
      </w:r>
    </w:p>
    <w:p>
      <w:pPr>
        <w:widowControl/>
        <w:spacing w:line="360" w:lineRule="auto"/>
        <w:ind w:firstLine="480"/>
        <w:rPr>
          <w:rFonts w:cs="宋体" w:asciiTheme="majorEastAsia" w:hAnsiTheme="majorEastAsia" w:eastAsiaTheme="majorEastAsia"/>
          <w:b/>
          <w:bCs/>
          <w:color w:val="000000"/>
          <w:kern w:val="0"/>
          <w:sz w:val="24"/>
        </w:rPr>
      </w:pPr>
      <w:r>
        <w:rPr>
          <w:rFonts w:cs="宋体" w:asciiTheme="majorEastAsia" w:hAnsiTheme="majorEastAsia" w:eastAsiaTheme="majorEastAsia"/>
          <w:b/>
          <w:bCs/>
          <w:color w:val="000000"/>
          <w:kern w:val="0"/>
          <w:sz w:val="24"/>
        </w:rPr>
        <w:br w:type="page"/>
      </w:r>
    </w:p>
    <w:p>
      <w:pPr>
        <w:pStyle w:val="28"/>
        <w:spacing w:line="276" w:lineRule="auto"/>
        <w:rPr>
          <w:rFonts w:cs="宋体" w:asciiTheme="majorEastAsia" w:hAnsiTheme="majorEastAsia" w:eastAsiaTheme="majorEastAsia"/>
          <w:color w:val="000000"/>
          <w:sz w:val="24"/>
          <w:szCs w:val="28"/>
        </w:rPr>
      </w:pPr>
      <w:bookmarkStart w:id="529" w:name="_Toc3746"/>
      <w:r>
        <w:rPr>
          <w:rFonts w:hint="eastAsia" w:cs="宋体" w:asciiTheme="majorEastAsia" w:hAnsiTheme="majorEastAsia" w:eastAsiaTheme="majorEastAsia"/>
          <w:color w:val="000000"/>
          <w:sz w:val="40"/>
        </w:rPr>
        <w:t>第三章</w:t>
      </w:r>
      <w:r>
        <w:rPr>
          <w:rFonts w:cs="宋体" w:asciiTheme="majorEastAsia" w:hAnsiTheme="majorEastAsia" w:eastAsiaTheme="majorEastAsia"/>
          <w:color w:val="000000"/>
          <w:sz w:val="40"/>
        </w:rPr>
        <w:t xml:space="preserve">  </w:t>
      </w:r>
      <w:r>
        <w:rPr>
          <w:rFonts w:hint="eastAsia" w:cs="宋体" w:asciiTheme="majorEastAsia" w:hAnsiTheme="majorEastAsia" w:eastAsiaTheme="majorEastAsia"/>
          <w:color w:val="000000"/>
          <w:sz w:val="40"/>
        </w:rPr>
        <w:t>评标办法</w:t>
      </w:r>
      <w:bookmarkEnd w:id="529"/>
    </w:p>
    <w:tbl>
      <w:tblPr>
        <w:tblStyle w:val="30"/>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7"/>
        <w:gridCol w:w="725"/>
        <w:gridCol w:w="2121"/>
        <w:gridCol w:w="6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1552" w:type="dxa"/>
            <w:gridSpan w:val="2"/>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条款号</w:t>
            </w: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评审因素</w:t>
            </w:r>
          </w:p>
        </w:tc>
        <w:tc>
          <w:tcPr>
            <w:tcW w:w="6372"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2.1.1</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形式评审标准</w:t>
            </w: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供应商名称</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投标函签字盖章</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按招标文件要求有法定代表人或其委托代理人签字并加盖单位章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投标文件格式</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报价唯一</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2.1.2</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资格评审标准</w:t>
            </w:r>
          </w:p>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lang w:val="zh-CN"/>
              </w:rPr>
            </w:pPr>
            <w:bookmarkStart w:id="530" w:name="OLE_LINK5"/>
            <w:r>
              <w:rPr>
                <w:rFonts w:hint="eastAsia" w:cs="宋体" w:asciiTheme="majorEastAsia" w:hAnsiTheme="majorEastAsia" w:eastAsiaTheme="majorEastAsia"/>
                <w:bCs/>
                <w:color w:val="000000"/>
                <w:sz w:val="21"/>
                <w:szCs w:val="21"/>
                <w:lang w:val="zh-CN"/>
              </w:rPr>
              <w:t>营业执照</w:t>
            </w:r>
            <w:bookmarkEnd w:id="530"/>
          </w:p>
        </w:tc>
        <w:tc>
          <w:tcPr>
            <w:tcW w:w="6372"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bookmarkStart w:id="531" w:name="OLE_LINK6"/>
            <w:r>
              <w:rPr>
                <w:rFonts w:hint="eastAsia" w:cs="宋体" w:asciiTheme="majorEastAsia" w:hAnsiTheme="majorEastAsia" w:eastAsiaTheme="majorEastAsia"/>
                <w:bCs/>
                <w:color w:val="000000"/>
                <w:sz w:val="21"/>
                <w:szCs w:val="21"/>
                <w:lang w:val="zh-CN"/>
              </w:rPr>
              <w:t>具备有效的企业营业执照副本（</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bookmarkEnd w:id="53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jc w:val="left"/>
              <w:rPr>
                <w:rFonts w:hint="eastAsia" w:cs="宋体" w:asciiTheme="majorEastAsia" w:hAnsiTheme="majorEastAsia" w:eastAsiaTheme="majorEastAsia"/>
                <w:bCs/>
                <w:color w:val="000000"/>
                <w:sz w:val="21"/>
                <w:szCs w:val="21"/>
                <w:lang w:val="zh-CN"/>
              </w:rPr>
            </w:pPr>
            <w:bookmarkStart w:id="532" w:name="OLE_LINK7"/>
            <w:r>
              <w:rPr>
                <w:rFonts w:hint="eastAsia" w:cs="宋体" w:asciiTheme="majorEastAsia" w:hAnsiTheme="majorEastAsia" w:eastAsiaTheme="majorEastAsia"/>
                <w:bCs/>
                <w:color w:val="000000"/>
                <w:sz w:val="21"/>
                <w:szCs w:val="21"/>
                <w:lang w:val="zh-CN"/>
              </w:rPr>
              <w:t>社保及完税证明</w:t>
            </w:r>
            <w:bookmarkEnd w:id="532"/>
          </w:p>
        </w:tc>
        <w:tc>
          <w:tcPr>
            <w:tcW w:w="6372" w:type="dxa"/>
            <w:vAlign w:val="center"/>
          </w:tcPr>
          <w:p>
            <w:pPr>
              <w:autoSpaceDE w:val="0"/>
              <w:autoSpaceDN w:val="0"/>
              <w:adjustRightInd w:val="0"/>
              <w:spacing w:line="276" w:lineRule="auto"/>
              <w:jc w:val="left"/>
              <w:rPr>
                <w:rFonts w:hint="eastAsia"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近</w:t>
            </w:r>
            <w:r>
              <w:rPr>
                <w:rFonts w:hint="eastAsia" w:cs="宋体" w:asciiTheme="majorEastAsia" w:hAnsiTheme="majorEastAsia" w:eastAsiaTheme="majorEastAsia"/>
                <w:bCs/>
                <w:color w:val="000000"/>
                <w:sz w:val="21"/>
                <w:szCs w:val="21"/>
                <w:lang w:val="en-US" w:eastAsia="zh-CN"/>
              </w:rPr>
              <w:t>2024年6月至今</w:t>
            </w:r>
            <w:r>
              <w:rPr>
                <w:rFonts w:hint="eastAsia" w:cs="宋体" w:asciiTheme="majorEastAsia" w:hAnsiTheme="majorEastAsia" w:eastAsiaTheme="majorEastAsia"/>
                <w:bCs/>
                <w:color w:val="000000"/>
                <w:sz w:val="21"/>
                <w:szCs w:val="21"/>
                <w:lang w:val="zh-CN"/>
              </w:rPr>
              <w:t>具有依法缴纳税收和社会保障资金的良好记录证明（任意一月即可）（</w:t>
            </w:r>
            <w:r>
              <w:rPr>
                <w:rFonts w:hint="eastAsia" w:cs="宋体" w:asciiTheme="majorEastAsia" w:hAnsiTheme="majorEastAsia" w:eastAsiaTheme="majorEastAsia"/>
                <w:bCs/>
                <w:color w:val="000000"/>
                <w:sz w:val="21"/>
                <w:szCs w:val="21"/>
                <w:lang w:val="zh-CN" w:eastAsia="zh-CN"/>
              </w:rPr>
              <w:t>标书内</w:t>
            </w:r>
            <w:r>
              <w:rPr>
                <w:rFonts w:hint="eastAsia" w:cs="宋体" w:asciiTheme="majorEastAsia" w:hAnsiTheme="majorEastAsia" w:eastAsiaTheme="majorEastAsia"/>
                <w:bCs/>
                <w:color w:val="000000"/>
                <w:sz w:val="21"/>
                <w:szCs w:val="21"/>
                <w:lang w:val="zh-CN"/>
              </w:rPr>
              <w:t>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33" w:name="OLE_LINK8"/>
            <w:r>
              <w:rPr>
                <w:rFonts w:hint="eastAsia" w:cs="宋体" w:asciiTheme="majorEastAsia" w:hAnsiTheme="majorEastAsia" w:eastAsiaTheme="majorEastAsia"/>
                <w:bCs/>
                <w:color w:val="000000"/>
                <w:sz w:val="21"/>
                <w:szCs w:val="21"/>
                <w:lang w:val="zh-CN"/>
              </w:rPr>
              <w:t>具有健全的财务会计制度</w:t>
            </w:r>
            <w:bookmarkEnd w:id="533"/>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bCs/>
                <w:color w:val="000000"/>
                <w:sz w:val="21"/>
                <w:szCs w:val="21"/>
                <w:lang w:val="zh-CN" w:eastAsia="zh-CN"/>
              </w:rPr>
            </w:pPr>
            <w:r>
              <w:rPr>
                <w:rFonts w:hint="eastAsia" w:cs="宋体" w:asciiTheme="majorEastAsia" w:hAnsiTheme="majorEastAsia" w:eastAsiaTheme="majorEastAsia"/>
                <w:bCs/>
                <w:color w:val="000000"/>
                <w:sz w:val="21"/>
                <w:szCs w:val="21"/>
                <w:lang w:val="zh-CN" w:eastAsia="zh-CN"/>
              </w:rPr>
              <w:t>提供近三年（2021、2022、2023年）财务报表（包含现金流量表、资产负债表、利润表，加盖财务章）或经会计师事务所审计的财务审计报告或基本开户银行在投标截止时间前六个月内出具的资信证明。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hint="eastAsia" w:cs="宋体" w:asciiTheme="majorEastAsia" w:hAnsiTheme="majorEastAsia" w:eastAsiaTheme="majorEastAsia"/>
                <w:bCs/>
                <w:color w:val="000000"/>
                <w:sz w:val="21"/>
                <w:szCs w:val="21"/>
                <w:lang w:val="zh-CN"/>
              </w:rPr>
            </w:pPr>
            <w:bookmarkStart w:id="534" w:name="OLE_LINK9"/>
            <w:r>
              <w:rPr>
                <w:rFonts w:hint="eastAsia" w:cs="宋体" w:asciiTheme="majorEastAsia" w:hAnsiTheme="majorEastAsia" w:eastAsiaTheme="majorEastAsia"/>
                <w:bCs/>
                <w:color w:val="000000"/>
                <w:sz w:val="21"/>
                <w:szCs w:val="21"/>
                <w:lang w:val="zh-CN"/>
              </w:rPr>
              <w:t>无弄虚作假承诺</w:t>
            </w:r>
            <w:bookmarkEnd w:id="534"/>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sz w:val="21"/>
                <w:szCs w:val="21"/>
                <w:lang w:eastAsia="zh-CN"/>
              </w:rPr>
            </w:pPr>
            <w:bookmarkStart w:id="535" w:name="OLE_LINK10"/>
            <w:r>
              <w:rPr>
                <w:rFonts w:hint="eastAsia" w:cs="宋体" w:asciiTheme="majorEastAsia" w:hAnsiTheme="majorEastAsia" w:eastAsiaTheme="majorEastAsia"/>
                <w:sz w:val="21"/>
                <w:szCs w:val="21"/>
                <w:lang w:eastAsia="zh-CN"/>
              </w:rPr>
              <w:t>提供由法定代表人或被授权委托人签字并加盖公章的无弄虚作假承</w:t>
            </w:r>
          </w:p>
          <w:p>
            <w:pPr>
              <w:autoSpaceDE w:val="0"/>
              <w:autoSpaceDN w:val="0"/>
              <w:adjustRightInd w:val="0"/>
              <w:spacing w:line="276" w:lineRule="auto"/>
              <w:rPr>
                <w:rFonts w:hint="eastAsia" w:cs="宋体" w:asciiTheme="majorEastAsia" w:hAnsiTheme="majorEastAsia" w:eastAsiaTheme="majorEastAsia"/>
                <w:sz w:val="21"/>
                <w:szCs w:val="21"/>
                <w:lang w:eastAsia="zh-CN"/>
              </w:rPr>
            </w:pPr>
            <w:r>
              <w:rPr>
                <w:rFonts w:hint="eastAsia" w:cs="宋体" w:asciiTheme="majorEastAsia" w:hAnsiTheme="majorEastAsia" w:eastAsiaTheme="majorEastAsia"/>
                <w:sz w:val="21"/>
                <w:szCs w:val="21"/>
                <w:lang w:eastAsia="zh-CN"/>
              </w:rPr>
              <w:t>诺书。</w:t>
            </w:r>
            <w:bookmarkEnd w:id="53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lang w:val="zh-CN"/>
              </w:rPr>
            </w:pPr>
            <w:bookmarkStart w:id="536" w:name="OLE_LINK11"/>
            <w:r>
              <w:rPr>
                <w:rFonts w:hint="eastAsia" w:cs="宋体" w:asciiTheme="majorEastAsia" w:hAnsiTheme="majorEastAsia" w:eastAsiaTheme="majorEastAsia"/>
                <w:bCs/>
                <w:color w:val="000000"/>
                <w:sz w:val="21"/>
                <w:szCs w:val="21"/>
                <w:lang w:val="zh-CN"/>
              </w:rPr>
              <w:t>信誉</w:t>
            </w:r>
            <w:bookmarkEnd w:id="536"/>
          </w:p>
        </w:tc>
        <w:tc>
          <w:tcPr>
            <w:tcW w:w="6372" w:type="dxa"/>
            <w:vAlign w:val="center"/>
          </w:tcPr>
          <w:p>
            <w:pPr>
              <w:numPr>
                <w:ilvl w:val="0"/>
                <w:numId w:val="4"/>
              </w:numPr>
              <w:autoSpaceDE w:val="0"/>
              <w:autoSpaceDN w:val="0"/>
              <w:adjustRightInd w:val="0"/>
              <w:spacing w:line="276" w:lineRule="auto"/>
              <w:rPr>
                <w:rFonts w:hint="eastAsia" w:cs="宋体" w:asciiTheme="majorEastAsia" w:hAnsiTheme="majorEastAsia" w:eastAsiaTheme="majorEastAsia"/>
                <w:bCs/>
                <w:color w:val="000000"/>
                <w:sz w:val="21"/>
                <w:szCs w:val="21"/>
                <w:lang w:val="zh-CN"/>
              </w:rPr>
            </w:pPr>
            <w:bookmarkStart w:id="537" w:name="OLE_LINK12"/>
            <w:r>
              <w:rPr>
                <w:rFonts w:hint="eastAsia" w:cs="宋体" w:asciiTheme="majorEastAsia" w:hAnsiTheme="majorEastAsia" w:eastAsiaTheme="majorEastAsia"/>
                <w:bCs/>
                <w:color w:val="000000"/>
                <w:sz w:val="21"/>
                <w:szCs w:val="21"/>
                <w:lang w:val="zh-CN"/>
              </w:rPr>
              <w:t>拒绝列入政府取消投标资格记录期间的企业或个人投标，提供由法定代表人或被授权委托人签字并加盖公章的承诺书。</w:t>
            </w:r>
          </w:p>
          <w:p>
            <w:pPr>
              <w:numPr>
                <w:ilvl w:val="0"/>
                <w:numId w:val="0"/>
              </w:num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en-US" w:eastAsia="zh-CN"/>
              </w:rPr>
              <w:t>2、提供“信用中国”网站（www.creditchina.gov.cn）未列入①失信被执行人、严重失信主体名单、税收违法黑名单、政府采购严重违法失信行为记录名单的官网截图并加盖公章；提供中国政府采购网（www.ccgp.gov.cn）未列入政府采购严重违法失信行为信息记录的官网截图并加盖公章。（查询时点为获取招标文件开始至投标文件递交截止期间）</w:t>
            </w:r>
            <w:r>
              <w:rPr>
                <w:rFonts w:hint="eastAsia" w:cs="宋体" w:asciiTheme="majorEastAsia" w:hAnsiTheme="majorEastAsia" w:eastAsiaTheme="majorEastAsia"/>
                <w:bCs/>
                <w:color w:val="000000"/>
                <w:sz w:val="21"/>
                <w:szCs w:val="21"/>
                <w:lang w:val="zh-CN"/>
              </w:rPr>
              <w:t>（标书内复印件加盖公章）。</w:t>
            </w:r>
            <w:bookmarkEnd w:id="53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hint="eastAsia" w:cs="宋体" w:asciiTheme="majorEastAsia" w:hAnsiTheme="majorEastAsia" w:eastAsiaTheme="majorEastAsia"/>
                <w:bCs/>
                <w:color w:val="000000"/>
                <w:sz w:val="21"/>
                <w:szCs w:val="21"/>
                <w:lang w:val="zh-CN"/>
              </w:rPr>
            </w:pPr>
            <w:bookmarkStart w:id="538" w:name="OLE_LINK13"/>
            <w:r>
              <w:rPr>
                <w:rFonts w:hint="eastAsia" w:cs="宋体" w:asciiTheme="majorEastAsia" w:hAnsiTheme="majorEastAsia" w:eastAsiaTheme="majorEastAsia"/>
                <w:bCs/>
                <w:color w:val="000000"/>
                <w:sz w:val="21"/>
                <w:szCs w:val="21"/>
                <w:lang w:val="zh-CN"/>
              </w:rPr>
              <w:t>行贿受贿情况</w:t>
            </w:r>
            <w:bookmarkEnd w:id="538"/>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bCs/>
                <w:color w:val="000000"/>
                <w:sz w:val="21"/>
                <w:szCs w:val="21"/>
                <w:lang w:val="zh-CN"/>
              </w:rPr>
            </w:pPr>
            <w:bookmarkStart w:id="539" w:name="OLE_LINK14"/>
            <w:r>
              <w:rPr>
                <w:rFonts w:hint="eastAsia" w:cs="宋体" w:asciiTheme="majorEastAsia" w:hAnsiTheme="majorEastAsia" w:eastAsiaTheme="majorEastAsia"/>
                <w:bCs/>
                <w:color w:val="000000"/>
                <w:sz w:val="21"/>
                <w:szCs w:val="21"/>
                <w:lang w:val="zh-CN"/>
              </w:rPr>
              <w:t>本项目不接受有行贿受贿不良记录的企业及个人投标，提供《中国裁判文书网》（http://wenshu.court.gov.cn/）投标人或法定代表人无行贿犯罪档案查询记录截图证明。</w:t>
            </w:r>
            <w:bookmarkEnd w:id="53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其他要求</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符合供应商须知前附表第</w:t>
            </w:r>
            <w:r>
              <w:rPr>
                <w:rFonts w:hint="eastAsia" w:cs="宋体" w:asciiTheme="majorEastAsia" w:hAnsiTheme="majorEastAsia" w:eastAsiaTheme="majorEastAsia"/>
                <w:bCs/>
                <w:color w:val="000000"/>
                <w:sz w:val="21"/>
                <w:szCs w:val="21"/>
                <w:lang w:val="en-US" w:eastAsia="zh-CN"/>
              </w:rPr>
              <w:t>10</w:t>
            </w:r>
            <w:r>
              <w:rPr>
                <w:rFonts w:hint="eastAsia" w:cs="宋体" w:asciiTheme="majorEastAsia" w:hAnsiTheme="majorEastAsia" w:eastAsiaTheme="majorEastAsia"/>
                <w:bCs/>
                <w:color w:val="000000"/>
                <w:sz w:val="21"/>
                <w:szCs w:val="21"/>
                <w:lang w:val="zh-CN"/>
              </w:rPr>
              <w:t>条和第</w:t>
            </w:r>
            <w:r>
              <w:rPr>
                <w:rFonts w:hint="eastAsia" w:cs="宋体" w:asciiTheme="majorEastAsia" w:hAnsiTheme="majorEastAsia" w:eastAsiaTheme="majorEastAsia"/>
                <w:bCs/>
                <w:color w:val="000000"/>
                <w:sz w:val="21"/>
                <w:szCs w:val="21"/>
                <w:lang w:val="en-US" w:eastAsia="zh-CN"/>
              </w:rPr>
              <w:t>31</w:t>
            </w:r>
            <w:r>
              <w:rPr>
                <w:rFonts w:hint="eastAsia" w:cs="宋体" w:asciiTheme="majorEastAsia" w:hAnsiTheme="majorEastAsia" w:eastAsiaTheme="majorEastAsia"/>
                <w:bCs/>
                <w:color w:val="000000"/>
                <w:sz w:val="21"/>
                <w:szCs w:val="21"/>
                <w:lang w:val="zh-CN"/>
              </w:rPr>
              <w:t>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827" w:type="dxa"/>
            <w:vMerge w:val="restart"/>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r>
              <w:rPr>
                <w:rFonts w:cs="宋体" w:asciiTheme="majorEastAsia" w:hAnsiTheme="majorEastAsia" w:eastAsiaTheme="majorEastAsia"/>
                <w:bCs/>
                <w:color w:val="000000"/>
                <w:sz w:val="21"/>
                <w:szCs w:val="21"/>
                <w:lang w:val="zh-CN"/>
              </w:rPr>
              <w:t>2.1.3</w:t>
            </w:r>
          </w:p>
        </w:tc>
        <w:tc>
          <w:tcPr>
            <w:tcW w:w="725" w:type="dxa"/>
            <w:vMerge w:val="restart"/>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r>
              <w:rPr>
                <w:rFonts w:hint="eastAsia" w:cs="宋体" w:asciiTheme="majorEastAsia" w:hAnsiTheme="majorEastAsia" w:eastAsiaTheme="majorEastAsia"/>
                <w:bCs/>
                <w:color w:val="000000"/>
                <w:sz w:val="21"/>
                <w:szCs w:val="21"/>
                <w:lang w:val="zh-CN"/>
              </w:rPr>
              <w:t>响应性评审标准</w:t>
            </w:r>
          </w:p>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0" w:name="OLE_LINK15"/>
            <w:r>
              <w:rPr>
                <w:rFonts w:hint="eastAsia" w:cs="宋体" w:asciiTheme="majorEastAsia" w:hAnsiTheme="majorEastAsia" w:eastAsiaTheme="majorEastAsia"/>
                <w:bCs/>
                <w:color w:val="000000"/>
                <w:sz w:val="21"/>
                <w:szCs w:val="21"/>
                <w:lang w:val="zh-CN"/>
              </w:rPr>
              <w:t>质量要求</w:t>
            </w:r>
            <w:bookmarkEnd w:id="540"/>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1" w:name="OLE_LINK16"/>
            <w:r>
              <w:rPr>
                <w:rFonts w:hint="eastAsia" w:cs="宋体" w:asciiTheme="majorEastAsia" w:hAnsiTheme="majorEastAsia" w:eastAsiaTheme="majorEastAsia"/>
                <w:bCs/>
                <w:color w:val="000000"/>
                <w:sz w:val="21"/>
                <w:szCs w:val="21"/>
                <w:lang w:val="zh-CN"/>
              </w:rPr>
              <w:t>符合国家及行业合格标准并满足采购人需求；</w:t>
            </w:r>
            <w:bookmarkEnd w:id="54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2" w:name="OLE_LINK17"/>
            <w:r>
              <w:rPr>
                <w:rFonts w:hint="eastAsia" w:cs="宋体" w:asciiTheme="majorEastAsia" w:hAnsiTheme="majorEastAsia" w:eastAsiaTheme="majorEastAsia"/>
                <w:bCs/>
                <w:color w:val="000000"/>
                <w:sz w:val="21"/>
                <w:szCs w:val="21"/>
                <w:lang w:val="zh-CN"/>
              </w:rPr>
              <w:t>投标有效期</w:t>
            </w:r>
            <w:bookmarkEnd w:id="542"/>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3" w:name="OLE_LINK18"/>
            <w:r>
              <w:rPr>
                <w:rFonts w:cs="宋体" w:asciiTheme="majorEastAsia" w:hAnsiTheme="majorEastAsia" w:eastAsiaTheme="majorEastAsia"/>
                <w:bCs/>
                <w:color w:val="000000"/>
                <w:sz w:val="21"/>
                <w:szCs w:val="21"/>
                <w:lang w:val="zh-CN"/>
              </w:rPr>
              <w:t>90</w:t>
            </w:r>
            <w:r>
              <w:rPr>
                <w:rFonts w:hint="eastAsia" w:cs="宋体" w:asciiTheme="majorEastAsia" w:hAnsiTheme="majorEastAsia" w:eastAsiaTheme="majorEastAsia"/>
                <w:bCs/>
                <w:color w:val="000000"/>
                <w:sz w:val="21"/>
                <w:szCs w:val="21"/>
                <w:lang w:val="zh-CN"/>
              </w:rPr>
              <w:t>天（日历天）</w:t>
            </w:r>
            <w:bookmarkEnd w:id="54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lang w:val="zh-CN"/>
              </w:rPr>
            </w:pPr>
            <w:bookmarkStart w:id="544" w:name="OLE_LINK19"/>
            <w:r>
              <w:rPr>
                <w:rFonts w:hint="eastAsia" w:cs="宋体" w:asciiTheme="majorEastAsia" w:hAnsiTheme="majorEastAsia" w:eastAsiaTheme="majorEastAsia"/>
                <w:bCs/>
                <w:color w:val="000000"/>
                <w:sz w:val="21"/>
                <w:szCs w:val="21"/>
                <w:lang w:val="zh-CN"/>
              </w:rPr>
              <w:t>供货期</w:t>
            </w:r>
            <w:bookmarkEnd w:id="544"/>
          </w:p>
        </w:tc>
        <w:tc>
          <w:tcPr>
            <w:tcW w:w="6372" w:type="dxa"/>
            <w:vAlign w:val="center"/>
          </w:tcPr>
          <w:p>
            <w:pPr>
              <w:autoSpaceDE w:val="0"/>
              <w:autoSpaceDN w:val="0"/>
              <w:adjustRightInd w:val="0"/>
              <w:spacing w:line="276" w:lineRule="auto"/>
              <w:rPr>
                <w:rFonts w:cs="宋体" w:asciiTheme="majorEastAsia" w:hAnsiTheme="majorEastAsia" w:eastAsiaTheme="majorEastAsia"/>
                <w:bCs/>
                <w:sz w:val="21"/>
                <w:szCs w:val="21"/>
                <w:lang w:val="zh-CN"/>
              </w:rPr>
            </w:pPr>
            <w:bookmarkStart w:id="545" w:name="OLE_LINK20"/>
            <w:r>
              <w:rPr>
                <w:rFonts w:hint="eastAsia" w:cs="宋体" w:asciiTheme="majorEastAsia" w:hAnsiTheme="majorEastAsia" w:eastAsiaTheme="majorEastAsia"/>
                <w:bCs/>
                <w:sz w:val="21"/>
                <w:szCs w:val="21"/>
                <w:lang w:val="zh-CN"/>
              </w:rPr>
              <w:t>合同签订后7日内供货、安装、调试完毕，并保证投入使用；</w:t>
            </w:r>
            <w:bookmarkEnd w:id="54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lang w:val="zh-CN"/>
              </w:rPr>
            </w:pPr>
          </w:p>
        </w:tc>
        <w:tc>
          <w:tcPr>
            <w:tcW w:w="2121" w:type="dxa"/>
            <w:vAlign w:val="center"/>
          </w:tcPr>
          <w:p>
            <w:pPr>
              <w:autoSpaceDE w:val="0"/>
              <w:autoSpaceDN w:val="0"/>
              <w:adjustRightInd w:val="0"/>
              <w:spacing w:line="276" w:lineRule="auto"/>
              <w:rPr>
                <w:rFonts w:hint="eastAsia" w:cs="宋体" w:asciiTheme="majorEastAsia" w:hAnsiTheme="majorEastAsia" w:eastAsiaTheme="majorEastAsia"/>
                <w:bCs/>
                <w:color w:val="000000"/>
                <w:sz w:val="21"/>
                <w:szCs w:val="21"/>
                <w:lang w:val="zh-CN"/>
              </w:rPr>
            </w:pPr>
            <w:bookmarkStart w:id="546" w:name="OLE_LINK21"/>
            <w:r>
              <w:rPr>
                <w:rFonts w:hint="eastAsia" w:cs="宋体" w:asciiTheme="majorEastAsia" w:hAnsiTheme="majorEastAsia" w:eastAsiaTheme="majorEastAsia"/>
                <w:bCs/>
                <w:color w:val="000000"/>
                <w:sz w:val="21"/>
                <w:szCs w:val="21"/>
                <w:lang w:val="zh-CN"/>
              </w:rPr>
              <w:t>质保期</w:t>
            </w:r>
            <w:bookmarkEnd w:id="546"/>
          </w:p>
        </w:tc>
        <w:tc>
          <w:tcPr>
            <w:tcW w:w="6372" w:type="dxa"/>
            <w:vAlign w:val="center"/>
          </w:tcPr>
          <w:p>
            <w:pPr>
              <w:autoSpaceDE w:val="0"/>
              <w:autoSpaceDN w:val="0"/>
              <w:adjustRightInd w:val="0"/>
              <w:spacing w:line="276" w:lineRule="auto"/>
              <w:rPr>
                <w:rFonts w:hint="eastAsia" w:cs="宋体" w:asciiTheme="majorEastAsia" w:hAnsiTheme="majorEastAsia" w:eastAsiaTheme="majorEastAsia"/>
                <w:bCs/>
                <w:sz w:val="21"/>
                <w:szCs w:val="21"/>
                <w:lang w:val="en-US" w:eastAsia="zh-CN"/>
              </w:rPr>
            </w:pPr>
            <w:bookmarkStart w:id="547" w:name="OLE_LINK22"/>
            <w:r>
              <w:rPr>
                <w:rFonts w:hint="eastAsia" w:cs="宋体" w:asciiTheme="majorEastAsia" w:hAnsiTheme="majorEastAsia" w:eastAsiaTheme="majorEastAsia"/>
                <w:bCs/>
                <w:sz w:val="21"/>
                <w:szCs w:val="21"/>
                <w:lang w:val="en-US" w:eastAsia="zh-CN"/>
              </w:rPr>
              <w:t>1年；</w:t>
            </w:r>
            <w:bookmarkEnd w:id="54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权利义务</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符合第四章“合同条款及格式”的相关规定；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27"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技术标准和要求</w:t>
            </w:r>
          </w:p>
        </w:tc>
        <w:tc>
          <w:tcPr>
            <w:tcW w:w="6372" w:type="dxa"/>
            <w:vAlign w:val="center"/>
          </w:tcPr>
          <w:p>
            <w:pPr>
              <w:autoSpaceDE w:val="0"/>
              <w:autoSpaceDN w:val="0"/>
              <w:adjustRightInd w:val="0"/>
              <w:spacing w:line="276" w:lineRule="auto"/>
              <w:rPr>
                <w:rFonts w:cs="宋体" w:asciiTheme="majorEastAsia" w:hAnsiTheme="majorEastAsia" w:eastAsiaTheme="majorEastAsia"/>
                <w:bCs/>
                <w:color w:val="000000"/>
                <w:sz w:val="21"/>
                <w:szCs w:val="21"/>
                <w:highlight w:val="none"/>
                <w:lang w:val="zh-CN"/>
              </w:rPr>
            </w:pPr>
            <w:r>
              <w:rPr>
                <w:rFonts w:hint="eastAsia" w:cs="宋体" w:asciiTheme="majorEastAsia" w:hAnsiTheme="majorEastAsia" w:eastAsiaTheme="majorEastAsia"/>
                <w:bCs/>
                <w:color w:val="000000"/>
                <w:sz w:val="21"/>
                <w:szCs w:val="21"/>
                <w:highlight w:val="none"/>
                <w:lang w:val="zh-CN"/>
              </w:rPr>
              <w:t>符合第五章“技术标准和要求”规定；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827" w:type="dxa"/>
            <w:vMerge w:val="continue"/>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725" w:type="dxa"/>
            <w:vMerge w:val="continue"/>
            <w:vAlign w:val="center"/>
          </w:tcPr>
          <w:p>
            <w:pPr>
              <w:autoSpaceDE w:val="0"/>
              <w:autoSpaceDN w:val="0"/>
              <w:adjustRightInd w:val="0"/>
              <w:spacing w:line="276" w:lineRule="auto"/>
              <w:ind w:left="57" w:leftChars="27" w:firstLine="52" w:firstLineChars="25"/>
              <w:jc w:val="left"/>
              <w:rPr>
                <w:rFonts w:cs="宋体" w:asciiTheme="majorEastAsia" w:hAnsiTheme="majorEastAsia" w:eastAsiaTheme="majorEastAsia"/>
                <w:bCs/>
                <w:color w:val="000000"/>
                <w:sz w:val="21"/>
                <w:szCs w:val="21"/>
                <w:highlight w:val="none"/>
                <w:lang w:val="zh-CN"/>
              </w:rPr>
            </w:pPr>
          </w:p>
        </w:tc>
        <w:tc>
          <w:tcPr>
            <w:tcW w:w="2121" w:type="dxa"/>
            <w:vAlign w:val="center"/>
          </w:tcPr>
          <w:p>
            <w:pPr>
              <w:autoSpaceDE w:val="0"/>
              <w:autoSpaceDN w:val="0"/>
              <w:adjustRightInd w:val="0"/>
              <w:spacing w:line="276" w:lineRule="auto"/>
              <w:jc w:val="left"/>
              <w:rPr>
                <w:rFonts w:cs="宋体" w:asciiTheme="majorEastAsia" w:hAnsiTheme="majorEastAsia" w:eastAsiaTheme="majorEastAsia"/>
                <w:bCs/>
                <w:color w:val="000000"/>
                <w:sz w:val="21"/>
                <w:szCs w:val="21"/>
                <w:highlight w:val="none"/>
              </w:rPr>
            </w:pPr>
            <w:bookmarkStart w:id="548" w:name="_Toc460361803"/>
            <w:bookmarkStart w:id="549" w:name="OLE_LINK23"/>
            <w:r>
              <w:rPr>
                <w:rFonts w:hint="eastAsia" w:cs="宋体" w:asciiTheme="majorEastAsia" w:hAnsiTheme="majorEastAsia" w:eastAsiaTheme="majorEastAsia"/>
                <w:bCs/>
                <w:color w:val="000000"/>
                <w:sz w:val="21"/>
                <w:szCs w:val="21"/>
                <w:highlight w:val="none"/>
              </w:rPr>
              <w:t>投标价格</w:t>
            </w:r>
            <w:bookmarkEnd w:id="548"/>
            <w:bookmarkEnd w:id="549"/>
          </w:p>
        </w:tc>
        <w:tc>
          <w:tcPr>
            <w:tcW w:w="6372" w:type="dxa"/>
            <w:vAlign w:val="center"/>
          </w:tcPr>
          <w:p>
            <w:pPr>
              <w:autoSpaceDE w:val="0"/>
              <w:autoSpaceDN w:val="0"/>
              <w:adjustRightInd w:val="0"/>
              <w:spacing w:line="276" w:lineRule="auto"/>
              <w:jc w:val="left"/>
              <w:rPr>
                <w:rFonts w:hint="eastAsia" w:cs="宋体" w:asciiTheme="majorEastAsia" w:hAnsiTheme="majorEastAsia" w:eastAsiaTheme="majorEastAsia"/>
                <w:bCs/>
                <w:color w:val="000000"/>
                <w:sz w:val="21"/>
                <w:szCs w:val="21"/>
                <w:highlight w:val="none"/>
                <w:lang w:eastAsia="zh-CN"/>
              </w:rPr>
            </w:pPr>
            <w:bookmarkStart w:id="550" w:name="_Toc460361804"/>
            <w:bookmarkStart w:id="551" w:name="OLE_LINK24"/>
            <w:r>
              <w:rPr>
                <w:rFonts w:hint="eastAsia" w:cs="宋体" w:asciiTheme="majorEastAsia" w:hAnsiTheme="majorEastAsia" w:eastAsiaTheme="majorEastAsia"/>
                <w:bCs/>
                <w:color w:val="000000"/>
                <w:sz w:val="21"/>
                <w:szCs w:val="21"/>
                <w:highlight w:val="none"/>
              </w:rPr>
              <w:t>低于（含等于）第二章“供应商须知”前附表第</w:t>
            </w:r>
            <w:r>
              <w:rPr>
                <w:rFonts w:hint="eastAsia" w:cs="宋体" w:asciiTheme="majorEastAsia" w:hAnsiTheme="majorEastAsia" w:eastAsiaTheme="majorEastAsia"/>
                <w:bCs/>
                <w:color w:val="000000"/>
                <w:sz w:val="21"/>
                <w:szCs w:val="21"/>
                <w:highlight w:val="none"/>
                <w:lang w:val="en-US" w:eastAsia="zh-CN"/>
              </w:rPr>
              <w:t>43</w:t>
            </w:r>
            <w:r>
              <w:rPr>
                <w:rFonts w:hint="eastAsia" w:cs="宋体" w:asciiTheme="majorEastAsia" w:hAnsiTheme="majorEastAsia" w:eastAsiaTheme="majorEastAsia"/>
                <w:bCs/>
                <w:color w:val="000000"/>
                <w:sz w:val="21"/>
                <w:szCs w:val="21"/>
                <w:highlight w:val="none"/>
              </w:rPr>
              <w:t>条规定载明的最高投标限价。</w:t>
            </w:r>
            <w:bookmarkEnd w:id="550"/>
            <w:r>
              <w:rPr>
                <w:rFonts w:hint="eastAsia" w:cs="宋体" w:asciiTheme="majorEastAsia" w:hAnsiTheme="majorEastAsia" w:eastAsiaTheme="majorEastAsia"/>
                <w:bCs/>
                <w:color w:val="000000"/>
                <w:sz w:val="21"/>
                <w:szCs w:val="21"/>
                <w:highlight w:val="none"/>
                <w:lang w:eastAsia="zh-CN"/>
              </w:rPr>
              <w:t>（明显低于其他通过符合性审查投标人的投标报价，有可能影响产品质量或者不能诚信履约的，须提供成本构成表及相应证明材料，内容包括但不限于生产成本（如原材成本、生产设备损耗成本、安装成本等）、管理成本（人员工资、福利、社保等）、运输成本（汽油、过路费等）、税费等，并列明计算过程。投标人不能证明其报价合理性的，未提供或内容不全面无法支持成本构成的，由评标委员会认定该投标人是否以低于成本价竞标，如果是，做无效投标处理。）</w:t>
            </w:r>
            <w:bookmarkEnd w:id="551"/>
          </w:p>
        </w:tc>
      </w:tr>
    </w:tbl>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pStyle w:val="5"/>
        <w:rPr>
          <w:rFonts w:hint="eastAsia" w:eastAsia="宋体"/>
          <w:lang w:val="zh-CN" w:eastAsia="zh-CN"/>
        </w:rPr>
      </w:pPr>
      <w:r>
        <w:rPr>
          <w:rFonts w:hint="eastAsia"/>
          <w:lang w:val="zh-CN" w:eastAsia="zh-CN"/>
        </w:rPr>
        <w:t>详细评审</w:t>
      </w:r>
    </w:p>
    <w:tbl>
      <w:tblPr>
        <w:tblStyle w:val="30"/>
        <w:tblW w:w="100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2"/>
        <w:gridCol w:w="2121"/>
        <w:gridCol w:w="63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155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条款号</w:t>
            </w:r>
          </w:p>
        </w:tc>
        <w:tc>
          <w:tcPr>
            <w:tcW w:w="2121"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条款内容</w:t>
            </w:r>
          </w:p>
        </w:tc>
        <w:tc>
          <w:tcPr>
            <w:tcW w:w="637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52"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cs="宋体" w:asciiTheme="majorEastAsia" w:hAnsiTheme="majorEastAsia" w:eastAsiaTheme="majorEastAsia"/>
                <w:bCs/>
                <w:color w:val="000000"/>
                <w:sz w:val="24"/>
                <w:lang w:val="zh-CN"/>
              </w:rPr>
              <w:t>2.2.1</w:t>
            </w:r>
          </w:p>
        </w:tc>
        <w:tc>
          <w:tcPr>
            <w:tcW w:w="2121" w:type="dxa"/>
            <w:vAlign w:val="center"/>
          </w:tcPr>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分值构成</w:t>
            </w:r>
          </w:p>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r>
              <w:rPr>
                <w:rFonts w:hint="eastAsia" w:cs="宋体" w:asciiTheme="majorEastAsia" w:hAnsiTheme="majorEastAsia" w:eastAsiaTheme="majorEastAsia"/>
                <w:bCs/>
                <w:color w:val="000000"/>
                <w:sz w:val="24"/>
                <w:lang w:val="zh-CN"/>
              </w:rPr>
              <w:t>（总分</w:t>
            </w:r>
            <w:r>
              <w:rPr>
                <w:rFonts w:cs="宋体" w:asciiTheme="majorEastAsia" w:hAnsiTheme="majorEastAsia" w:eastAsiaTheme="majorEastAsia"/>
                <w:bCs/>
                <w:color w:val="000000"/>
                <w:sz w:val="24"/>
                <w:lang w:val="zh-CN"/>
              </w:rPr>
              <w:t>100</w:t>
            </w:r>
            <w:r>
              <w:rPr>
                <w:rFonts w:hint="eastAsia" w:cs="宋体" w:asciiTheme="majorEastAsia" w:hAnsiTheme="majorEastAsia" w:eastAsiaTheme="majorEastAsia"/>
                <w:bCs/>
                <w:color w:val="000000"/>
                <w:sz w:val="24"/>
                <w:lang w:val="zh-CN"/>
              </w:rPr>
              <w:t>分）</w:t>
            </w:r>
          </w:p>
        </w:tc>
        <w:tc>
          <w:tcPr>
            <w:tcW w:w="6372" w:type="dxa"/>
            <w:vAlign w:val="center"/>
          </w:tcPr>
          <w:p>
            <w:pPr>
              <w:autoSpaceDE w:val="0"/>
              <w:autoSpaceDN w:val="0"/>
              <w:adjustRightInd w:val="0"/>
              <w:spacing w:line="276" w:lineRule="auto"/>
              <w:ind w:left="57" w:leftChars="27" w:firstLine="52" w:firstLineChars="25"/>
              <w:jc w:val="left"/>
              <w:rPr>
                <w:lang w:val="zh-CN"/>
              </w:rPr>
            </w:pPr>
            <w:r>
              <w:rPr>
                <w:rFonts w:hint="eastAsia"/>
                <w:lang w:val="zh-CN"/>
              </w:rPr>
              <w:t>投标报价：</w:t>
            </w:r>
            <w:r>
              <w:t>3</w:t>
            </w:r>
            <w:r>
              <w:rPr>
                <w:lang w:val="zh-CN"/>
              </w:rPr>
              <w:t>0</w:t>
            </w:r>
            <w:r>
              <w:rPr>
                <w:rFonts w:hint="eastAsia"/>
                <w:lang w:val="zh-CN"/>
              </w:rPr>
              <w:t>分</w:t>
            </w:r>
          </w:p>
          <w:p>
            <w:pPr>
              <w:autoSpaceDE w:val="0"/>
              <w:autoSpaceDN w:val="0"/>
              <w:adjustRightInd w:val="0"/>
              <w:spacing w:line="276" w:lineRule="auto"/>
              <w:ind w:left="57" w:leftChars="27" w:firstLine="52" w:firstLineChars="25"/>
              <w:jc w:val="left"/>
              <w:rPr>
                <w:lang w:val="zh-CN"/>
              </w:rPr>
            </w:pPr>
            <w:r>
              <w:rPr>
                <w:rFonts w:hint="eastAsia"/>
                <w:lang w:val="zh-CN"/>
              </w:rPr>
              <w:t>商务评分因素：</w:t>
            </w:r>
            <w:r>
              <w:rPr>
                <w:rFonts w:hint="eastAsia"/>
                <w:lang w:val="en-US" w:eastAsia="zh-CN"/>
              </w:rPr>
              <w:t>8</w:t>
            </w:r>
            <w:r>
              <w:rPr>
                <w:rFonts w:hint="eastAsia"/>
                <w:lang w:val="zh-CN"/>
              </w:rPr>
              <w:t>分</w:t>
            </w:r>
          </w:p>
          <w:p>
            <w:pPr>
              <w:autoSpaceDE w:val="0"/>
              <w:autoSpaceDN w:val="0"/>
              <w:adjustRightInd w:val="0"/>
              <w:spacing w:line="276" w:lineRule="auto"/>
              <w:ind w:left="57" w:leftChars="27" w:firstLine="52" w:firstLineChars="25"/>
              <w:jc w:val="left"/>
              <w:rPr>
                <w:rFonts w:hint="eastAsia"/>
                <w:lang w:val="zh-CN"/>
              </w:rPr>
            </w:pPr>
            <w:r>
              <w:rPr>
                <w:rFonts w:hint="eastAsia"/>
                <w:lang w:val="zh-CN"/>
              </w:rPr>
              <w:t>技术评分因素：</w:t>
            </w:r>
            <w:r>
              <w:rPr>
                <w:rFonts w:hint="eastAsia"/>
                <w:lang w:val="en-US" w:eastAsia="zh-CN"/>
              </w:rPr>
              <w:t>50</w:t>
            </w:r>
            <w:r>
              <w:rPr>
                <w:rFonts w:hint="eastAsia"/>
                <w:lang w:val="zh-CN"/>
              </w:rPr>
              <w:t>分</w:t>
            </w:r>
          </w:p>
          <w:p>
            <w:pPr>
              <w:autoSpaceDE w:val="0"/>
              <w:autoSpaceDN w:val="0"/>
              <w:adjustRightInd w:val="0"/>
              <w:spacing w:line="276" w:lineRule="auto"/>
              <w:ind w:left="57" w:leftChars="27" w:firstLine="52" w:firstLineChars="25"/>
              <w:jc w:val="left"/>
              <w:rPr>
                <w:rFonts w:hint="default" w:eastAsia="宋体"/>
                <w:lang w:val="en-US" w:eastAsia="zh-CN"/>
              </w:rPr>
            </w:pPr>
            <w:r>
              <w:rPr>
                <w:rFonts w:hint="default" w:ascii="Times New Roman" w:hAnsi="Times New Roman" w:eastAsia="宋体" w:cs="Times New Roman"/>
                <w:b w:val="0"/>
                <w:bCs w:val="0"/>
                <w:kern w:val="2"/>
                <w:sz w:val="21"/>
                <w:szCs w:val="24"/>
                <w:lang w:val="en-US" w:eastAsia="zh-CN" w:bidi="ar-SA"/>
              </w:rPr>
              <w:t>其他评分因素</w:t>
            </w:r>
            <w:r>
              <w:rPr>
                <w:rFonts w:hint="eastAsia"/>
                <w:lang w:val="zh-CN"/>
              </w:rPr>
              <w:t>：</w:t>
            </w:r>
            <w:r>
              <w:rPr>
                <w:rFonts w:hint="eastAsia"/>
                <w:lang w:val="en-US" w:eastAsia="zh-CN"/>
              </w:rPr>
              <w:t>12分</w:t>
            </w:r>
          </w:p>
        </w:tc>
      </w:tr>
    </w:tbl>
    <w:p>
      <w:pPr>
        <w:pStyle w:val="5"/>
        <w:numPr>
          <w:ilvl w:val="0"/>
          <w:numId w:val="0"/>
        </w:numPr>
      </w:pPr>
    </w:p>
    <w:tbl>
      <w:tblPr>
        <w:tblStyle w:val="30"/>
        <w:tblW w:w="106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1"/>
        <w:gridCol w:w="1012"/>
        <w:gridCol w:w="1295"/>
        <w:gridCol w:w="480"/>
        <w:gridCol w:w="69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jc w:val="center"/>
        </w:trPr>
        <w:tc>
          <w:tcPr>
            <w:tcW w:w="881" w:type="dxa"/>
          </w:tcPr>
          <w:p>
            <w:pPr>
              <w:pStyle w:val="93"/>
              <w:spacing w:before="156"/>
              <w:ind w:left="108"/>
              <w:rPr>
                <w:sz w:val="21"/>
              </w:rPr>
            </w:pPr>
            <w:r>
              <w:rPr>
                <w:sz w:val="21"/>
              </w:rPr>
              <w:t>序号</w:t>
            </w:r>
          </w:p>
        </w:tc>
        <w:tc>
          <w:tcPr>
            <w:tcW w:w="2307" w:type="dxa"/>
            <w:gridSpan w:val="2"/>
          </w:tcPr>
          <w:p>
            <w:pPr>
              <w:pStyle w:val="93"/>
              <w:spacing w:before="156"/>
              <w:ind w:left="217"/>
              <w:rPr>
                <w:sz w:val="21"/>
              </w:rPr>
            </w:pPr>
            <w:r>
              <w:rPr>
                <w:sz w:val="21"/>
              </w:rPr>
              <w:t>评审因素</w:t>
            </w:r>
          </w:p>
        </w:tc>
        <w:tc>
          <w:tcPr>
            <w:tcW w:w="480" w:type="dxa"/>
          </w:tcPr>
          <w:p>
            <w:pPr>
              <w:pStyle w:val="93"/>
              <w:ind w:left="141"/>
              <w:rPr>
                <w:sz w:val="21"/>
              </w:rPr>
            </w:pPr>
            <w:r>
              <w:rPr>
                <w:w w:val="99"/>
                <w:sz w:val="21"/>
              </w:rPr>
              <w:t>分</w:t>
            </w:r>
          </w:p>
          <w:p>
            <w:pPr>
              <w:pStyle w:val="93"/>
              <w:spacing w:before="45"/>
              <w:ind w:left="141"/>
              <w:rPr>
                <w:sz w:val="21"/>
              </w:rPr>
            </w:pPr>
            <w:r>
              <w:rPr>
                <w:w w:val="99"/>
                <w:sz w:val="21"/>
              </w:rPr>
              <w:t>值</w:t>
            </w:r>
          </w:p>
        </w:tc>
        <w:tc>
          <w:tcPr>
            <w:tcW w:w="6986" w:type="dxa"/>
          </w:tcPr>
          <w:p>
            <w:pPr>
              <w:pStyle w:val="93"/>
              <w:tabs>
                <w:tab w:val="left" w:pos="951"/>
                <w:tab w:val="left" w:pos="1583"/>
                <w:tab w:val="left" w:pos="2211"/>
              </w:tabs>
              <w:spacing w:before="156"/>
              <w:ind w:left="217"/>
              <w:rPr>
                <w:sz w:val="21"/>
              </w:rPr>
            </w:pPr>
            <w:r>
              <w:rPr>
                <w:sz w:val="21"/>
              </w:rPr>
              <w:t>评</w:t>
            </w:r>
            <w:r>
              <w:rPr>
                <w:sz w:val="21"/>
              </w:rPr>
              <w:tab/>
            </w:r>
            <w:r>
              <w:rPr>
                <w:sz w:val="21"/>
              </w:rPr>
              <w:t>分</w:t>
            </w:r>
            <w:r>
              <w:rPr>
                <w:sz w:val="21"/>
              </w:rPr>
              <w:tab/>
            </w:r>
            <w:r>
              <w:rPr>
                <w:sz w:val="21"/>
              </w:rPr>
              <w:t>细</w:t>
            </w:r>
            <w:r>
              <w:rPr>
                <w:sz w:val="21"/>
              </w:rPr>
              <w:tab/>
            </w:r>
            <w:r>
              <w:rPr>
                <w:sz w:val="21"/>
              </w:rPr>
              <w:t>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61" w:hRule="atLeast"/>
          <w:jc w:val="center"/>
        </w:trPr>
        <w:tc>
          <w:tcPr>
            <w:tcW w:w="881" w:type="dxa"/>
          </w:tcPr>
          <w:p>
            <w:pPr>
              <w:pStyle w:val="93"/>
              <w:rPr>
                <w:sz w:val="20"/>
              </w:rPr>
            </w:pPr>
          </w:p>
          <w:p>
            <w:pPr>
              <w:pStyle w:val="93"/>
              <w:spacing w:before="11"/>
              <w:rPr>
                <w:sz w:val="20"/>
              </w:rPr>
            </w:pPr>
          </w:p>
          <w:p>
            <w:pPr>
              <w:pStyle w:val="93"/>
              <w:ind w:left="216"/>
              <w:rPr>
                <w:sz w:val="21"/>
              </w:rPr>
            </w:pPr>
            <w:r>
              <w:rPr>
                <w:sz w:val="21"/>
              </w:rPr>
              <w:t>2.2.1</w:t>
            </w:r>
          </w:p>
        </w:tc>
        <w:tc>
          <w:tcPr>
            <w:tcW w:w="1012" w:type="dxa"/>
          </w:tcPr>
          <w:p>
            <w:pPr>
              <w:pStyle w:val="93"/>
              <w:rPr>
                <w:sz w:val="20"/>
              </w:rPr>
            </w:pPr>
          </w:p>
          <w:p>
            <w:pPr>
              <w:pStyle w:val="93"/>
              <w:tabs>
                <w:tab w:val="left" w:pos="470"/>
              </w:tabs>
              <w:spacing w:before="152"/>
              <w:ind w:right="221"/>
              <w:jc w:val="center"/>
              <w:rPr>
                <w:sz w:val="21"/>
              </w:rPr>
            </w:pPr>
            <w:r>
              <w:rPr>
                <w:sz w:val="21"/>
              </w:rPr>
              <w:t>投</w:t>
            </w:r>
            <w:r>
              <w:rPr>
                <w:w w:val="95"/>
                <w:sz w:val="21"/>
              </w:rPr>
              <w:t>标</w:t>
            </w:r>
          </w:p>
          <w:p>
            <w:pPr>
              <w:pStyle w:val="93"/>
              <w:tabs>
                <w:tab w:val="left" w:pos="419"/>
              </w:tabs>
              <w:spacing w:before="4"/>
              <w:ind w:right="166"/>
              <w:jc w:val="center"/>
              <w:rPr>
                <w:sz w:val="21"/>
              </w:rPr>
            </w:pPr>
            <w:r>
              <w:rPr>
                <w:sz w:val="21"/>
              </w:rPr>
              <w:t>报</w:t>
            </w:r>
            <w:r>
              <w:rPr>
                <w:w w:val="95"/>
                <w:sz w:val="21"/>
              </w:rPr>
              <w:t>价</w:t>
            </w:r>
          </w:p>
        </w:tc>
        <w:tc>
          <w:tcPr>
            <w:tcW w:w="1295" w:type="dxa"/>
          </w:tcPr>
          <w:p>
            <w:pPr>
              <w:pStyle w:val="93"/>
              <w:rPr>
                <w:sz w:val="20"/>
              </w:rPr>
            </w:pPr>
          </w:p>
          <w:p>
            <w:pPr>
              <w:pStyle w:val="93"/>
              <w:spacing w:before="7"/>
              <w:rPr>
                <w:sz w:val="22"/>
              </w:rPr>
            </w:pPr>
          </w:p>
          <w:p>
            <w:pPr>
              <w:pStyle w:val="93"/>
              <w:ind w:left="107"/>
              <w:jc w:val="center"/>
              <w:rPr>
                <w:sz w:val="21"/>
              </w:rPr>
            </w:pPr>
            <w:r>
              <w:rPr>
                <w:sz w:val="21"/>
              </w:rPr>
              <w:t>报价得分</w:t>
            </w:r>
          </w:p>
        </w:tc>
        <w:tc>
          <w:tcPr>
            <w:tcW w:w="480" w:type="dxa"/>
            <w:vAlign w:val="center"/>
          </w:tcPr>
          <w:p>
            <w:pPr>
              <w:pStyle w:val="93"/>
              <w:spacing w:before="7"/>
              <w:jc w:val="center"/>
              <w:rPr>
                <w:sz w:val="22"/>
              </w:rPr>
            </w:pPr>
          </w:p>
          <w:p>
            <w:pPr>
              <w:pStyle w:val="93"/>
              <w:ind w:left="121" w:right="114"/>
              <w:jc w:val="center"/>
              <w:rPr>
                <w:sz w:val="21"/>
              </w:rPr>
            </w:pPr>
            <w:r>
              <w:rPr>
                <w:sz w:val="21"/>
              </w:rPr>
              <w:t>30</w:t>
            </w:r>
          </w:p>
        </w:tc>
        <w:tc>
          <w:tcPr>
            <w:tcW w:w="6986" w:type="dxa"/>
          </w:tcPr>
          <w:p>
            <w:pPr>
              <w:pStyle w:val="93"/>
              <w:spacing w:line="242" w:lineRule="auto"/>
              <w:ind w:left="107" w:right="95"/>
              <w:jc w:val="both"/>
              <w:rPr>
                <w:sz w:val="21"/>
              </w:rPr>
            </w:pPr>
            <w:r>
              <w:rPr>
                <w:rFonts w:ascii="Times New Roman" w:hAnsi="Times New Roman" w:cs="Times New Roman"/>
                <w:spacing w:val="-7"/>
                <w:sz w:val="21"/>
              </w:rPr>
              <w:t>满足招标文件要求且投标价格最低的投标报价为评标基准价，其价格分为满分 30 分，其他投标人的价格分统一按照下列公式计算：投标报价得分= (评标基准价／投标报价)×30％×100。（※根据《政府采购促进中小企业发展管理办法》（财库﹝2020﹞46号）的规定，对</w:t>
            </w:r>
            <w:r>
              <w:rPr>
                <w:rFonts w:hint="eastAsia" w:cs="Times New Roman"/>
                <w:spacing w:val="-7"/>
                <w:sz w:val="21"/>
                <w:lang w:val="en-US" w:eastAsia="zh-CN"/>
              </w:rPr>
              <w:t>中小</w:t>
            </w:r>
            <w:r>
              <w:rPr>
                <w:rFonts w:ascii="Times New Roman" w:hAnsi="Times New Roman" w:cs="Times New Roman"/>
                <w:spacing w:val="-7"/>
                <w:sz w:val="21"/>
              </w:rPr>
              <w:t>企业给予6%的价格扣除，用扣除后的价格参与评审。）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jc w:val="center"/>
        </w:trPr>
        <w:tc>
          <w:tcPr>
            <w:tcW w:w="881" w:type="dxa"/>
            <w:tcBorders>
              <w:bottom w:val="single" w:color="auto" w:sz="4" w:space="0"/>
            </w:tcBorders>
            <w:vAlign w:val="center"/>
          </w:tcPr>
          <w:p>
            <w:pPr>
              <w:pStyle w:val="93"/>
              <w:spacing w:before="177"/>
              <w:ind w:left="216"/>
              <w:jc w:val="both"/>
              <w:rPr>
                <w:sz w:val="21"/>
              </w:rPr>
            </w:pPr>
            <w:r>
              <w:rPr>
                <w:sz w:val="21"/>
              </w:rPr>
              <w:t>2.2.2</w:t>
            </w:r>
          </w:p>
        </w:tc>
        <w:tc>
          <w:tcPr>
            <w:tcW w:w="1012" w:type="dxa"/>
            <w:tcBorders>
              <w:bottom w:val="single" w:color="auto" w:sz="4" w:space="0"/>
            </w:tcBorders>
            <w:vAlign w:val="center"/>
          </w:tcPr>
          <w:p>
            <w:pPr>
              <w:pStyle w:val="93"/>
              <w:keepNext w:val="0"/>
              <w:keepLines w:val="0"/>
              <w:pageBreakBefore w:val="0"/>
              <w:widowControl w:val="0"/>
              <w:kinsoku/>
              <w:wordWrap/>
              <w:overflowPunct/>
              <w:topLinePunct w:val="0"/>
              <w:autoSpaceDE w:val="0"/>
              <w:autoSpaceDN w:val="0"/>
              <w:bidi w:val="0"/>
              <w:adjustRightInd/>
              <w:snapToGrid/>
              <w:spacing w:line="240" w:lineRule="auto"/>
              <w:ind w:left="107" w:right="226"/>
              <w:jc w:val="center"/>
              <w:textAlignment w:val="auto"/>
              <w:rPr>
                <w:sz w:val="21"/>
              </w:rPr>
            </w:pPr>
            <w:r>
              <w:rPr>
                <w:sz w:val="21"/>
              </w:rPr>
              <w:t>商务评分因素</w:t>
            </w:r>
          </w:p>
        </w:tc>
        <w:tc>
          <w:tcPr>
            <w:tcW w:w="1295" w:type="dxa"/>
            <w:tcBorders>
              <w:bottom w:val="single" w:color="auto" w:sz="4" w:space="0"/>
            </w:tcBorders>
            <w:vAlign w:val="center"/>
          </w:tcPr>
          <w:p>
            <w:pPr>
              <w:pStyle w:val="93"/>
              <w:spacing w:before="116"/>
              <w:ind w:left="107"/>
              <w:jc w:val="center"/>
              <w:rPr>
                <w:sz w:val="21"/>
              </w:rPr>
            </w:pPr>
            <w:bookmarkStart w:id="552" w:name="OLE_LINK37"/>
            <w:r>
              <w:rPr>
                <w:sz w:val="21"/>
              </w:rPr>
              <w:t>企业业绩</w:t>
            </w:r>
            <w:bookmarkEnd w:id="552"/>
          </w:p>
        </w:tc>
        <w:tc>
          <w:tcPr>
            <w:tcW w:w="480" w:type="dxa"/>
            <w:vAlign w:val="center"/>
          </w:tcPr>
          <w:p>
            <w:pPr>
              <w:pStyle w:val="93"/>
              <w:spacing w:before="135"/>
              <w:ind w:left="7"/>
              <w:jc w:val="center"/>
              <w:rPr>
                <w:rFonts w:hint="eastAsia" w:eastAsia="宋体"/>
                <w:sz w:val="21"/>
                <w:lang w:eastAsia="zh-CN"/>
              </w:rPr>
            </w:pPr>
            <w:r>
              <w:rPr>
                <w:rFonts w:hint="eastAsia"/>
                <w:sz w:val="21"/>
                <w:lang w:val="en-US" w:eastAsia="zh-CN"/>
              </w:rPr>
              <w:t>8</w:t>
            </w:r>
          </w:p>
        </w:tc>
        <w:tc>
          <w:tcPr>
            <w:tcW w:w="6986" w:type="dxa"/>
          </w:tcPr>
          <w:p>
            <w:pPr>
              <w:pStyle w:val="93"/>
              <w:spacing w:before="1"/>
              <w:ind w:left="107"/>
              <w:rPr>
                <w:sz w:val="21"/>
              </w:rPr>
            </w:pPr>
            <w:bookmarkStart w:id="553" w:name="OLE_LINK38"/>
            <w:r>
              <w:rPr>
                <w:spacing w:val="2"/>
                <w:sz w:val="21"/>
              </w:rPr>
              <w:t>近三年（</w:t>
            </w:r>
            <w:r>
              <w:rPr>
                <w:rFonts w:hint="eastAsia"/>
                <w:spacing w:val="2"/>
                <w:sz w:val="21"/>
                <w:lang w:eastAsia="zh-CN"/>
              </w:rPr>
              <w:t>202</w:t>
            </w:r>
            <w:r>
              <w:rPr>
                <w:rFonts w:hint="eastAsia"/>
                <w:spacing w:val="2"/>
                <w:sz w:val="21"/>
                <w:lang w:val="en-US" w:eastAsia="zh-CN"/>
              </w:rPr>
              <w:t>2</w:t>
            </w:r>
            <w:r>
              <w:rPr>
                <w:rFonts w:hint="eastAsia"/>
                <w:spacing w:val="2"/>
                <w:sz w:val="21"/>
                <w:lang w:eastAsia="zh-CN"/>
              </w:rPr>
              <w:t>年1月1日至今</w:t>
            </w:r>
            <w:r>
              <w:rPr>
                <w:sz w:val="21"/>
              </w:rPr>
              <w:t>）</w:t>
            </w:r>
            <w:r>
              <w:rPr>
                <w:spacing w:val="-6"/>
                <w:sz w:val="21"/>
              </w:rPr>
              <w:t>类似业绩，每项得</w:t>
            </w:r>
            <w:r>
              <w:rPr>
                <w:sz w:val="21"/>
              </w:rPr>
              <w:t>2</w:t>
            </w:r>
            <w:r>
              <w:rPr>
                <w:spacing w:val="-14"/>
                <w:sz w:val="21"/>
              </w:rPr>
              <w:t>分，最多得</w:t>
            </w:r>
            <w:r>
              <w:rPr>
                <w:rFonts w:hint="eastAsia"/>
                <w:sz w:val="21"/>
                <w:lang w:val="en-US" w:eastAsia="zh-CN"/>
              </w:rPr>
              <w:t>8</w:t>
            </w:r>
            <w:r>
              <w:rPr>
                <w:spacing w:val="-16"/>
                <w:sz w:val="21"/>
              </w:rPr>
              <w:t>分。</w:t>
            </w:r>
            <w:r>
              <w:rPr>
                <w:sz w:val="21"/>
              </w:rPr>
              <w:t>（</w:t>
            </w:r>
            <w:r>
              <w:rPr>
                <w:spacing w:val="2"/>
                <w:sz w:val="21"/>
              </w:rPr>
              <w:t>提供</w:t>
            </w:r>
            <w:r>
              <w:rPr>
                <w:sz w:val="21"/>
              </w:rPr>
              <w:t>中标通知书或合同书</w:t>
            </w:r>
            <w:r>
              <w:rPr>
                <w:rFonts w:hint="eastAsia"/>
                <w:sz w:val="21"/>
                <w:lang w:eastAsia="zh-CN"/>
              </w:rPr>
              <w:t>复印件加盖公章</w:t>
            </w:r>
            <w:r>
              <w:rPr>
                <w:sz w:val="21"/>
              </w:rPr>
              <w:t>）</w:t>
            </w:r>
            <w:bookmarkEnd w:id="553"/>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9" w:hRule="atLeast"/>
          <w:jc w:val="center"/>
        </w:trPr>
        <w:tc>
          <w:tcPr>
            <w:tcW w:w="881" w:type="dxa"/>
            <w:vMerge w:val="restart"/>
            <w:tcBorders>
              <w:top w:val="single" w:color="auto" w:sz="4" w:space="0"/>
            </w:tcBorders>
            <w:vAlign w:val="center"/>
          </w:tcPr>
          <w:p>
            <w:pPr>
              <w:jc w:val="center"/>
              <w:rPr>
                <w:rFonts w:hint="eastAsia" w:eastAsia="宋体"/>
                <w:sz w:val="32"/>
                <w:szCs w:val="32"/>
                <w:lang w:eastAsia="zh-CN"/>
              </w:rPr>
            </w:pPr>
            <w:r>
              <w:rPr>
                <w:sz w:val="21"/>
              </w:rPr>
              <w:t>2.2.</w:t>
            </w:r>
            <w:r>
              <w:rPr>
                <w:rFonts w:hint="eastAsia"/>
                <w:sz w:val="21"/>
                <w:lang w:val="en-US" w:eastAsia="zh-CN"/>
              </w:rPr>
              <w:t>3</w:t>
            </w:r>
          </w:p>
        </w:tc>
        <w:tc>
          <w:tcPr>
            <w:tcW w:w="1012" w:type="dxa"/>
            <w:vMerge w:val="restart"/>
            <w:tcBorders>
              <w:top w:val="single" w:color="auto" w:sz="4" w:space="0"/>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both"/>
              <w:textAlignment w:val="auto"/>
              <w:rPr>
                <w:rFonts w:hint="eastAsia" w:eastAsia="宋体"/>
                <w:sz w:val="32"/>
                <w:szCs w:val="32"/>
                <w:lang w:eastAsia="zh-CN"/>
              </w:rPr>
            </w:pPr>
            <w:r>
              <w:rPr>
                <w:rFonts w:hint="eastAsia" w:ascii="宋体" w:hAnsi="宋体" w:eastAsia="宋体" w:cs="宋体"/>
                <w:spacing w:val="-3"/>
                <w:sz w:val="21"/>
                <w:szCs w:val="22"/>
                <w:lang w:val="zh-CN" w:eastAsia="zh-CN" w:bidi="zh-CN"/>
              </w:rPr>
              <w:t>技术部分</w:t>
            </w:r>
          </w:p>
        </w:tc>
        <w:tc>
          <w:tcPr>
            <w:tcW w:w="1295" w:type="dxa"/>
            <w:tcBorders>
              <w:top w:val="single" w:color="auto" w:sz="4" w:space="0"/>
            </w:tcBorders>
            <w:vAlign w:val="center"/>
          </w:tcPr>
          <w:p>
            <w:pPr>
              <w:pStyle w:val="93"/>
              <w:spacing w:line="242" w:lineRule="auto"/>
              <w:ind w:right="98"/>
              <w:jc w:val="both"/>
              <w:rPr>
                <w:spacing w:val="-24"/>
                <w:sz w:val="21"/>
              </w:rPr>
            </w:pPr>
            <w:bookmarkStart w:id="554" w:name="OLE_LINK29"/>
            <w:r>
              <w:rPr>
                <w:rFonts w:hint="eastAsia"/>
                <w:sz w:val="21"/>
                <w:lang w:eastAsia="zh-CN"/>
              </w:rPr>
              <w:t>设备供应及安装调试方案</w:t>
            </w:r>
            <w:bookmarkEnd w:id="554"/>
          </w:p>
        </w:tc>
        <w:tc>
          <w:tcPr>
            <w:tcW w:w="480" w:type="dxa"/>
            <w:vAlign w:val="center"/>
          </w:tcPr>
          <w:p>
            <w:pPr>
              <w:pStyle w:val="93"/>
              <w:ind w:left="121" w:right="114"/>
              <w:jc w:val="center"/>
              <w:rPr>
                <w:rFonts w:hint="default" w:eastAsia="宋体"/>
                <w:sz w:val="21"/>
                <w:lang w:val="en-US" w:eastAsia="zh-CN"/>
              </w:rPr>
            </w:pPr>
            <w:r>
              <w:rPr>
                <w:rFonts w:hint="eastAsia"/>
                <w:sz w:val="21"/>
                <w:lang w:val="en-US" w:eastAsia="zh-CN"/>
              </w:rPr>
              <w:t>16</w:t>
            </w:r>
          </w:p>
        </w:tc>
        <w:tc>
          <w:tcPr>
            <w:tcW w:w="6986" w:type="dxa"/>
            <w:vAlign w:val="center"/>
          </w:tcPr>
          <w:p>
            <w:pPr>
              <w:pStyle w:val="93"/>
              <w:numPr>
                <w:ilvl w:val="0"/>
                <w:numId w:val="0"/>
              </w:numPr>
              <w:tabs>
                <w:tab w:val="left" w:pos="319"/>
              </w:tabs>
              <w:spacing w:before="4" w:after="0" w:line="240" w:lineRule="auto"/>
              <w:ind w:right="0" w:rightChars="0"/>
              <w:jc w:val="both"/>
              <w:rPr>
                <w:sz w:val="21"/>
              </w:rPr>
            </w:pPr>
            <w:bookmarkStart w:id="555" w:name="OLE_LINK27"/>
            <w:r>
              <w:rPr>
                <w:rFonts w:hint="eastAsia"/>
                <w:sz w:val="21"/>
                <w:lang w:eastAsia="zh-CN"/>
              </w:rPr>
              <w:t>设备供应及安装调试方案能够</w:t>
            </w:r>
            <w:r>
              <w:rPr>
                <w:sz w:val="21"/>
              </w:rPr>
              <w:t>保证</w:t>
            </w:r>
            <w:r>
              <w:rPr>
                <w:rFonts w:hint="eastAsia"/>
                <w:sz w:val="21"/>
                <w:lang w:eastAsia="zh-CN"/>
              </w:rPr>
              <w:t>设备</w:t>
            </w:r>
            <w:r>
              <w:rPr>
                <w:sz w:val="21"/>
              </w:rPr>
              <w:t>在生产</w:t>
            </w:r>
            <w:r>
              <w:rPr>
                <w:rFonts w:hint="eastAsia"/>
                <w:sz w:val="21"/>
                <w:lang w:val="en-US" w:eastAsia="zh-CN"/>
              </w:rPr>
              <w:t>/采购</w:t>
            </w:r>
            <w:r>
              <w:rPr>
                <w:sz w:val="21"/>
              </w:rPr>
              <w:t>、运输、</w:t>
            </w:r>
            <w:r>
              <w:rPr>
                <w:rFonts w:hint="eastAsia"/>
                <w:sz w:val="21"/>
                <w:lang w:eastAsia="zh-CN"/>
              </w:rPr>
              <w:t>安装调试、</w:t>
            </w:r>
            <w:r>
              <w:rPr>
                <w:sz w:val="21"/>
              </w:rPr>
              <w:t>交付使用等过程中的质量，</w:t>
            </w:r>
            <w:r>
              <w:rPr>
                <w:rFonts w:hint="eastAsia"/>
                <w:sz w:val="21"/>
                <w:lang w:eastAsia="zh-CN"/>
              </w:rPr>
              <w:t>确保设备能够正常运行的，能够</w:t>
            </w:r>
            <w:r>
              <w:rPr>
                <w:sz w:val="21"/>
              </w:rPr>
              <w:t>正</w:t>
            </w:r>
            <w:r>
              <w:rPr>
                <w:spacing w:val="-3"/>
                <w:sz w:val="21"/>
              </w:rPr>
              <w:t>常投入使用</w:t>
            </w:r>
            <w:r>
              <w:rPr>
                <w:rFonts w:hint="eastAsia"/>
                <w:spacing w:val="-3"/>
                <w:sz w:val="21"/>
                <w:lang w:eastAsia="zh-CN"/>
              </w:rPr>
              <w:t>的</w:t>
            </w:r>
            <w:r>
              <w:rPr>
                <w:spacing w:val="-3"/>
                <w:sz w:val="21"/>
              </w:rPr>
              <w:t>，保障措施及承诺科学合理全面完善得</w:t>
            </w:r>
            <w:r>
              <w:rPr>
                <w:rFonts w:hint="eastAsia"/>
                <w:spacing w:val="-3"/>
                <w:sz w:val="21"/>
                <w:lang w:val="en-US" w:eastAsia="zh-CN"/>
              </w:rPr>
              <w:t>16-</w:t>
            </w:r>
            <w:r>
              <w:rPr>
                <w:sz w:val="21"/>
              </w:rPr>
              <w:t>-</w:t>
            </w:r>
            <w:r>
              <w:rPr>
                <w:rFonts w:hint="eastAsia"/>
                <w:sz w:val="21"/>
                <w:lang w:val="en-US" w:eastAsia="zh-CN"/>
              </w:rPr>
              <w:t>11</w:t>
            </w:r>
            <w:r>
              <w:rPr>
                <w:spacing w:val="-16"/>
                <w:sz w:val="21"/>
              </w:rPr>
              <w:t xml:space="preserve"> 分，</w:t>
            </w:r>
            <w:r>
              <w:rPr>
                <w:rFonts w:hint="eastAsia"/>
                <w:spacing w:val="-16"/>
                <w:sz w:val="21"/>
              </w:rPr>
              <w:t>保障措施</w:t>
            </w:r>
            <w:r>
              <w:rPr>
                <w:rFonts w:hint="eastAsia"/>
                <w:spacing w:val="-16"/>
                <w:sz w:val="21"/>
                <w:lang w:eastAsia="zh-CN"/>
              </w:rPr>
              <w:t>一般得</w:t>
            </w:r>
            <w:r>
              <w:rPr>
                <w:spacing w:val="-16"/>
                <w:sz w:val="21"/>
              </w:rPr>
              <w:t xml:space="preserve"> </w:t>
            </w:r>
            <w:r>
              <w:rPr>
                <w:rFonts w:hint="eastAsia"/>
                <w:sz w:val="21"/>
                <w:lang w:val="en-US" w:eastAsia="zh-CN"/>
              </w:rPr>
              <w:t>10</w:t>
            </w:r>
            <w:r>
              <w:rPr>
                <w:sz w:val="21"/>
              </w:rPr>
              <w:t>-</w:t>
            </w:r>
            <w:r>
              <w:rPr>
                <w:rFonts w:hint="eastAsia"/>
                <w:sz w:val="21"/>
                <w:lang w:val="en-US" w:eastAsia="zh-CN"/>
              </w:rPr>
              <w:t>5</w:t>
            </w:r>
            <w:r>
              <w:rPr>
                <w:spacing w:val="-16"/>
                <w:sz w:val="21"/>
              </w:rPr>
              <w:t xml:space="preserve"> 分，</w:t>
            </w:r>
            <w:r>
              <w:rPr>
                <w:sz w:val="21"/>
              </w:rPr>
              <w:t xml:space="preserve">差得 </w:t>
            </w:r>
            <w:r>
              <w:rPr>
                <w:rFonts w:hint="eastAsia"/>
                <w:sz w:val="21"/>
                <w:lang w:val="en-US" w:eastAsia="zh-CN"/>
              </w:rPr>
              <w:t>5</w:t>
            </w:r>
            <w:r>
              <w:rPr>
                <w:sz w:val="21"/>
              </w:rPr>
              <w:t>-1 分，无不得分。</w:t>
            </w:r>
            <w:bookmarkEnd w:id="555"/>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6" w:hRule="atLeast"/>
          <w:jc w:val="center"/>
        </w:trPr>
        <w:tc>
          <w:tcPr>
            <w:tcW w:w="881" w:type="dxa"/>
            <w:vMerge w:val="continue"/>
            <w:vAlign w:val="center"/>
          </w:tcPr>
          <w:p>
            <w:pPr>
              <w:jc w:val="center"/>
              <w:rPr>
                <w:sz w:val="21"/>
              </w:rPr>
            </w:pPr>
          </w:p>
        </w:tc>
        <w:tc>
          <w:tcPr>
            <w:tcW w:w="1012" w:type="dxa"/>
            <w:vMerge w:val="continue"/>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both"/>
              <w:textAlignment w:val="auto"/>
              <w:rPr>
                <w:rFonts w:hint="eastAsia" w:ascii="宋体" w:hAnsi="宋体" w:eastAsia="宋体" w:cs="宋体"/>
                <w:spacing w:val="-3"/>
                <w:sz w:val="21"/>
                <w:szCs w:val="22"/>
                <w:lang w:val="zh-CN" w:eastAsia="zh-CN" w:bidi="zh-CN"/>
              </w:rPr>
            </w:pPr>
          </w:p>
        </w:tc>
        <w:tc>
          <w:tcPr>
            <w:tcW w:w="1295" w:type="dxa"/>
            <w:tcBorders>
              <w:top w:val="single" w:color="auto" w:sz="4" w:space="0"/>
            </w:tcBorders>
            <w:vAlign w:val="center"/>
          </w:tcPr>
          <w:p>
            <w:pPr>
              <w:pStyle w:val="93"/>
              <w:spacing w:line="242" w:lineRule="auto"/>
              <w:ind w:right="98"/>
              <w:jc w:val="both"/>
              <w:rPr>
                <w:rFonts w:hint="default" w:eastAsia="宋体"/>
                <w:sz w:val="21"/>
                <w:lang w:val="en-US" w:eastAsia="zh-CN"/>
              </w:rPr>
            </w:pPr>
            <w:bookmarkStart w:id="556" w:name="OLE_LINK30"/>
            <w:r>
              <w:rPr>
                <w:rFonts w:hint="eastAsia"/>
                <w:sz w:val="21"/>
                <w:lang w:val="en-US" w:eastAsia="zh-CN"/>
              </w:rPr>
              <w:t>设备可靠性</w:t>
            </w:r>
            <w:bookmarkEnd w:id="556"/>
          </w:p>
        </w:tc>
        <w:tc>
          <w:tcPr>
            <w:tcW w:w="480" w:type="dxa"/>
            <w:vAlign w:val="center"/>
          </w:tcPr>
          <w:p>
            <w:pPr>
              <w:pStyle w:val="93"/>
              <w:ind w:left="121" w:right="114"/>
              <w:jc w:val="center"/>
              <w:rPr>
                <w:rFonts w:hint="default"/>
                <w:sz w:val="21"/>
                <w:lang w:val="en-US" w:eastAsia="zh-CN"/>
              </w:rPr>
            </w:pPr>
            <w:r>
              <w:rPr>
                <w:rFonts w:hint="eastAsia"/>
                <w:sz w:val="21"/>
                <w:lang w:val="en-US" w:eastAsia="zh-CN"/>
              </w:rPr>
              <w:t>10</w:t>
            </w:r>
          </w:p>
        </w:tc>
        <w:tc>
          <w:tcPr>
            <w:tcW w:w="6986" w:type="dxa"/>
            <w:vAlign w:val="center"/>
          </w:tcPr>
          <w:p>
            <w:pPr>
              <w:pStyle w:val="93"/>
              <w:numPr>
                <w:ilvl w:val="0"/>
                <w:numId w:val="0"/>
              </w:numPr>
              <w:tabs>
                <w:tab w:val="left" w:pos="319"/>
              </w:tabs>
              <w:spacing w:before="4" w:after="0" w:line="240" w:lineRule="auto"/>
              <w:ind w:right="0" w:rightChars="0"/>
              <w:jc w:val="both"/>
              <w:rPr>
                <w:rFonts w:hint="default" w:eastAsia="宋体"/>
                <w:sz w:val="21"/>
                <w:lang w:val="en-US" w:eastAsia="zh-CN"/>
              </w:rPr>
            </w:pPr>
            <w:bookmarkStart w:id="557" w:name="OLE_LINK28"/>
            <w:r>
              <w:rPr>
                <w:rFonts w:hint="eastAsia"/>
                <w:sz w:val="21"/>
                <w:lang w:eastAsia="zh-CN"/>
              </w:rPr>
              <w:t>每提供一种拟供应设备检测报告的得</w:t>
            </w:r>
            <w:r>
              <w:rPr>
                <w:rFonts w:hint="eastAsia"/>
                <w:sz w:val="21"/>
                <w:lang w:val="en-US" w:eastAsia="zh-CN"/>
              </w:rPr>
              <w:t>2分，最多得10分。（标书内提供检测报告复印件加盖公章）</w:t>
            </w:r>
            <w:bookmarkEnd w:id="557"/>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jc w:val="center"/>
        </w:trPr>
        <w:tc>
          <w:tcPr>
            <w:tcW w:w="881" w:type="dxa"/>
            <w:vMerge w:val="continue"/>
            <w:tcBorders>
              <w:top w:val="nil"/>
            </w:tcBorders>
          </w:tcPr>
          <w:p>
            <w:pPr>
              <w:rPr>
                <w:sz w:val="2"/>
                <w:szCs w:val="2"/>
              </w:rPr>
            </w:pPr>
          </w:p>
        </w:tc>
        <w:tc>
          <w:tcPr>
            <w:tcW w:w="1012" w:type="dxa"/>
            <w:vMerge w:val="continue"/>
            <w:tcBorders>
              <w:top w:val="nil"/>
            </w:tcBorders>
          </w:tcPr>
          <w:p>
            <w:pPr>
              <w:rPr>
                <w:sz w:val="2"/>
                <w:szCs w:val="2"/>
              </w:rPr>
            </w:pPr>
          </w:p>
        </w:tc>
        <w:tc>
          <w:tcPr>
            <w:tcW w:w="1295" w:type="dxa"/>
            <w:vAlign w:val="center"/>
          </w:tcPr>
          <w:p>
            <w:pPr>
              <w:pStyle w:val="93"/>
              <w:spacing w:line="242" w:lineRule="auto"/>
              <w:ind w:right="98"/>
              <w:jc w:val="both"/>
              <w:rPr>
                <w:sz w:val="21"/>
              </w:rPr>
            </w:pPr>
            <w:bookmarkStart w:id="558" w:name="OLE_LINK31"/>
            <w:r>
              <w:rPr>
                <w:rFonts w:hint="eastAsia" w:ascii="Times New Roman" w:hAnsi="Times New Roman" w:cs="Times New Roman"/>
                <w:sz w:val="21"/>
                <w:lang w:val="en-US" w:eastAsia="zh-CN"/>
              </w:rPr>
              <w:t>交货期保障措施及承诺</w:t>
            </w:r>
            <w:bookmarkEnd w:id="558"/>
          </w:p>
        </w:tc>
        <w:tc>
          <w:tcPr>
            <w:tcW w:w="480" w:type="dxa"/>
            <w:vAlign w:val="center"/>
          </w:tcPr>
          <w:p>
            <w:pPr>
              <w:pStyle w:val="93"/>
              <w:ind w:left="7"/>
              <w:jc w:val="center"/>
              <w:rPr>
                <w:rFonts w:hint="default" w:eastAsia="宋体"/>
                <w:sz w:val="21"/>
                <w:lang w:val="en-US" w:eastAsia="zh-CN"/>
              </w:rPr>
            </w:pPr>
            <w:r>
              <w:rPr>
                <w:rFonts w:hint="eastAsia"/>
                <w:sz w:val="21"/>
                <w:lang w:val="en-US" w:eastAsia="zh-CN"/>
              </w:rPr>
              <w:t>8</w:t>
            </w:r>
          </w:p>
        </w:tc>
        <w:tc>
          <w:tcPr>
            <w:tcW w:w="6986" w:type="dxa"/>
            <w:vAlign w:val="center"/>
          </w:tcPr>
          <w:p>
            <w:pPr>
              <w:pStyle w:val="93"/>
              <w:spacing w:line="242" w:lineRule="auto"/>
              <w:ind w:right="95"/>
              <w:jc w:val="both"/>
              <w:rPr>
                <w:sz w:val="21"/>
              </w:rPr>
            </w:pPr>
            <w:bookmarkStart w:id="559" w:name="OLE_LINK32"/>
            <w:r>
              <w:rPr>
                <w:sz w:val="21"/>
              </w:rPr>
              <w:t>保障措施能够保证货物在交货期内完成交货及安装投入使用，保障措施及承诺应合理、有效，得</w:t>
            </w:r>
            <w:r>
              <w:rPr>
                <w:rFonts w:hint="eastAsia"/>
                <w:sz w:val="21"/>
                <w:lang w:val="en-US" w:eastAsia="zh-CN"/>
              </w:rPr>
              <w:t>8</w:t>
            </w:r>
            <w:r>
              <w:rPr>
                <w:sz w:val="21"/>
              </w:rPr>
              <w:t>-0分。</w:t>
            </w:r>
            <w:bookmarkEnd w:id="559"/>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jc w:val="center"/>
        </w:trPr>
        <w:tc>
          <w:tcPr>
            <w:tcW w:w="881" w:type="dxa"/>
            <w:vMerge w:val="continue"/>
            <w:tcBorders>
              <w:top w:val="nil"/>
            </w:tcBorders>
          </w:tcPr>
          <w:p>
            <w:pPr>
              <w:rPr>
                <w:sz w:val="2"/>
                <w:szCs w:val="2"/>
              </w:rPr>
            </w:pPr>
          </w:p>
        </w:tc>
        <w:tc>
          <w:tcPr>
            <w:tcW w:w="1012" w:type="dxa"/>
            <w:vMerge w:val="continue"/>
            <w:tcBorders>
              <w:top w:val="nil"/>
            </w:tcBorders>
          </w:tcPr>
          <w:p>
            <w:pPr>
              <w:rPr>
                <w:sz w:val="2"/>
                <w:szCs w:val="2"/>
              </w:rPr>
            </w:pPr>
          </w:p>
        </w:tc>
        <w:tc>
          <w:tcPr>
            <w:tcW w:w="1295" w:type="dxa"/>
            <w:vAlign w:val="center"/>
          </w:tcPr>
          <w:p>
            <w:pPr>
              <w:pStyle w:val="93"/>
              <w:spacing w:line="242" w:lineRule="auto"/>
              <w:ind w:right="98"/>
              <w:jc w:val="both"/>
              <w:rPr>
                <w:sz w:val="21"/>
              </w:rPr>
            </w:pPr>
            <w:bookmarkStart w:id="560" w:name="OLE_LINK33"/>
            <w:r>
              <w:rPr>
                <w:rFonts w:hint="eastAsia"/>
                <w:sz w:val="21"/>
              </w:rPr>
              <w:t>维修保养方案</w:t>
            </w:r>
            <w:bookmarkEnd w:id="560"/>
          </w:p>
        </w:tc>
        <w:tc>
          <w:tcPr>
            <w:tcW w:w="480" w:type="dxa"/>
            <w:vAlign w:val="center"/>
          </w:tcPr>
          <w:p>
            <w:pPr>
              <w:pStyle w:val="93"/>
              <w:ind w:left="7"/>
              <w:jc w:val="center"/>
              <w:rPr>
                <w:rFonts w:hint="default"/>
                <w:sz w:val="21"/>
                <w:lang w:val="en-US" w:eastAsia="zh-CN"/>
              </w:rPr>
            </w:pPr>
            <w:r>
              <w:rPr>
                <w:rFonts w:hint="eastAsia"/>
                <w:sz w:val="21"/>
                <w:lang w:val="en-US" w:eastAsia="zh-CN"/>
              </w:rPr>
              <w:t>8</w:t>
            </w:r>
          </w:p>
        </w:tc>
        <w:tc>
          <w:tcPr>
            <w:tcW w:w="6986" w:type="dxa"/>
            <w:vAlign w:val="center"/>
          </w:tcPr>
          <w:p>
            <w:pPr>
              <w:pStyle w:val="93"/>
              <w:spacing w:before="135" w:line="242" w:lineRule="auto"/>
              <w:ind w:right="98" w:rightChars="0"/>
              <w:jc w:val="both"/>
              <w:rPr>
                <w:sz w:val="21"/>
              </w:rPr>
            </w:pPr>
            <w:bookmarkStart w:id="561" w:name="OLE_LINK34"/>
            <w:r>
              <w:rPr>
                <w:rFonts w:hint="eastAsia"/>
                <w:sz w:val="21"/>
              </w:rPr>
              <w:t>投标人提供明确的维修保养方案，当发生故障时，维修计划能保障维修效率和维修交付时间。保养方案内容完整，保养项目细致且全面。优得</w:t>
            </w:r>
            <w:r>
              <w:rPr>
                <w:rFonts w:hint="eastAsia"/>
                <w:sz w:val="21"/>
                <w:lang w:val="en-US" w:eastAsia="zh-CN"/>
              </w:rPr>
              <w:t>8</w:t>
            </w:r>
            <w:r>
              <w:rPr>
                <w:rFonts w:hint="eastAsia"/>
                <w:sz w:val="21"/>
              </w:rPr>
              <w:t>-</w:t>
            </w:r>
            <w:r>
              <w:rPr>
                <w:rFonts w:hint="eastAsia"/>
                <w:sz w:val="21"/>
                <w:lang w:val="en-US" w:eastAsia="zh-CN"/>
              </w:rPr>
              <w:t>5</w:t>
            </w:r>
            <w:r>
              <w:rPr>
                <w:rFonts w:hint="eastAsia"/>
                <w:sz w:val="21"/>
              </w:rPr>
              <w:t>分，良得</w:t>
            </w:r>
            <w:r>
              <w:rPr>
                <w:rFonts w:hint="eastAsia"/>
                <w:sz w:val="21"/>
                <w:lang w:val="en-US" w:eastAsia="zh-CN"/>
              </w:rPr>
              <w:t>4</w:t>
            </w:r>
            <w:r>
              <w:rPr>
                <w:rFonts w:hint="eastAsia"/>
                <w:sz w:val="21"/>
              </w:rPr>
              <w:t>-2分，一般得1分，无不得分。</w:t>
            </w:r>
            <w:bookmarkEnd w:id="561"/>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1" w:hRule="atLeast"/>
          <w:jc w:val="center"/>
        </w:trPr>
        <w:tc>
          <w:tcPr>
            <w:tcW w:w="881" w:type="dxa"/>
            <w:vMerge w:val="continue"/>
            <w:tcBorders>
              <w:top w:val="nil"/>
            </w:tcBorders>
          </w:tcPr>
          <w:p>
            <w:pPr>
              <w:rPr>
                <w:sz w:val="2"/>
                <w:szCs w:val="2"/>
              </w:rPr>
            </w:pPr>
          </w:p>
        </w:tc>
        <w:tc>
          <w:tcPr>
            <w:tcW w:w="1012" w:type="dxa"/>
            <w:vMerge w:val="continue"/>
            <w:tcBorders>
              <w:top w:val="nil"/>
            </w:tcBorders>
          </w:tcPr>
          <w:p>
            <w:pPr>
              <w:rPr>
                <w:sz w:val="2"/>
                <w:szCs w:val="2"/>
              </w:rPr>
            </w:pPr>
          </w:p>
        </w:tc>
        <w:tc>
          <w:tcPr>
            <w:tcW w:w="1295" w:type="dxa"/>
            <w:vAlign w:val="center"/>
          </w:tcPr>
          <w:p>
            <w:pPr>
              <w:pStyle w:val="93"/>
              <w:spacing w:line="242" w:lineRule="auto"/>
              <w:ind w:right="98"/>
              <w:jc w:val="both"/>
              <w:rPr>
                <w:rFonts w:hint="eastAsia"/>
                <w:sz w:val="21"/>
                <w:lang w:eastAsia="zh-CN"/>
              </w:rPr>
            </w:pPr>
            <w:bookmarkStart w:id="562" w:name="OLE_LINK35"/>
            <w:r>
              <w:rPr>
                <w:rFonts w:hint="eastAsia"/>
                <w:sz w:val="21"/>
                <w:lang w:eastAsia="zh-CN"/>
              </w:rPr>
              <w:t>培训方案</w:t>
            </w:r>
            <w:bookmarkEnd w:id="562"/>
          </w:p>
        </w:tc>
        <w:tc>
          <w:tcPr>
            <w:tcW w:w="480" w:type="dxa"/>
            <w:vAlign w:val="center"/>
          </w:tcPr>
          <w:p>
            <w:pPr>
              <w:pStyle w:val="93"/>
              <w:ind w:left="7"/>
              <w:jc w:val="center"/>
              <w:rPr>
                <w:rFonts w:hint="default"/>
                <w:sz w:val="21"/>
                <w:lang w:val="en-US" w:eastAsia="zh-CN"/>
              </w:rPr>
            </w:pPr>
            <w:r>
              <w:rPr>
                <w:rFonts w:hint="eastAsia"/>
                <w:sz w:val="21"/>
                <w:lang w:val="en-US" w:eastAsia="zh-CN"/>
              </w:rPr>
              <w:t>8</w:t>
            </w:r>
          </w:p>
        </w:tc>
        <w:tc>
          <w:tcPr>
            <w:tcW w:w="6986" w:type="dxa"/>
            <w:vAlign w:val="center"/>
          </w:tcPr>
          <w:p>
            <w:pPr>
              <w:pStyle w:val="93"/>
              <w:spacing w:before="135" w:line="242" w:lineRule="auto"/>
              <w:ind w:right="98"/>
              <w:jc w:val="both"/>
              <w:rPr>
                <w:sz w:val="21"/>
              </w:rPr>
            </w:pPr>
            <w:bookmarkStart w:id="563" w:name="OLE_LINK36"/>
            <w:r>
              <w:rPr>
                <w:rFonts w:hint="eastAsia"/>
                <w:sz w:val="21"/>
                <w:lang w:val="en-US" w:eastAsia="zh-CN"/>
              </w:rPr>
              <w:t>提</w:t>
            </w:r>
            <w:r>
              <w:rPr>
                <w:rFonts w:hint="eastAsia"/>
                <w:sz w:val="21"/>
              </w:rPr>
              <w:t>供免费及完善的培训方案，能够保障设备的使用人在短时间内熟悉设备性能及操作，能够简单掌握处理故障能力</w:t>
            </w:r>
            <w:r>
              <w:rPr>
                <w:rFonts w:hint="eastAsia"/>
                <w:sz w:val="21"/>
                <w:lang w:eastAsia="zh-CN"/>
              </w:rPr>
              <w:t>，依据投标文件比较培训方案科学合理全面完善得</w:t>
            </w:r>
            <w:r>
              <w:rPr>
                <w:rFonts w:hint="eastAsia"/>
                <w:sz w:val="21"/>
                <w:lang w:val="en-US" w:eastAsia="zh-CN"/>
              </w:rPr>
              <w:t>8-6</w:t>
            </w:r>
            <w:r>
              <w:rPr>
                <w:rFonts w:hint="eastAsia"/>
                <w:sz w:val="21"/>
                <w:lang w:eastAsia="zh-CN"/>
              </w:rPr>
              <w:t>分，良得</w:t>
            </w:r>
            <w:r>
              <w:rPr>
                <w:rFonts w:hint="eastAsia"/>
                <w:sz w:val="21"/>
                <w:lang w:val="en-US" w:eastAsia="zh-CN"/>
              </w:rPr>
              <w:t>5</w:t>
            </w:r>
            <w:r>
              <w:rPr>
                <w:rFonts w:hint="eastAsia"/>
                <w:sz w:val="21"/>
                <w:lang w:eastAsia="zh-CN"/>
              </w:rPr>
              <w:t>-</w:t>
            </w:r>
            <w:r>
              <w:rPr>
                <w:rFonts w:hint="eastAsia"/>
                <w:sz w:val="21"/>
                <w:lang w:val="en-US" w:eastAsia="zh-CN"/>
              </w:rPr>
              <w:t>3</w:t>
            </w:r>
            <w:r>
              <w:rPr>
                <w:rFonts w:hint="eastAsia"/>
                <w:sz w:val="21"/>
                <w:lang w:eastAsia="zh-CN"/>
              </w:rPr>
              <w:t xml:space="preserve"> 分，差得 </w:t>
            </w:r>
            <w:r>
              <w:rPr>
                <w:rFonts w:hint="eastAsia"/>
                <w:sz w:val="21"/>
                <w:lang w:val="en-US" w:eastAsia="zh-CN"/>
              </w:rPr>
              <w:t>2</w:t>
            </w:r>
            <w:r>
              <w:rPr>
                <w:rFonts w:hint="eastAsia"/>
                <w:sz w:val="21"/>
                <w:lang w:eastAsia="zh-CN"/>
              </w:rPr>
              <w:t>-1 分，无不得分。</w:t>
            </w:r>
            <w:bookmarkEnd w:id="563"/>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3" w:hRule="atLeast"/>
          <w:jc w:val="center"/>
        </w:trPr>
        <w:tc>
          <w:tcPr>
            <w:tcW w:w="881" w:type="dxa"/>
            <w:vMerge w:val="restart"/>
          </w:tcPr>
          <w:p>
            <w:pPr>
              <w:pStyle w:val="93"/>
              <w:rPr>
                <w:sz w:val="20"/>
              </w:rPr>
            </w:pPr>
          </w:p>
          <w:p>
            <w:pPr>
              <w:pStyle w:val="93"/>
              <w:rPr>
                <w:sz w:val="20"/>
              </w:rPr>
            </w:pPr>
          </w:p>
          <w:p>
            <w:pPr>
              <w:pStyle w:val="93"/>
              <w:rPr>
                <w:sz w:val="20"/>
              </w:rPr>
            </w:pPr>
          </w:p>
          <w:p>
            <w:pPr>
              <w:pStyle w:val="93"/>
              <w:spacing w:before="6"/>
              <w:rPr>
                <w:sz w:val="29"/>
              </w:rPr>
            </w:pPr>
          </w:p>
          <w:p>
            <w:pPr>
              <w:pStyle w:val="93"/>
              <w:spacing w:before="1"/>
              <w:ind w:left="216"/>
              <w:rPr>
                <w:sz w:val="21"/>
              </w:rPr>
            </w:pPr>
            <w:r>
              <w:rPr>
                <w:sz w:val="21"/>
              </w:rPr>
              <w:t>2.2.4</w:t>
            </w:r>
          </w:p>
        </w:tc>
        <w:tc>
          <w:tcPr>
            <w:tcW w:w="1012" w:type="dxa"/>
            <w:vMerge w:val="restart"/>
          </w:tcPr>
          <w:p>
            <w:pPr>
              <w:pStyle w:val="93"/>
              <w:rPr>
                <w:sz w:val="20"/>
              </w:rPr>
            </w:pPr>
          </w:p>
          <w:p>
            <w:pPr>
              <w:pStyle w:val="93"/>
              <w:rPr>
                <w:sz w:val="20"/>
              </w:rPr>
            </w:pPr>
          </w:p>
          <w:p>
            <w:pPr>
              <w:pStyle w:val="93"/>
              <w:spacing w:before="11"/>
              <w:rPr>
                <w:sz w:val="29"/>
              </w:rPr>
            </w:pPr>
          </w:p>
          <w:p>
            <w:pPr>
              <w:pStyle w:val="93"/>
              <w:tabs>
                <w:tab w:val="left" w:pos="419"/>
              </w:tabs>
              <w:ind w:right="271"/>
              <w:jc w:val="center"/>
              <w:rPr>
                <w:sz w:val="21"/>
              </w:rPr>
            </w:pPr>
            <w:r>
              <w:rPr>
                <w:sz w:val="21"/>
              </w:rPr>
              <w:t>其</w:t>
            </w:r>
            <w:r>
              <w:rPr>
                <w:w w:val="95"/>
                <w:sz w:val="21"/>
              </w:rPr>
              <w:t>他</w:t>
            </w:r>
          </w:p>
          <w:p>
            <w:pPr>
              <w:pStyle w:val="93"/>
              <w:tabs>
                <w:tab w:val="left" w:pos="470"/>
              </w:tabs>
              <w:spacing w:before="2"/>
              <w:ind w:right="221"/>
              <w:jc w:val="center"/>
              <w:rPr>
                <w:sz w:val="21"/>
              </w:rPr>
            </w:pPr>
            <w:r>
              <w:rPr>
                <w:sz w:val="21"/>
              </w:rPr>
              <w:t>评</w:t>
            </w:r>
            <w:r>
              <w:rPr>
                <w:w w:val="95"/>
                <w:sz w:val="21"/>
              </w:rPr>
              <w:t>分</w:t>
            </w:r>
          </w:p>
          <w:p>
            <w:pPr>
              <w:pStyle w:val="93"/>
              <w:tabs>
                <w:tab w:val="left" w:pos="419"/>
              </w:tabs>
              <w:spacing w:before="2"/>
              <w:ind w:right="166"/>
              <w:jc w:val="center"/>
              <w:rPr>
                <w:sz w:val="21"/>
              </w:rPr>
            </w:pPr>
            <w:r>
              <w:rPr>
                <w:sz w:val="21"/>
              </w:rPr>
              <w:t>因</w:t>
            </w:r>
            <w:r>
              <w:rPr>
                <w:w w:val="95"/>
                <w:sz w:val="21"/>
              </w:rPr>
              <w:t>素</w:t>
            </w:r>
          </w:p>
        </w:tc>
        <w:tc>
          <w:tcPr>
            <w:tcW w:w="1295" w:type="dxa"/>
            <w:vAlign w:val="center"/>
          </w:tcPr>
          <w:p>
            <w:pPr>
              <w:pStyle w:val="93"/>
              <w:spacing w:before="53" w:line="242" w:lineRule="auto"/>
              <w:ind w:left="107" w:right="98"/>
              <w:jc w:val="both"/>
              <w:rPr>
                <w:sz w:val="21"/>
              </w:rPr>
            </w:pPr>
            <w:bookmarkStart w:id="564" w:name="OLE_LINK39"/>
            <w:r>
              <w:rPr>
                <w:sz w:val="21"/>
              </w:rPr>
              <w:t>售后服务承诺</w:t>
            </w:r>
            <w:bookmarkEnd w:id="564"/>
          </w:p>
        </w:tc>
        <w:tc>
          <w:tcPr>
            <w:tcW w:w="480" w:type="dxa"/>
            <w:vAlign w:val="center"/>
          </w:tcPr>
          <w:p>
            <w:pPr>
              <w:pStyle w:val="93"/>
              <w:ind w:left="7"/>
              <w:jc w:val="center"/>
              <w:rPr>
                <w:rFonts w:hint="eastAsia"/>
                <w:sz w:val="21"/>
                <w:lang w:val="en-US" w:eastAsia="zh-CN"/>
              </w:rPr>
            </w:pPr>
            <w:r>
              <w:rPr>
                <w:rFonts w:hint="eastAsia"/>
                <w:sz w:val="21"/>
                <w:lang w:val="en-US" w:eastAsia="zh-CN"/>
              </w:rPr>
              <w:t>6</w:t>
            </w:r>
          </w:p>
        </w:tc>
        <w:tc>
          <w:tcPr>
            <w:tcW w:w="6986" w:type="dxa"/>
            <w:vAlign w:val="center"/>
          </w:tcPr>
          <w:p>
            <w:pPr>
              <w:pStyle w:val="93"/>
              <w:numPr>
                <w:ilvl w:val="0"/>
                <w:numId w:val="5"/>
              </w:numPr>
              <w:spacing w:before="53"/>
              <w:jc w:val="both"/>
              <w:rPr>
                <w:rFonts w:hint="default" w:eastAsia="宋体"/>
                <w:sz w:val="21"/>
                <w:lang w:val="en-US" w:eastAsia="zh-CN"/>
              </w:rPr>
            </w:pPr>
            <w:bookmarkStart w:id="565" w:name="OLE_LINK40"/>
            <w:r>
              <w:rPr>
                <w:rFonts w:hint="eastAsia"/>
                <w:sz w:val="21"/>
                <w:lang w:eastAsia="zh-CN"/>
              </w:rPr>
              <w:t>能够提供本地化售后服务的且对设备故障的</w:t>
            </w:r>
            <w:r>
              <w:rPr>
                <w:sz w:val="21"/>
              </w:rPr>
              <w:t>维修响应及完成时间</w:t>
            </w:r>
            <w:r>
              <w:rPr>
                <w:rFonts w:hint="eastAsia"/>
                <w:sz w:val="21"/>
                <w:lang w:eastAsia="zh-CN"/>
              </w:rPr>
              <w:t>承诺在</w:t>
            </w:r>
            <w:r>
              <w:rPr>
                <w:rFonts w:hint="eastAsia"/>
                <w:sz w:val="21"/>
                <w:lang w:val="en-US" w:eastAsia="zh-CN"/>
              </w:rPr>
              <w:t>0-0.5小时以内的得3分；提供非本地化售后服务的但对设备故障的维修响应及完成时间承诺在0.5-1小时以内的分钟得1.5分；对设备故障的维修响应及完成时间超过1小时的不得分，响应时间证明材料（如百度地图的导航截图）。</w:t>
            </w:r>
          </w:p>
          <w:p>
            <w:pPr>
              <w:pStyle w:val="93"/>
              <w:numPr>
                <w:ilvl w:val="0"/>
                <w:numId w:val="0"/>
              </w:numPr>
              <w:spacing w:before="53"/>
              <w:jc w:val="both"/>
              <w:rPr>
                <w:rFonts w:hint="default" w:eastAsia="宋体"/>
                <w:b/>
                <w:bCs/>
                <w:sz w:val="21"/>
                <w:lang w:val="en-US" w:eastAsia="zh-CN"/>
              </w:rPr>
            </w:pPr>
            <w:r>
              <w:rPr>
                <w:rFonts w:hint="eastAsia"/>
                <w:b/>
                <w:bCs/>
                <w:sz w:val="21"/>
                <w:lang w:val="en-US" w:eastAsia="zh-CN"/>
              </w:rPr>
              <w:t>注释：上述售后服务指全部设备的售后服务。</w:t>
            </w:r>
          </w:p>
          <w:p>
            <w:pPr>
              <w:pStyle w:val="93"/>
              <w:spacing w:before="53"/>
              <w:jc w:val="both"/>
              <w:rPr>
                <w:rFonts w:hint="eastAsia" w:eastAsia="宋体"/>
                <w:sz w:val="21"/>
                <w:lang w:eastAsia="zh-CN"/>
              </w:rPr>
            </w:pPr>
            <w:r>
              <w:rPr>
                <w:rFonts w:hint="eastAsia"/>
                <w:sz w:val="21"/>
                <w:lang w:val="en-US" w:eastAsia="zh-CN"/>
              </w:rPr>
              <w:t>2、能够</w:t>
            </w:r>
            <w:r>
              <w:rPr>
                <w:sz w:val="21"/>
              </w:rPr>
              <w:t>定期对设备进行检修</w:t>
            </w:r>
            <w:r>
              <w:rPr>
                <w:rFonts w:hint="eastAsia"/>
                <w:sz w:val="21"/>
                <w:lang w:eastAsia="zh-CN"/>
              </w:rPr>
              <w:t>、</w:t>
            </w:r>
            <w:r>
              <w:rPr>
                <w:sz w:val="21"/>
              </w:rPr>
              <w:t>维护</w:t>
            </w:r>
            <w:r>
              <w:rPr>
                <w:rFonts w:hint="eastAsia"/>
                <w:sz w:val="21"/>
                <w:lang w:eastAsia="zh-CN"/>
              </w:rPr>
              <w:t>、保养</w:t>
            </w:r>
            <w:r>
              <w:rPr>
                <w:sz w:val="21"/>
              </w:rPr>
              <w:t>等</w:t>
            </w:r>
            <w:r>
              <w:rPr>
                <w:rFonts w:hint="eastAsia"/>
                <w:sz w:val="21"/>
                <w:lang w:eastAsia="zh-CN"/>
              </w:rPr>
              <w:t>售后服务的，依据投标文件横向比较</w:t>
            </w:r>
            <w:r>
              <w:rPr>
                <w:sz w:val="21"/>
              </w:rPr>
              <w:t>，优</w:t>
            </w:r>
            <w:r>
              <w:rPr>
                <w:rFonts w:hint="eastAsia"/>
                <w:sz w:val="21"/>
                <w:lang w:eastAsia="zh-CN"/>
              </w:rPr>
              <w:t>得</w:t>
            </w:r>
            <w:r>
              <w:rPr>
                <w:rFonts w:hint="eastAsia"/>
                <w:sz w:val="21"/>
                <w:lang w:val="en-US" w:eastAsia="zh-CN"/>
              </w:rPr>
              <w:t>3</w:t>
            </w:r>
            <w:r>
              <w:rPr>
                <w:sz w:val="21"/>
              </w:rPr>
              <w:t>分, 良</w:t>
            </w:r>
            <w:r>
              <w:rPr>
                <w:rFonts w:hint="eastAsia"/>
                <w:sz w:val="21"/>
                <w:lang w:eastAsia="zh-CN"/>
              </w:rPr>
              <w:t>得</w:t>
            </w:r>
            <w:r>
              <w:rPr>
                <w:sz w:val="21"/>
              </w:rPr>
              <w:t>2分，一般</w:t>
            </w:r>
            <w:r>
              <w:rPr>
                <w:rFonts w:hint="eastAsia"/>
                <w:sz w:val="21"/>
                <w:lang w:eastAsia="zh-CN"/>
              </w:rPr>
              <w:t>得</w:t>
            </w:r>
            <w:r>
              <w:rPr>
                <w:sz w:val="21"/>
              </w:rPr>
              <w:t>1分。</w:t>
            </w:r>
            <w:bookmarkEnd w:id="565"/>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6" w:hRule="atLeast"/>
          <w:jc w:val="center"/>
        </w:trPr>
        <w:tc>
          <w:tcPr>
            <w:tcW w:w="881" w:type="dxa"/>
            <w:vMerge w:val="continue"/>
            <w:tcBorders>
              <w:top w:val="nil"/>
            </w:tcBorders>
          </w:tcPr>
          <w:p>
            <w:pPr>
              <w:rPr>
                <w:sz w:val="2"/>
                <w:szCs w:val="2"/>
              </w:rPr>
            </w:pPr>
          </w:p>
        </w:tc>
        <w:tc>
          <w:tcPr>
            <w:tcW w:w="1012" w:type="dxa"/>
            <w:vMerge w:val="continue"/>
            <w:tcBorders>
              <w:top w:val="nil"/>
            </w:tcBorders>
          </w:tcPr>
          <w:p>
            <w:pPr>
              <w:rPr>
                <w:sz w:val="2"/>
                <w:szCs w:val="2"/>
              </w:rPr>
            </w:pPr>
          </w:p>
        </w:tc>
        <w:tc>
          <w:tcPr>
            <w:tcW w:w="1295" w:type="dxa"/>
          </w:tcPr>
          <w:p>
            <w:pPr>
              <w:pStyle w:val="93"/>
              <w:spacing w:before="154"/>
              <w:ind w:left="107"/>
              <w:rPr>
                <w:sz w:val="21"/>
              </w:rPr>
            </w:pPr>
            <w:r>
              <w:rPr>
                <w:sz w:val="21"/>
              </w:rPr>
              <w:t>优惠条件</w:t>
            </w:r>
          </w:p>
        </w:tc>
        <w:tc>
          <w:tcPr>
            <w:tcW w:w="480" w:type="dxa"/>
            <w:vAlign w:val="center"/>
          </w:tcPr>
          <w:p>
            <w:pPr>
              <w:pStyle w:val="93"/>
              <w:ind w:left="7"/>
              <w:jc w:val="center"/>
              <w:rPr>
                <w:rFonts w:hint="eastAsia"/>
                <w:sz w:val="21"/>
                <w:lang w:val="en-US" w:eastAsia="zh-CN"/>
              </w:rPr>
            </w:pPr>
            <w:r>
              <w:rPr>
                <w:rFonts w:hint="eastAsia"/>
                <w:sz w:val="21"/>
                <w:lang w:val="en-US" w:eastAsia="zh-CN"/>
              </w:rPr>
              <w:t>4</w:t>
            </w:r>
          </w:p>
        </w:tc>
        <w:tc>
          <w:tcPr>
            <w:tcW w:w="6986" w:type="dxa"/>
            <w:vAlign w:val="center"/>
          </w:tcPr>
          <w:p>
            <w:pPr>
              <w:pStyle w:val="93"/>
              <w:spacing w:before="154"/>
              <w:jc w:val="both"/>
              <w:rPr>
                <w:sz w:val="21"/>
              </w:rPr>
            </w:pPr>
            <w:bookmarkStart w:id="566" w:name="OLE_LINK41"/>
            <w:r>
              <w:rPr>
                <w:rFonts w:hint="eastAsia"/>
                <w:sz w:val="21"/>
                <w:lang w:eastAsia="zh-CN"/>
              </w:rPr>
              <w:t>依据投标文件各投标人优惠条件承诺比较</w:t>
            </w:r>
            <w:r>
              <w:rPr>
                <w:sz w:val="21"/>
              </w:rPr>
              <w:t>，优得</w:t>
            </w:r>
            <w:r>
              <w:rPr>
                <w:rFonts w:hint="eastAsia"/>
                <w:sz w:val="21"/>
                <w:lang w:val="en-US" w:eastAsia="zh-CN"/>
              </w:rPr>
              <w:t>4</w:t>
            </w:r>
            <w:r>
              <w:rPr>
                <w:sz w:val="21"/>
              </w:rPr>
              <w:t>分，良得</w:t>
            </w:r>
            <w:r>
              <w:rPr>
                <w:rFonts w:hint="eastAsia"/>
                <w:sz w:val="21"/>
                <w:lang w:val="en-US" w:eastAsia="zh-CN"/>
              </w:rPr>
              <w:t>3-2</w:t>
            </w:r>
            <w:r>
              <w:rPr>
                <w:sz w:val="21"/>
              </w:rPr>
              <w:t>分，差得</w:t>
            </w:r>
            <w:r>
              <w:rPr>
                <w:rFonts w:hint="eastAsia"/>
                <w:sz w:val="21"/>
                <w:lang w:val="en-US" w:eastAsia="zh-CN"/>
              </w:rPr>
              <w:t>1</w:t>
            </w:r>
            <w:r>
              <w:rPr>
                <w:sz w:val="21"/>
              </w:rPr>
              <w:t>分。</w:t>
            </w:r>
            <w:bookmarkEnd w:id="566"/>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jc w:val="center"/>
        </w:trPr>
        <w:tc>
          <w:tcPr>
            <w:tcW w:w="881" w:type="dxa"/>
            <w:vMerge w:val="continue"/>
            <w:tcBorders>
              <w:top w:val="nil"/>
            </w:tcBorders>
          </w:tcPr>
          <w:p>
            <w:pPr>
              <w:rPr>
                <w:sz w:val="2"/>
                <w:szCs w:val="2"/>
              </w:rPr>
            </w:pPr>
          </w:p>
        </w:tc>
        <w:tc>
          <w:tcPr>
            <w:tcW w:w="1012" w:type="dxa"/>
            <w:vMerge w:val="continue"/>
            <w:tcBorders>
              <w:top w:val="nil"/>
            </w:tcBorders>
          </w:tcPr>
          <w:p>
            <w:pPr>
              <w:rPr>
                <w:sz w:val="2"/>
                <w:szCs w:val="2"/>
              </w:rPr>
            </w:pPr>
          </w:p>
        </w:tc>
        <w:tc>
          <w:tcPr>
            <w:tcW w:w="1295" w:type="dxa"/>
          </w:tcPr>
          <w:p>
            <w:pPr>
              <w:pStyle w:val="93"/>
              <w:spacing w:before="5"/>
              <w:rPr>
                <w:sz w:val="16"/>
              </w:rPr>
            </w:pPr>
          </w:p>
          <w:p>
            <w:pPr>
              <w:pStyle w:val="93"/>
              <w:ind w:left="107"/>
              <w:rPr>
                <w:sz w:val="21"/>
              </w:rPr>
            </w:pPr>
            <w:r>
              <w:rPr>
                <w:sz w:val="21"/>
              </w:rPr>
              <w:t>质保期</w:t>
            </w:r>
          </w:p>
        </w:tc>
        <w:tc>
          <w:tcPr>
            <w:tcW w:w="480" w:type="dxa"/>
            <w:vAlign w:val="center"/>
          </w:tcPr>
          <w:p>
            <w:pPr>
              <w:pStyle w:val="93"/>
              <w:ind w:left="7"/>
              <w:jc w:val="center"/>
              <w:rPr>
                <w:rFonts w:hint="eastAsia"/>
                <w:sz w:val="21"/>
                <w:lang w:val="en-US" w:eastAsia="zh-CN"/>
              </w:rPr>
            </w:pPr>
            <w:r>
              <w:rPr>
                <w:rFonts w:hint="eastAsia"/>
                <w:sz w:val="21"/>
                <w:lang w:val="en-US" w:eastAsia="zh-CN"/>
              </w:rPr>
              <w:t>2</w:t>
            </w:r>
          </w:p>
        </w:tc>
        <w:tc>
          <w:tcPr>
            <w:tcW w:w="6986" w:type="dxa"/>
            <w:vAlign w:val="center"/>
          </w:tcPr>
          <w:p>
            <w:pPr>
              <w:pStyle w:val="93"/>
              <w:spacing w:before="76" w:line="242" w:lineRule="auto"/>
              <w:ind w:right="95"/>
              <w:jc w:val="both"/>
              <w:rPr>
                <w:sz w:val="21"/>
              </w:rPr>
            </w:pPr>
            <w:bookmarkStart w:id="567" w:name="OLE_LINK42"/>
            <w:r>
              <w:rPr>
                <w:spacing w:val="-2"/>
                <w:sz w:val="21"/>
              </w:rPr>
              <w:t>质保期在招标文件要求的基础上，每延长半年，得</w:t>
            </w:r>
            <w:r>
              <w:rPr>
                <w:sz w:val="21"/>
              </w:rPr>
              <w:t>1</w:t>
            </w:r>
            <w:r>
              <w:rPr>
                <w:spacing w:val="-14"/>
                <w:sz w:val="21"/>
              </w:rPr>
              <w:t xml:space="preserve"> 分，最多得</w:t>
            </w:r>
            <w:r>
              <w:rPr>
                <w:rFonts w:hint="eastAsia"/>
                <w:spacing w:val="-14"/>
                <w:sz w:val="21"/>
                <w:lang w:val="en-US" w:eastAsia="zh-CN"/>
              </w:rPr>
              <w:t>2</w:t>
            </w:r>
            <w:r>
              <w:rPr>
                <w:spacing w:val="-15"/>
                <w:sz w:val="21"/>
              </w:rPr>
              <w:t>分。提</w:t>
            </w:r>
            <w:r>
              <w:rPr>
                <w:sz w:val="21"/>
              </w:rPr>
              <w:t>供法定代表人或其委托代理人签字和加盖单位章的承诺书。</w:t>
            </w:r>
            <w:bookmarkEnd w:id="567"/>
          </w:p>
        </w:tc>
      </w:tr>
    </w:tbl>
    <w:p>
      <w:pPr>
        <w:autoSpaceDE w:val="0"/>
        <w:autoSpaceDN w:val="0"/>
        <w:adjustRightInd w:val="0"/>
        <w:spacing w:line="276" w:lineRule="auto"/>
        <w:ind w:left="57" w:leftChars="27" w:firstLine="60" w:firstLineChars="25"/>
        <w:jc w:val="left"/>
        <w:rPr>
          <w:rFonts w:cs="宋体" w:asciiTheme="majorEastAsia" w:hAnsiTheme="majorEastAsia" w:eastAsiaTheme="majorEastAsia"/>
          <w:bCs/>
          <w:color w:val="000000"/>
          <w:sz w:val="24"/>
          <w:lang w:val="zh-CN"/>
        </w:rPr>
      </w:pPr>
    </w:p>
    <w:p>
      <w:pPr>
        <w:pStyle w:val="4"/>
        <w:tabs>
          <w:tab w:val="left" w:pos="7371"/>
        </w:tabs>
        <w:spacing w:line="276" w:lineRule="auto"/>
        <w:jc w:val="center"/>
        <w:rPr>
          <w:rFonts w:cs="宋体" w:asciiTheme="majorEastAsia" w:hAnsiTheme="majorEastAsia" w:eastAsiaTheme="majorEastAsia"/>
          <w:b w:val="0"/>
          <w:bCs w:val="0"/>
          <w:color w:val="000000"/>
          <w:kern w:val="0"/>
          <w:sz w:val="36"/>
          <w:szCs w:val="36"/>
        </w:rPr>
      </w:pPr>
      <w:bookmarkStart w:id="568" w:name="_Toc32617"/>
      <w:r>
        <w:rPr>
          <w:rFonts w:hint="eastAsia" w:cs="宋体" w:asciiTheme="majorEastAsia" w:hAnsiTheme="majorEastAsia" w:eastAsiaTheme="majorEastAsia"/>
          <w:color w:val="000000"/>
          <w:sz w:val="36"/>
          <w:szCs w:val="36"/>
        </w:rPr>
        <w:t>评标办法</w:t>
      </w:r>
      <w:r>
        <w:rPr>
          <w:rFonts w:cs="宋体" w:asciiTheme="majorEastAsia" w:hAnsiTheme="majorEastAsia" w:eastAsiaTheme="majorEastAsia"/>
          <w:color w:val="000000"/>
          <w:sz w:val="36"/>
          <w:szCs w:val="36"/>
        </w:rPr>
        <w:t xml:space="preserve">  </w:t>
      </w:r>
      <w:r>
        <w:rPr>
          <w:rFonts w:hint="eastAsia" w:cs="宋体" w:asciiTheme="majorEastAsia" w:hAnsiTheme="majorEastAsia" w:eastAsiaTheme="majorEastAsia"/>
          <w:color w:val="000000"/>
          <w:sz w:val="36"/>
          <w:szCs w:val="36"/>
        </w:rPr>
        <w:t>正文部分</w:t>
      </w:r>
      <w:bookmarkEnd w:id="568"/>
    </w:p>
    <w:p>
      <w:pPr>
        <w:pStyle w:val="84"/>
        <w:spacing w:line="276" w:lineRule="auto"/>
        <w:rPr>
          <w:rFonts w:asciiTheme="majorEastAsia" w:hAnsiTheme="majorEastAsia" w:eastAsiaTheme="majorEastAsia"/>
          <w:color w:val="000000"/>
          <w:szCs w:val="28"/>
        </w:rPr>
      </w:pPr>
      <w:bookmarkStart w:id="569" w:name="_Toc2782"/>
      <w:bookmarkStart w:id="570" w:name="_Toc152042377"/>
      <w:bookmarkStart w:id="571" w:name="_Toc179632618"/>
      <w:bookmarkStart w:id="572" w:name="_Toc144974567"/>
      <w:bookmarkStart w:id="573" w:name="_Toc152045600"/>
      <w:r>
        <w:rPr>
          <w:rFonts w:asciiTheme="majorEastAsia" w:hAnsiTheme="majorEastAsia" w:eastAsiaTheme="majorEastAsia"/>
          <w:color w:val="000000"/>
          <w:szCs w:val="28"/>
        </w:rPr>
        <w:t xml:space="preserve">1. </w:t>
      </w:r>
      <w:r>
        <w:rPr>
          <w:rFonts w:hint="eastAsia" w:asciiTheme="majorEastAsia" w:hAnsiTheme="majorEastAsia" w:eastAsiaTheme="majorEastAsia"/>
          <w:color w:val="000000"/>
          <w:szCs w:val="28"/>
        </w:rPr>
        <w:t>评标方法</w:t>
      </w:r>
      <w:bookmarkEnd w:id="569"/>
      <w:bookmarkEnd w:id="570"/>
      <w:bookmarkEnd w:id="571"/>
      <w:bookmarkEnd w:id="572"/>
      <w:bookmarkEnd w:id="573"/>
    </w:p>
    <w:p>
      <w:pPr>
        <w:spacing w:line="276" w:lineRule="auto"/>
        <w:ind w:firstLine="480" w:firstLineChars="200"/>
        <w:rPr>
          <w:rFonts w:cs="宋体" w:asciiTheme="majorEastAsia" w:hAnsiTheme="majorEastAsia" w:eastAsiaTheme="majorEastAsia"/>
          <w:color w:val="000000"/>
          <w:sz w:val="24"/>
        </w:rPr>
      </w:pPr>
      <w:bookmarkStart w:id="574" w:name="_Toc152045601"/>
      <w:bookmarkStart w:id="575" w:name="_Toc179632619"/>
      <w:bookmarkStart w:id="576" w:name="_Toc152042378"/>
      <w:bookmarkStart w:id="577" w:name="_Toc144974568"/>
      <w:r>
        <w:rPr>
          <w:rFonts w:hint="eastAsia" w:cs="宋体" w:asciiTheme="majorEastAsia" w:hAnsiTheme="majorEastAsia" w:eastAsiaTheme="majorEastAsia"/>
          <w:color w:val="000000"/>
          <w:sz w:val="24"/>
        </w:rPr>
        <w:t>本次评标采用综合评估法。评标委员会对满足招标文件实质性要求的投标文件，按照本章</w:t>
      </w:r>
      <w:r>
        <w:rPr>
          <w:rFonts w:cs="宋体" w:asciiTheme="majorEastAsia" w:hAnsiTheme="majorEastAsia" w:eastAsiaTheme="majorEastAsia"/>
          <w:color w:val="000000"/>
          <w:sz w:val="24"/>
        </w:rPr>
        <w:t xml:space="preserve">2.2 </w:t>
      </w:r>
      <w:r>
        <w:rPr>
          <w:rFonts w:hint="eastAsia" w:cs="宋体" w:asciiTheme="majorEastAsia" w:hAnsiTheme="majorEastAsia" w:eastAsiaTheme="majorEastAsia"/>
          <w:color w:val="000000"/>
          <w:sz w:val="24"/>
        </w:rPr>
        <w:t>款规定的评分标准进行打分，并按得分由高到低顺序推荐中标候选人，或根据采购人授权直接确定中标人，但投标报价低于其成本的除外。综合评分相等时，以投标报价低的优先；投标报价也相等的，以技术得分高的优先；如果技术得分也相等，按照评标办法前附表的规定确定中标候选人顺序。</w:t>
      </w:r>
    </w:p>
    <w:p>
      <w:pPr>
        <w:pStyle w:val="84"/>
        <w:spacing w:line="276" w:lineRule="auto"/>
        <w:rPr>
          <w:rFonts w:asciiTheme="majorEastAsia" w:hAnsiTheme="majorEastAsia" w:eastAsiaTheme="majorEastAsia"/>
          <w:color w:val="000000"/>
          <w:szCs w:val="28"/>
        </w:rPr>
      </w:pPr>
      <w:bookmarkStart w:id="578" w:name="_Toc2387"/>
      <w:r>
        <w:rPr>
          <w:rFonts w:asciiTheme="majorEastAsia" w:hAnsiTheme="majorEastAsia" w:eastAsiaTheme="majorEastAsia"/>
          <w:color w:val="000000"/>
          <w:szCs w:val="28"/>
        </w:rPr>
        <w:t xml:space="preserve">2. </w:t>
      </w:r>
      <w:r>
        <w:rPr>
          <w:rFonts w:hint="eastAsia" w:asciiTheme="majorEastAsia" w:hAnsiTheme="majorEastAsia" w:eastAsiaTheme="majorEastAsia"/>
          <w:color w:val="000000"/>
          <w:szCs w:val="28"/>
        </w:rPr>
        <w:t>评审标准</w:t>
      </w:r>
      <w:bookmarkEnd w:id="574"/>
      <w:bookmarkEnd w:id="575"/>
      <w:bookmarkEnd w:id="576"/>
      <w:bookmarkEnd w:id="577"/>
      <w:bookmarkEnd w:id="578"/>
    </w:p>
    <w:p>
      <w:pPr>
        <w:pStyle w:val="85"/>
        <w:spacing w:line="276" w:lineRule="auto"/>
        <w:rPr>
          <w:rFonts w:asciiTheme="majorEastAsia" w:hAnsiTheme="majorEastAsia" w:eastAsiaTheme="majorEastAsia"/>
          <w:color w:val="000000"/>
          <w:szCs w:val="24"/>
        </w:rPr>
      </w:pPr>
      <w:bookmarkStart w:id="579" w:name="_Toc152042379"/>
      <w:bookmarkStart w:id="580" w:name="_Toc504654785"/>
      <w:bookmarkStart w:id="581" w:name="_Toc179632620"/>
      <w:bookmarkStart w:id="582" w:name="_Toc504479300"/>
      <w:bookmarkStart w:id="583" w:name="_Toc504479752"/>
      <w:bookmarkStart w:id="584" w:name="_Toc15588"/>
      <w:bookmarkStart w:id="585" w:name="_Toc152045602"/>
      <w:bookmarkStart w:id="586" w:name="_Toc144974569"/>
      <w:r>
        <w:rPr>
          <w:rFonts w:asciiTheme="majorEastAsia" w:hAnsiTheme="majorEastAsia" w:eastAsiaTheme="majorEastAsia"/>
          <w:color w:val="000000"/>
          <w:szCs w:val="24"/>
        </w:rPr>
        <w:t xml:space="preserve">2.1 </w:t>
      </w:r>
      <w:r>
        <w:rPr>
          <w:rFonts w:hint="eastAsia" w:asciiTheme="majorEastAsia" w:hAnsiTheme="majorEastAsia" w:eastAsiaTheme="majorEastAsia"/>
          <w:color w:val="000000"/>
          <w:szCs w:val="24"/>
        </w:rPr>
        <w:t>初步评审标准</w:t>
      </w:r>
      <w:bookmarkEnd w:id="579"/>
      <w:bookmarkEnd w:id="580"/>
      <w:bookmarkEnd w:id="581"/>
      <w:bookmarkEnd w:id="582"/>
      <w:bookmarkEnd w:id="583"/>
      <w:bookmarkEnd w:id="584"/>
      <w:bookmarkEnd w:id="585"/>
      <w:bookmarkEnd w:id="586"/>
    </w:p>
    <w:p>
      <w:pPr>
        <w:spacing w:line="276" w:lineRule="auto"/>
        <w:ind w:firstLine="463" w:firstLineChars="193"/>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评审标准见评标办法前附表。</w:t>
      </w:r>
    </w:p>
    <w:p>
      <w:pPr>
        <w:pStyle w:val="85"/>
        <w:spacing w:line="276" w:lineRule="auto"/>
        <w:rPr>
          <w:rFonts w:asciiTheme="majorEastAsia" w:hAnsiTheme="majorEastAsia" w:eastAsiaTheme="majorEastAsia"/>
          <w:color w:val="000000"/>
          <w:szCs w:val="24"/>
        </w:rPr>
      </w:pPr>
      <w:bookmarkStart w:id="587" w:name="_Toc504654786"/>
      <w:bookmarkStart w:id="588" w:name="_Toc504479301"/>
      <w:bookmarkStart w:id="589" w:name="_Toc179632621"/>
      <w:bookmarkStart w:id="590" w:name="_Toc144974570"/>
      <w:bookmarkStart w:id="591" w:name="_Toc8468"/>
      <w:bookmarkStart w:id="592" w:name="_Toc152045603"/>
      <w:bookmarkStart w:id="593" w:name="_Toc152042380"/>
      <w:bookmarkStart w:id="594" w:name="_Toc504479753"/>
      <w:r>
        <w:rPr>
          <w:rFonts w:asciiTheme="majorEastAsia" w:hAnsiTheme="majorEastAsia" w:eastAsiaTheme="majorEastAsia"/>
          <w:color w:val="000000"/>
          <w:szCs w:val="24"/>
        </w:rPr>
        <w:t xml:space="preserve">2.2 </w:t>
      </w:r>
      <w:r>
        <w:rPr>
          <w:rFonts w:hint="eastAsia" w:asciiTheme="majorEastAsia" w:hAnsiTheme="majorEastAsia" w:eastAsiaTheme="majorEastAsia"/>
          <w:color w:val="000000"/>
          <w:szCs w:val="24"/>
        </w:rPr>
        <w:t>分值构成与评分标准</w:t>
      </w:r>
      <w:bookmarkEnd w:id="587"/>
      <w:bookmarkEnd w:id="588"/>
      <w:bookmarkEnd w:id="589"/>
      <w:bookmarkEnd w:id="590"/>
      <w:bookmarkEnd w:id="591"/>
      <w:bookmarkEnd w:id="592"/>
      <w:bookmarkEnd w:id="593"/>
      <w:bookmarkEnd w:id="594"/>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2.2.1 </w:t>
      </w:r>
      <w:r>
        <w:rPr>
          <w:rFonts w:hint="eastAsia" w:cs="宋体" w:asciiTheme="majorEastAsia" w:hAnsiTheme="majorEastAsia" w:eastAsiaTheme="majorEastAsia"/>
          <w:color w:val="000000"/>
          <w:sz w:val="24"/>
        </w:rPr>
        <w:t>分值构成</w:t>
      </w:r>
    </w:p>
    <w:p>
      <w:pPr>
        <w:spacing w:line="276" w:lineRule="auto"/>
        <w:ind w:firstLine="840" w:firstLineChars="35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2.2.2 </w:t>
      </w:r>
      <w:r>
        <w:rPr>
          <w:rFonts w:hint="eastAsia" w:cs="宋体" w:asciiTheme="majorEastAsia" w:hAnsiTheme="majorEastAsia" w:eastAsiaTheme="majorEastAsia"/>
          <w:color w:val="000000"/>
          <w:sz w:val="24"/>
        </w:rPr>
        <w:t>评标基准价计算</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评标基准价计算方法：见评标办法前附表。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2.2.3 </w:t>
      </w:r>
      <w:r>
        <w:rPr>
          <w:rFonts w:hint="eastAsia" w:cs="宋体" w:asciiTheme="majorEastAsia" w:hAnsiTheme="majorEastAsia" w:eastAsiaTheme="majorEastAsia"/>
          <w:color w:val="000000"/>
          <w:sz w:val="24"/>
        </w:rPr>
        <w:t>投标报价的偏差率计算</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投标报价的偏差率计算公式：见评标办法前附表。</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2.2.4 </w:t>
      </w:r>
      <w:r>
        <w:rPr>
          <w:rFonts w:hint="eastAsia" w:cs="宋体" w:asciiTheme="majorEastAsia" w:hAnsiTheme="majorEastAsia" w:eastAsiaTheme="majorEastAsia"/>
          <w:color w:val="000000"/>
          <w:sz w:val="24"/>
        </w:rPr>
        <w:t>评分标准</w:t>
      </w:r>
    </w:p>
    <w:p>
      <w:pPr>
        <w:spacing w:line="276" w:lineRule="auto"/>
        <w:ind w:firstLine="820" w:firstLineChars="342"/>
        <w:rPr>
          <w:rFonts w:cs="宋体" w:asciiTheme="majorEastAsia" w:hAnsiTheme="majorEastAsia" w:eastAsiaTheme="majorEastAsia"/>
          <w:color w:val="000000"/>
          <w:sz w:val="24"/>
        </w:rPr>
      </w:pPr>
      <w:bookmarkStart w:id="595" w:name="_Toc152045604"/>
      <w:bookmarkStart w:id="596" w:name="_Toc152042381"/>
      <w:bookmarkStart w:id="597" w:name="_Toc144974571"/>
      <w:bookmarkStart w:id="598" w:name="_Toc179632622"/>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）价格因素：见评标办法前附表。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）商务因素：见评标办法前附表；</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）技术因素：见评标办法前附表；</w:t>
      </w:r>
    </w:p>
    <w:p>
      <w:pPr>
        <w:pStyle w:val="84"/>
        <w:spacing w:line="276" w:lineRule="auto"/>
        <w:rPr>
          <w:rFonts w:asciiTheme="majorEastAsia" w:hAnsiTheme="majorEastAsia" w:eastAsiaTheme="majorEastAsia"/>
          <w:color w:val="000000"/>
          <w:szCs w:val="28"/>
        </w:rPr>
      </w:pPr>
      <w:bookmarkStart w:id="599" w:name="_Toc5326"/>
      <w:r>
        <w:rPr>
          <w:rFonts w:asciiTheme="majorEastAsia" w:hAnsiTheme="majorEastAsia" w:eastAsiaTheme="majorEastAsia"/>
          <w:color w:val="000000"/>
          <w:szCs w:val="28"/>
        </w:rPr>
        <w:t xml:space="preserve">3. </w:t>
      </w:r>
      <w:r>
        <w:rPr>
          <w:rFonts w:hint="eastAsia" w:asciiTheme="majorEastAsia" w:hAnsiTheme="majorEastAsia" w:eastAsiaTheme="majorEastAsia"/>
          <w:color w:val="000000"/>
          <w:szCs w:val="28"/>
        </w:rPr>
        <w:t>评标程序</w:t>
      </w:r>
      <w:bookmarkEnd w:id="595"/>
      <w:bookmarkEnd w:id="596"/>
      <w:bookmarkEnd w:id="597"/>
      <w:bookmarkEnd w:id="598"/>
      <w:bookmarkEnd w:id="599"/>
    </w:p>
    <w:p>
      <w:pPr>
        <w:pStyle w:val="85"/>
        <w:spacing w:line="276" w:lineRule="auto"/>
        <w:rPr>
          <w:rFonts w:asciiTheme="majorEastAsia" w:hAnsiTheme="majorEastAsia" w:eastAsiaTheme="majorEastAsia"/>
          <w:color w:val="000000"/>
          <w:szCs w:val="24"/>
        </w:rPr>
      </w:pPr>
      <w:bookmarkStart w:id="600" w:name="_Toc144974572"/>
      <w:bookmarkStart w:id="601" w:name="_Toc152042382"/>
      <w:bookmarkStart w:id="602" w:name="_Toc504479303"/>
      <w:bookmarkStart w:id="603" w:name="_Toc504654788"/>
      <w:bookmarkStart w:id="604" w:name="_Toc504479755"/>
      <w:bookmarkStart w:id="605" w:name="_Toc16886"/>
      <w:bookmarkStart w:id="606" w:name="_Toc179632623"/>
      <w:bookmarkStart w:id="607" w:name="_Toc152045605"/>
      <w:r>
        <w:rPr>
          <w:rFonts w:asciiTheme="majorEastAsia" w:hAnsiTheme="majorEastAsia" w:eastAsiaTheme="majorEastAsia"/>
          <w:color w:val="000000"/>
          <w:szCs w:val="24"/>
        </w:rPr>
        <w:t xml:space="preserve">3.1 </w:t>
      </w:r>
      <w:r>
        <w:rPr>
          <w:rFonts w:hint="eastAsia" w:asciiTheme="majorEastAsia" w:hAnsiTheme="majorEastAsia" w:eastAsiaTheme="majorEastAsia"/>
          <w:color w:val="000000"/>
          <w:szCs w:val="24"/>
        </w:rPr>
        <w:t>初步评审</w:t>
      </w:r>
      <w:bookmarkEnd w:id="600"/>
      <w:bookmarkEnd w:id="601"/>
      <w:bookmarkEnd w:id="602"/>
      <w:bookmarkEnd w:id="603"/>
      <w:bookmarkEnd w:id="604"/>
      <w:bookmarkEnd w:id="605"/>
      <w:bookmarkEnd w:id="606"/>
      <w:bookmarkEnd w:id="607"/>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3.1.1</w:t>
      </w:r>
      <w:r>
        <w:rPr>
          <w:rFonts w:hint="eastAsia" w:cs="宋体" w:asciiTheme="majorEastAsia" w:hAnsiTheme="majorEastAsia" w:eastAsiaTheme="majorEastAsia"/>
          <w:color w:val="000000"/>
          <w:sz w:val="24"/>
        </w:rPr>
        <w:t>评标委员会依据本章第</w:t>
      </w:r>
      <w:r>
        <w:rPr>
          <w:rFonts w:cs="宋体" w:asciiTheme="majorEastAsia" w:hAnsiTheme="majorEastAsia" w:eastAsiaTheme="majorEastAsia"/>
          <w:color w:val="000000"/>
          <w:sz w:val="24"/>
        </w:rPr>
        <w:t>2.1</w:t>
      </w:r>
      <w:r>
        <w:rPr>
          <w:rFonts w:hint="eastAsia" w:cs="宋体" w:asciiTheme="majorEastAsia" w:hAnsiTheme="majorEastAsia" w:eastAsiaTheme="majorEastAsia"/>
          <w:color w:val="000000"/>
          <w:sz w:val="24"/>
        </w:rPr>
        <w:t>款规定的标准对投标文件进行初步评审。有一项不符合评审标准的，作废标处理。</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3.1.2 </w:t>
      </w:r>
      <w:r>
        <w:rPr>
          <w:rFonts w:hint="eastAsia" w:cs="宋体" w:asciiTheme="majorEastAsia" w:hAnsiTheme="majorEastAsia" w:eastAsiaTheme="majorEastAsia"/>
          <w:color w:val="000000"/>
          <w:sz w:val="24"/>
        </w:rPr>
        <w:t>供应商有以下情形之一的，其投标作无效标处理：</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）串通投标或弄虚作假或有其他违法行为的；</w:t>
      </w:r>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）不按评标委员会要求澄清、说明或补正的。</w:t>
      </w:r>
    </w:p>
    <w:p>
      <w:pPr>
        <w:spacing w:line="276" w:lineRule="auto"/>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3.1.3</w:t>
      </w:r>
      <w:r>
        <w:rPr>
          <w:rFonts w:hint="eastAsia" w:cs="宋体" w:asciiTheme="majorEastAsia" w:hAnsiTheme="majorEastAsia" w:eastAsiaTheme="majorEastAsia"/>
          <w:color w:val="000000"/>
          <w:sz w:val="24"/>
        </w:rPr>
        <w:t>投标报价有算术错误的，评标委员会按以下原则对投标报价进行修正，修正的价格经供应商书面确认后具有约束力。供应商不接受修正价格的，其投标作废标处理。</w:t>
      </w:r>
    </w:p>
    <w:p>
      <w:pPr>
        <w:spacing w:line="276" w:lineRule="auto"/>
        <w:ind w:firstLine="480" w:firstLineChars="200"/>
        <w:rPr>
          <w:rFonts w:cs="宋体" w:asciiTheme="majorEastAsia" w:hAnsiTheme="majorEastAsia" w:eastAsiaTheme="majorEastAsia"/>
          <w:color w:val="000000"/>
          <w:sz w:val="24"/>
        </w:rPr>
      </w:pPr>
      <w:bookmarkStart w:id="608" w:name="_Toc152042383"/>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）投标文件中的大写金额与小写金额不一致的，以大写金额为准；</w:t>
      </w:r>
      <w:bookmarkEnd w:id="608"/>
    </w:p>
    <w:p>
      <w:pPr>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）总价金额与依据单价计算出的结果不一致的，以单价金额为准修正总价，但单价金额小数点有明显错误的除外。</w:t>
      </w:r>
    </w:p>
    <w:p>
      <w:pPr>
        <w:pStyle w:val="85"/>
        <w:spacing w:line="276" w:lineRule="auto"/>
        <w:rPr>
          <w:rFonts w:asciiTheme="majorEastAsia" w:hAnsiTheme="majorEastAsia" w:eastAsiaTheme="majorEastAsia"/>
          <w:color w:val="000000"/>
          <w:szCs w:val="24"/>
        </w:rPr>
      </w:pPr>
      <w:bookmarkStart w:id="609" w:name="_Toc144974573"/>
      <w:bookmarkStart w:id="610" w:name="_Toc9706"/>
      <w:bookmarkStart w:id="611" w:name="_Toc152045606"/>
      <w:bookmarkStart w:id="612" w:name="_Toc504654789"/>
      <w:bookmarkStart w:id="613" w:name="_Toc152042384"/>
      <w:bookmarkStart w:id="614" w:name="_Toc504479756"/>
      <w:bookmarkStart w:id="615" w:name="_Toc504479304"/>
      <w:bookmarkStart w:id="616" w:name="_Toc179632624"/>
      <w:r>
        <w:rPr>
          <w:rFonts w:asciiTheme="majorEastAsia" w:hAnsiTheme="majorEastAsia" w:eastAsiaTheme="majorEastAsia"/>
          <w:color w:val="000000"/>
          <w:szCs w:val="24"/>
        </w:rPr>
        <w:t xml:space="preserve">3.2 </w:t>
      </w:r>
      <w:r>
        <w:rPr>
          <w:rFonts w:hint="eastAsia" w:asciiTheme="majorEastAsia" w:hAnsiTheme="majorEastAsia" w:eastAsiaTheme="majorEastAsia"/>
          <w:color w:val="000000"/>
          <w:szCs w:val="24"/>
        </w:rPr>
        <w:t>详细评审</w:t>
      </w:r>
      <w:bookmarkEnd w:id="609"/>
      <w:bookmarkEnd w:id="610"/>
      <w:bookmarkEnd w:id="611"/>
      <w:bookmarkEnd w:id="612"/>
      <w:bookmarkEnd w:id="613"/>
      <w:bookmarkEnd w:id="614"/>
      <w:bookmarkEnd w:id="615"/>
      <w:bookmarkEnd w:id="616"/>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3.2.1 </w:t>
      </w:r>
      <w:r>
        <w:rPr>
          <w:rFonts w:hint="eastAsia" w:cs="宋体" w:asciiTheme="majorEastAsia" w:hAnsiTheme="majorEastAsia" w:eastAsiaTheme="majorEastAsia"/>
          <w:color w:val="000000"/>
          <w:sz w:val="24"/>
        </w:rPr>
        <w:t>评标委员会按本章第</w:t>
      </w:r>
      <w:r>
        <w:rPr>
          <w:rFonts w:cs="宋体" w:asciiTheme="majorEastAsia" w:hAnsiTheme="majorEastAsia" w:eastAsiaTheme="majorEastAsia"/>
          <w:color w:val="000000"/>
          <w:sz w:val="24"/>
        </w:rPr>
        <w:t>2.2</w:t>
      </w:r>
      <w:r>
        <w:rPr>
          <w:rFonts w:hint="eastAsia" w:cs="宋体" w:asciiTheme="majorEastAsia" w:hAnsiTheme="majorEastAsia" w:eastAsiaTheme="majorEastAsia"/>
          <w:color w:val="000000"/>
          <w:sz w:val="24"/>
        </w:rPr>
        <w:t>款规定的量化因素和分值进行打分，并计算出综合评估得分。</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2.2.4</w:t>
      </w:r>
      <w:r>
        <w:rPr>
          <w:rFonts w:hint="eastAsia" w:cs="宋体" w:asciiTheme="majorEastAsia" w:hAnsiTheme="majorEastAsia" w:eastAsiaTheme="majorEastAsia"/>
          <w:color w:val="000000"/>
          <w:sz w:val="24"/>
        </w:rPr>
        <w:t>目规定的评审因素和分值对投标报价因素计算出得分</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2.2.5</w:t>
      </w:r>
      <w:r>
        <w:rPr>
          <w:rFonts w:hint="eastAsia" w:cs="宋体" w:asciiTheme="majorEastAsia" w:hAnsiTheme="majorEastAsia" w:eastAsiaTheme="majorEastAsia"/>
          <w:color w:val="000000"/>
          <w:sz w:val="24"/>
        </w:rPr>
        <w:t>目规定的评审因素和分值对商务因素计算出得分</w:t>
      </w:r>
      <w:r>
        <w:rPr>
          <w:rFonts w:cs="宋体" w:asciiTheme="majorEastAsia" w:hAnsiTheme="majorEastAsia" w:eastAsiaTheme="majorEastAsia"/>
          <w:color w:val="000000"/>
          <w:sz w:val="24"/>
        </w:rPr>
        <w:t>B</w:t>
      </w:r>
      <w:r>
        <w:rPr>
          <w:rFonts w:hint="eastAsia" w:cs="宋体" w:asciiTheme="majorEastAsia" w:hAnsiTheme="majorEastAsia" w:eastAsiaTheme="majorEastAsia"/>
          <w:color w:val="000000"/>
          <w:sz w:val="24"/>
        </w:rPr>
        <w:t>；</w:t>
      </w:r>
    </w:p>
    <w:p>
      <w:pPr>
        <w:spacing w:line="276" w:lineRule="auto"/>
        <w:ind w:firstLine="820" w:firstLineChars="342"/>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）按本章第</w:t>
      </w:r>
      <w:r>
        <w:rPr>
          <w:rFonts w:cs="宋体" w:asciiTheme="majorEastAsia" w:hAnsiTheme="majorEastAsia" w:eastAsiaTheme="majorEastAsia"/>
          <w:color w:val="000000"/>
          <w:sz w:val="24"/>
        </w:rPr>
        <w:t>2.2.6</w:t>
      </w:r>
      <w:r>
        <w:rPr>
          <w:rFonts w:hint="eastAsia" w:cs="宋体" w:asciiTheme="majorEastAsia" w:hAnsiTheme="majorEastAsia" w:eastAsiaTheme="majorEastAsia"/>
          <w:color w:val="000000"/>
          <w:sz w:val="24"/>
        </w:rPr>
        <w:t>目规定的评审因素和分值对技术因素计算出得分</w:t>
      </w:r>
      <w:r>
        <w:rPr>
          <w:rFonts w:cs="宋体" w:asciiTheme="majorEastAsia" w:hAnsiTheme="majorEastAsia" w:eastAsiaTheme="majorEastAsia"/>
          <w:color w:val="000000"/>
          <w:sz w:val="24"/>
        </w:rPr>
        <w:t>C</w:t>
      </w:r>
      <w:r>
        <w:rPr>
          <w:rFonts w:hint="eastAsia" w:cs="宋体" w:asciiTheme="majorEastAsia" w:hAnsiTheme="majorEastAsia" w:eastAsiaTheme="majorEastAsia"/>
          <w:color w:val="000000"/>
          <w:sz w:val="24"/>
        </w:rPr>
        <w:t>；</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3.2.2 </w:t>
      </w:r>
      <w:r>
        <w:rPr>
          <w:rFonts w:hint="eastAsia" w:cs="宋体" w:asciiTheme="majorEastAsia" w:hAnsiTheme="majorEastAsia" w:eastAsiaTheme="majorEastAsia"/>
          <w:color w:val="000000"/>
          <w:sz w:val="24"/>
        </w:rPr>
        <w:t>评分分值计算保留小数点后两位，小数点后第三位“四舍五入”。</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3.2.3 </w:t>
      </w:r>
      <w:r>
        <w:rPr>
          <w:rFonts w:hint="eastAsia" w:cs="宋体" w:asciiTheme="majorEastAsia" w:hAnsiTheme="majorEastAsia" w:eastAsiaTheme="majorEastAsia"/>
          <w:color w:val="000000"/>
          <w:sz w:val="24"/>
        </w:rPr>
        <w:t>供应商得分</w:t>
      </w:r>
      <w:r>
        <w:rPr>
          <w:rFonts w:cs="宋体" w:asciiTheme="majorEastAsia" w:hAnsiTheme="majorEastAsia" w:eastAsiaTheme="majorEastAsia"/>
          <w:color w:val="000000"/>
          <w:sz w:val="24"/>
        </w:rPr>
        <w:t>F=A+B+C</w:t>
      </w:r>
      <w:r>
        <w:rPr>
          <w:rFonts w:hint="eastAsia" w:cs="宋体" w:asciiTheme="majorEastAsia" w:hAnsiTheme="majorEastAsia" w:eastAsiaTheme="majorEastAsia"/>
          <w:color w:val="000000"/>
          <w:sz w:val="24"/>
        </w:rPr>
        <w:t>。</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3.2.4 </w:t>
      </w:r>
      <w:r>
        <w:rPr>
          <w:rFonts w:hint="eastAsia" w:cs="宋体" w:asciiTheme="majorEastAsia" w:hAnsiTheme="majorEastAsia" w:eastAsiaTheme="majorEastAsia"/>
          <w:color w:val="000000"/>
          <w:sz w:val="24"/>
        </w:rPr>
        <w:t>评标委员会发现供应商的报价明显低于其他投标报价，应当要求该供应商作出书面说明并提供相应的证明材料。供应商不能合理说明或者不能提供相应证明材料的，由评标委员会认定该供应商以低于成本报价竞标，其投标作废标处理。</w:t>
      </w:r>
    </w:p>
    <w:p>
      <w:pPr>
        <w:pStyle w:val="85"/>
        <w:spacing w:line="276" w:lineRule="auto"/>
        <w:rPr>
          <w:rFonts w:asciiTheme="majorEastAsia" w:hAnsiTheme="majorEastAsia" w:eastAsiaTheme="majorEastAsia"/>
          <w:color w:val="000000"/>
          <w:szCs w:val="24"/>
        </w:rPr>
      </w:pPr>
      <w:bookmarkStart w:id="617" w:name="_Toc144974575"/>
      <w:bookmarkStart w:id="618" w:name="_Toc504479305"/>
      <w:bookmarkStart w:id="619" w:name="_Toc152042385"/>
      <w:bookmarkStart w:id="620" w:name="_Toc179632625"/>
      <w:bookmarkStart w:id="621" w:name="_Toc504654790"/>
      <w:bookmarkStart w:id="622" w:name="_Toc504479757"/>
      <w:bookmarkStart w:id="623" w:name="_Toc27255"/>
      <w:bookmarkStart w:id="624" w:name="_Toc152045607"/>
      <w:r>
        <w:rPr>
          <w:rFonts w:asciiTheme="majorEastAsia" w:hAnsiTheme="majorEastAsia" w:eastAsiaTheme="majorEastAsia"/>
          <w:color w:val="000000"/>
          <w:szCs w:val="24"/>
        </w:rPr>
        <w:t xml:space="preserve">3.3 </w:t>
      </w:r>
      <w:r>
        <w:rPr>
          <w:rFonts w:hint="eastAsia" w:asciiTheme="majorEastAsia" w:hAnsiTheme="majorEastAsia" w:eastAsiaTheme="majorEastAsia"/>
          <w:color w:val="000000"/>
          <w:szCs w:val="24"/>
        </w:rPr>
        <w:t>投标文件的澄清</w:t>
      </w:r>
      <w:bookmarkEnd w:id="617"/>
      <w:r>
        <w:rPr>
          <w:rFonts w:hint="eastAsia" w:asciiTheme="majorEastAsia" w:hAnsiTheme="majorEastAsia" w:eastAsiaTheme="majorEastAsia"/>
          <w:color w:val="000000"/>
          <w:szCs w:val="24"/>
        </w:rPr>
        <w:t>和补正</w:t>
      </w:r>
      <w:bookmarkEnd w:id="618"/>
      <w:bookmarkEnd w:id="619"/>
      <w:bookmarkEnd w:id="620"/>
      <w:bookmarkEnd w:id="621"/>
      <w:bookmarkEnd w:id="622"/>
      <w:bookmarkEnd w:id="623"/>
      <w:bookmarkEnd w:id="624"/>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3.3.1</w:t>
      </w:r>
      <w:r>
        <w:rPr>
          <w:rFonts w:hint="eastAsia" w:cs="宋体" w:asciiTheme="majorEastAsia" w:hAnsiTheme="majorEastAsia" w:eastAsiaTheme="majorEastAsia"/>
          <w:color w:val="000000"/>
          <w:sz w:val="24"/>
        </w:rPr>
        <w:t>在评标过程中，评标委员会可以书面形式要求供应商对所提交投标文件中不明确的内容进行书面澄清或说明，或者对细微偏差进行补正。评标委员会不接受供应商主动提出的澄清、说明或补正。</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3.3.2 </w:t>
      </w:r>
      <w:r>
        <w:rPr>
          <w:rFonts w:hint="eastAsia" w:cs="宋体" w:asciiTheme="majorEastAsia" w:hAnsiTheme="majorEastAsia" w:eastAsiaTheme="majorEastAsia"/>
          <w:color w:val="000000"/>
          <w:sz w:val="24"/>
        </w:rPr>
        <w:t>澄清、说明和补正不得改变投标文件的实质性内容（算术性错误修正的除外）。供应商的书面澄清、说明和补正属于投标文件的组成部分。</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 xml:space="preserve">3.3.3 </w:t>
      </w:r>
      <w:r>
        <w:rPr>
          <w:rFonts w:hint="eastAsia" w:cs="宋体" w:asciiTheme="majorEastAsia" w:hAnsiTheme="majorEastAsia" w:eastAsiaTheme="majorEastAsia"/>
          <w:color w:val="000000"/>
          <w:sz w:val="24"/>
        </w:rPr>
        <w:t>评标委员会对供应商提交的澄清、说明或补正有疑问的，可以要求供应商进一步澄清、说明或补正，直至满足评标委员会的要求。</w:t>
      </w:r>
    </w:p>
    <w:p>
      <w:pPr>
        <w:pStyle w:val="85"/>
        <w:spacing w:line="276" w:lineRule="auto"/>
        <w:rPr>
          <w:rFonts w:asciiTheme="majorEastAsia" w:hAnsiTheme="majorEastAsia" w:eastAsiaTheme="majorEastAsia"/>
          <w:color w:val="000000"/>
          <w:szCs w:val="24"/>
        </w:rPr>
      </w:pPr>
      <w:bookmarkStart w:id="625" w:name="_Toc29573"/>
      <w:bookmarkStart w:id="626" w:name="_Toc504479758"/>
      <w:bookmarkStart w:id="627" w:name="_Toc152045608"/>
      <w:bookmarkStart w:id="628" w:name="_Toc144974576"/>
      <w:bookmarkStart w:id="629" w:name="_Toc152042386"/>
      <w:bookmarkStart w:id="630" w:name="_Toc179632626"/>
      <w:bookmarkStart w:id="631" w:name="_Toc504479306"/>
      <w:bookmarkStart w:id="632" w:name="_Toc504654791"/>
      <w:r>
        <w:rPr>
          <w:rFonts w:asciiTheme="majorEastAsia" w:hAnsiTheme="majorEastAsia" w:eastAsiaTheme="majorEastAsia"/>
          <w:color w:val="000000"/>
          <w:szCs w:val="24"/>
        </w:rPr>
        <w:t xml:space="preserve">3.4 </w:t>
      </w:r>
      <w:r>
        <w:rPr>
          <w:rFonts w:hint="eastAsia" w:asciiTheme="majorEastAsia" w:hAnsiTheme="majorEastAsia" w:eastAsiaTheme="majorEastAsia"/>
          <w:color w:val="000000"/>
          <w:szCs w:val="24"/>
        </w:rPr>
        <w:t>评标结果</w:t>
      </w:r>
      <w:bookmarkEnd w:id="625"/>
      <w:bookmarkEnd w:id="626"/>
      <w:bookmarkEnd w:id="627"/>
      <w:bookmarkEnd w:id="628"/>
      <w:bookmarkEnd w:id="629"/>
      <w:bookmarkEnd w:id="630"/>
      <w:bookmarkEnd w:id="631"/>
      <w:bookmarkEnd w:id="632"/>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3.4.1</w:t>
      </w:r>
      <w:r>
        <w:rPr>
          <w:rFonts w:hint="eastAsia" w:cs="宋体" w:asciiTheme="majorEastAsia" w:hAnsiTheme="majorEastAsia" w:eastAsiaTheme="majorEastAsia"/>
          <w:color w:val="000000"/>
          <w:sz w:val="24"/>
        </w:rPr>
        <w:t>投标单位最终得分</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F1+F2+F3+F4+F5</w:t>
      </w: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w:t>
      </w:r>
      <w:r>
        <w:rPr>
          <w:rFonts w:hint="eastAsia" w:cs="宋体" w:asciiTheme="majorEastAsia" w:hAnsiTheme="majorEastAsia" w:eastAsiaTheme="majorEastAsia"/>
          <w:color w:val="000000"/>
          <w:sz w:val="24"/>
        </w:rPr>
        <w:t>5</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3.4.2</w:t>
      </w:r>
      <w:r>
        <w:rPr>
          <w:rFonts w:hint="eastAsia" w:cs="宋体" w:asciiTheme="majorEastAsia" w:hAnsiTheme="majorEastAsia" w:eastAsiaTheme="majorEastAsia"/>
          <w:color w:val="000000"/>
          <w:sz w:val="24"/>
        </w:rPr>
        <w:t>除第二章“供应商须知”前附表授权直接确定中标人外，评标委员会按照得分由高到低的顺序推荐中标候选人。</w:t>
      </w:r>
    </w:p>
    <w:p>
      <w:pPr>
        <w:spacing w:line="276" w:lineRule="auto"/>
        <w:ind w:firstLine="480" w:firstLineChars="200"/>
        <w:rPr>
          <w:rFonts w:cs="宋体" w:asciiTheme="majorEastAsia" w:hAnsiTheme="majorEastAsia" w:eastAsiaTheme="majorEastAsia"/>
          <w:color w:val="000000"/>
          <w:sz w:val="24"/>
        </w:rPr>
      </w:pPr>
      <w:r>
        <w:rPr>
          <w:rFonts w:cs="宋体" w:asciiTheme="majorEastAsia" w:hAnsiTheme="majorEastAsia" w:eastAsiaTheme="majorEastAsia"/>
          <w:color w:val="000000"/>
          <w:sz w:val="24"/>
        </w:rPr>
        <w:t>3.4.3</w:t>
      </w:r>
      <w:r>
        <w:rPr>
          <w:rFonts w:hint="eastAsia" w:cs="宋体" w:asciiTheme="majorEastAsia" w:hAnsiTheme="majorEastAsia" w:eastAsiaTheme="majorEastAsia"/>
          <w:color w:val="000000"/>
          <w:sz w:val="24"/>
        </w:rPr>
        <w:t>评标委员会完成评标后，应当向采购人提交书面评标报告。</w:t>
      </w:r>
    </w:p>
    <w:p>
      <w:pPr>
        <w:widowControl/>
        <w:spacing w:line="276" w:lineRule="auto"/>
        <w:rPr>
          <w:rFonts w:cs="宋体" w:asciiTheme="majorEastAsia" w:hAnsiTheme="majorEastAsia" w:eastAsiaTheme="majorEastAsia"/>
          <w:color w:val="000000"/>
          <w:kern w:val="0"/>
          <w:sz w:val="28"/>
          <w:szCs w:val="28"/>
        </w:rPr>
      </w:pPr>
      <w:r>
        <w:rPr>
          <w:rFonts w:hint="eastAsia" w:cs="宋体" w:asciiTheme="majorEastAsia" w:hAnsiTheme="majorEastAsia" w:eastAsiaTheme="majorEastAsia"/>
          <w:color w:val="000000"/>
          <w:sz w:val="24"/>
        </w:rPr>
        <w:t>附件</w:t>
      </w:r>
      <w:r>
        <w:rPr>
          <w:rFonts w:cs="宋体" w:asciiTheme="majorEastAsia" w:hAnsiTheme="majorEastAsia" w:eastAsiaTheme="majorEastAsia"/>
          <w:color w:val="000000"/>
          <w:sz w:val="24"/>
        </w:rPr>
        <w:t>A:</w:t>
      </w:r>
      <w:r>
        <w:rPr>
          <w:rFonts w:hint="eastAsia" w:cs="宋体" w:asciiTheme="majorEastAsia" w:hAnsiTheme="majorEastAsia" w:eastAsiaTheme="majorEastAsia"/>
          <w:color w:val="000000"/>
          <w:sz w:val="24"/>
        </w:rPr>
        <w:t>评标详细程序</w:t>
      </w: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pStyle w:val="28"/>
        <w:rPr>
          <w:rFonts w:cs="宋体" w:asciiTheme="majorEastAsia" w:hAnsiTheme="majorEastAsia" w:eastAsiaTheme="majorEastAsia"/>
          <w:color w:val="000000"/>
          <w:kern w:val="0"/>
          <w:sz w:val="28"/>
          <w:szCs w:val="28"/>
        </w:rPr>
      </w:pPr>
    </w:p>
    <w:p>
      <w:pPr>
        <w:rPr>
          <w:rFonts w:cs="宋体" w:asciiTheme="majorEastAsia" w:hAnsiTheme="majorEastAsia" w:eastAsiaTheme="majorEastAsia"/>
          <w:color w:val="000000"/>
          <w:kern w:val="0"/>
          <w:sz w:val="28"/>
          <w:szCs w:val="28"/>
        </w:rPr>
      </w:pPr>
    </w:p>
    <w:p>
      <w:pPr>
        <w:pStyle w:val="28"/>
        <w:rPr>
          <w:rFonts w:cs="宋体" w:asciiTheme="majorEastAsia" w:hAnsiTheme="majorEastAsia" w:eastAsiaTheme="majorEastAsia"/>
          <w:color w:val="000000"/>
          <w:kern w:val="0"/>
          <w:sz w:val="28"/>
          <w:szCs w:val="28"/>
        </w:rPr>
      </w:pPr>
    </w:p>
    <w:p>
      <w:pPr>
        <w:rPr>
          <w:rFonts w:cs="宋体" w:asciiTheme="majorEastAsia" w:hAnsiTheme="majorEastAsia" w:eastAsiaTheme="majorEastAsia"/>
          <w:color w:val="000000"/>
          <w:kern w:val="0"/>
          <w:sz w:val="28"/>
          <w:szCs w:val="28"/>
        </w:rPr>
      </w:pPr>
    </w:p>
    <w:p>
      <w:pPr>
        <w:pStyle w:val="28"/>
      </w:pPr>
    </w:p>
    <w:p/>
    <w:p>
      <w:pPr>
        <w:pStyle w:val="28"/>
        <w:spacing w:line="276" w:lineRule="auto"/>
        <w:rPr>
          <w:rFonts w:hint="eastAsia" w:cs="宋体" w:asciiTheme="majorEastAsia" w:hAnsiTheme="majorEastAsia" w:eastAsiaTheme="majorEastAsia"/>
          <w:color w:val="000000"/>
        </w:rPr>
      </w:pPr>
      <w:bookmarkStart w:id="633" w:name="_Toc7277"/>
    </w:p>
    <w:p>
      <w:pPr>
        <w:pStyle w:val="28"/>
        <w:spacing w:line="276" w:lineRule="auto"/>
        <w:rPr>
          <w:rFonts w:hint="eastAsia" w:cs="宋体" w:asciiTheme="majorEastAsia" w:hAnsiTheme="majorEastAsia" w:eastAsiaTheme="majorEastAsia"/>
          <w:color w:val="000000"/>
        </w:rPr>
      </w:pPr>
    </w:p>
    <w:p>
      <w:pPr>
        <w:pStyle w:val="28"/>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第四章合同条款及格式</w:t>
      </w:r>
      <w:bookmarkEnd w:id="633"/>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44"/>
          <w:szCs w:val="44"/>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color w:val="000000"/>
          <w:kern w:val="0"/>
          <w:sz w:val="28"/>
          <w:szCs w:val="28"/>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pStyle w:val="5"/>
        <w:rPr>
          <w:rFonts w:hint="eastAsia" w:cs="宋体" w:asciiTheme="majorEastAsia" w:hAnsiTheme="majorEastAsia" w:eastAsiaTheme="majorEastAsia"/>
          <w:color w:val="000000"/>
          <w:kern w:val="0"/>
          <w:sz w:val="28"/>
          <w:szCs w:val="28"/>
          <w:lang w:eastAsia="zh-CN"/>
        </w:rPr>
      </w:pPr>
    </w:p>
    <w:p>
      <w:pPr>
        <w:widowControl/>
        <w:spacing w:line="276" w:lineRule="auto"/>
        <w:rPr>
          <w:rFonts w:cs="宋体" w:asciiTheme="majorEastAsia" w:hAnsiTheme="majorEastAsia" w:eastAsiaTheme="majorEastAsia"/>
          <w:color w:val="000000"/>
          <w:kern w:val="0"/>
          <w:sz w:val="28"/>
          <w:szCs w:val="28"/>
        </w:rPr>
      </w:pPr>
    </w:p>
    <w:p>
      <w:pPr>
        <w:widowControl/>
        <w:spacing w:line="276" w:lineRule="auto"/>
        <w:jc w:val="center"/>
        <w:rPr>
          <w:rFonts w:cs="宋体" w:asciiTheme="majorEastAsia" w:hAnsiTheme="majorEastAsia" w:eastAsiaTheme="majorEastAsia"/>
          <w:b/>
          <w:bCs/>
          <w:color w:val="000000"/>
          <w:kern w:val="0"/>
          <w:sz w:val="40"/>
          <w:szCs w:val="40"/>
        </w:rPr>
      </w:pPr>
      <w:bookmarkStart w:id="634" w:name="_Toc508804043"/>
      <w:r>
        <w:rPr>
          <w:rFonts w:hint="eastAsia" w:cs="宋体" w:asciiTheme="majorEastAsia" w:hAnsiTheme="majorEastAsia" w:eastAsiaTheme="majorEastAsia"/>
          <w:b/>
          <w:bCs/>
          <w:color w:val="000000"/>
          <w:kern w:val="0"/>
          <w:sz w:val="40"/>
          <w:szCs w:val="40"/>
        </w:rPr>
        <w:t>第一节通用合同条款</w:t>
      </w:r>
      <w:bookmarkEnd w:id="634"/>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w:t>
      </w:r>
      <w:r>
        <w:rPr>
          <w:rFonts w:hint="eastAsia" w:cs="宋体" w:asciiTheme="majorEastAsia" w:hAnsiTheme="majorEastAsia" w:eastAsiaTheme="majorEastAsia"/>
          <w:color w:val="000000"/>
        </w:rPr>
        <w:t>定义和解释</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本合同中的下列术语应解释为：</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）“合同”系指买卖双方签署的、合同格式中载明的买卖双方所达成的协议，包括所有的附件、附录和构成合同的其它文件。</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）“合同价”系指根据合同规定，在卖方在完全履行合同义务后应付给卖方的价格。</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）“货物”系指卖方根据合同规定须向买方提供的一切设备及其配件、备用件、支持设备运行的软件、手册和其它技术资料及其它材料，</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4</w:t>
      </w:r>
      <w:r>
        <w:rPr>
          <w:rFonts w:hint="eastAsia" w:cs="宋体" w:asciiTheme="majorEastAsia" w:hAnsiTheme="majorEastAsia" w:eastAsiaTheme="majorEastAsia"/>
          <w:color w:val="000000"/>
        </w:rPr>
        <w:t>）“服务”系指根据合同规定卖方承担与供货有关的辅助服务，如运输、保险以及其它的服务，如安装、调试、提供技术协助、培训和其他类似的义务。</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）“买方”系指购买货物的单位。</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6</w:t>
      </w:r>
      <w:r>
        <w:rPr>
          <w:rFonts w:hint="eastAsia" w:cs="宋体" w:asciiTheme="majorEastAsia" w:hAnsiTheme="majorEastAsia" w:eastAsiaTheme="majorEastAsia"/>
          <w:color w:val="000000"/>
        </w:rPr>
        <w:t>）“卖方”系指根据合同规定提供货物和服务的具有法人资格的公司或实体。</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）“现场”系指合同项下货物将要进行安装和运行的地点。</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8</w:t>
      </w:r>
      <w:r>
        <w:rPr>
          <w:rFonts w:hint="eastAsia" w:cs="宋体" w:asciiTheme="majorEastAsia" w:hAnsiTheme="majorEastAsia" w:eastAsiaTheme="majorEastAsia"/>
          <w:color w:val="000000"/>
        </w:rPr>
        <w:t>）“验收”系指合同双方依据规定的程序和条件确认合同项下的货物符合技术规范的要求。</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2.</w:t>
      </w:r>
      <w:r>
        <w:rPr>
          <w:rFonts w:hint="eastAsia" w:cs="宋体" w:asciiTheme="majorEastAsia" w:hAnsiTheme="majorEastAsia" w:eastAsiaTheme="majorEastAsia"/>
          <w:color w:val="000000"/>
        </w:rPr>
        <w:t>技术规范</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提交货物的技术规范应与招标文件规定的技术规范和技术规范附件（如有）及其投标文件的规格偏差表</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如被买方接受</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相一致。</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若技术规范中无相应说明，则以国家有关部门最新颁布的相应标准及规范为准。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3.</w:t>
      </w:r>
      <w:r>
        <w:rPr>
          <w:rFonts w:hint="eastAsia" w:cs="宋体" w:asciiTheme="majorEastAsia" w:hAnsiTheme="majorEastAsia" w:eastAsiaTheme="majorEastAsia"/>
          <w:color w:val="000000"/>
        </w:rPr>
        <w:t>专利权</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卖方应保护买方在使用该货物或其任何一部分时不受第三方提出侵犯专利权、商标权或工业设计权的指控。如果任何第三方提出侵权指控，卖方须与第三方交涉并承担可能发生的一切法律责任和费用。</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w:t>
      </w:r>
      <w:r>
        <w:rPr>
          <w:rFonts w:hint="eastAsia" w:cs="宋体" w:asciiTheme="majorEastAsia" w:hAnsiTheme="majorEastAsia" w:eastAsiaTheme="majorEastAsia"/>
          <w:color w:val="000000"/>
        </w:rPr>
        <w:t>包装要求</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4.1</w:t>
      </w:r>
      <w:r>
        <w:rPr>
          <w:rFonts w:hint="eastAsia" w:cs="宋体" w:asciiTheme="majorEastAsia" w:hAnsiTheme="majorEastAsia" w:eastAsiaTheme="majorEastAsia"/>
          <w:color w:val="000000"/>
        </w:rPr>
        <w:t>除合同另有规定外，卖方提供的全部货物，均应采用国家或专业标准保护措施进行包装，使包装应适应于远距离运输、防潮、防震、防锈和防粗暴装卸，确保货物安全无损运抵现场。由于包装不善所引起的货物锈蚀、损坏和损失均由卖方承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4.2</w:t>
      </w:r>
      <w:r>
        <w:rPr>
          <w:rFonts w:hint="eastAsia" w:cs="宋体" w:asciiTheme="majorEastAsia" w:hAnsiTheme="majorEastAsia" w:eastAsiaTheme="majorEastAsia"/>
          <w:color w:val="000000"/>
        </w:rPr>
        <w:t>每件包装箱内应附一份详细装箱单和质量合格证。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w:t>
      </w:r>
      <w:r>
        <w:rPr>
          <w:rFonts w:hint="eastAsia" w:cs="宋体" w:asciiTheme="majorEastAsia" w:hAnsiTheme="majorEastAsia" w:eastAsiaTheme="majorEastAsia"/>
          <w:color w:val="000000"/>
        </w:rPr>
        <w:t>装运标志</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5.1</w:t>
      </w:r>
      <w:r>
        <w:rPr>
          <w:rFonts w:hint="eastAsia" w:cs="宋体" w:asciiTheme="majorEastAsia" w:hAnsiTheme="majorEastAsia" w:eastAsiaTheme="majorEastAsia"/>
          <w:color w:val="000000"/>
        </w:rPr>
        <w:t>卖方应在每一包装箱的四侧用不褪色的油漆以醒目的中文字样做出下列标记：</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合同号：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装运标志：</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(4)</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收货人代号：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目的地：</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货物名称、品目号和箱号：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(7)</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毛重</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净重（公斤）：</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(8)</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尺寸（长×宽×高，以厘米计）：</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5.2</w:t>
      </w:r>
      <w:r>
        <w:rPr>
          <w:rFonts w:hint="eastAsia" w:cs="宋体" w:asciiTheme="majorEastAsia" w:hAnsiTheme="majorEastAsia" w:eastAsiaTheme="majorEastAsia"/>
          <w:color w:val="000000"/>
        </w:rPr>
        <w:t>如果货物单件重量在</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吨或</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吨以上，卖方应在每件包装箱的两侧用中文和适当的运输标记，标明“重心”和“吊装点”，以便装卸和搬运。</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根据货物的特点和运输的不同要求，卖方应在包装箱上清楚地标有“小心轻放”、“防潮”、“勿倒置”等字样和其他适当的标志。</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w:t>
      </w:r>
      <w:r>
        <w:rPr>
          <w:rFonts w:hint="eastAsia" w:cs="宋体" w:asciiTheme="majorEastAsia" w:hAnsiTheme="majorEastAsia" w:eastAsiaTheme="majorEastAsia"/>
          <w:color w:val="000000"/>
        </w:rPr>
        <w:t>交货方式</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6.1</w:t>
      </w:r>
      <w:r>
        <w:rPr>
          <w:rFonts w:hint="eastAsia" w:cs="宋体" w:asciiTheme="majorEastAsia" w:hAnsiTheme="majorEastAsia" w:eastAsiaTheme="majorEastAsia"/>
          <w:color w:val="000000"/>
        </w:rPr>
        <w:t>交货方式一般为下列其中一种，具体在合同特殊条款中规定。</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）现场交货</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卖方负责办理运输和保险，将货物运抵现场。有关运输和保险的一切费用由卖方承担。所有货物运抵现场的日期为交货日期。</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）工厂交货：由卖方负责办理运输。运输费和保险费由买方承担。运输部门出具收据的日期为交货日期。</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）买方自提货物：由买方在合同规定地点自行办理提货。提单日期为交货日期。</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6.2</w:t>
      </w:r>
      <w:r>
        <w:rPr>
          <w:rFonts w:hint="eastAsia" w:cs="宋体" w:asciiTheme="majorEastAsia" w:hAnsiTheme="majorEastAsia" w:eastAsiaTheme="majorEastAsia"/>
          <w:color w:val="000000"/>
        </w:rPr>
        <w:t>卖方应在合同规定的交货期前</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天以电报或电传形式将合同号、货物名称、数量、包装箱件数、总毛重、总体积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和备妥交货日期通知买方。同时卖方应用挂号信将详细交货清单一式六份包括合同号、货物名称、规格、数量、总毛重、总体积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、包装箱件数和每个包装箱的尺寸</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长×宽×高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、单价、总价和备妥待交日期以及对货物在运输和仓储的特殊要求和注意事项通知买方。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6.3</w:t>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在现场交货和工厂交货条件下，卖方装运的货物不应超过合同规定的数量或重量。否则，卖方应对超运部分的数量或重量而引起的一切后果负责。</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w:t>
      </w:r>
      <w:r>
        <w:rPr>
          <w:rFonts w:hint="eastAsia" w:cs="宋体" w:asciiTheme="majorEastAsia" w:hAnsiTheme="majorEastAsia" w:eastAsiaTheme="majorEastAsia"/>
          <w:color w:val="000000"/>
        </w:rPr>
        <w:t>装运通知</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7.1 </w:t>
      </w:r>
      <w:r>
        <w:rPr>
          <w:rFonts w:hint="eastAsia" w:cs="宋体" w:asciiTheme="majorEastAsia" w:hAnsiTheme="majorEastAsia" w:eastAsiaTheme="majorEastAsia"/>
          <w:color w:val="000000"/>
        </w:rPr>
        <w:t>在现场交货和工厂交货条件下的货物，在卖方已通知买方货物已备妥待运输后</w:t>
      </w: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小时之内，卖方应将合同号、货名、数量、毛重、总体积</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立方米</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、发票金额、运输工具名称及启运日期，以电报或电传通知买方。如因卖方延误将上述内容用电报或电传通知买方，由此引起的一切损失应由卖方负担。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w:t>
      </w:r>
      <w:r>
        <w:rPr>
          <w:rFonts w:hint="eastAsia" w:cs="宋体" w:asciiTheme="majorEastAsia" w:hAnsiTheme="majorEastAsia" w:eastAsiaTheme="majorEastAsia"/>
          <w:color w:val="000000"/>
        </w:rPr>
        <w:t>保险</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8.1</w:t>
      </w:r>
      <w:r>
        <w:rPr>
          <w:rFonts w:hint="eastAsia" w:cs="宋体" w:asciiTheme="majorEastAsia" w:hAnsiTheme="majorEastAsia" w:eastAsiaTheme="majorEastAsia"/>
          <w:color w:val="000000"/>
        </w:rPr>
        <w:t>如果货物是按现场交货方式报价的，由卖方办理货物运抵现场这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段的保险，保险以人民币按照发票金额的</w:t>
      </w:r>
      <w:r>
        <w:rPr>
          <w:rFonts w:cs="宋体" w:asciiTheme="majorEastAsia" w:hAnsiTheme="majorEastAsia" w:eastAsiaTheme="majorEastAsia"/>
          <w:color w:val="000000"/>
        </w:rPr>
        <w:t>110%</w:t>
      </w:r>
      <w:r>
        <w:rPr>
          <w:rFonts w:hint="eastAsia" w:cs="宋体" w:asciiTheme="majorEastAsia" w:hAnsiTheme="majorEastAsia" w:eastAsiaTheme="majorEastAsia"/>
          <w:color w:val="000000"/>
        </w:rPr>
        <w:t>办理“一切险”，保险范围包括卖方承诺装运的货物；如果货物是按工厂交货、或买方自提货物方式报价的，其保险由买方办理。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9.</w:t>
      </w:r>
      <w:r>
        <w:rPr>
          <w:rFonts w:hint="eastAsia" w:cs="宋体" w:asciiTheme="majorEastAsia" w:hAnsiTheme="majorEastAsia" w:eastAsiaTheme="majorEastAsia"/>
          <w:color w:val="000000"/>
        </w:rPr>
        <w:t>付款方式（以双方最终签订合同为准）</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货物供应完成</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个月后</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无质量问题</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，一次性付款。</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    10.</w:t>
      </w:r>
      <w:r>
        <w:rPr>
          <w:rFonts w:hint="eastAsia" w:cs="宋体" w:asciiTheme="majorEastAsia" w:hAnsiTheme="majorEastAsia" w:eastAsiaTheme="majorEastAsia"/>
          <w:color w:val="000000"/>
        </w:rPr>
        <w:t>技术资料</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合同项下技术资料</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除合同特殊条款规定外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将以下列方式交付：</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10.1 </w:t>
      </w:r>
      <w:r>
        <w:rPr>
          <w:rFonts w:hint="eastAsia" w:cs="宋体" w:asciiTheme="majorEastAsia" w:hAnsiTheme="majorEastAsia" w:eastAsiaTheme="majorEastAsia"/>
          <w:color w:val="000000"/>
        </w:rPr>
        <w:t>合同生效后</w:t>
      </w:r>
      <w:r>
        <w:rPr>
          <w:rFonts w:cs="宋体" w:asciiTheme="majorEastAsia" w:hAnsiTheme="majorEastAsia" w:eastAsiaTheme="majorEastAsia"/>
          <w:color w:val="000000"/>
        </w:rPr>
        <w:t>60</w:t>
      </w:r>
      <w:r>
        <w:rPr>
          <w:rFonts w:hint="eastAsia" w:cs="宋体" w:asciiTheme="majorEastAsia" w:hAnsiTheme="majorEastAsia" w:eastAsiaTheme="majorEastAsia"/>
          <w:color w:val="000000"/>
        </w:rPr>
        <w:t>天之内，卖方应将每台设备和仪器的中文技术资料一套，如目录索引、图纸、技术说明书、操作手册、使用指南、维修指南和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或服务手册和示意图寄给买方。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10.2 </w:t>
      </w:r>
      <w:r>
        <w:rPr>
          <w:rFonts w:hint="eastAsia" w:cs="宋体" w:asciiTheme="majorEastAsia" w:hAnsiTheme="majorEastAsia" w:eastAsiaTheme="majorEastAsia"/>
          <w:color w:val="000000"/>
        </w:rPr>
        <w:t>另外一套完整的上述资料应包装好随同每批货物一起发运。</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10.3 </w:t>
      </w:r>
      <w:r>
        <w:rPr>
          <w:rFonts w:hint="eastAsia" w:cs="宋体" w:asciiTheme="majorEastAsia" w:hAnsiTheme="majorEastAsia" w:eastAsiaTheme="majorEastAsia"/>
          <w:color w:val="000000"/>
        </w:rPr>
        <w:t>如果买方确认卖方提供的技术资料不完整或在运输过程中丢失，卖方将在收到买方通知后</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天内将这些资料免费寄给买方。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质量保证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11.1 </w:t>
      </w:r>
      <w:r>
        <w:rPr>
          <w:rFonts w:hint="eastAsia" w:cs="宋体" w:asciiTheme="majorEastAsia" w:hAnsiTheme="majorEastAsia" w:eastAsiaTheme="majorEastAsia"/>
          <w:color w:val="000000"/>
        </w:rPr>
        <w:t>卖方应保证货物是全新、未使用过的，是用一流的工艺和最佳材料制造而成的，并完全符合合同规定的质量、规格和性能的要求。卖方应保证所提供的货物经正确安装、正常运转和保养在其使用寿命期内应具有满意的性能。在货物质量保证期之内，卖方应对由于设计、工艺或材料的缺陷而发生的任何不足或故障负责。</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11.2 </w:t>
      </w:r>
      <w:r>
        <w:rPr>
          <w:rFonts w:hint="eastAsia" w:cs="宋体" w:asciiTheme="majorEastAsia" w:hAnsiTheme="majorEastAsia" w:eastAsiaTheme="majorEastAsia"/>
          <w:color w:val="000000"/>
        </w:rPr>
        <w:t>根据买方按检验标准自己检验结果或当地质检部门检验结果，或者在质量保证期内，如果货物的数量、质量或规格与合同不符，或证实货物是有缺陷的，包括潜在的缺陷或使用不符合要求的材料等，买方应尽快以书面形式通知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11.3 </w:t>
      </w:r>
      <w:r>
        <w:rPr>
          <w:rFonts w:hint="eastAsia" w:cs="宋体" w:asciiTheme="majorEastAsia" w:hAnsiTheme="majorEastAsia" w:eastAsiaTheme="majorEastAsia"/>
          <w:color w:val="000000"/>
        </w:rPr>
        <w:t>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天内应免费维修或更换有缺陷的货物或部件。</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11.4 </w:t>
      </w:r>
      <w:r>
        <w:rPr>
          <w:rFonts w:hint="eastAsia" w:cs="宋体" w:asciiTheme="majorEastAsia" w:hAnsiTheme="majorEastAsia" w:eastAsiaTheme="majorEastAsia"/>
          <w:color w:val="000000"/>
        </w:rPr>
        <w:t>如果卖方在收到通知后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天内没有弥补缺陷，买方可采取必要的补救措施，但风险和费用将由卖方承担。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11.5 </w:t>
      </w:r>
      <w:r>
        <w:rPr>
          <w:rFonts w:hint="eastAsia" w:cs="宋体" w:asciiTheme="majorEastAsia" w:hAnsiTheme="majorEastAsia" w:eastAsiaTheme="majorEastAsia"/>
          <w:color w:val="000000"/>
        </w:rPr>
        <w:t>除合同特殊条款规定外，合同项下货物的质量保证期为自货物通过最终验收起</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个月。</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检验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12.1</w:t>
      </w:r>
      <w:r>
        <w:rPr>
          <w:rFonts w:hint="eastAsia" w:cs="宋体" w:asciiTheme="majorEastAsia" w:hAnsiTheme="majorEastAsia" w:eastAsiaTheme="majorEastAsia"/>
          <w:color w:val="000000"/>
        </w:rPr>
        <w:t>在交货前，制造商应对货物的质量、规格、性能、数量和重量等进行详细而全面的检验，并出具一份证明货物符合合同规定的证书。该证书将作为申请付款单据的一部分，但有关质量、规格、性能、数量或重量的检验不应视为最终检验。制造商检验的结果和细节应在证书中加以说明。</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12.2 </w:t>
      </w:r>
      <w:r>
        <w:rPr>
          <w:rFonts w:hint="eastAsia" w:cs="宋体" w:asciiTheme="majorEastAsia" w:hAnsiTheme="majorEastAsia" w:eastAsiaTheme="majorEastAsia"/>
          <w:color w:val="000000"/>
        </w:rPr>
        <w:t>货物运抵现场后，买方将对货物的质量、规格、数量和重量进行检验并出具检验证书。如发现货物的规格或数量或两者都与合同不符，买方有权在货物运抵现场后</w:t>
      </w:r>
      <w:r>
        <w:rPr>
          <w:rFonts w:cs="宋体" w:asciiTheme="majorEastAsia" w:hAnsiTheme="majorEastAsia" w:eastAsiaTheme="majorEastAsia"/>
          <w:color w:val="000000"/>
        </w:rPr>
        <w:t>90</w:t>
      </w:r>
      <w:r>
        <w:rPr>
          <w:rFonts w:hint="eastAsia" w:cs="宋体" w:asciiTheme="majorEastAsia" w:hAnsiTheme="majorEastAsia" w:eastAsiaTheme="majorEastAsia"/>
          <w:color w:val="000000"/>
        </w:rPr>
        <w:t>天内，根据买方按检验标准自己检验结果或当地质检部门出具的检验证书向卖方提出索赔，责任由保险公司或运输部门承担的除外。</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12.3 </w:t>
      </w:r>
      <w:r>
        <w:rPr>
          <w:rFonts w:hint="eastAsia" w:cs="宋体" w:asciiTheme="majorEastAsia" w:hAnsiTheme="majorEastAsia" w:eastAsiaTheme="majorEastAsia"/>
          <w:color w:val="000000"/>
        </w:rPr>
        <w:t>如果货物的质量和规格与合同不符，或在第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条规定的质量保证期内证实货物是有缺陷的，包括潜在的缺陷或使用不符合要求的材料，买方将有权向卖方提出索赔。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12.4 </w:t>
      </w:r>
      <w:r>
        <w:rPr>
          <w:rFonts w:hint="eastAsia" w:cs="宋体" w:asciiTheme="majorEastAsia" w:hAnsiTheme="majorEastAsia" w:eastAsiaTheme="majorEastAsia"/>
          <w:color w:val="000000"/>
        </w:rPr>
        <w:t>买方有权提出在货物制造过程中派人到制造厂进行监造，卖方有义务为买方监造人员提供方便。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12.5 </w:t>
      </w:r>
      <w:r>
        <w:rPr>
          <w:rFonts w:hint="eastAsia" w:cs="宋体" w:asciiTheme="majorEastAsia" w:hAnsiTheme="majorEastAsia" w:eastAsiaTheme="majorEastAsia"/>
          <w:color w:val="000000"/>
        </w:rPr>
        <w:t>制造厂对所供货物进行机械运转试验和性能试验时，必须提前通知买方。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w:t>
      </w:r>
      <w:r>
        <w:rPr>
          <w:rFonts w:hint="eastAsia" w:cs="宋体" w:asciiTheme="majorEastAsia" w:hAnsiTheme="majorEastAsia" w:eastAsiaTheme="majorEastAsia"/>
          <w:color w:val="000000"/>
        </w:rPr>
        <w:t>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13.1 </w:t>
      </w:r>
      <w:r>
        <w:rPr>
          <w:rFonts w:hint="eastAsia" w:cs="宋体" w:asciiTheme="majorEastAsia" w:hAnsiTheme="majorEastAsia" w:eastAsiaTheme="majorEastAsia"/>
          <w:color w:val="000000"/>
        </w:rPr>
        <w:t>除责任应由保险公司或运输部门承担的之外，买方有权根据买方按检验标准自己检验的结果或当地质检部门出具的质检证书向卖方提出索赔。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在根据合同第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条和第</w:t>
      </w:r>
      <w:r>
        <w:rPr>
          <w:rFonts w:cs="宋体" w:asciiTheme="majorEastAsia" w:hAnsiTheme="majorEastAsia" w:eastAsiaTheme="majorEastAsia"/>
          <w:color w:val="000000"/>
        </w:rPr>
        <w:t>12</w:t>
      </w:r>
      <w:r>
        <w:rPr>
          <w:rFonts w:hint="eastAsia" w:cs="宋体" w:asciiTheme="majorEastAsia" w:hAnsiTheme="majorEastAsia" w:eastAsiaTheme="majorEastAsia"/>
          <w:color w:val="000000"/>
        </w:rPr>
        <w:t>条规定的检验期和质量保证期内，如果卖方对买方提出的索赔和差异负有责任，卖方应按照买方同意的下列一种或多种方式解决索赔事宜：</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）卖方同意退货，并按合同规定的同种货币将货款退还给买方，并承担由此发生的一切损失和费用，包括利息、银行手续费、运费、保险费、检验费、仓储费、装卸费以及为保护退回货物所需的其它必要费用。</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）根据货物低劣程度、损坏程度以及买方所遭受损失的数额，经买卖双方商定降低货物的价格。</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3</w:t>
      </w:r>
      <w:r>
        <w:rPr>
          <w:rFonts w:hint="eastAsia" w:cs="宋体" w:asciiTheme="majorEastAsia" w:hAnsiTheme="majorEastAsia" w:eastAsiaTheme="majorEastAsia"/>
          <w:color w:val="000000"/>
        </w:rPr>
        <w:t>）用符合规格、质量和性能要求的新零件、部件或货物来更换有缺陷的部分或</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和修补缺陷部分，卖方应承担一切费用和风险，并负担买方所发生的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切直接费用。同时，卖方应按合同第</w:t>
      </w:r>
      <w:r>
        <w:rPr>
          <w:rFonts w:cs="宋体" w:asciiTheme="majorEastAsia" w:hAnsiTheme="majorEastAsia" w:eastAsiaTheme="majorEastAsia"/>
          <w:color w:val="000000"/>
        </w:rPr>
        <w:t>11</w:t>
      </w:r>
      <w:r>
        <w:rPr>
          <w:rFonts w:hint="eastAsia" w:cs="宋体" w:asciiTheme="majorEastAsia" w:hAnsiTheme="majorEastAsia" w:eastAsiaTheme="majorEastAsia"/>
          <w:color w:val="000000"/>
        </w:rPr>
        <w:t>条规定，相应延长修补或更换件的质量保证期。</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13.3 </w:t>
      </w:r>
      <w:r>
        <w:rPr>
          <w:rFonts w:hint="eastAsia" w:cs="宋体" w:asciiTheme="majorEastAsia" w:hAnsiTheme="majorEastAsia" w:eastAsiaTheme="majorEastAsia"/>
          <w:color w:val="000000"/>
        </w:rPr>
        <w:t>如果在买方发出索赔通知后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天内，卖方未作答复，上述索赔应视为已被卖方接受。如卖方未能在买方提出索赔通知后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天内或买方同意的更长时间内，按照本合同第</w:t>
      </w:r>
      <w:r>
        <w:rPr>
          <w:rFonts w:cs="宋体" w:asciiTheme="majorEastAsia" w:hAnsiTheme="majorEastAsia" w:eastAsiaTheme="majorEastAsia"/>
          <w:color w:val="000000"/>
        </w:rPr>
        <w:t>13.2</w:t>
      </w:r>
      <w:r>
        <w:rPr>
          <w:rFonts w:hint="eastAsia" w:cs="宋体" w:asciiTheme="majorEastAsia" w:hAnsiTheme="majorEastAsia" w:eastAsiaTheme="majorEastAsia"/>
          <w:color w:val="000000"/>
        </w:rPr>
        <w:t>条规定的任何一种方法解决索赔事宜，买方将从议付款或从卖方开具的履约保证金保函中扣回索赔金额。如果这些金额不足以补偿索赔金额，买方有仅向卖方提出不足部分的补偿。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延期交货</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14.1 </w:t>
      </w:r>
      <w:r>
        <w:rPr>
          <w:rFonts w:hint="eastAsia" w:cs="宋体" w:asciiTheme="majorEastAsia" w:hAnsiTheme="majorEastAsia" w:eastAsiaTheme="majorEastAsia"/>
          <w:color w:val="000000"/>
        </w:rPr>
        <w:t>卖方应按照“供货清单”中买方规定的时间表交货和提供服务。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14.2 </w:t>
      </w:r>
      <w:r>
        <w:rPr>
          <w:rFonts w:hint="eastAsia" w:cs="宋体" w:asciiTheme="majorEastAsia" w:hAnsiTheme="majorEastAsia" w:eastAsiaTheme="majorEastAsia"/>
          <w:color w:val="000000"/>
        </w:rPr>
        <w:t>在履行合同过程中，如果卖方遇到不能按时交货和提供服务的情况，应及时以书面形式将不能按时交货的理由、延误时间通知买方。买方在收到卖方通知后，应进行分析，如果同意，可通过修改合同，酌情延长交货时间。</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14.3 </w:t>
      </w:r>
      <w:r>
        <w:rPr>
          <w:rFonts w:hint="eastAsia" w:cs="宋体" w:asciiTheme="majorEastAsia" w:hAnsiTheme="majorEastAsia" w:eastAsiaTheme="majorEastAsia"/>
          <w:color w:val="000000"/>
        </w:rPr>
        <w:t>如果卖方毫无理由地拖延交货，将受到以下制裁：没收履约保证金，加收违约损失赔偿和</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或终止合同。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15.</w:t>
      </w:r>
      <w:r>
        <w:rPr>
          <w:rFonts w:hint="eastAsia" w:cs="宋体" w:asciiTheme="majorEastAsia" w:hAnsiTheme="majorEastAsia" w:eastAsiaTheme="majorEastAsia"/>
          <w:color w:val="000000"/>
        </w:rPr>
        <w:t>违约赔偿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15.1 </w:t>
      </w:r>
      <w:r>
        <w:rPr>
          <w:rFonts w:hint="eastAsia" w:cs="宋体" w:asciiTheme="majorEastAsia" w:hAnsiTheme="majorEastAsia" w:eastAsiaTheme="majorEastAsia"/>
          <w:color w:val="000000"/>
        </w:rPr>
        <w:t>除合同第</w:t>
      </w: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条规定外，如果卖方没有按照合同规定的时间交货和提供服务，买方可从货款中扣除违约赔偿费，赔偿费应按每迟交一周，按迟交货物或未提供服务交货价的</w:t>
      </w:r>
      <w:r>
        <w:rPr>
          <w:rFonts w:cs="宋体" w:asciiTheme="majorEastAsia" w:hAnsiTheme="majorEastAsia" w:eastAsiaTheme="majorEastAsia"/>
          <w:color w:val="000000"/>
        </w:rPr>
        <w:t>0.5%</w:t>
      </w:r>
      <w:r>
        <w:rPr>
          <w:rFonts w:hint="eastAsia" w:cs="宋体" w:asciiTheme="majorEastAsia" w:hAnsiTheme="majorEastAsia" w:eastAsiaTheme="majorEastAsia"/>
          <w:color w:val="000000"/>
        </w:rPr>
        <w:t>计收。但违约赔偿费的最高限额为迟交货物或没有提供服务的合同价的</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。一周按</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天计算，不足</w:t>
      </w:r>
      <w:r>
        <w:rPr>
          <w:rFonts w:cs="宋体" w:asciiTheme="majorEastAsia" w:hAnsiTheme="majorEastAsia" w:eastAsiaTheme="majorEastAsia"/>
          <w:color w:val="000000"/>
        </w:rPr>
        <w:t>7</w:t>
      </w:r>
      <w:r>
        <w:rPr>
          <w:rFonts w:hint="eastAsia" w:cs="宋体" w:asciiTheme="majorEastAsia" w:hAnsiTheme="majorEastAsia" w:eastAsiaTheme="majorEastAsia"/>
          <w:color w:val="000000"/>
        </w:rPr>
        <w:t>天按一周计算。如果卖方在达到最高限额后仍不能交货，买方可考虑终止合同。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16.</w:t>
      </w:r>
      <w:r>
        <w:rPr>
          <w:rFonts w:hint="eastAsia" w:cs="宋体" w:asciiTheme="majorEastAsia" w:hAnsiTheme="majorEastAsia" w:eastAsiaTheme="majorEastAsia"/>
          <w:color w:val="000000"/>
        </w:rPr>
        <w:t>不可抗力</w:t>
      </w:r>
      <w:r>
        <w:rPr>
          <w:rFonts w:cs="宋体" w:asciiTheme="majorEastAsia" w:hAnsiTheme="majorEastAsia" w:eastAsiaTheme="majorEastAsia"/>
          <w:color w:val="000000"/>
        </w:rPr>
        <w:tab/>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16.1 </w:t>
      </w:r>
      <w:r>
        <w:rPr>
          <w:rFonts w:hint="eastAsia" w:cs="宋体" w:asciiTheme="majorEastAsia" w:hAnsiTheme="majorEastAsia" w:eastAsiaTheme="majorEastAsia"/>
          <w:color w:val="000000"/>
        </w:rPr>
        <w:t>如果双方中任何</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方由于战争、严重火灾、水灾、台风和地震以及其它经双方同意属于不可抗力的事故，致使合同履行受阻时，履行合同的期限应予延长，延长的期限应相当于事故所影响的时间。</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16.2 </w:t>
      </w:r>
      <w:r>
        <w:rPr>
          <w:rFonts w:hint="eastAsia" w:cs="宋体" w:asciiTheme="majorEastAsia" w:hAnsiTheme="majorEastAsia" w:eastAsiaTheme="majorEastAsia"/>
          <w:color w:val="000000"/>
        </w:rPr>
        <w:t>受事故影响的一方应在不可抗力的事故发生后尽快以电报或电传通知另一方，并在事故发生后</w:t>
      </w:r>
      <w:r>
        <w:rPr>
          <w:rFonts w:cs="宋体" w:asciiTheme="majorEastAsia" w:hAnsiTheme="majorEastAsia" w:eastAsiaTheme="majorEastAsia"/>
          <w:color w:val="000000"/>
        </w:rPr>
        <w:t>14</w:t>
      </w:r>
      <w:r>
        <w:rPr>
          <w:rFonts w:hint="eastAsia" w:cs="宋体" w:asciiTheme="majorEastAsia" w:hAnsiTheme="majorEastAsia" w:eastAsiaTheme="majorEastAsia"/>
          <w:color w:val="000000"/>
        </w:rPr>
        <w:t>天内，将有关部门出具的证明文件用挂号信航寄给或送给另一方。如果不可抗力影响时间延续</w:t>
      </w:r>
      <w:r>
        <w:rPr>
          <w:rFonts w:cs="宋体" w:asciiTheme="majorEastAsia" w:hAnsiTheme="majorEastAsia" w:eastAsiaTheme="majorEastAsia"/>
          <w:color w:val="000000"/>
        </w:rPr>
        <w:t>120</w:t>
      </w:r>
      <w:r>
        <w:rPr>
          <w:rFonts w:hint="eastAsia" w:cs="宋体" w:asciiTheme="majorEastAsia" w:hAnsiTheme="majorEastAsia" w:eastAsiaTheme="majorEastAsia"/>
          <w:color w:val="000000"/>
        </w:rPr>
        <w:t>天以上的，双方应通过友好协商在合理的时间内达成进一步履行合同的协议。</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w:t>
      </w:r>
      <w:r>
        <w:rPr>
          <w:rFonts w:hint="eastAsia" w:cs="宋体" w:asciiTheme="majorEastAsia" w:hAnsiTheme="majorEastAsia" w:eastAsiaTheme="majorEastAsia"/>
          <w:color w:val="000000"/>
        </w:rPr>
        <w:t>税费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17.1</w:t>
      </w:r>
      <w:r>
        <w:rPr>
          <w:rFonts w:hint="eastAsia" w:cs="宋体" w:asciiTheme="majorEastAsia" w:hAnsiTheme="majorEastAsia" w:eastAsiaTheme="majorEastAsia"/>
          <w:color w:val="000000"/>
        </w:rPr>
        <w:t>根据国家现行税法对卖方征收的与本合同有关的一切税费均由卖方负担。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17.2</w:t>
      </w:r>
      <w:r>
        <w:rPr>
          <w:rFonts w:hint="eastAsia" w:cs="宋体" w:asciiTheme="majorEastAsia" w:hAnsiTheme="majorEastAsia" w:eastAsiaTheme="majorEastAsia"/>
          <w:color w:val="000000"/>
        </w:rPr>
        <w:t>在中国境外发生的与本合同执行有关的</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切税费均由卖方负担。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w:t>
      </w:r>
      <w:r>
        <w:rPr>
          <w:rFonts w:hint="eastAsia" w:cs="宋体" w:asciiTheme="majorEastAsia" w:hAnsiTheme="majorEastAsia" w:eastAsiaTheme="majorEastAsia"/>
          <w:color w:val="000000"/>
        </w:rPr>
        <w:t>履约保证金保函</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18.1</w:t>
      </w:r>
      <w:r>
        <w:rPr>
          <w:rFonts w:hint="eastAsia" w:cs="宋体" w:asciiTheme="majorEastAsia" w:hAnsiTheme="majorEastAsia" w:eastAsiaTheme="majorEastAsia"/>
          <w:color w:val="000000"/>
        </w:rPr>
        <w:t>卖方收到中标通知书后应在合同特殊条款规定的时间内，通过</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家银行，向买方提供相当于合同总价</w:t>
      </w:r>
      <w:r>
        <w:rPr>
          <w:rFonts w:cs="宋体" w:asciiTheme="majorEastAsia" w:hAnsiTheme="majorEastAsia" w:eastAsiaTheme="majorEastAsia"/>
          <w:color w:val="000000"/>
        </w:rPr>
        <w:t>5%</w:t>
      </w:r>
      <w:r>
        <w:rPr>
          <w:rFonts w:hint="eastAsia" w:cs="宋体" w:asciiTheme="majorEastAsia" w:hAnsiTheme="majorEastAsia" w:eastAsiaTheme="majorEastAsia"/>
          <w:color w:val="000000"/>
        </w:rPr>
        <w:t>的履约保证金保函。履约保证金保函的有效期到货物保证期满时止。</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18.2</w:t>
      </w:r>
      <w:r>
        <w:rPr>
          <w:rFonts w:hint="eastAsia" w:cs="宋体" w:asciiTheme="majorEastAsia" w:hAnsiTheme="majorEastAsia" w:eastAsiaTheme="majorEastAsia"/>
          <w:color w:val="000000"/>
        </w:rPr>
        <w:t>卖方提供的履约保证金保函应按招标文件所附的格式提供，与此有关的费用由卖方负担。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18.3</w:t>
      </w:r>
      <w:r>
        <w:rPr>
          <w:rFonts w:hint="eastAsia" w:cs="宋体" w:asciiTheme="majorEastAsia" w:hAnsiTheme="majorEastAsia" w:eastAsiaTheme="majorEastAsia"/>
          <w:color w:val="000000"/>
        </w:rPr>
        <w:t>如卖方未能履行合同规定的任何义务，买方有权从履约保证金中得到补偿。</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w:t>
      </w:r>
      <w:r>
        <w:rPr>
          <w:rFonts w:hint="eastAsia" w:cs="宋体" w:asciiTheme="majorEastAsia" w:hAnsiTheme="majorEastAsia" w:eastAsiaTheme="majorEastAsia"/>
          <w:color w:val="000000"/>
        </w:rPr>
        <w:t>仲裁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19.1</w:t>
      </w:r>
      <w:r>
        <w:rPr>
          <w:rFonts w:hint="eastAsia" w:cs="宋体" w:asciiTheme="majorEastAsia" w:hAnsiTheme="majorEastAsia" w:eastAsiaTheme="majorEastAsia"/>
          <w:color w:val="000000"/>
        </w:rPr>
        <w:t>买卖双方应通过友好协商，解决在执行本合同中所发生的或与本合同有关的一切争端，如果协商仍得不到解决，任何一方均可按《中华人民共和国合同法》规定提交调解和仲裁。</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19.2</w:t>
      </w:r>
      <w:r>
        <w:rPr>
          <w:rFonts w:hint="eastAsia" w:cs="宋体" w:asciiTheme="majorEastAsia" w:hAnsiTheme="majorEastAsia" w:eastAsiaTheme="majorEastAsia"/>
          <w:color w:val="000000"/>
        </w:rPr>
        <w:t>仲裁裁决应为终局裁决，对双方均具有约束力。</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19.3</w:t>
      </w:r>
      <w:r>
        <w:rPr>
          <w:rFonts w:hint="eastAsia" w:cs="宋体" w:asciiTheme="majorEastAsia" w:hAnsiTheme="majorEastAsia" w:eastAsiaTheme="majorEastAsia"/>
          <w:color w:val="000000"/>
        </w:rPr>
        <w:t>仲裁费除仲裁机构另有裁决外应由败诉方负担。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19.4</w:t>
      </w:r>
      <w:r>
        <w:rPr>
          <w:rFonts w:hint="eastAsia" w:cs="宋体" w:asciiTheme="majorEastAsia" w:hAnsiTheme="majorEastAsia" w:eastAsiaTheme="majorEastAsia"/>
          <w:color w:val="000000"/>
        </w:rPr>
        <w:t>在仲裁期间，除正在进行仲裁的部分外，本合同其它部分应继续执行。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20.</w:t>
      </w:r>
      <w:r>
        <w:rPr>
          <w:rFonts w:hint="eastAsia" w:cs="宋体" w:asciiTheme="majorEastAsia" w:hAnsiTheme="majorEastAsia" w:eastAsiaTheme="majorEastAsia"/>
          <w:color w:val="000000"/>
        </w:rPr>
        <w:t>违约终止合同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20.1 </w:t>
      </w:r>
      <w:r>
        <w:rPr>
          <w:rFonts w:hint="eastAsia" w:cs="宋体" w:asciiTheme="majorEastAsia" w:hAnsiTheme="majorEastAsia" w:eastAsiaTheme="majorEastAsia"/>
          <w:color w:val="000000"/>
        </w:rPr>
        <w:t>买方在卖方违约的情况下，如果：</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1</w:t>
      </w:r>
      <w:r>
        <w:rPr>
          <w:rFonts w:hint="eastAsia" w:cs="宋体" w:asciiTheme="majorEastAsia" w:hAnsiTheme="majorEastAsia" w:eastAsiaTheme="majorEastAsia"/>
          <w:color w:val="000000"/>
        </w:rPr>
        <w:t>）卖方未能在合同规定的限期或买方同意延长的限期内提供全部或部分货物；</w:t>
      </w:r>
    </w:p>
    <w:p>
      <w:pPr>
        <w:widowControl/>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w:t>
      </w:r>
      <w:r>
        <w:rPr>
          <w:rFonts w:cs="宋体" w:asciiTheme="majorEastAsia" w:hAnsiTheme="majorEastAsia" w:eastAsiaTheme="majorEastAsia"/>
          <w:color w:val="000000"/>
        </w:rPr>
        <w:t>2</w:t>
      </w:r>
      <w:r>
        <w:rPr>
          <w:rFonts w:hint="eastAsia" w:cs="宋体" w:asciiTheme="majorEastAsia" w:hAnsiTheme="majorEastAsia" w:eastAsiaTheme="majorEastAsia"/>
          <w:color w:val="000000"/>
        </w:rPr>
        <w:t>）如果卖方未能履行合同规定的其它义务，卖方在收到买方发出的违约通知后</w:t>
      </w:r>
      <w:r>
        <w:rPr>
          <w:rFonts w:cs="宋体" w:asciiTheme="majorEastAsia" w:hAnsiTheme="majorEastAsia" w:eastAsiaTheme="majorEastAsia"/>
          <w:color w:val="000000"/>
        </w:rPr>
        <w:t>30</w:t>
      </w:r>
      <w:r>
        <w:rPr>
          <w:rFonts w:hint="eastAsia" w:cs="宋体" w:asciiTheme="majorEastAsia" w:hAnsiTheme="majorEastAsia" w:eastAsiaTheme="majorEastAsia"/>
          <w:color w:val="000000"/>
        </w:rPr>
        <w:t>天内，或经买方书面认可延长的时间内未能纠正其过失。买方可向卖方发出书面通知，终止部分或全部合同。在这种情况下，并不影响买方向卖方提出的索赔。</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20.2 </w:t>
      </w:r>
      <w:r>
        <w:rPr>
          <w:rFonts w:hint="eastAsia" w:cs="宋体" w:asciiTheme="majorEastAsia" w:hAnsiTheme="majorEastAsia" w:eastAsiaTheme="majorEastAsia"/>
          <w:color w:val="000000"/>
        </w:rPr>
        <w:t>在买方根据上述第</w:t>
      </w:r>
      <w:r>
        <w:rPr>
          <w:rFonts w:cs="宋体" w:asciiTheme="majorEastAsia" w:hAnsiTheme="majorEastAsia" w:eastAsiaTheme="majorEastAsia"/>
          <w:color w:val="000000"/>
        </w:rPr>
        <w:t>20.1</w:t>
      </w:r>
      <w:r>
        <w:rPr>
          <w:rFonts w:hint="eastAsia" w:cs="宋体" w:asciiTheme="majorEastAsia" w:hAnsiTheme="majorEastAsia" w:eastAsiaTheme="majorEastAsia"/>
          <w:color w:val="000000"/>
        </w:rPr>
        <w:t>款规定，终止了全部或部分合同，买方可以依其认为适当的条件和方法购买与未交货物类似的货物，卖方应对购买类似货物所超出的费用负责。而且卖方还应继续执行合同中未终止的部分。</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21.</w:t>
      </w:r>
      <w:r>
        <w:rPr>
          <w:rFonts w:hint="eastAsia" w:cs="宋体" w:asciiTheme="majorEastAsia" w:hAnsiTheme="majorEastAsia" w:eastAsiaTheme="majorEastAsia"/>
          <w:color w:val="000000"/>
        </w:rPr>
        <w:t>破产终止合同</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21.1 </w:t>
      </w:r>
      <w:r>
        <w:rPr>
          <w:rFonts w:hint="eastAsia" w:cs="宋体" w:asciiTheme="majorEastAsia" w:hAnsiTheme="majorEastAsia" w:eastAsiaTheme="majorEastAsia"/>
          <w:color w:val="000000"/>
        </w:rPr>
        <w:t>如果卖方破产或无清偿能力时，买方可在任何时候以书面通知卖方终止合同。该终止合同将不损害或影响买方已经采取或将要采取的补救措施的权利。</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22.</w:t>
      </w:r>
      <w:r>
        <w:rPr>
          <w:rFonts w:hint="eastAsia" w:cs="宋体" w:asciiTheme="majorEastAsia" w:hAnsiTheme="majorEastAsia" w:eastAsiaTheme="majorEastAsia"/>
          <w:color w:val="000000"/>
        </w:rPr>
        <w:t>转让和分包</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22.1 </w:t>
      </w:r>
      <w:r>
        <w:rPr>
          <w:rFonts w:hint="eastAsia" w:cs="宋体" w:asciiTheme="majorEastAsia" w:hAnsiTheme="majorEastAsia" w:eastAsiaTheme="majorEastAsia"/>
          <w:color w:val="000000"/>
        </w:rPr>
        <w:t>未经买方事先书面同意，卖方不得部分转让或全部转让其应履行的合同义务。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22.2 </w:t>
      </w:r>
      <w:r>
        <w:rPr>
          <w:rFonts w:hint="eastAsia" w:cs="宋体" w:asciiTheme="majorEastAsia" w:hAnsiTheme="majorEastAsia" w:eastAsiaTheme="majorEastAsia"/>
          <w:color w:val="000000"/>
        </w:rPr>
        <w:t>对投标中没有明确分包的合同，卖方应书面通知买方本合同中将分包的全部分包合同，在原投标文件中或后来发出的分包通知均不能解除卖方履行本合同的义务。</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23.</w:t>
      </w:r>
      <w:r>
        <w:rPr>
          <w:rFonts w:hint="eastAsia" w:cs="宋体" w:asciiTheme="majorEastAsia" w:hAnsiTheme="majorEastAsia" w:eastAsiaTheme="majorEastAsia"/>
          <w:color w:val="000000"/>
        </w:rPr>
        <w:t>合同修改</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23.1 </w:t>
      </w:r>
      <w:r>
        <w:rPr>
          <w:rFonts w:hint="eastAsia" w:cs="宋体" w:asciiTheme="majorEastAsia" w:hAnsiTheme="majorEastAsia" w:eastAsiaTheme="majorEastAsia"/>
          <w:color w:val="000000"/>
        </w:rPr>
        <w:t>欲对合同条款进行任何改动，均须由买卖双方签署书面的合同修改书。</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24.</w:t>
      </w:r>
      <w:r>
        <w:rPr>
          <w:rFonts w:hint="eastAsia" w:cs="宋体" w:asciiTheme="majorEastAsia" w:hAnsiTheme="majorEastAsia" w:eastAsiaTheme="majorEastAsia"/>
          <w:color w:val="000000"/>
        </w:rPr>
        <w:t>通知</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24.1 </w:t>
      </w:r>
      <w:r>
        <w:rPr>
          <w:rFonts w:hint="eastAsia" w:cs="宋体" w:asciiTheme="majorEastAsia" w:hAnsiTheme="majorEastAsia" w:eastAsiaTheme="majorEastAsia"/>
          <w:color w:val="000000"/>
        </w:rPr>
        <w:t>本合同任何一方给另一方的通知，都应以书面或电传</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传真</w:t>
      </w:r>
      <w:r>
        <w:rPr>
          <w:rFonts w:cs="宋体" w:asciiTheme="majorEastAsia" w:hAnsiTheme="majorEastAsia" w:eastAsiaTheme="majorEastAsia"/>
          <w:color w:val="000000"/>
        </w:rPr>
        <w:t>/</w:t>
      </w:r>
      <w:r>
        <w:rPr>
          <w:rFonts w:hint="eastAsia" w:cs="宋体" w:asciiTheme="majorEastAsia" w:hAnsiTheme="majorEastAsia" w:eastAsiaTheme="majorEastAsia"/>
          <w:color w:val="000000"/>
        </w:rPr>
        <w:t>电报的形式发送，而另一方应以书面形式确认并发送到对方明确的地址。</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25.</w:t>
      </w:r>
      <w:r>
        <w:rPr>
          <w:rFonts w:hint="eastAsia" w:cs="宋体" w:asciiTheme="majorEastAsia" w:hAnsiTheme="majorEastAsia" w:eastAsiaTheme="majorEastAsia"/>
          <w:color w:val="000000"/>
        </w:rPr>
        <w:t>计量单位</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25.1 </w:t>
      </w:r>
      <w:r>
        <w:rPr>
          <w:rFonts w:hint="eastAsia" w:cs="宋体" w:asciiTheme="majorEastAsia" w:hAnsiTheme="majorEastAsia" w:eastAsiaTheme="majorEastAsia"/>
          <w:color w:val="000000"/>
        </w:rPr>
        <w:t>除技术规范中另有规定外，计量单位均使用国家法定计量单位。</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26.</w:t>
      </w:r>
      <w:r>
        <w:rPr>
          <w:rFonts w:hint="eastAsia" w:cs="宋体" w:asciiTheme="majorEastAsia" w:hAnsiTheme="majorEastAsia" w:eastAsiaTheme="majorEastAsia"/>
          <w:color w:val="000000"/>
        </w:rPr>
        <w:t>适用法律</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26.1 </w:t>
      </w:r>
      <w:r>
        <w:rPr>
          <w:rFonts w:hint="eastAsia" w:cs="宋体" w:asciiTheme="majorEastAsia" w:hAnsiTheme="majorEastAsia" w:eastAsiaTheme="majorEastAsia"/>
          <w:color w:val="000000"/>
        </w:rPr>
        <w:t>本合同应按照中华人民共和国的法律进行解释。</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w:t>
      </w:r>
      <w:r>
        <w:rPr>
          <w:rFonts w:hint="eastAsia" w:cs="宋体" w:asciiTheme="majorEastAsia" w:hAnsiTheme="majorEastAsia" w:eastAsiaTheme="majorEastAsia"/>
          <w:color w:val="000000"/>
        </w:rPr>
        <w:t>合同生效及其它</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 xml:space="preserve">27.1 </w:t>
      </w:r>
      <w:r>
        <w:rPr>
          <w:rFonts w:hint="eastAsia" w:cs="宋体" w:asciiTheme="majorEastAsia" w:hAnsiTheme="majorEastAsia" w:eastAsiaTheme="majorEastAsia"/>
          <w:color w:val="000000"/>
        </w:rPr>
        <w:t>合同应在双方签字盖章并在买方收到卖方提供的履约保证金保函后开始生效。</w:t>
      </w:r>
    </w:p>
    <w:p>
      <w:pPr>
        <w:widowControl/>
        <w:spacing w:line="276" w:lineRule="auto"/>
        <w:rPr>
          <w:rFonts w:cs="宋体" w:asciiTheme="majorEastAsia" w:hAnsiTheme="majorEastAsia" w:eastAsiaTheme="majorEastAsia"/>
          <w:color w:val="000000"/>
        </w:rPr>
      </w:pPr>
      <w:r>
        <w:rPr>
          <w:rFonts w:cs="宋体" w:asciiTheme="majorEastAsia" w:hAnsiTheme="majorEastAsia" w:eastAsiaTheme="majorEastAsia"/>
          <w:color w:val="000000"/>
        </w:rPr>
        <w:t>27.2</w:t>
      </w:r>
      <w:r>
        <w:rPr>
          <w:rFonts w:hint="eastAsia" w:cs="宋体" w:asciiTheme="majorEastAsia" w:hAnsiTheme="majorEastAsia" w:eastAsiaTheme="majorEastAsia"/>
          <w:color w:val="000000"/>
        </w:rPr>
        <w:t>如需修改或补充合同内容，经协商，双方应签署书面修改或补充协议，该协议将作为本合同的一个组成部分。</w:t>
      </w:r>
    </w:p>
    <w:p>
      <w:pPr>
        <w:pStyle w:val="28"/>
        <w:numPr>
          <w:ilvl w:val="0"/>
          <w:numId w:val="6"/>
        </w:numPr>
        <w:spacing w:line="276" w:lineRule="auto"/>
        <w:rPr>
          <w:rFonts w:cs="宋体" w:asciiTheme="majorEastAsia" w:hAnsiTheme="majorEastAsia" w:eastAsiaTheme="majorEastAsia"/>
          <w:color w:val="000000"/>
          <w:sz w:val="40"/>
          <w:szCs w:val="40"/>
        </w:rPr>
      </w:pPr>
      <w:bookmarkStart w:id="635" w:name="_Toc201719183"/>
      <w:r>
        <w:rPr>
          <w:rFonts w:cs="宋体" w:asciiTheme="majorEastAsia" w:hAnsiTheme="majorEastAsia" w:eastAsiaTheme="majorEastAsia"/>
          <w:b w:val="0"/>
          <w:bCs w:val="0"/>
          <w:color w:val="000000"/>
          <w:kern w:val="2"/>
          <w:sz w:val="21"/>
          <w:szCs w:val="24"/>
        </w:rPr>
        <w:br w:type="page"/>
      </w:r>
      <w:bookmarkStart w:id="636" w:name="_Toc15595"/>
      <w:bookmarkStart w:id="637" w:name="_Toc508804081"/>
      <w:r>
        <w:rPr>
          <w:rFonts w:hint="eastAsia" w:cs="宋体" w:asciiTheme="majorEastAsia" w:hAnsiTheme="majorEastAsia" w:eastAsiaTheme="majorEastAsia"/>
          <w:color w:val="000000"/>
          <w:sz w:val="40"/>
          <w:szCs w:val="40"/>
        </w:rPr>
        <w:t>专用合同条款</w:t>
      </w:r>
      <w:bookmarkEnd w:id="636"/>
      <w:bookmarkEnd w:id="637"/>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特殊条款中的各条款是补充和修改一般条款中条款号相同的条款或当需要时增加新的条款，两者应对照阅读。不一致时以特殊条款为准，一般条款中未补充和修改的部分仍有效。</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定义</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合同中的一些概念定义如下：</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1</w:t>
      </w:r>
      <w:r>
        <w:rPr>
          <w:rFonts w:hint="eastAsia" w:cs="宋体" w:asciiTheme="majorEastAsia" w:hAnsiTheme="majorEastAsia" w:eastAsiaTheme="majorEastAsia"/>
          <w:color w:val="000000"/>
          <w:kern w:val="0"/>
          <w:sz w:val="24"/>
        </w:rPr>
        <w:t>）买方是指采购人</w:t>
      </w:r>
      <w:r>
        <w:rPr>
          <w:rFonts w:hint="eastAsia" w:cs="宋体" w:asciiTheme="majorEastAsia" w:hAnsiTheme="majorEastAsia" w:eastAsiaTheme="majorEastAsia"/>
          <w:sz w:val="24"/>
          <w:lang w:eastAsia="zh-CN"/>
        </w:rPr>
        <w:t>长岭县三青山镇综合服务中心</w:t>
      </w:r>
      <w:r>
        <w:rPr>
          <w:rFonts w:hint="eastAsia" w:cs="宋体" w:asciiTheme="majorEastAsia" w:hAnsiTheme="majorEastAsia" w:eastAsiaTheme="majorEastAsia"/>
          <w:color w:val="000000"/>
          <w:kern w:val="0"/>
          <w:sz w:val="24"/>
        </w:rPr>
        <w:t>；</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w:t>
      </w:r>
      <w:r>
        <w:rPr>
          <w:rFonts w:cs="宋体" w:asciiTheme="majorEastAsia" w:hAnsiTheme="majorEastAsia" w:eastAsiaTheme="majorEastAsia"/>
          <w:color w:val="000000"/>
          <w:kern w:val="0"/>
          <w:sz w:val="24"/>
        </w:rPr>
        <w:t>2</w:t>
      </w:r>
      <w:r>
        <w:rPr>
          <w:rFonts w:hint="eastAsia" w:cs="宋体" w:asciiTheme="majorEastAsia" w:hAnsiTheme="majorEastAsia" w:eastAsiaTheme="majorEastAsia"/>
          <w:color w:val="000000"/>
          <w:kern w:val="0"/>
          <w:sz w:val="24"/>
        </w:rPr>
        <w:t>）卖方是指本标的中标人；</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 </w:t>
      </w:r>
      <w:r>
        <w:rPr>
          <w:rFonts w:hint="eastAsia" w:cs="宋体" w:asciiTheme="majorEastAsia" w:hAnsiTheme="majorEastAsia" w:eastAsiaTheme="majorEastAsia"/>
          <w:sz w:val="24"/>
          <w:lang w:val="zh-CN"/>
        </w:rPr>
        <w:t>供货期</w:t>
      </w:r>
      <w:r>
        <w:rPr>
          <w:rFonts w:hint="eastAsia" w:cs="宋体" w:asciiTheme="majorEastAsia" w:hAnsiTheme="majorEastAsia" w:eastAsiaTheme="majorEastAsia"/>
          <w:color w:val="000000"/>
          <w:kern w:val="0"/>
          <w:sz w:val="24"/>
        </w:rPr>
        <w:t>及</w:t>
      </w:r>
      <w:r>
        <w:rPr>
          <w:rFonts w:hint="eastAsia" w:cs="宋体" w:asciiTheme="majorEastAsia" w:hAnsiTheme="majorEastAsia" w:eastAsiaTheme="majorEastAsia"/>
          <w:sz w:val="24"/>
          <w:lang w:val="zh-CN"/>
        </w:rPr>
        <w:t>供货地点</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2.1</w:t>
      </w:r>
      <w:r>
        <w:rPr>
          <w:rFonts w:hint="eastAsia" w:cs="宋体" w:asciiTheme="majorEastAsia" w:hAnsiTheme="majorEastAsia" w:eastAsiaTheme="majorEastAsia"/>
          <w:color w:val="000000"/>
          <w:kern w:val="0"/>
          <w:sz w:val="24"/>
        </w:rPr>
        <w:t>合同履行期限（供货期）：</w:t>
      </w:r>
      <w:r>
        <w:rPr>
          <w:rFonts w:hint="eastAsia" w:cs="宋体" w:asciiTheme="majorEastAsia" w:hAnsiTheme="majorEastAsia" w:eastAsiaTheme="majorEastAsia"/>
          <w:color w:val="000000"/>
          <w:kern w:val="0"/>
          <w:sz w:val="24"/>
          <w:lang w:eastAsia="zh-CN"/>
        </w:rPr>
        <w:t>合同签订后</w:t>
      </w:r>
      <w:r>
        <w:rPr>
          <w:rFonts w:hint="eastAsia" w:cs="宋体" w:asciiTheme="majorEastAsia" w:hAnsiTheme="majorEastAsia" w:eastAsiaTheme="majorEastAsia"/>
          <w:color w:val="000000"/>
          <w:kern w:val="0"/>
          <w:sz w:val="24"/>
          <w:lang w:val="en-US" w:eastAsia="zh-CN"/>
        </w:rPr>
        <w:t>15</w:t>
      </w:r>
      <w:r>
        <w:rPr>
          <w:rFonts w:hint="eastAsia" w:cs="宋体" w:asciiTheme="majorEastAsia" w:hAnsiTheme="majorEastAsia" w:eastAsiaTheme="majorEastAsia"/>
          <w:color w:val="000000"/>
          <w:kern w:val="0"/>
          <w:sz w:val="24"/>
          <w:lang w:eastAsia="zh-CN"/>
        </w:rPr>
        <w:t>日内完毕，并保证投入使用</w:t>
      </w:r>
      <w:r>
        <w:rPr>
          <w:rFonts w:hint="eastAsia" w:cs="宋体" w:asciiTheme="majorEastAsia" w:hAnsiTheme="majorEastAsia" w:eastAsiaTheme="majorEastAsia"/>
          <w:color w:val="000000"/>
          <w:kern w:val="0"/>
          <w:sz w:val="24"/>
        </w:rPr>
        <w:t>。</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 xml:space="preserve">2.2 </w:t>
      </w:r>
      <w:r>
        <w:rPr>
          <w:rFonts w:hint="eastAsia" w:cs="宋体" w:asciiTheme="majorEastAsia" w:hAnsiTheme="majorEastAsia" w:eastAsiaTheme="majorEastAsia"/>
          <w:color w:val="000000"/>
          <w:kern w:val="0"/>
          <w:sz w:val="24"/>
        </w:rPr>
        <w:t>交货地点：</w:t>
      </w:r>
      <w:r>
        <w:rPr>
          <w:rFonts w:hint="eastAsia" w:cs="宋体" w:asciiTheme="majorEastAsia" w:hAnsiTheme="majorEastAsia" w:eastAsiaTheme="majorEastAsia"/>
          <w:color w:val="000000"/>
          <w:kern w:val="0"/>
          <w:sz w:val="24"/>
          <w:lang w:eastAsia="zh-CN"/>
        </w:rPr>
        <w:t>长岭县三青山镇综合服务中心</w:t>
      </w:r>
      <w:r>
        <w:rPr>
          <w:rFonts w:hint="eastAsia" w:cs="宋体" w:asciiTheme="majorEastAsia" w:hAnsiTheme="majorEastAsia" w:eastAsiaTheme="majorEastAsia"/>
          <w:color w:val="000000"/>
          <w:kern w:val="0"/>
          <w:sz w:val="24"/>
        </w:rPr>
        <w:t>，具体地点由甲方指定</w:t>
      </w:r>
      <w:r>
        <w:rPr>
          <w:rFonts w:hint="eastAsia" w:cs="宋体" w:asciiTheme="majorEastAsia" w:hAnsiTheme="majorEastAsia" w:eastAsiaTheme="majorEastAsia"/>
          <w:sz w:val="24"/>
          <w:lang w:val="zh-CN"/>
        </w:rPr>
        <w:t>。</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3.</w:t>
      </w:r>
      <w:r>
        <w:rPr>
          <w:rFonts w:hint="eastAsia" w:cs="宋体" w:asciiTheme="majorEastAsia" w:hAnsiTheme="majorEastAsia" w:eastAsiaTheme="majorEastAsia"/>
          <w:color w:val="000000"/>
          <w:kern w:val="0"/>
          <w:sz w:val="24"/>
        </w:rPr>
        <w:t>保险</w:t>
      </w:r>
    </w:p>
    <w:p>
      <w:pPr>
        <w:widowControl/>
        <w:spacing w:line="276" w:lineRule="auto"/>
        <w:ind w:firstLine="240" w:firstLineChars="100"/>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保险费由卖方负责。</w:t>
      </w:r>
    </w:p>
    <w:p>
      <w:pPr>
        <w:widowControl/>
        <w:spacing w:line="276" w:lineRule="auto"/>
        <w:ind w:firstLine="240" w:firstLineChars="100"/>
        <w:rPr>
          <w:rFonts w:cs="宋体" w:asciiTheme="majorEastAsia" w:hAnsiTheme="majorEastAsia" w:eastAsiaTheme="majorEastAsia"/>
          <w:color w:val="000000"/>
          <w:kern w:val="0"/>
          <w:sz w:val="24"/>
        </w:rPr>
      </w:pPr>
      <w:r>
        <w:rPr>
          <w:rFonts w:cs="宋体" w:asciiTheme="majorEastAsia" w:hAnsiTheme="majorEastAsia" w:eastAsiaTheme="majorEastAsia"/>
          <w:color w:val="000000"/>
          <w:kern w:val="0"/>
          <w:sz w:val="24"/>
        </w:rPr>
        <w:t>4.</w:t>
      </w:r>
      <w:r>
        <w:rPr>
          <w:rFonts w:hint="eastAsia" w:cs="宋体" w:asciiTheme="majorEastAsia" w:hAnsiTheme="majorEastAsia" w:eastAsiaTheme="majorEastAsia"/>
          <w:color w:val="000000"/>
          <w:kern w:val="0"/>
          <w:sz w:val="24"/>
        </w:rPr>
        <w:t>付款方式</w:t>
      </w:r>
    </w:p>
    <w:p>
      <w:pPr>
        <w:widowControl/>
        <w:spacing w:line="276" w:lineRule="auto"/>
        <w:ind w:firstLine="480" w:firstLineChars="200"/>
        <w:rPr>
          <w:rFonts w:cs="宋体" w:asciiTheme="majorEastAsia" w:hAnsiTheme="majorEastAsia" w:eastAsiaTheme="majorEastAsia"/>
          <w:color w:val="000000"/>
          <w:kern w:val="0"/>
          <w:sz w:val="24"/>
        </w:rPr>
      </w:pPr>
      <w:r>
        <w:rPr>
          <w:rFonts w:hint="eastAsia" w:cs="宋体" w:asciiTheme="majorEastAsia" w:hAnsiTheme="majorEastAsia" w:eastAsiaTheme="majorEastAsia"/>
          <w:sz w:val="24"/>
        </w:rPr>
        <w:t>按双方合同约定付款</w:t>
      </w: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rPr>
          <w:rFonts w:cs="宋体" w:asciiTheme="majorEastAsia" w:hAnsiTheme="majorEastAsia" w:eastAsiaTheme="majorEastAsia"/>
          <w:color w:val="000000"/>
          <w:sz w:val="28"/>
          <w:szCs w:val="28"/>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p>
    <w:p>
      <w:pPr>
        <w:spacing w:line="276" w:lineRule="auto"/>
        <w:jc w:val="center"/>
        <w:rPr>
          <w:rFonts w:cs="宋体" w:asciiTheme="majorEastAsia" w:hAnsiTheme="majorEastAsia" w:eastAsiaTheme="majorEastAsia"/>
          <w:b/>
          <w:bCs/>
          <w:color w:val="000000"/>
          <w:kern w:val="0"/>
          <w:sz w:val="40"/>
          <w:szCs w:val="40"/>
        </w:rPr>
      </w:pPr>
      <w:r>
        <w:rPr>
          <w:rFonts w:hint="eastAsia" w:cs="宋体" w:asciiTheme="majorEastAsia" w:hAnsiTheme="majorEastAsia" w:eastAsiaTheme="majorEastAsia"/>
          <w:b/>
          <w:bCs/>
          <w:color w:val="000000"/>
          <w:kern w:val="0"/>
          <w:sz w:val="40"/>
          <w:szCs w:val="40"/>
        </w:rPr>
        <w:t>第三节合同附件格式</w:t>
      </w:r>
    </w:p>
    <w:p>
      <w:pPr>
        <w:widowControl/>
        <w:spacing w:line="276" w:lineRule="auto"/>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kern w:val="0"/>
          <w:sz w:val="24"/>
        </w:rPr>
        <w:t>（采购人有权按照自行选择的方式签署合同，本招标文件提供的《合同协议书》只供参考）</w:t>
      </w: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b/>
          <w:color w:val="000000"/>
          <w:sz w:val="32"/>
          <w:szCs w:val="32"/>
        </w:rPr>
      </w:pPr>
    </w:p>
    <w:p>
      <w:pPr>
        <w:pStyle w:val="5"/>
      </w:pPr>
    </w:p>
    <w:p>
      <w:pPr>
        <w:pStyle w:val="5"/>
      </w:pPr>
    </w:p>
    <w:p>
      <w:pPr>
        <w:pStyle w:val="5"/>
      </w:pPr>
    </w:p>
    <w:p>
      <w:pPr>
        <w:pStyle w:val="5"/>
      </w:pPr>
    </w:p>
    <w:p>
      <w:pPr>
        <w:pStyle w:val="5"/>
      </w:pPr>
    </w:p>
    <w:p>
      <w:pPr>
        <w:pStyle w:val="5"/>
      </w:pPr>
    </w:p>
    <w:p>
      <w:pPr>
        <w:spacing w:line="276" w:lineRule="auto"/>
        <w:jc w:val="center"/>
        <w:rPr>
          <w:rFonts w:cs="宋体" w:asciiTheme="majorEastAsia" w:hAnsiTheme="majorEastAsia" w:eastAsiaTheme="majorEastAsia"/>
          <w:b/>
          <w:color w:val="000000"/>
          <w:sz w:val="32"/>
          <w:szCs w:val="32"/>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spacing w:line="276" w:lineRule="auto"/>
        <w:jc w:val="center"/>
        <w:rPr>
          <w:rFonts w:cs="宋体" w:asciiTheme="majorEastAsia" w:hAnsiTheme="majorEastAsia" w:eastAsiaTheme="majorEastAsia"/>
          <w:b/>
          <w:color w:val="000000"/>
          <w:sz w:val="32"/>
          <w:szCs w:val="32"/>
        </w:rPr>
      </w:pPr>
    </w:p>
    <w:p>
      <w:pPr>
        <w:spacing w:line="276" w:lineRule="auto"/>
        <w:jc w:val="center"/>
        <w:rPr>
          <w:rFonts w:cs="宋体" w:asciiTheme="majorEastAsia" w:hAnsiTheme="majorEastAsia" w:eastAsiaTheme="majorEastAsia"/>
          <w:color w:val="000000"/>
          <w:sz w:val="44"/>
          <w:szCs w:val="44"/>
        </w:rPr>
      </w:pPr>
      <w:r>
        <w:rPr>
          <w:rFonts w:hint="eastAsia" w:cs="宋体" w:asciiTheme="majorEastAsia" w:hAnsiTheme="majorEastAsia" w:eastAsiaTheme="majorEastAsia"/>
          <w:b/>
          <w:color w:val="000000"/>
          <w:sz w:val="32"/>
          <w:szCs w:val="32"/>
        </w:rPr>
        <w:t>合同协议书</w:t>
      </w:r>
    </w:p>
    <w:p>
      <w:pPr>
        <w:spacing w:line="276" w:lineRule="auto"/>
        <w:ind w:firstLine="472" w:firstLineChars="225"/>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（项目名称）中所需</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（货物名称）经</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以</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号招标文件在国内公开</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邀请</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招标。经评标委员会评定</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卖方</w:t>
      </w:r>
      <w:r>
        <w:rPr>
          <w:rFonts w:cs="宋体" w:asciiTheme="majorEastAsia" w:hAnsiTheme="majorEastAsia" w:eastAsiaTheme="majorEastAsia"/>
          <w:color w:val="000000"/>
          <w:szCs w:val="21"/>
        </w:rPr>
        <w:t>)</w:t>
      </w:r>
      <w:r>
        <w:rPr>
          <w:rFonts w:hint="eastAsia" w:cs="宋体" w:asciiTheme="majorEastAsia" w:hAnsiTheme="majorEastAsia" w:eastAsiaTheme="majorEastAsia"/>
          <w:color w:val="000000"/>
          <w:szCs w:val="21"/>
        </w:rPr>
        <w:t>为中标单位。买、卖双方同意按照下面的条款和条件，签署本合同。</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l</w:t>
      </w:r>
      <w:r>
        <w:rPr>
          <w:rFonts w:hint="eastAsia" w:cs="宋体" w:asciiTheme="majorEastAsia" w:hAnsiTheme="majorEastAsia" w:eastAsiaTheme="majorEastAsia"/>
          <w:color w:val="000000"/>
          <w:szCs w:val="21"/>
        </w:rPr>
        <w:t>、合同文件</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下列文件构成本合同的组成部分：</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a) </w:t>
      </w:r>
      <w:r>
        <w:rPr>
          <w:rFonts w:hint="eastAsia" w:cs="宋体" w:asciiTheme="majorEastAsia" w:hAnsiTheme="majorEastAsia" w:eastAsiaTheme="majorEastAsia"/>
          <w:color w:val="000000"/>
          <w:szCs w:val="21"/>
        </w:rPr>
        <w:t>合同协议书</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b) </w:t>
      </w:r>
      <w:r>
        <w:rPr>
          <w:rFonts w:hint="eastAsia" w:cs="宋体" w:asciiTheme="majorEastAsia" w:hAnsiTheme="majorEastAsia" w:eastAsiaTheme="majorEastAsia"/>
          <w:color w:val="000000"/>
          <w:szCs w:val="21"/>
        </w:rPr>
        <w:t>中标通知书</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c) </w:t>
      </w:r>
      <w:r>
        <w:rPr>
          <w:rFonts w:hint="eastAsia" w:cs="宋体" w:asciiTheme="majorEastAsia" w:hAnsiTheme="majorEastAsia" w:eastAsiaTheme="majorEastAsia"/>
          <w:color w:val="000000"/>
          <w:szCs w:val="21"/>
        </w:rPr>
        <w:t>投标函</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d) </w:t>
      </w:r>
      <w:r>
        <w:rPr>
          <w:rFonts w:hint="eastAsia" w:cs="宋体" w:asciiTheme="majorEastAsia" w:hAnsiTheme="majorEastAsia" w:eastAsiaTheme="majorEastAsia"/>
          <w:color w:val="000000"/>
          <w:szCs w:val="21"/>
        </w:rPr>
        <w:t>合同特殊条款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e) </w:t>
      </w:r>
      <w:r>
        <w:rPr>
          <w:rFonts w:hint="eastAsia" w:cs="宋体" w:asciiTheme="majorEastAsia" w:hAnsiTheme="majorEastAsia" w:eastAsiaTheme="majorEastAsia"/>
          <w:color w:val="000000"/>
          <w:szCs w:val="21"/>
        </w:rPr>
        <w:t>合同一般条款</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f) </w:t>
      </w:r>
      <w:r>
        <w:rPr>
          <w:rFonts w:hint="eastAsia" w:cs="宋体" w:asciiTheme="majorEastAsia" w:hAnsiTheme="majorEastAsia" w:eastAsiaTheme="majorEastAsia"/>
          <w:color w:val="000000"/>
          <w:szCs w:val="21"/>
        </w:rPr>
        <w:t>技术条款</w:t>
      </w:r>
      <w:r>
        <w:rPr>
          <w:rFonts w:cs="宋体" w:asciiTheme="majorEastAsia" w:hAnsiTheme="majorEastAsia" w:eastAsiaTheme="majorEastAsia"/>
          <w:color w:val="000000"/>
          <w:szCs w:val="21"/>
        </w:rPr>
        <w:tab/>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g) </w:t>
      </w:r>
      <w:r>
        <w:rPr>
          <w:rFonts w:hint="eastAsia" w:cs="宋体" w:asciiTheme="majorEastAsia" w:hAnsiTheme="majorEastAsia" w:eastAsiaTheme="majorEastAsia"/>
          <w:color w:val="000000"/>
          <w:szCs w:val="21"/>
        </w:rPr>
        <w:t>设计图纸</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p>
    <w:p>
      <w:pPr>
        <w:spacing w:line="276" w:lineRule="auto"/>
        <w:ind w:left="735" w:leftChars="200" w:hanging="315" w:hangingChars="1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h) </w:t>
      </w:r>
      <w:r>
        <w:rPr>
          <w:rFonts w:hint="eastAsia" w:cs="宋体" w:asciiTheme="majorEastAsia" w:hAnsiTheme="majorEastAsia" w:eastAsiaTheme="majorEastAsia"/>
          <w:color w:val="000000"/>
          <w:szCs w:val="21"/>
        </w:rPr>
        <w:t>投标货物数量、价格表；已标价供货清单；</w:t>
      </w:r>
    </w:p>
    <w:p>
      <w:pPr>
        <w:spacing w:line="276" w:lineRule="auto"/>
        <w:ind w:left="359" w:leftChars="171" w:firstLine="105" w:firstLineChars="5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 xml:space="preserve">i) </w:t>
      </w:r>
      <w:r>
        <w:rPr>
          <w:rFonts w:hint="eastAsia" w:cs="宋体" w:asciiTheme="majorEastAsia" w:hAnsiTheme="majorEastAsia" w:eastAsiaTheme="majorEastAsia"/>
          <w:color w:val="000000"/>
          <w:szCs w:val="21"/>
        </w:rPr>
        <w:t>合同补充条款或说明</w:t>
      </w:r>
    </w:p>
    <w:p>
      <w:pPr>
        <w:spacing w:line="276" w:lineRule="auto"/>
        <w:ind w:left="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2</w:t>
      </w:r>
      <w:r>
        <w:rPr>
          <w:rFonts w:hint="eastAsia" w:cs="宋体" w:asciiTheme="majorEastAsia" w:hAnsiTheme="majorEastAsia" w:eastAsiaTheme="majorEastAsia"/>
          <w:color w:val="000000"/>
          <w:szCs w:val="21"/>
        </w:rPr>
        <w:t>、合同范围和条件</w:t>
      </w:r>
    </w:p>
    <w:p>
      <w:pPr>
        <w:spacing w:line="276" w:lineRule="auto"/>
        <w:ind w:left="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本合同的范围和条件应与上述规定的合同文件内容一致。</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3</w:t>
      </w:r>
      <w:r>
        <w:rPr>
          <w:rFonts w:hint="eastAsia" w:cs="宋体" w:asciiTheme="majorEastAsia" w:hAnsiTheme="majorEastAsia" w:eastAsiaTheme="majorEastAsia"/>
          <w:color w:val="000000"/>
          <w:szCs w:val="21"/>
        </w:rPr>
        <w:t>、货物和数量</w:t>
      </w:r>
    </w:p>
    <w:p>
      <w:pPr>
        <w:spacing w:line="276" w:lineRule="auto"/>
        <w:ind w:left="420" w:left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本合同要求提供的货物和数量见投标货物数量、价格表；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4</w:t>
      </w:r>
      <w:r>
        <w:rPr>
          <w:rFonts w:hint="eastAsia" w:cs="宋体" w:asciiTheme="majorEastAsia" w:hAnsiTheme="majorEastAsia" w:eastAsiaTheme="majorEastAsia"/>
          <w:color w:val="000000"/>
          <w:szCs w:val="21"/>
        </w:rPr>
        <w:t>、合同总价</w:t>
      </w:r>
    </w:p>
    <w:p>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本合同总价为</w:t>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cs="宋体" w:asciiTheme="majorEastAsia" w:hAnsiTheme="majorEastAsia" w:eastAsiaTheme="majorEastAsia"/>
          <w:color w:val="000000"/>
          <w:szCs w:val="21"/>
          <w:u w:val="single"/>
        </w:rPr>
        <w:tab/>
      </w:r>
      <w:r>
        <w:rPr>
          <w:rFonts w:hint="eastAsia" w:cs="宋体" w:asciiTheme="majorEastAsia" w:hAnsiTheme="majorEastAsia" w:eastAsiaTheme="majorEastAsia"/>
          <w:color w:val="000000"/>
          <w:szCs w:val="21"/>
        </w:rPr>
        <w:t>元人民币，分项价格见投标货物数量、价格表；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5</w:t>
      </w:r>
      <w:r>
        <w:rPr>
          <w:rFonts w:hint="eastAsia" w:cs="宋体" w:asciiTheme="majorEastAsia" w:hAnsiTheme="majorEastAsia" w:eastAsiaTheme="majorEastAsia"/>
          <w:color w:val="000000"/>
          <w:szCs w:val="21"/>
        </w:rPr>
        <w:t>、付款方式</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本合同的付款方式在合同特殊条款中规定。</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6</w:t>
      </w:r>
      <w:r>
        <w:rPr>
          <w:rFonts w:hint="eastAsia" w:cs="宋体" w:asciiTheme="majorEastAsia" w:hAnsiTheme="majorEastAsia" w:eastAsiaTheme="majorEastAsia"/>
          <w:color w:val="000000"/>
          <w:szCs w:val="21"/>
        </w:rPr>
        <w:t>、交货时间及交货地点</w:t>
      </w:r>
    </w:p>
    <w:p>
      <w:pPr>
        <w:spacing w:line="276" w:lineRule="auto"/>
        <w:ind w:firstLine="42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本合同货物的交货时间和交货地点见投标货物数量、价格表。</w:t>
      </w:r>
    </w:p>
    <w:p>
      <w:pPr>
        <w:spacing w:line="276" w:lineRule="auto"/>
        <w:ind w:firstLine="420"/>
        <w:jc w:val="left"/>
        <w:rPr>
          <w:rFonts w:cs="宋体" w:asciiTheme="majorEastAsia" w:hAnsiTheme="majorEastAsia" w:eastAsiaTheme="majorEastAsia"/>
          <w:color w:val="000000"/>
          <w:szCs w:val="21"/>
        </w:rPr>
      </w:pPr>
      <w:r>
        <w:rPr>
          <w:rFonts w:cs="宋体" w:asciiTheme="majorEastAsia" w:hAnsiTheme="majorEastAsia" w:eastAsiaTheme="majorEastAsia"/>
          <w:color w:val="000000"/>
          <w:szCs w:val="21"/>
        </w:rPr>
        <w:t>7</w:t>
      </w:r>
      <w:r>
        <w:rPr>
          <w:rFonts w:hint="eastAsia" w:cs="宋体" w:asciiTheme="majorEastAsia" w:hAnsiTheme="majorEastAsia" w:eastAsiaTheme="majorEastAsia"/>
          <w:color w:val="000000"/>
          <w:szCs w:val="21"/>
        </w:rPr>
        <w:t>、合同的生效</w:t>
      </w:r>
    </w:p>
    <w:p>
      <w:pPr>
        <w:spacing w:line="276" w:lineRule="auto"/>
        <w:ind w:firstLine="420" w:firstLineChars="200"/>
        <w:jc w:val="left"/>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本合同经双方授权代表签署、买、卖双方加盖印章，且买方收到卖方提交的履约保证金保函之后生效。本合同正本一式份，买卖双方各持份。副本份，买卖双方各持份，其余副本由买方分送有关单位。</w:t>
      </w:r>
    </w:p>
    <w:p>
      <w:pPr>
        <w:spacing w:line="276" w:lineRule="auto"/>
        <w:ind w:firstLine="420"/>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买方：</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卖方：</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名称：（印章）</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名称：（印章）</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法定代表人或全权代表（签字）：</w:t>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法定代表人或全权代表（签字）：</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地址：</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地址：</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邮政编码：</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邮政编码：</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电话：</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电话：</w:t>
      </w:r>
    </w:p>
    <w:p>
      <w:pPr>
        <w:spacing w:line="276" w:lineRule="auto"/>
        <w:ind w:left="425"/>
        <w:rPr>
          <w:rFonts w:cs="宋体" w:asciiTheme="majorEastAsia" w:hAnsiTheme="majorEastAsia" w:eastAsiaTheme="majorEastAsia"/>
          <w:color w:val="000000"/>
          <w:szCs w:val="21"/>
        </w:rPr>
      </w:pPr>
      <w:r>
        <w:rPr>
          <w:rFonts w:hint="eastAsia" w:cs="宋体" w:asciiTheme="majorEastAsia" w:hAnsiTheme="majorEastAsia" w:eastAsiaTheme="majorEastAsia"/>
          <w:color w:val="000000"/>
          <w:szCs w:val="21"/>
        </w:rPr>
        <w:t>开户银行：</w:t>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cs="宋体" w:asciiTheme="majorEastAsia" w:hAnsiTheme="majorEastAsia" w:eastAsiaTheme="majorEastAsia"/>
          <w:color w:val="000000"/>
          <w:szCs w:val="21"/>
        </w:rPr>
        <w:tab/>
      </w:r>
      <w:r>
        <w:rPr>
          <w:rFonts w:hint="eastAsia" w:cs="宋体" w:asciiTheme="majorEastAsia" w:hAnsiTheme="majorEastAsia" w:eastAsiaTheme="majorEastAsia"/>
          <w:color w:val="000000"/>
          <w:szCs w:val="21"/>
        </w:rPr>
        <w:t>开户银行：</w:t>
      </w:r>
    </w:p>
    <w:p>
      <w:pPr>
        <w:widowControl/>
        <w:spacing w:line="276" w:lineRule="auto"/>
        <w:ind w:firstLine="420" w:firstLineChars="200"/>
        <w:rPr>
          <w:rFonts w:cs="宋体" w:asciiTheme="majorEastAsia" w:hAnsiTheme="majorEastAsia" w:eastAsiaTheme="majorEastAsia"/>
          <w:color w:val="000000"/>
          <w:kern w:val="0"/>
          <w:sz w:val="24"/>
          <w:lang w:val="zh-CN"/>
        </w:rPr>
      </w:pPr>
      <w:r>
        <w:rPr>
          <w:rFonts w:hint="eastAsia" w:cs="宋体" w:asciiTheme="majorEastAsia" w:hAnsiTheme="majorEastAsia" w:eastAsiaTheme="majorEastAsia"/>
          <w:color w:val="000000"/>
        </w:rPr>
        <w:t>账号：</w:t>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cs="宋体" w:asciiTheme="majorEastAsia" w:hAnsiTheme="majorEastAsia" w:eastAsiaTheme="majorEastAsia"/>
          <w:color w:val="000000"/>
        </w:rPr>
        <w:tab/>
      </w:r>
      <w:r>
        <w:rPr>
          <w:rFonts w:hint="eastAsia" w:cs="宋体" w:asciiTheme="majorEastAsia" w:hAnsiTheme="majorEastAsia" w:eastAsiaTheme="majorEastAsia"/>
          <w:color w:val="000000"/>
        </w:rPr>
        <w:t>账号：</w:t>
      </w:r>
    </w:p>
    <w:p>
      <w:pPr>
        <w:spacing w:line="276" w:lineRule="auto"/>
        <w:ind w:left="425"/>
        <w:rPr>
          <w:rFonts w:cs="宋体" w:asciiTheme="majorEastAsia" w:hAnsiTheme="majorEastAsia" w:eastAsiaTheme="majorEastAsia"/>
          <w:color w:val="000000"/>
        </w:rPr>
        <w:sectPr>
          <w:footerReference r:id="rId3" w:type="default"/>
          <w:pgSz w:w="11907" w:h="16840"/>
          <w:pgMar w:top="1247" w:right="1247" w:bottom="1247" w:left="1020" w:header="851" w:footer="992" w:gutter="397"/>
          <w:pgNumType w:start="1"/>
          <w:cols w:space="0" w:num="1"/>
          <w:docGrid w:linePitch="435" w:charSpace="0"/>
        </w:sectPr>
      </w:pPr>
    </w:p>
    <w:bookmarkEnd w:id="635"/>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bookmarkStart w:id="638" w:name="_Toc4989"/>
    </w:p>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p>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p>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p>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pPr>
    </w:p>
    <w:p>
      <w:pPr>
        <w:pStyle w:val="28"/>
        <w:keepNext w:val="0"/>
        <w:keepLines w:val="0"/>
        <w:pageBreakBefore w:val="0"/>
        <w:kinsoku/>
        <w:wordWrap/>
        <w:overflowPunct/>
        <w:topLinePunct w:val="0"/>
        <w:autoSpaceDE/>
        <w:autoSpaceDN/>
        <w:bidi w:val="0"/>
        <w:snapToGrid/>
        <w:spacing w:line="240" w:lineRule="auto"/>
        <w:textAlignment w:val="auto"/>
        <w:rPr>
          <w:rFonts w:hint="eastAsia" w:cs="宋体" w:asciiTheme="majorEastAsia" w:hAnsiTheme="majorEastAsia" w:eastAsiaTheme="majorEastAsia"/>
          <w:color w:val="000000"/>
        </w:rPr>
        <w:sectPr>
          <w:headerReference r:id="rId4" w:type="default"/>
          <w:footerReference r:id="rId5" w:type="default"/>
          <w:pgSz w:w="11906" w:h="16838"/>
          <w:pgMar w:top="1418" w:right="1134" w:bottom="1418" w:left="1418" w:header="851" w:footer="992" w:gutter="0"/>
          <w:cols w:space="720" w:num="1"/>
          <w:docGrid w:type="linesAndChars" w:linePitch="312" w:charSpace="0"/>
        </w:sectPr>
      </w:pPr>
      <w:r>
        <w:rPr>
          <w:rFonts w:hint="eastAsia" w:cs="宋体" w:asciiTheme="majorEastAsia" w:hAnsiTheme="majorEastAsia" w:eastAsiaTheme="majorEastAsia"/>
          <w:color w:val="000000"/>
        </w:rPr>
        <w:t>第五章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技术标准和要求</w:t>
      </w:r>
      <w:bookmarkEnd w:id="638"/>
    </w:p>
    <w:p>
      <w:r>
        <w:drawing>
          <wp:inline distT="0" distB="0" distL="114300" distR="114300">
            <wp:extent cx="5819140" cy="8805545"/>
            <wp:effectExtent l="0" t="0" r="10160" b="1460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819140" cy="8805545"/>
                    </a:xfrm>
                    <a:prstGeom prst="rect">
                      <a:avLst/>
                    </a:prstGeom>
                    <a:noFill/>
                    <a:ln>
                      <a:noFill/>
                    </a:ln>
                  </pic:spPr>
                </pic:pic>
              </a:graphicData>
            </a:graphic>
          </wp:inline>
        </w:drawing>
      </w:r>
    </w:p>
    <w:p>
      <w:pPr>
        <w:rPr>
          <w:rFonts w:hint="eastAsia"/>
          <w:lang w:eastAsia="zh-CN"/>
        </w:rPr>
        <w:sectPr>
          <w:pgSz w:w="11906" w:h="16838"/>
          <w:pgMar w:top="1418" w:right="1134" w:bottom="1418" w:left="1418" w:header="851" w:footer="992" w:gutter="0"/>
          <w:cols w:space="720" w:num="1"/>
          <w:docGrid w:type="linesAndChars" w:linePitch="312" w:charSpace="0"/>
        </w:sectPr>
      </w:pPr>
    </w:p>
    <w:p>
      <w:pPr>
        <w:rPr>
          <w:rFonts w:hint="eastAsia"/>
          <w:lang w:eastAsia="zh-CN"/>
        </w:rPr>
      </w:pPr>
      <w:r>
        <w:drawing>
          <wp:inline distT="0" distB="0" distL="114300" distR="114300">
            <wp:extent cx="5821680" cy="8710930"/>
            <wp:effectExtent l="0" t="0" r="7620" b="1397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5821680" cy="8710930"/>
                    </a:xfrm>
                    <a:prstGeom prst="rect">
                      <a:avLst/>
                    </a:prstGeom>
                    <a:noFill/>
                    <a:ln>
                      <a:noFill/>
                    </a:ln>
                  </pic:spPr>
                </pic:pic>
              </a:graphicData>
            </a:graphic>
          </wp:inline>
        </w:drawing>
      </w:r>
      <w:r>
        <w:rPr>
          <w:rFonts w:hint="eastAsia"/>
          <w:lang w:eastAsia="zh-CN"/>
        </w:rPr>
        <w:br w:type="page"/>
      </w:r>
    </w:p>
    <w:p>
      <w:pPr>
        <w:pStyle w:val="2"/>
        <w:rPr>
          <w:rFonts w:hint="eastAsia"/>
          <w:lang w:eastAsia="zh-CN"/>
        </w:rPr>
      </w:pPr>
    </w:p>
    <w:p>
      <w:pPr>
        <w:rPr>
          <w:rFonts w:hint="eastAsia" w:cs="宋体" w:asciiTheme="majorEastAsia" w:hAnsiTheme="majorEastAsia" w:eastAsiaTheme="majorEastAsia"/>
          <w:color w:val="000000"/>
        </w:rPr>
      </w:pPr>
      <w:bookmarkStart w:id="639" w:name="_Toc3483"/>
    </w:p>
    <w:p>
      <w:pPr>
        <w:pStyle w:val="28"/>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第六章</w:t>
      </w:r>
      <w:r>
        <w:rPr>
          <w:rFonts w:hint="eastAsia" w:cs="宋体" w:asciiTheme="majorEastAsia" w:hAnsiTheme="majorEastAsia" w:eastAsiaTheme="majorEastAsia"/>
          <w:color w:val="000000"/>
          <w:lang w:val="en-US" w:eastAsia="zh-CN"/>
        </w:rPr>
        <w:t xml:space="preserve"> </w:t>
      </w:r>
      <w:r>
        <w:rPr>
          <w:rFonts w:hint="eastAsia" w:cs="宋体" w:asciiTheme="majorEastAsia" w:hAnsiTheme="majorEastAsia" w:eastAsiaTheme="majorEastAsia"/>
          <w:color w:val="000000"/>
        </w:rPr>
        <w:t>投标文件格式</w:t>
      </w:r>
      <w:bookmarkEnd w:id="639"/>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ind w:firstLine="2520"/>
        <w:rPr>
          <w:rFonts w:cs="宋体" w:asciiTheme="majorEastAsia" w:hAnsiTheme="majorEastAsia" w:eastAsiaTheme="majorEastAsia"/>
          <w:b/>
          <w:bCs/>
          <w:color w:val="000000"/>
          <w:kern w:val="0"/>
          <w:sz w:val="28"/>
          <w:szCs w:val="28"/>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widowControl/>
        <w:spacing w:line="276" w:lineRule="auto"/>
        <w:rPr>
          <w:rFonts w:cs="宋体" w:asciiTheme="majorEastAsia" w:hAnsiTheme="majorEastAsia" w:eastAsiaTheme="majorEastAsia"/>
          <w:b/>
          <w:bCs/>
          <w:color w:val="000000"/>
          <w:kern w:val="0"/>
          <w:sz w:val="44"/>
          <w:szCs w:val="44"/>
        </w:rPr>
      </w:pPr>
    </w:p>
    <w:p>
      <w:pPr>
        <w:pStyle w:val="5"/>
        <w:rPr>
          <w:rFonts w:cs="宋体" w:asciiTheme="majorEastAsia" w:hAnsiTheme="majorEastAsia" w:eastAsiaTheme="majorEastAsia"/>
          <w:b/>
          <w:bCs/>
          <w:color w:val="000000"/>
          <w:sz w:val="44"/>
          <w:szCs w:val="44"/>
        </w:rPr>
      </w:pPr>
    </w:p>
    <w:p>
      <w:pPr>
        <w:pStyle w:val="5"/>
        <w:rPr>
          <w:rFonts w:cs="宋体" w:asciiTheme="majorEastAsia" w:hAnsiTheme="majorEastAsia" w:eastAsiaTheme="majorEastAsia"/>
          <w:b/>
          <w:bCs/>
          <w:color w:val="000000"/>
          <w:sz w:val="44"/>
          <w:szCs w:val="44"/>
        </w:rPr>
      </w:pPr>
    </w:p>
    <w:p>
      <w:pPr>
        <w:pStyle w:val="5"/>
        <w:rPr>
          <w:rFonts w:cs="宋体" w:asciiTheme="majorEastAsia" w:hAnsiTheme="majorEastAsia" w:eastAsiaTheme="majorEastAsia"/>
          <w:b/>
          <w:bCs/>
          <w:color w:val="000000"/>
          <w:sz w:val="44"/>
          <w:szCs w:val="44"/>
        </w:rPr>
      </w:pPr>
    </w:p>
    <w:p>
      <w:pPr>
        <w:pStyle w:val="5"/>
        <w:rPr>
          <w:rFonts w:cs="宋体" w:asciiTheme="majorEastAsia" w:hAnsiTheme="majorEastAsia" w:eastAsiaTheme="majorEastAsia"/>
          <w:b/>
          <w:bCs/>
          <w:color w:val="000000"/>
          <w:sz w:val="44"/>
          <w:szCs w:val="44"/>
        </w:rPr>
      </w:pPr>
    </w:p>
    <w:p>
      <w:pPr>
        <w:pStyle w:val="5"/>
        <w:rPr>
          <w:rFonts w:cs="宋体" w:asciiTheme="majorEastAsia" w:hAnsiTheme="majorEastAsia" w:eastAsiaTheme="majorEastAsia"/>
          <w:b/>
          <w:bCs/>
          <w:color w:val="000000"/>
          <w:sz w:val="44"/>
          <w:szCs w:val="44"/>
        </w:rPr>
      </w:pPr>
    </w:p>
    <w:p>
      <w:pPr>
        <w:widowControl/>
        <w:spacing w:line="276" w:lineRule="auto"/>
        <w:jc w:val="center"/>
        <w:rPr>
          <w:rFonts w:hint="eastAsia" w:cs="宋体" w:asciiTheme="majorEastAsia" w:hAnsiTheme="majorEastAsia" w:eastAsiaTheme="majorEastAsia"/>
          <w:color w:val="000000"/>
          <w:sz w:val="36"/>
        </w:rPr>
      </w:pPr>
    </w:p>
    <w:p>
      <w:pPr>
        <w:widowControl/>
        <w:spacing w:line="276" w:lineRule="auto"/>
        <w:jc w:val="center"/>
        <w:rPr>
          <w:rFonts w:hint="eastAsia" w:cs="宋体" w:asciiTheme="majorEastAsia" w:hAnsiTheme="majorEastAsia" w:eastAsiaTheme="majorEastAsia"/>
          <w:color w:val="000000"/>
          <w:sz w:val="36"/>
        </w:rPr>
      </w:pPr>
    </w:p>
    <w:p>
      <w:pPr>
        <w:widowControl/>
        <w:spacing w:line="276" w:lineRule="auto"/>
        <w:jc w:val="center"/>
        <w:rPr>
          <w:rFonts w:hint="eastAsia" w:cs="宋体" w:asciiTheme="majorEastAsia" w:hAnsiTheme="majorEastAsia" w:eastAsiaTheme="majorEastAsia"/>
          <w:color w:val="000000"/>
          <w:sz w:val="36"/>
        </w:rPr>
      </w:pPr>
    </w:p>
    <w:p>
      <w:pPr>
        <w:widowControl/>
        <w:spacing w:line="276" w:lineRule="auto"/>
        <w:jc w:val="center"/>
        <w:rPr>
          <w:rFonts w:cs="宋体" w:asciiTheme="majorEastAsia" w:hAnsiTheme="majorEastAsia" w:eastAsiaTheme="majorEastAsia"/>
          <w:b/>
          <w:bCs/>
          <w:color w:val="000000"/>
          <w:kern w:val="0"/>
          <w:sz w:val="44"/>
          <w:szCs w:val="44"/>
        </w:rPr>
      </w:pPr>
      <w:r>
        <w:rPr>
          <w:rFonts w:hint="eastAsia" w:cs="宋体" w:asciiTheme="majorEastAsia" w:hAnsiTheme="majorEastAsia" w:eastAsiaTheme="majorEastAsia"/>
          <w:color w:val="000000"/>
          <w:sz w:val="36"/>
        </w:rPr>
        <w:t>（项目名称）</w:t>
      </w:r>
    </w:p>
    <w:p>
      <w:pPr>
        <w:spacing w:line="276" w:lineRule="auto"/>
        <w:ind w:firstLine="1080" w:firstLineChars="300"/>
        <w:rPr>
          <w:rFonts w:cs="宋体" w:asciiTheme="majorEastAsia" w:hAnsiTheme="majorEastAsia" w:eastAsiaTheme="majorEastAsia"/>
          <w:b/>
          <w:color w:val="000000"/>
          <w:sz w:val="36"/>
        </w:rPr>
      </w:pPr>
    </w:p>
    <w:p>
      <w:pPr>
        <w:spacing w:line="276" w:lineRule="auto"/>
        <w:ind w:firstLine="1080" w:firstLineChars="300"/>
        <w:rPr>
          <w:rFonts w:cs="宋体" w:asciiTheme="majorEastAsia" w:hAnsiTheme="majorEastAsia" w:eastAsiaTheme="majorEastAsia"/>
          <w:b/>
          <w:color w:val="000000"/>
          <w:sz w:val="36"/>
        </w:rPr>
      </w:pPr>
    </w:p>
    <w:p>
      <w:pPr>
        <w:spacing w:line="276" w:lineRule="auto"/>
        <w:ind w:firstLine="1080" w:firstLineChars="300"/>
        <w:rPr>
          <w:rFonts w:cs="宋体" w:asciiTheme="majorEastAsia" w:hAnsiTheme="majorEastAsia" w:eastAsiaTheme="majorEastAsia"/>
          <w:b/>
          <w:color w:val="000000"/>
          <w:sz w:val="36"/>
        </w:rPr>
      </w:pPr>
    </w:p>
    <w:p>
      <w:pPr>
        <w:autoSpaceDE w:val="0"/>
        <w:autoSpaceDN w:val="0"/>
        <w:adjustRightInd w:val="0"/>
        <w:spacing w:line="276" w:lineRule="auto"/>
        <w:rPr>
          <w:rFonts w:cs="宋体" w:asciiTheme="majorEastAsia" w:hAnsiTheme="majorEastAsia" w:eastAsiaTheme="majorEastAsia"/>
          <w:color w:val="000000"/>
          <w:szCs w:val="18"/>
          <w:lang w:val="zh-CN"/>
        </w:rPr>
      </w:pPr>
    </w:p>
    <w:p>
      <w:pPr>
        <w:spacing w:line="276" w:lineRule="auto"/>
        <w:jc w:val="center"/>
        <w:rPr>
          <w:rFonts w:cs="宋体" w:asciiTheme="majorEastAsia" w:hAnsiTheme="majorEastAsia" w:eastAsiaTheme="majorEastAsia"/>
          <w:b/>
          <w:color w:val="000000"/>
          <w:sz w:val="72"/>
        </w:rPr>
      </w:pPr>
    </w:p>
    <w:p>
      <w:pPr>
        <w:spacing w:line="276" w:lineRule="auto"/>
        <w:jc w:val="center"/>
        <w:rPr>
          <w:rFonts w:cs="宋体" w:asciiTheme="majorEastAsia" w:hAnsiTheme="majorEastAsia" w:eastAsiaTheme="majorEastAsia"/>
          <w:b/>
          <w:color w:val="000000"/>
          <w:sz w:val="72"/>
        </w:rPr>
      </w:pPr>
      <w:r>
        <w:rPr>
          <w:rFonts w:hint="eastAsia" w:cs="宋体" w:asciiTheme="majorEastAsia" w:hAnsiTheme="majorEastAsia" w:eastAsiaTheme="majorEastAsia"/>
          <w:b/>
          <w:color w:val="000000"/>
          <w:sz w:val="72"/>
        </w:rPr>
        <w:t>投标文件</w:t>
      </w: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spacing w:line="276" w:lineRule="auto"/>
        <w:jc w:val="center"/>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8"/>
        </w:rPr>
        <w:t>招标编号：</w:t>
      </w:r>
    </w:p>
    <w:p>
      <w:pPr>
        <w:autoSpaceDE w:val="0"/>
        <w:autoSpaceDN w:val="0"/>
        <w:adjustRightInd w:val="0"/>
        <w:spacing w:line="276" w:lineRule="auto"/>
        <w:jc w:val="center"/>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autoSpaceDE w:val="0"/>
        <w:autoSpaceDN w:val="0"/>
        <w:adjustRightInd w:val="0"/>
        <w:spacing w:line="276" w:lineRule="auto"/>
        <w:jc w:val="left"/>
        <w:rPr>
          <w:rFonts w:cs="宋体" w:asciiTheme="majorEastAsia" w:hAnsiTheme="majorEastAsia" w:eastAsiaTheme="majorEastAsia"/>
          <w:color w:val="000000"/>
          <w:szCs w:val="18"/>
          <w:lang w:val="zh-CN"/>
        </w:rPr>
      </w:pPr>
    </w:p>
    <w:p>
      <w:pPr>
        <w:spacing w:line="276" w:lineRule="auto"/>
        <w:rPr>
          <w:rFonts w:hint="eastAsia" w:cs="宋体" w:asciiTheme="majorEastAsia" w:hAnsiTheme="majorEastAsia" w:eastAsiaTheme="majorEastAsia"/>
          <w:b/>
          <w:color w:val="000000"/>
          <w:sz w:val="30"/>
          <w:u w:val="single"/>
          <w:lang w:val="en-US" w:eastAsia="zh-CN"/>
        </w:rPr>
      </w:pPr>
      <w:r>
        <w:rPr>
          <w:rFonts w:hint="eastAsia" w:cs="宋体" w:asciiTheme="majorEastAsia" w:hAnsiTheme="majorEastAsia" w:eastAsiaTheme="majorEastAsia"/>
          <w:b/>
          <w:color w:val="000000"/>
          <w:sz w:val="30"/>
          <w:szCs w:val="30"/>
          <w:lang w:eastAsia="zh-CN"/>
        </w:rPr>
        <w:t>投标单位</w:t>
      </w:r>
      <w:r>
        <w:rPr>
          <w:rFonts w:hint="eastAsia" w:cs="宋体" w:asciiTheme="majorEastAsia" w:hAnsiTheme="majorEastAsia" w:eastAsiaTheme="majorEastAsia"/>
          <w:b/>
          <w:color w:val="000000"/>
          <w:sz w:val="30"/>
          <w:szCs w:val="30"/>
        </w:rPr>
        <w:t>：</w:t>
      </w:r>
      <w:r>
        <w:rPr>
          <w:rFonts w:cs="宋体" w:asciiTheme="majorEastAsia" w:hAnsiTheme="majorEastAsia" w:eastAsiaTheme="majorEastAsia"/>
          <w:b/>
          <w:color w:val="000000"/>
          <w:sz w:val="30"/>
          <w:u w:val="single"/>
        </w:rPr>
        <w:tab/>
      </w:r>
      <w:r>
        <w:rPr>
          <w:rFonts w:cs="宋体" w:asciiTheme="majorEastAsia" w:hAnsiTheme="majorEastAsia" w:eastAsiaTheme="majorEastAsia"/>
          <w:b/>
          <w:color w:val="000000"/>
          <w:sz w:val="30"/>
          <w:u w:val="single"/>
        </w:rPr>
        <w:tab/>
      </w:r>
      <w:r>
        <w:rPr>
          <w:rFonts w:hint="eastAsia" w:cs="宋体" w:asciiTheme="majorEastAsia" w:hAnsiTheme="majorEastAsia" w:eastAsiaTheme="majorEastAsia"/>
          <w:b/>
          <w:color w:val="000000"/>
          <w:sz w:val="30"/>
          <w:u w:val="single"/>
        </w:rPr>
        <w:t>（盖章）</w:t>
      </w:r>
      <w:r>
        <w:rPr>
          <w:rFonts w:hint="eastAsia" w:cs="宋体" w:asciiTheme="majorEastAsia" w:hAnsiTheme="majorEastAsia" w:eastAsiaTheme="majorEastAsia"/>
          <w:b/>
          <w:color w:val="000000"/>
          <w:sz w:val="30"/>
          <w:u w:val="single"/>
          <w:lang w:val="en-US" w:eastAsia="zh-CN"/>
        </w:rPr>
        <w:t xml:space="preserve">   </w:t>
      </w:r>
    </w:p>
    <w:p>
      <w:pPr>
        <w:spacing w:line="276" w:lineRule="auto"/>
        <w:rPr>
          <w:rFonts w:cs="宋体" w:asciiTheme="majorEastAsia" w:hAnsiTheme="majorEastAsia" w:eastAsiaTheme="majorEastAsia"/>
          <w:b/>
          <w:color w:val="000000"/>
          <w:sz w:val="30"/>
        </w:rPr>
      </w:pPr>
    </w:p>
    <w:p>
      <w:pPr>
        <w:spacing w:line="276" w:lineRule="auto"/>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法定代表人或授权委托人：</w:t>
      </w:r>
      <w:r>
        <w:rPr>
          <w:rFonts w:hint="eastAsia" w:cs="宋体" w:asciiTheme="majorEastAsia" w:hAnsiTheme="majorEastAsia" w:eastAsiaTheme="majorEastAsia"/>
          <w:b/>
          <w:color w:val="000000"/>
          <w:sz w:val="30"/>
          <w:u w:val="single"/>
        </w:rPr>
        <w:t>（签字或盖章）</w:t>
      </w:r>
    </w:p>
    <w:p>
      <w:pPr>
        <w:autoSpaceDE w:val="0"/>
        <w:autoSpaceDN w:val="0"/>
        <w:adjustRightInd w:val="0"/>
        <w:spacing w:line="276" w:lineRule="auto"/>
        <w:ind w:firstLine="280" w:firstLineChars="100"/>
        <w:jc w:val="center"/>
        <w:rPr>
          <w:rFonts w:cs="宋体" w:asciiTheme="majorEastAsia" w:hAnsiTheme="majorEastAsia" w:eastAsiaTheme="majorEastAsia"/>
          <w:color w:val="000000"/>
          <w:sz w:val="28"/>
          <w:szCs w:val="18"/>
          <w:lang w:val="zh-CN"/>
        </w:rPr>
      </w:pPr>
    </w:p>
    <w:p>
      <w:pPr>
        <w:snapToGrid w:val="0"/>
        <w:spacing w:before="480" w:line="276" w:lineRule="auto"/>
        <w:ind w:left="0" w:leftChars="0" w:firstLine="0" w:firstLineChars="0"/>
        <w:jc w:val="center"/>
        <w:rPr>
          <w:rFonts w:cs="宋体" w:asciiTheme="majorEastAsia" w:hAnsiTheme="majorEastAsia" w:eastAsiaTheme="majorEastAsia"/>
          <w:b/>
          <w:color w:val="000000"/>
          <w:sz w:val="30"/>
        </w:rPr>
      </w:pPr>
      <w:r>
        <w:rPr>
          <w:rFonts w:hint="eastAsia" w:cs="宋体" w:asciiTheme="majorEastAsia" w:hAnsiTheme="majorEastAsia" w:eastAsiaTheme="majorEastAsia"/>
          <w:b/>
          <w:color w:val="000000"/>
          <w:sz w:val="30"/>
        </w:rPr>
        <w:t>日期：年月日</w:t>
      </w:r>
      <w:bookmarkStart w:id="640" w:name="_Toc504654798"/>
    </w:p>
    <w:p>
      <w:pPr>
        <w:rPr>
          <w:rFonts w:hint="eastAsia" w:cs="宋体" w:asciiTheme="majorEastAsia" w:hAnsiTheme="majorEastAsia" w:eastAsiaTheme="majorEastAsia"/>
          <w:bCs/>
          <w:color w:val="000000"/>
          <w:sz w:val="44"/>
          <w:szCs w:val="44"/>
          <w:lang w:val="zh-CN"/>
        </w:rPr>
      </w:pPr>
      <w:r>
        <w:rPr>
          <w:rFonts w:hint="eastAsia" w:cs="宋体" w:asciiTheme="majorEastAsia" w:hAnsiTheme="majorEastAsia" w:eastAsiaTheme="majorEastAsia"/>
          <w:bCs/>
          <w:color w:val="000000"/>
          <w:sz w:val="44"/>
          <w:szCs w:val="44"/>
          <w:lang w:val="zh-CN"/>
        </w:rPr>
        <w:br w:type="page"/>
      </w:r>
    </w:p>
    <w:p>
      <w:pPr>
        <w:snapToGrid w:val="0"/>
        <w:spacing w:before="480" w:line="276" w:lineRule="auto"/>
        <w:jc w:val="center"/>
        <w:rPr>
          <w:rFonts w:cs="宋体" w:asciiTheme="majorEastAsia" w:hAnsiTheme="majorEastAsia" w:eastAsiaTheme="majorEastAsia"/>
          <w:b/>
          <w:color w:val="000000"/>
          <w:sz w:val="30"/>
        </w:rPr>
      </w:pPr>
      <w:r>
        <w:rPr>
          <w:rFonts w:hint="eastAsia" w:cs="宋体" w:asciiTheme="majorEastAsia" w:hAnsiTheme="majorEastAsia" w:eastAsiaTheme="majorEastAsia"/>
          <w:bCs/>
          <w:color w:val="000000"/>
          <w:sz w:val="44"/>
          <w:szCs w:val="44"/>
          <w:lang w:val="zh-CN"/>
        </w:rPr>
        <w:t>目录</w:t>
      </w:r>
      <w:bookmarkEnd w:id="640"/>
    </w:p>
    <w:p>
      <w:pPr>
        <w:spacing w:before="120" w:line="276" w:lineRule="auto"/>
        <w:rPr>
          <w:rFonts w:cs="宋体" w:asciiTheme="majorEastAsia" w:hAnsiTheme="majorEastAsia" w:eastAsiaTheme="majorEastAsia"/>
          <w:color w:val="000000"/>
          <w:sz w:val="24"/>
        </w:rPr>
      </w:pPr>
      <w:bookmarkStart w:id="641" w:name="_Toc201719186"/>
      <w:r>
        <w:rPr>
          <w:rFonts w:hint="eastAsia" w:cs="宋体" w:asciiTheme="majorEastAsia" w:hAnsiTheme="majorEastAsia" w:eastAsiaTheme="majorEastAsia"/>
          <w:color w:val="000000"/>
          <w:sz w:val="24"/>
        </w:rPr>
        <w:t>一、价格部分</w:t>
      </w:r>
    </w:p>
    <w:p>
      <w:pPr>
        <w:spacing w:line="276" w:lineRule="auto"/>
        <w:ind w:firstLine="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）开标一览表（格式</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w:t>
      </w:r>
    </w:p>
    <w:p>
      <w:pPr>
        <w:spacing w:line="276" w:lineRule="auto"/>
        <w:ind w:left="426"/>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）投标报价表（格式</w:t>
      </w:r>
      <w:r>
        <w:rPr>
          <w:rFonts w:cs="宋体" w:asciiTheme="majorEastAsia" w:hAnsiTheme="majorEastAsia" w:eastAsiaTheme="majorEastAsia"/>
          <w:color w:val="000000"/>
          <w:sz w:val="24"/>
        </w:rPr>
        <w:t>2</w:t>
      </w:r>
      <w:r>
        <w:rPr>
          <w:rFonts w:hint="eastAsia" w:cs="宋体" w:asciiTheme="majorEastAsia" w:hAnsiTheme="majorEastAsia" w:eastAsiaTheme="majorEastAsia"/>
          <w:color w:val="000000"/>
          <w:sz w:val="24"/>
        </w:rPr>
        <w:t>）</w:t>
      </w:r>
    </w:p>
    <w:p>
      <w:pPr>
        <w:tabs>
          <w:tab w:val="left" w:pos="77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二、</w:t>
      </w:r>
      <w:r>
        <w:rPr>
          <w:rFonts w:hint="eastAsia" w:cs="宋体" w:asciiTheme="majorEastAsia" w:hAnsiTheme="majorEastAsia" w:eastAsiaTheme="majorEastAsia"/>
          <w:color w:val="000000"/>
          <w:sz w:val="24"/>
          <w:lang w:eastAsia="zh-CN"/>
        </w:rPr>
        <w:t>商务及资格审查部分</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cs="宋体" w:asciiTheme="majorEastAsia" w:hAnsiTheme="majorEastAsia" w:eastAsiaTheme="majorEastAsia"/>
          <w:color w:val="000000"/>
          <w:sz w:val="24"/>
        </w:rPr>
        <w:t>1</w:t>
      </w:r>
      <w:r>
        <w:rPr>
          <w:rFonts w:hint="eastAsia" w:cs="宋体" w:asciiTheme="majorEastAsia" w:hAnsiTheme="majorEastAsia" w:eastAsiaTheme="majorEastAsia"/>
          <w:color w:val="000000"/>
          <w:sz w:val="24"/>
        </w:rPr>
        <w:t>）投标函（格式</w:t>
      </w:r>
      <w:r>
        <w:rPr>
          <w:rFonts w:cs="宋体" w:asciiTheme="majorEastAsia" w:hAnsiTheme="majorEastAsia" w:eastAsiaTheme="majorEastAsia"/>
          <w:color w:val="000000"/>
          <w:sz w:val="24"/>
        </w:rPr>
        <w:t>3</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2</w:t>
      </w:r>
      <w:r>
        <w:rPr>
          <w:rFonts w:hint="eastAsia" w:cs="宋体" w:asciiTheme="majorEastAsia" w:hAnsiTheme="majorEastAsia" w:eastAsiaTheme="majorEastAsia"/>
          <w:color w:val="000000"/>
          <w:sz w:val="24"/>
        </w:rPr>
        <w:t>）法定代表人身份证明书（格式</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3</w:t>
      </w:r>
      <w:r>
        <w:rPr>
          <w:rFonts w:hint="eastAsia" w:cs="宋体" w:asciiTheme="majorEastAsia" w:hAnsiTheme="majorEastAsia" w:eastAsiaTheme="majorEastAsia"/>
          <w:color w:val="000000"/>
          <w:sz w:val="24"/>
        </w:rPr>
        <w:t>）被授权人身份证明书（格式</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4</w:t>
      </w:r>
      <w:r>
        <w:rPr>
          <w:rFonts w:hint="eastAsia" w:cs="宋体" w:asciiTheme="majorEastAsia" w:hAnsiTheme="majorEastAsia" w:eastAsiaTheme="majorEastAsia"/>
          <w:color w:val="000000"/>
          <w:sz w:val="24"/>
        </w:rPr>
        <w:t>）供应商基本情况表（格式</w:t>
      </w:r>
      <w:r>
        <w:rPr>
          <w:rFonts w:hint="eastAsia" w:cs="宋体" w:asciiTheme="majorEastAsia" w:hAnsiTheme="majorEastAsia" w:eastAsiaTheme="majorEastAsia"/>
          <w:color w:val="000000"/>
          <w:sz w:val="24"/>
          <w:lang w:val="en-US" w:eastAsia="zh-CN"/>
        </w:rPr>
        <w:t>6</w:t>
      </w:r>
      <w:r>
        <w:rPr>
          <w:rFonts w:hint="eastAsia" w:cs="宋体" w:asciiTheme="majorEastAsia" w:hAnsiTheme="majorEastAsia" w:eastAsiaTheme="majorEastAsia"/>
          <w:color w:val="000000"/>
          <w:sz w:val="24"/>
        </w:rPr>
        <w:t>）</w:t>
      </w:r>
    </w:p>
    <w:p>
      <w:pPr>
        <w:tabs>
          <w:tab w:val="left" w:pos="770"/>
        </w:tabs>
        <w:spacing w:line="276" w:lineRule="auto"/>
        <w:ind w:firstLine="480" w:firstLineChars="2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w:t>
      </w:r>
      <w:r>
        <w:rPr>
          <w:rFonts w:hint="eastAsia" w:cs="宋体" w:asciiTheme="majorEastAsia" w:hAnsiTheme="majorEastAsia" w:eastAsiaTheme="majorEastAsia"/>
          <w:color w:val="000000"/>
          <w:sz w:val="24"/>
          <w:lang w:val="en-US" w:eastAsia="zh-CN"/>
        </w:rPr>
        <w:t>5</w:t>
      </w:r>
      <w:r>
        <w:rPr>
          <w:rFonts w:hint="eastAsia" w:cs="宋体" w:asciiTheme="majorEastAsia" w:hAnsiTheme="majorEastAsia" w:eastAsiaTheme="majorEastAsia"/>
          <w:color w:val="000000"/>
          <w:sz w:val="24"/>
        </w:rPr>
        <w:t>）三年内在经营活动中没有重大违法记录的声明（格式</w:t>
      </w:r>
      <w:r>
        <w:rPr>
          <w:rFonts w:hint="eastAsia" w:cs="宋体" w:asciiTheme="majorEastAsia" w:hAnsiTheme="majorEastAsia" w:eastAsiaTheme="majorEastAsia"/>
          <w:color w:val="000000"/>
          <w:sz w:val="24"/>
          <w:lang w:val="en-US" w:eastAsia="zh-CN"/>
        </w:rPr>
        <w:t>7</w:t>
      </w:r>
      <w:r>
        <w:rPr>
          <w:rFonts w:hint="eastAsia" w:cs="宋体" w:asciiTheme="majorEastAsia" w:hAnsiTheme="majorEastAsia" w:eastAsiaTheme="majorEastAsia"/>
          <w:color w:val="000000"/>
          <w:sz w:val="24"/>
        </w:rPr>
        <w:t>）</w:t>
      </w:r>
    </w:p>
    <w:p>
      <w:pPr>
        <w:tabs>
          <w:tab w:val="left" w:pos="770"/>
        </w:tabs>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三、技术部分</w:t>
      </w:r>
    </w:p>
    <w:p>
      <w:pPr>
        <w:tabs>
          <w:tab w:val="left" w:pos="770"/>
        </w:tabs>
        <w:spacing w:line="276" w:lineRule="auto"/>
        <w:ind w:firstLine="480" w:firstLineChars="200"/>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w:t>
      </w:r>
      <w:r>
        <w:rPr>
          <w:rFonts w:hint="eastAsia" w:cs="宋体" w:asciiTheme="majorEastAsia" w:hAnsiTheme="majorEastAsia" w:eastAsiaTheme="majorEastAsia"/>
          <w:color w:val="000000"/>
          <w:sz w:val="24"/>
          <w:lang w:val="en-US" w:eastAsia="zh-CN"/>
        </w:rPr>
        <w:t>1</w:t>
      </w:r>
      <w:r>
        <w:rPr>
          <w:rFonts w:hint="eastAsia" w:cs="宋体" w:asciiTheme="majorEastAsia" w:hAnsiTheme="majorEastAsia" w:eastAsiaTheme="majorEastAsia"/>
          <w:color w:val="000000"/>
          <w:sz w:val="24"/>
          <w:lang w:eastAsia="zh-CN"/>
        </w:rPr>
        <w:t>）技术部分偏离表</w:t>
      </w:r>
      <w:r>
        <w:rPr>
          <w:rFonts w:hint="eastAsia" w:cs="宋体" w:asciiTheme="majorEastAsia" w:hAnsiTheme="majorEastAsia" w:eastAsiaTheme="majorEastAsia"/>
          <w:color w:val="000000"/>
          <w:sz w:val="24"/>
        </w:rPr>
        <w:t>（格式</w:t>
      </w:r>
      <w:r>
        <w:rPr>
          <w:rFonts w:hint="eastAsia" w:cs="宋体" w:asciiTheme="majorEastAsia" w:hAnsiTheme="majorEastAsia" w:eastAsiaTheme="majorEastAsia"/>
          <w:color w:val="000000"/>
          <w:sz w:val="24"/>
          <w:lang w:val="en-US" w:eastAsia="zh-CN"/>
        </w:rPr>
        <w:t>8</w:t>
      </w:r>
      <w:r>
        <w:rPr>
          <w:rFonts w:hint="eastAsia" w:cs="宋体" w:asciiTheme="majorEastAsia" w:hAnsiTheme="majorEastAsia" w:eastAsiaTheme="majorEastAsia"/>
          <w:color w:val="000000"/>
          <w:sz w:val="24"/>
        </w:rPr>
        <w:t>）</w:t>
      </w:r>
    </w:p>
    <w:p>
      <w:pPr>
        <w:tabs>
          <w:tab w:val="left" w:pos="770"/>
        </w:tabs>
        <w:spacing w:line="276" w:lineRule="auto"/>
        <w:ind w:firstLine="640" w:firstLineChars="200"/>
        <w:rPr>
          <w:rFonts w:cs="宋体" w:asciiTheme="majorEastAsia" w:hAnsiTheme="majorEastAsia" w:eastAsiaTheme="majorEastAsia"/>
          <w:b/>
          <w:bCs/>
          <w:color w:val="000000"/>
          <w:sz w:val="32"/>
        </w:rPr>
      </w:pPr>
      <w:r>
        <w:rPr>
          <w:rFonts w:hint="eastAsia" w:cs="宋体" w:asciiTheme="majorEastAsia" w:hAnsiTheme="majorEastAsia" w:eastAsiaTheme="majorEastAsia"/>
          <w:b/>
          <w:bCs/>
          <w:color w:val="000000"/>
          <w:sz w:val="32"/>
        </w:rPr>
        <w:t>...</w:t>
      </w:r>
    </w:p>
    <w:p>
      <w:pPr>
        <w:pStyle w:val="5"/>
        <w:ind w:firstLine="640" w:firstLineChars="200"/>
      </w:pPr>
      <w:r>
        <w:rPr>
          <w:rFonts w:hint="eastAsia" w:cs="宋体" w:asciiTheme="majorEastAsia" w:hAnsiTheme="majorEastAsia" w:eastAsiaTheme="majorEastAsia"/>
          <w:b/>
          <w:bCs/>
          <w:color w:val="000000"/>
          <w:sz w:val="32"/>
        </w:rPr>
        <w:t>...</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b/>
          <w:bCs/>
          <w:color w:val="000000"/>
          <w:sz w:val="32"/>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jc w:val="center"/>
        <w:rPr>
          <w:rFonts w:hint="eastAsia"/>
          <w:b/>
          <w:bCs/>
          <w:sz w:val="48"/>
          <w:szCs w:val="48"/>
          <w:lang w:val="zh-CN"/>
        </w:rPr>
      </w:pPr>
    </w:p>
    <w:p>
      <w:pPr>
        <w:pStyle w:val="5"/>
        <w:jc w:val="center"/>
        <w:rPr>
          <w:rFonts w:hint="eastAsia"/>
          <w:b/>
          <w:bCs/>
          <w:sz w:val="48"/>
          <w:szCs w:val="48"/>
          <w:lang w:val="zh-CN"/>
        </w:rPr>
      </w:pPr>
    </w:p>
    <w:p>
      <w:pPr>
        <w:pStyle w:val="5"/>
        <w:jc w:val="center"/>
        <w:rPr>
          <w:rFonts w:hint="eastAsia"/>
          <w:b/>
          <w:bCs/>
          <w:sz w:val="48"/>
          <w:szCs w:val="48"/>
          <w:lang w:val="zh-CN"/>
        </w:rPr>
      </w:pPr>
    </w:p>
    <w:p>
      <w:pPr>
        <w:pStyle w:val="5"/>
        <w:ind w:left="1" w:leftChars="-95" w:hanging="200" w:firstLineChars="0"/>
        <w:jc w:val="center"/>
        <w:rPr>
          <w:rFonts w:hint="eastAsia"/>
          <w:b/>
          <w:bCs/>
          <w:sz w:val="48"/>
          <w:szCs w:val="48"/>
          <w:lang w:val="zh-CN"/>
        </w:rPr>
      </w:pPr>
    </w:p>
    <w:p>
      <w:pPr>
        <w:pStyle w:val="5"/>
        <w:ind w:left="1" w:leftChars="-95" w:hanging="200" w:firstLineChars="0"/>
        <w:jc w:val="center"/>
        <w:rPr>
          <w:rFonts w:hint="eastAsia"/>
          <w:b/>
          <w:bCs/>
          <w:sz w:val="48"/>
          <w:szCs w:val="48"/>
          <w:lang w:val="zh-CN"/>
        </w:rPr>
      </w:pPr>
    </w:p>
    <w:p>
      <w:pPr>
        <w:rPr>
          <w:rFonts w:hint="eastAsia"/>
          <w:b/>
          <w:bCs/>
          <w:sz w:val="48"/>
          <w:szCs w:val="48"/>
          <w:lang w:val="zh-CN"/>
        </w:rPr>
      </w:pPr>
      <w:r>
        <w:rPr>
          <w:rFonts w:hint="eastAsia"/>
          <w:b/>
          <w:bCs/>
          <w:sz w:val="48"/>
          <w:szCs w:val="48"/>
          <w:lang w:val="zh-CN"/>
        </w:rPr>
        <w:br w:type="page"/>
      </w:r>
    </w:p>
    <w:p>
      <w:pPr>
        <w:pStyle w:val="5"/>
        <w:ind w:left="1" w:leftChars="-95" w:hanging="200" w:firstLineChars="0"/>
        <w:jc w:val="center"/>
        <w:rPr>
          <w:rFonts w:hint="eastAsia"/>
          <w:b/>
          <w:bCs/>
          <w:sz w:val="48"/>
          <w:szCs w:val="48"/>
          <w:lang w:val="zh-CN"/>
        </w:rPr>
      </w:pPr>
    </w:p>
    <w:p>
      <w:pPr>
        <w:pStyle w:val="5"/>
        <w:ind w:left="1" w:leftChars="-95" w:hanging="200" w:firstLineChars="0"/>
        <w:jc w:val="center"/>
        <w:rPr>
          <w:rFonts w:hint="eastAsia"/>
          <w:b/>
          <w:bCs/>
          <w:sz w:val="48"/>
          <w:szCs w:val="48"/>
          <w:lang w:val="zh-CN"/>
        </w:rPr>
      </w:pPr>
    </w:p>
    <w:p>
      <w:pPr>
        <w:pStyle w:val="5"/>
        <w:ind w:left="1" w:leftChars="-95" w:hanging="200" w:firstLineChars="0"/>
        <w:jc w:val="center"/>
        <w:rPr>
          <w:rFonts w:hint="eastAsia"/>
          <w:b/>
          <w:bCs/>
          <w:sz w:val="48"/>
          <w:szCs w:val="48"/>
          <w:lang w:val="zh-CN"/>
        </w:rPr>
      </w:pPr>
    </w:p>
    <w:p>
      <w:pPr>
        <w:pStyle w:val="5"/>
        <w:ind w:left="1" w:leftChars="-95" w:hanging="200" w:firstLineChars="0"/>
        <w:jc w:val="center"/>
        <w:rPr>
          <w:rFonts w:hint="eastAsia"/>
          <w:b/>
          <w:bCs/>
          <w:sz w:val="48"/>
          <w:szCs w:val="48"/>
          <w:lang w:val="zh-CN"/>
        </w:rPr>
      </w:pPr>
    </w:p>
    <w:p>
      <w:pPr>
        <w:pStyle w:val="5"/>
        <w:ind w:left="1" w:leftChars="-95" w:hanging="200" w:firstLineChars="0"/>
        <w:jc w:val="center"/>
        <w:rPr>
          <w:lang w:val="zh-CN"/>
        </w:rPr>
      </w:pPr>
      <w:r>
        <w:rPr>
          <w:rFonts w:hint="eastAsia"/>
          <w:b/>
          <w:bCs/>
          <w:sz w:val="48"/>
          <w:szCs w:val="48"/>
          <w:lang w:val="zh-CN"/>
        </w:rPr>
        <w:t>价格部分</w:t>
      </w: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p>
      <w:pPr>
        <w:pStyle w:val="5"/>
        <w:rPr>
          <w:lang w:val="zh-CN"/>
        </w:rPr>
      </w:pPr>
    </w:p>
    <w:bookmarkEnd w:id="641"/>
    <w:p>
      <w:pPr>
        <w:rPr>
          <w:rFonts w:hint="eastAsia"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br w:type="page"/>
      </w:r>
    </w:p>
    <w:p>
      <w:pPr>
        <w:spacing w:before="200" w:line="276" w:lineRule="auto"/>
        <w:rPr>
          <w:rFonts w:cs="宋体" w:asciiTheme="majorEastAsia" w:hAnsiTheme="majorEastAsia" w:eastAsiaTheme="majorEastAsia"/>
          <w:b/>
          <w:color w:val="000000"/>
          <w:sz w:val="28"/>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1 </w:t>
      </w:r>
    </w:p>
    <w:p>
      <w:pPr>
        <w:spacing w:before="200"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开标一览表</w:t>
      </w:r>
    </w:p>
    <w:p>
      <w:pPr>
        <w:snapToGrid w:val="0"/>
        <w:spacing w:line="276" w:lineRule="auto"/>
        <w:jc w:val="left"/>
        <w:rPr>
          <w:rFonts w:cs="宋体" w:asciiTheme="majorEastAsia" w:hAnsiTheme="majorEastAsia" w:eastAsiaTheme="majorEastAsia"/>
          <w:color w:val="000000"/>
          <w:sz w:val="24"/>
        </w:rPr>
      </w:pPr>
      <w:bookmarkStart w:id="642" w:name="_Toc98580424"/>
      <w:r>
        <w:rPr>
          <w:rFonts w:hint="eastAsia" w:cs="宋体" w:asciiTheme="majorEastAsia" w:hAnsiTheme="majorEastAsia" w:eastAsiaTheme="majorEastAsia"/>
          <w:color w:val="000000"/>
          <w:sz w:val="24"/>
        </w:rPr>
        <w:t>项目名称：</w:t>
      </w:r>
    </w:p>
    <w:p>
      <w:pPr>
        <w:snapToGrid w:val="0"/>
        <w:spacing w:line="276" w:lineRule="auto"/>
        <w:ind w:left="4680" w:hanging="4680" w:hangingChars="1950"/>
        <w:jc w:val="lef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招标编号：</w:t>
      </w:r>
    </w:p>
    <w:tbl>
      <w:tblPr>
        <w:tblStyle w:val="30"/>
        <w:tblW w:w="8667" w:type="dxa"/>
        <w:tblInd w:w="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2427"/>
        <w:gridCol w:w="1443"/>
        <w:gridCol w:w="1957"/>
        <w:gridCol w:w="1167"/>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91" w:hRule="atLeast"/>
        </w:trPr>
        <w:tc>
          <w:tcPr>
            <w:tcW w:w="578"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2427"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名称</w:t>
            </w:r>
          </w:p>
        </w:tc>
        <w:tc>
          <w:tcPr>
            <w:tcW w:w="1443"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投标报价（元）</w:t>
            </w:r>
          </w:p>
        </w:tc>
        <w:tc>
          <w:tcPr>
            <w:tcW w:w="1957" w:type="dxa"/>
            <w:vAlign w:val="center"/>
          </w:tcPr>
          <w:p>
            <w:pPr>
              <w:spacing w:line="276" w:lineRule="auto"/>
              <w:jc w:val="center"/>
              <w:rPr>
                <w:rFonts w:cs="宋体" w:asciiTheme="majorEastAsia" w:hAnsiTheme="majorEastAsia" w:eastAsiaTheme="majorEastAsia"/>
                <w:color w:val="000000"/>
                <w:sz w:val="24"/>
              </w:rPr>
            </w:pPr>
            <w:bookmarkStart w:id="643" w:name="OLE_LINK25"/>
            <w:r>
              <w:rPr>
                <w:rFonts w:hint="eastAsia" w:cs="宋体" w:asciiTheme="majorEastAsia" w:hAnsiTheme="majorEastAsia" w:eastAsiaTheme="majorEastAsia"/>
                <w:color w:val="000000"/>
                <w:sz w:val="24"/>
              </w:rPr>
              <w:t>合同履行期限（供货期）</w:t>
            </w:r>
            <w:bookmarkEnd w:id="643"/>
          </w:p>
        </w:tc>
        <w:tc>
          <w:tcPr>
            <w:tcW w:w="1167" w:type="dxa"/>
            <w:vAlign w:val="center"/>
          </w:tcPr>
          <w:p>
            <w:pPr>
              <w:spacing w:line="276" w:lineRule="auto"/>
              <w:jc w:val="center"/>
              <w:rPr>
                <w:rFonts w:cs="宋体" w:asciiTheme="majorEastAsia" w:hAnsiTheme="majorEastAsia" w:eastAsiaTheme="majorEastAsia"/>
                <w:color w:val="000000"/>
                <w:sz w:val="24"/>
              </w:rPr>
            </w:pPr>
            <w:bookmarkStart w:id="644" w:name="OLE_LINK26"/>
            <w:r>
              <w:rPr>
                <w:rFonts w:hint="eastAsia" w:cs="宋体" w:asciiTheme="majorEastAsia" w:hAnsiTheme="majorEastAsia" w:eastAsiaTheme="majorEastAsia"/>
                <w:color w:val="000000"/>
                <w:sz w:val="24"/>
              </w:rPr>
              <w:t>质量要求</w:t>
            </w:r>
            <w:bookmarkEnd w:id="644"/>
          </w:p>
        </w:tc>
        <w:tc>
          <w:tcPr>
            <w:tcW w:w="1095" w:type="dxa"/>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3" w:hRule="atLeast"/>
        </w:trPr>
        <w:tc>
          <w:tcPr>
            <w:tcW w:w="578" w:type="dxa"/>
            <w:vAlign w:val="center"/>
          </w:tcPr>
          <w:p>
            <w:pPr>
              <w:spacing w:line="276" w:lineRule="auto"/>
              <w:jc w:val="center"/>
              <w:rPr>
                <w:rFonts w:cs="宋体" w:asciiTheme="majorEastAsia" w:hAnsiTheme="majorEastAsia" w:eastAsiaTheme="majorEastAsia"/>
                <w:color w:val="000000"/>
                <w:sz w:val="24"/>
              </w:rPr>
            </w:pPr>
          </w:p>
        </w:tc>
        <w:tc>
          <w:tcPr>
            <w:tcW w:w="2427" w:type="dxa"/>
            <w:vAlign w:val="center"/>
          </w:tcPr>
          <w:p>
            <w:pPr>
              <w:spacing w:line="276" w:lineRule="auto"/>
              <w:jc w:val="center"/>
              <w:rPr>
                <w:rFonts w:cs="宋体" w:asciiTheme="majorEastAsia" w:hAnsiTheme="majorEastAsia" w:eastAsiaTheme="majorEastAsia"/>
                <w:color w:val="000000"/>
                <w:sz w:val="24"/>
              </w:rPr>
            </w:pPr>
          </w:p>
        </w:tc>
        <w:tc>
          <w:tcPr>
            <w:tcW w:w="1443" w:type="dxa"/>
            <w:vAlign w:val="center"/>
          </w:tcPr>
          <w:p>
            <w:pPr>
              <w:spacing w:line="276" w:lineRule="auto"/>
              <w:jc w:val="center"/>
              <w:rPr>
                <w:rFonts w:cs="宋体" w:asciiTheme="majorEastAsia" w:hAnsiTheme="majorEastAsia" w:eastAsiaTheme="majorEastAsia"/>
                <w:color w:val="000000"/>
                <w:sz w:val="24"/>
              </w:rPr>
            </w:pPr>
          </w:p>
        </w:tc>
        <w:tc>
          <w:tcPr>
            <w:tcW w:w="1957" w:type="dxa"/>
            <w:vAlign w:val="center"/>
          </w:tcPr>
          <w:p>
            <w:pPr>
              <w:spacing w:line="276" w:lineRule="auto"/>
              <w:jc w:val="center"/>
              <w:rPr>
                <w:rFonts w:cs="宋体" w:asciiTheme="majorEastAsia" w:hAnsiTheme="majorEastAsia" w:eastAsiaTheme="majorEastAsia"/>
                <w:color w:val="000000"/>
                <w:sz w:val="24"/>
              </w:rPr>
            </w:pPr>
          </w:p>
        </w:tc>
        <w:tc>
          <w:tcPr>
            <w:tcW w:w="1167" w:type="dxa"/>
            <w:vAlign w:val="center"/>
          </w:tcPr>
          <w:p>
            <w:pPr>
              <w:spacing w:line="276" w:lineRule="auto"/>
              <w:jc w:val="center"/>
              <w:rPr>
                <w:rFonts w:cs="宋体" w:asciiTheme="majorEastAsia" w:hAnsiTheme="majorEastAsia" w:eastAsiaTheme="majorEastAsia"/>
                <w:color w:val="000000"/>
                <w:sz w:val="24"/>
              </w:rPr>
            </w:pPr>
          </w:p>
        </w:tc>
        <w:tc>
          <w:tcPr>
            <w:tcW w:w="1095" w:type="dxa"/>
          </w:tcPr>
          <w:p>
            <w:pPr>
              <w:spacing w:line="276" w:lineRule="auto"/>
              <w:jc w:val="center"/>
              <w:rPr>
                <w:rFonts w:cs="宋体" w:asciiTheme="majorEastAsia" w:hAnsiTheme="majorEastAsia" w:eastAsiaTheme="majorEastAsia"/>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3005" w:type="dxa"/>
            <w:gridSpan w:val="2"/>
            <w:vAlign w:val="center"/>
          </w:tcPr>
          <w:p>
            <w:pPr>
              <w:spacing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总价（小写）</w:t>
            </w:r>
          </w:p>
        </w:tc>
        <w:tc>
          <w:tcPr>
            <w:tcW w:w="5662" w:type="dxa"/>
            <w:gridSpan w:val="4"/>
          </w:tcPr>
          <w:p>
            <w:pPr>
              <w:spacing w:line="276" w:lineRule="auto"/>
              <w:jc w:val="center"/>
              <w:rPr>
                <w:rFonts w:cs="宋体" w:asciiTheme="majorEastAsia" w:hAnsiTheme="majorEastAsia" w:eastAsiaTheme="majorEastAsia"/>
                <w:color w:val="000000"/>
                <w:sz w:val="24"/>
              </w:rPr>
            </w:pPr>
          </w:p>
        </w:tc>
      </w:tr>
    </w:tbl>
    <w:p>
      <w:pPr>
        <w:pStyle w:val="86"/>
        <w:spacing w:line="276" w:lineRule="auto"/>
        <w:jc w:val="left"/>
        <w:rPr>
          <w:rFonts w:cs="宋体" w:asciiTheme="majorEastAsia" w:hAnsiTheme="majorEastAsia" w:eastAsiaTheme="majorEastAsia"/>
          <w:color w:val="000000"/>
          <w:sz w:val="24"/>
          <w:szCs w:val="24"/>
        </w:rPr>
      </w:pPr>
    </w:p>
    <w:p>
      <w:pPr>
        <w:pStyle w:val="86"/>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1</w:t>
      </w:r>
      <w:r>
        <w:rPr>
          <w:rFonts w:hint="eastAsia" w:cs="宋体" w:asciiTheme="majorEastAsia" w:hAnsiTheme="majorEastAsia" w:eastAsiaTheme="majorEastAsia"/>
          <w:color w:val="000000"/>
          <w:sz w:val="24"/>
          <w:szCs w:val="24"/>
        </w:rPr>
        <w:t>、本表为开标唱标用，应单独用小信封密封，与投标文件一并送达；</w:t>
      </w:r>
    </w:p>
    <w:p>
      <w:pPr>
        <w:pStyle w:val="86"/>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2</w:t>
      </w:r>
      <w:r>
        <w:rPr>
          <w:rFonts w:hint="eastAsia" w:cs="宋体" w:asciiTheme="majorEastAsia" w:hAnsiTheme="majorEastAsia" w:eastAsiaTheme="majorEastAsia"/>
          <w:color w:val="000000"/>
          <w:sz w:val="24"/>
          <w:szCs w:val="24"/>
        </w:rPr>
        <w:t>、填报的内容必须和投标函中的内容一致；如不一致，以报标函中相关内容为准；</w:t>
      </w:r>
    </w:p>
    <w:p>
      <w:pPr>
        <w:pStyle w:val="86"/>
        <w:spacing w:line="276" w:lineRule="auto"/>
        <w:jc w:val="left"/>
        <w:rPr>
          <w:rFonts w:cs="宋体" w:asciiTheme="majorEastAsia" w:hAnsiTheme="majorEastAsia" w:eastAsiaTheme="majorEastAsia"/>
          <w:color w:val="000000"/>
          <w:sz w:val="24"/>
          <w:szCs w:val="24"/>
        </w:rPr>
      </w:pPr>
      <w:r>
        <w:rPr>
          <w:rFonts w:cs="宋体" w:asciiTheme="majorEastAsia" w:hAnsiTheme="majorEastAsia" w:eastAsiaTheme="majorEastAsia"/>
          <w:color w:val="000000"/>
          <w:sz w:val="24"/>
          <w:szCs w:val="24"/>
        </w:rPr>
        <w:t>3</w:t>
      </w:r>
      <w:r>
        <w:rPr>
          <w:rFonts w:hint="eastAsia" w:cs="宋体" w:asciiTheme="majorEastAsia" w:hAnsiTheme="majorEastAsia" w:eastAsiaTheme="majorEastAsia"/>
          <w:color w:val="000000"/>
          <w:sz w:val="24"/>
          <w:szCs w:val="24"/>
        </w:rPr>
        <w:t>、投标函、开标一览表中的大、小写金额报价不一致时，以投标函中的大写金额报价为准。</w:t>
      </w:r>
    </w:p>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autoSpaceDE w:val="0"/>
        <w:autoSpaceDN w:val="0"/>
        <w:adjustRightInd w:val="0"/>
        <w:spacing w:line="276" w:lineRule="auto"/>
        <w:jc w:val="left"/>
        <w:rPr>
          <w:rFonts w:cs="宋体" w:asciiTheme="majorEastAsia" w:hAnsiTheme="majorEastAsia" w:eastAsiaTheme="majorEastAsia"/>
          <w:bCs/>
          <w:color w:val="000000"/>
          <w:sz w:val="24"/>
          <w:lang w:val="zh-CN"/>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napToGrid w:val="0"/>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pPr>
        <w:snapToGrid w:val="0"/>
        <w:spacing w:line="276" w:lineRule="auto"/>
        <w:jc w:val="center"/>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bCs/>
          <w:color w:val="000000"/>
          <w:sz w:val="24"/>
          <w:lang w:val="zh-CN"/>
        </w:rPr>
      </w:pPr>
    </w:p>
    <w:p>
      <w:pPr>
        <w:snapToGrid w:val="0"/>
        <w:spacing w:line="276" w:lineRule="auto"/>
        <w:jc w:val="right"/>
        <w:rPr>
          <w:rFonts w:cs="宋体" w:asciiTheme="majorEastAsia" w:hAnsiTheme="majorEastAsia" w:eastAsiaTheme="majorEastAsia"/>
          <w:color w:val="000000"/>
          <w:sz w:val="32"/>
          <w:lang w:val="zh-CN"/>
        </w:rPr>
      </w:pPr>
      <w:r>
        <w:rPr>
          <w:rFonts w:hint="eastAsia" w:cs="宋体" w:asciiTheme="majorEastAsia" w:hAnsiTheme="majorEastAsia" w:eastAsiaTheme="majorEastAsia"/>
          <w:bCs/>
          <w:color w:val="000000"/>
          <w:sz w:val="24"/>
          <w:lang w:val="zh-CN"/>
        </w:rPr>
        <w:t>日期：年月日</w:t>
      </w:r>
    </w:p>
    <w:bookmarkEnd w:id="642"/>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b/>
          <w:color w:val="000000"/>
          <w:sz w:val="24"/>
        </w:rPr>
      </w:pPr>
      <w:bookmarkStart w:id="645" w:name="_Toc98580425"/>
      <w:bookmarkStart w:id="646" w:name="_Toc48199907"/>
    </w:p>
    <w:p>
      <w:pPr>
        <w:pStyle w:val="5"/>
      </w:pPr>
    </w:p>
    <w:p>
      <w:pPr>
        <w:pStyle w:val="5"/>
      </w:pPr>
    </w:p>
    <w:p>
      <w:pPr>
        <w:rPr>
          <w:rFonts w:hint="eastAsia"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br w:type="page"/>
      </w:r>
    </w:p>
    <w:p>
      <w:pPr>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2   </w:t>
      </w:r>
    </w:p>
    <w:bookmarkEnd w:id="645"/>
    <w:bookmarkEnd w:id="646"/>
    <w:p>
      <w:pPr>
        <w:pStyle w:val="88"/>
        <w:spacing w:line="276" w:lineRule="auto"/>
        <w:jc w:val="center"/>
        <w:rPr>
          <w:rFonts w:cs="宋体" w:asciiTheme="majorEastAsia" w:hAnsiTheme="majorEastAsia" w:eastAsiaTheme="majorEastAsia"/>
          <w:b/>
          <w:color w:val="000000"/>
          <w:kern w:val="2"/>
          <w:sz w:val="36"/>
          <w:szCs w:val="30"/>
        </w:rPr>
      </w:pPr>
      <w:r>
        <w:rPr>
          <w:rFonts w:hint="eastAsia" w:cs="宋体" w:asciiTheme="majorEastAsia" w:hAnsiTheme="majorEastAsia" w:eastAsiaTheme="majorEastAsia"/>
          <w:b/>
          <w:color w:val="000000"/>
          <w:kern w:val="2"/>
          <w:sz w:val="36"/>
          <w:szCs w:val="30"/>
        </w:rPr>
        <w:t>投标报价表</w:t>
      </w:r>
    </w:p>
    <w:p>
      <w:pPr>
        <w:pStyle w:val="88"/>
        <w:spacing w:line="276" w:lineRule="auto"/>
        <w:rPr>
          <w:rFonts w:cs="宋体" w:asciiTheme="majorEastAsia" w:hAnsiTheme="majorEastAsia" w:eastAsiaTheme="majorEastAsia"/>
          <w:color w:val="000000"/>
        </w:rPr>
      </w:pPr>
      <w:r>
        <w:rPr>
          <w:rFonts w:hint="eastAsia" w:cs="宋体" w:asciiTheme="majorEastAsia" w:hAnsiTheme="majorEastAsia" w:eastAsiaTheme="majorEastAsia"/>
          <w:color w:val="000000"/>
        </w:rPr>
        <w:t>项目编号：</w:t>
      </w:r>
    </w:p>
    <w:tbl>
      <w:tblPr>
        <w:tblStyle w:val="30"/>
        <w:tblW w:w="9330" w:type="dxa"/>
        <w:tblInd w:w="-34" w:type="dxa"/>
        <w:tblLayout w:type="fixed"/>
        <w:tblCellMar>
          <w:top w:w="0" w:type="dxa"/>
          <w:left w:w="108" w:type="dxa"/>
          <w:bottom w:w="0" w:type="dxa"/>
          <w:right w:w="108" w:type="dxa"/>
        </w:tblCellMar>
      </w:tblPr>
      <w:tblGrid>
        <w:gridCol w:w="774"/>
        <w:gridCol w:w="1463"/>
        <w:gridCol w:w="1210"/>
        <w:gridCol w:w="1740"/>
        <w:gridCol w:w="1381"/>
        <w:gridCol w:w="1381"/>
        <w:gridCol w:w="1381"/>
      </w:tblGrid>
      <w:tr>
        <w:tblPrEx>
          <w:tblCellMar>
            <w:top w:w="0" w:type="dxa"/>
            <w:left w:w="108" w:type="dxa"/>
            <w:bottom w:w="0" w:type="dxa"/>
            <w:right w:w="108" w:type="dxa"/>
          </w:tblCellMar>
        </w:tblPrEx>
        <w:trPr>
          <w:trHeight w:val="986" w:hRule="atLeast"/>
        </w:trPr>
        <w:tc>
          <w:tcPr>
            <w:tcW w:w="774" w:type="dxa"/>
            <w:tcBorders>
              <w:top w:val="single" w:color="000000" w:sz="8" w:space="0"/>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序号</w:t>
            </w:r>
          </w:p>
        </w:tc>
        <w:tc>
          <w:tcPr>
            <w:tcW w:w="1463" w:type="dxa"/>
            <w:tcBorders>
              <w:top w:val="single" w:color="000000" w:sz="8" w:space="0"/>
              <w:left w:val="single" w:color="000000"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设备</w:t>
            </w:r>
          </w:p>
        </w:tc>
        <w:tc>
          <w:tcPr>
            <w:tcW w:w="1210" w:type="dxa"/>
            <w:tcBorders>
              <w:top w:val="single" w:color="000000" w:sz="8" w:space="0"/>
              <w:left w:val="single" w:color="000000" w:sz="4" w:space="0"/>
              <w:bottom w:val="single" w:color="000000" w:sz="4" w:space="0"/>
              <w:right w:val="single" w:color="auto" w:sz="4" w:space="0"/>
            </w:tcBorders>
            <w:shd w:val="clear" w:color="FFFFFF" w:fill="FFFFFF"/>
            <w:vAlign w:val="center"/>
          </w:tcPr>
          <w:p>
            <w:pPr>
              <w:widowControl/>
              <w:spacing w:line="276" w:lineRule="auto"/>
              <w:jc w:val="center"/>
              <w:rPr>
                <w:rFonts w:hint="default" w:cs="宋体" w:asciiTheme="majorEastAsia" w:hAnsiTheme="majorEastAsia" w:eastAsiaTheme="majorEastAsia"/>
                <w:color w:val="000000"/>
                <w:kern w:val="0"/>
                <w:sz w:val="24"/>
                <w:lang w:val="en-US" w:eastAsia="zh-CN"/>
              </w:rPr>
            </w:pPr>
            <w:r>
              <w:rPr>
                <w:rFonts w:hint="eastAsia" w:cs="宋体" w:asciiTheme="majorEastAsia" w:hAnsiTheme="majorEastAsia" w:eastAsiaTheme="majorEastAsia"/>
                <w:color w:val="000000"/>
                <w:kern w:val="0"/>
                <w:sz w:val="24"/>
              </w:rPr>
              <w:t>规格</w:t>
            </w:r>
            <w:r>
              <w:rPr>
                <w:rFonts w:hint="eastAsia" w:cs="宋体" w:asciiTheme="majorEastAsia" w:hAnsiTheme="majorEastAsia" w:eastAsiaTheme="majorEastAsia"/>
                <w:color w:val="000000"/>
                <w:kern w:val="0"/>
                <w:sz w:val="24"/>
                <w:lang w:val="en-US" w:eastAsia="zh-CN"/>
              </w:rPr>
              <w:t>/型号/技术标准</w:t>
            </w: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计量单位</w:t>
            </w:r>
          </w:p>
        </w:tc>
        <w:tc>
          <w:tcPr>
            <w:tcW w:w="1381" w:type="dxa"/>
            <w:tcBorders>
              <w:top w:val="single" w:color="000000" w:sz="8" w:space="0"/>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数量</w:t>
            </w:r>
          </w:p>
        </w:tc>
        <w:tc>
          <w:tcPr>
            <w:tcW w:w="1381" w:type="dxa"/>
            <w:tcBorders>
              <w:top w:val="single" w:color="000000" w:sz="8" w:space="0"/>
              <w:left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单价</w:t>
            </w:r>
          </w:p>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（元）</w:t>
            </w:r>
          </w:p>
        </w:tc>
        <w:tc>
          <w:tcPr>
            <w:tcW w:w="1381" w:type="dxa"/>
            <w:tcBorders>
              <w:top w:val="single" w:color="000000" w:sz="8" w:space="0"/>
              <w:left w:val="single" w:color="000000" w:sz="4" w:space="0"/>
              <w:right w:val="single" w:color="000000" w:sz="4" w:space="0"/>
            </w:tcBorders>
            <w:shd w:val="clear" w:color="FFFFFF" w:fill="FFFFFF"/>
            <w:vAlign w:val="center"/>
          </w:tcPr>
          <w:p>
            <w:pPr>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总价</w:t>
            </w:r>
          </w:p>
          <w:p>
            <w:pPr>
              <w:widowControl/>
              <w:spacing w:line="276" w:lineRule="auto"/>
              <w:jc w:val="center"/>
              <w:rPr>
                <w:rFonts w:cs="宋体" w:asciiTheme="majorEastAsia" w:hAnsiTheme="majorEastAsia" w:eastAsiaTheme="majorEastAsia"/>
                <w:color w:val="000000"/>
                <w:kern w:val="0"/>
                <w:sz w:val="24"/>
              </w:rPr>
            </w:pPr>
            <w:r>
              <w:rPr>
                <w:rFonts w:hint="eastAsia" w:cs="宋体" w:asciiTheme="majorEastAsia" w:hAnsiTheme="majorEastAsia" w:eastAsiaTheme="majorEastAsia"/>
                <w:color w:val="000000"/>
                <w:kern w:val="0"/>
                <w:sz w:val="24"/>
              </w:rPr>
              <w:t>（元）</w:t>
            </w:r>
          </w:p>
        </w:tc>
      </w:tr>
      <w:tr>
        <w:tblPrEx>
          <w:tblCellMar>
            <w:top w:w="0" w:type="dxa"/>
            <w:left w:w="108" w:type="dxa"/>
            <w:bottom w:w="0" w:type="dxa"/>
            <w:right w:w="108" w:type="dxa"/>
          </w:tblCellMar>
        </w:tblPrEx>
        <w:trPr>
          <w:trHeight w:val="624"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r>
        <w:tblPrEx>
          <w:tblCellMar>
            <w:top w:w="0" w:type="dxa"/>
            <w:left w:w="108" w:type="dxa"/>
            <w:bottom w:w="0" w:type="dxa"/>
            <w:right w:w="108" w:type="dxa"/>
          </w:tblCellMar>
        </w:tblPrEx>
        <w:trPr>
          <w:trHeight w:val="586" w:hRule="atLeast"/>
        </w:trPr>
        <w:tc>
          <w:tcPr>
            <w:tcW w:w="774" w:type="dxa"/>
            <w:tcBorders>
              <w:top w:val="nil"/>
              <w:left w:val="single" w:color="000000" w:sz="8"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463" w:type="dxa"/>
            <w:tcBorders>
              <w:top w:val="nil"/>
              <w:left w:val="nil"/>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210" w:type="dxa"/>
            <w:tcBorders>
              <w:top w:val="nil"/>
              <w:left w:val="nil"/>
              <w:bottom w:val="single" w:color="000000"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740" w:type="dxa"/>
            <w:tcBorders>
              <w:top w:val="single" w:color="auto" w:sz="4" w:space="0"/>
              <w:left w:val="single" w:color="auto" w:sz="4" w:space="0"/>
              <w:bottom w:val="single" w:color="auto" w:sz="4" w:space="0"/>
              <w:right w:val="single" w:color="auto"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nil"/>
              <w:left w:val="single" w:color="auto" w:sz="4" w:space="0"/>
              <w:bottom w:val="single" w:color="000000" w:sz="4" w:space="0"/>
              <w:right w:val="single" w:color="000000" w:sz="4" w:space="0"/>
            </w:tcBorders>
            <w:shd w:val="clear" w:color="FFFFFF" w:fill="FFFFFF"/>
            <w:vAlign w:val="center"/>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c>
          <w:tcPr>
            <w:tcW w:w="1381" w:type="dxa"/>
            <w:tcBorders>
              <w:top w:val="single" w:color="auto" w:sz="4" w:space="0"/>
              <w:left w:val="single" w:color="auto" w:sz="4" w:space="0"/>
              <w:bottom w:val="single" w:color="auto" w:sz="4" w:space="0"/>
              <w:right w:val="single" w:color="auto" w:sz="4" w:space="0"/>
            </w:tcBorders>
            <w:shd w:val="clear" w:color="FFFFFF" w:fill="FFFFFF"/>
          </w:tcPr>
          <w:p>
            <w:pPr>
              <w:widowControl/>
              <w:spacing w:line="276" w:lineRule="auto"/>
              <w:jc w:val="center"/>
              <w:rPr>
                <w:rFonts w:cs="宋体" w:asciiTheme="majorEastAsia" w:hAnsiTheme="majorEastAsia" w:eastAsiaTheme="majorEastAsia"/>
                <w:color w:val="000000"/>
                <w:kern w:val="0"/>
                <w:sz w:val="18"/>
                <w:szCs w:val="18"/>
              </w:rPr>
            </w:pPr>
          </w:p>
        </w:tc>
      </w:tr>
    </w:tbl>
    <w:p>
      <w:pPr>
        <w:spacing w:line="276" w:lineRule="auto"/>
        <w:rPr>
          <w:rFonts w:cs="宋体" w:asciiTheme="majorEastAsia" w:hAnsiTheme="majorEastAsia" w:eastAsiaTheme="majorEastAsia"/>
          <w:sz w:val="36"/>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w:t>
      </w:r>
      <w:r>
        <w:rPr>
          <w:rFonts w:hint="eastAsia" w:cs="宋体" w:asciiTheme="majorEastAsia" w:hAnsiTheme="majorEastAsia" w:eastAsiaTheme="majorEastAsia"/>
          <w:color w:val="000000"/>
          <w:sz w:val="24"/>
          <w:lang w:val="en-US" w:eastAsia="zh-CN"/>
        </w:rPr>
        <w:t>或盖章</w:t>
      </w:r>
      <w:r>
        <w:rPr>
          <w:rFonts w:hint="eastAsia" w:cs="宋体" w:asciiTheme="majorEastAsia" w:hAnsiTheme="majorEastAsia" w:eastAsiaTheme="majorEastAsia"/>
          <w:color w:val="000000"/>
          <w:sz w:val="24"/>
        </w:rPr>
        <w:t>）：</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hint="default"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备注：报价表可以根据清单要求自拟</w:t>
      </w: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p>
    <w:p>
      <w:pPr>
        <w:spacing w:line="276" w:lineRule="auto"/>
        <w:jc w:val="center"/>
        <w:rPr>
          <w:rFonts w:hint="eastAsia" w:cs="宋体" w:asciiTheme="majorEastAsia" w:hAnsiTheme="majorEastAsia" w:eastAsiaTheme="majorEastAsia"/>
          <w:b/>
          <w:color w:val="000000"/>
          <w:sz w:val="44"/>
          <w:szCs w:val="44"/>
          <w:lang w:eastAsia="zh-CN"/>
        </w:rPr>
      </w:pPr>
      <w:r>
        <w:rPr>
          <w:rFonts w:hint="eastAsia" w:cs="宋体" w:asciiTheme="majorEastAsia" w:hAnsiTheme="majorEastAsia" w:eastAsiaTheme="majorEastAsia"/>
          <w:b/>
          <w:color w:val="000000"/>
          <w:sz w:val="44"/>
          <w:szCs w:val="44"/>
          <w:lang w:eastAsia="zh-CN"/>
        </w:rPr>
        <w:t>商务及资格审查部分</w:t>
      </w: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spacing w:line="276" w:lineRule="auto"/>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p>
    <w:p>
      <w:pPr>
        <w:pStyle w:val="28"/>
        <w:rPr>
          <w:rFonts w:hint="eastAsia"/>
        </w:rPr>
      </w:pPr>
    </w:p>
    <w:p>
      <w:pPr>
        <w:spacing w:line="276" w:lineRule="auto"/>
        <w:rPr>
          <w:rFonts w:hint="eastAsia" w:cs="宋体" w:asciiTheme="majorEastAsia" w:hAnsiTheme="majorEastAsia" w:eastAsiaTheme="majorEastAsia"/>
          <w:b/>
          <w:color w:val="000000"/>
          <w:sz w:val="24"/>
        </w:rPr>
      </w:pPr>
    </w:p>
    <w:p>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 xml:space="preserve">3     </w:t>
      </w: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投标函</w:t>
      </w:r>
    </w:p>
    <w:p>
      <w:pPr>
        <w:spacing w:line="276" w:lineRule="auto"/>
        <w:jc w:val="left"/>
        <w:rPr>
          <w:rFonts w:hint="eastAsia" w:cs="宋体" w:asciiTheme="majorEastAsia" w:hAnsiTheme="majorEastAsia" w:eastAsiaTheme="majorEastAsia"/>
          <w:b/>
          <w:color w:val="000000"/>
          <w:sz w:val="28"/>
          <w:u w:val="single"/>
          <w:lang w:eastAsia="zh-CN"/>
        </w:rPr>
      </w:pPr>
      <w:r>
        <w:rPr>
          <w:rFonts w:hint="eastAsia" w:cs="宋体" w:asciiTheme="majorEastAsia" w:hAnsiTheme="majorEastAsia" w:eastAsiaTheme="majorEastAsia"/>
          <w:b/>
          <w:bCs/>
          <w:color w:val="000000"/>
          <w:sz w:val="28"/>
        </w:rPr>
        <w:t>致</w:t>
      </w:r>
      <w:r>
        <w:rPr>
          <w:rFonts w:hint="eastAsia" w:cs="宋体" w:asciiTheme="majorEastAsia" w:hAnsiTheme="majorEastAsia" w:eastAsiaTheme="majorEastAsia"/>
          <w:b/>
          <w:color w:val="000000"/>
          <w:sz w:val="28"/>
        </w:rPr>
        <w:t>：</w:t>
      </w:r>
      <w:r>
        <w:rPr>
          <w:rFonts w:hint="eastAsia" w:cs="宋体" w:asciiTheme="majorEastAsia" w:hAnsiTheme="majorEastAsia" w:eastAsiaTheme="majorEastAsia"/>
          <w:b/>
          <w:color w:val="000000"/>
          <w:sz w:val="28"/>
          <w:u w:val="single"/>
          <w:lang w:eastAsia="zh-CN"/>
        </w:rPr>
        <w:t>东联建建筑咨询有限公司</w:t>
      </w:r>
    </w:p>
    <w:p>
      <w:pPr>
        <w:spacing w:line="276" w:lineRule="auto"/>
        <w:ind w:firstLine="480" w:firstLineChars="200"/>
        <w:rPr>
          <w:rFonts w:cs="宋体" w:asciiTheme="majorEastAsia" w:hAnsiTheme="majorEastAsia" w:eastAsiaTheme="majorEastAsia"/>
          <w:color w:val="000000"/>
          <w:sz w:val="24"/>
          <w:szCs w:val="28"/>
          <w:lang w:val="zh-CN"/>
        </w:rPr>
      </w:pPr>
      <w:r>
        <w:rPr>
          <w:rFonts w:hint="eastAsia" w:cs="宋体" w:asciiTheme="majorEastAsia" w:hAnsiTheme="majorEastAsia" w:eastAsiaTheme="majorEastAsia"/>
          <w:color w:val="000000"/>
          <w:sz w:val="24"/>
          <w:szCs w:val="28"/>
        </w:rPr>
        <w:t>根据已收到招标编号为的</w:t>
      </w:r>
      <w:r>
        <w:rPr>
          <w:rFonts w:hint="eastAsia" w:cs="宋体" w:asciiTheme="majorEastAsia" w:hAnsiTheme="majorEastAsia" w:eastAsiaTheme="majorEastAsia"/>
          <w:bCs/>
          <w:color w:val="000000"/>
          <w:sz w:val="24"/>
          <w:szCs w:val="28"/>
          <w:u w:val="single"/>
        </w:rPr>
        <w:t>（项目名称）</w:t>
      </w:r>
      <w:r>
        <w:rPr>
          <w:rFonts w:hint="eastAsia" w:cs="宋体" w:asciiTheme="majorEastAsia" w:hAnsiTheme="majorEastAsia" w:eastAsiaTheme="majorEastAsia"/>
          <w:bCs/>
          <w:color w:val="000000"/>
          <w:sz w:val="24"/>
          <w:szCs w:val="28"/>
          <w:u w:val="single"/>
          <w:lang w:val="en-US" w:eastAsia="zh-CN"/>
        </w:rPr>
        <w:t xml:space="preserve">         </w:t>
      </w:r>
      <w:r>
        <w:rPr>
          <w:rFonts w:hint="eastAsia" w:cs="宋体" w:asciiTheme="majorEastAsia" w:hAnsiTheme="majorEastAsia" w:eastAsiaTheme="majorEastAsia"/>
          <w:color w:val="000000"/>
          <w:sz w:val="24"/>
          <w:szCs w:val="28"/>
        </w:rPr>
        <w:t>招标文件，遵照《中华人民共和国招标投标法》等有关法律法规的规定，我方经过研究招标文件的投标须知、合同条件、技术规范和其他有关文件后，决定投标。由供应商＿＿＿＿＿＿＿＿＿＿＿＿＿（全称）正式委托全权代表＿＿＿＿＿＿＿＿＿（姓名、职务）提交投标文件。在此文件中，供应商全权代表郑重声明以下诸点，并负法律责任：</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我方愿意以上述合同条件、技术规范和我方在投标文件中所作的投标报价、供货日期、质保期、售后服务等承诺承包上述项目的产品、安装、调试、验收和质保。</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b/>
          <w:color w:val="000000"/>
          <w:sz w:val="24"/>
          <w:szCs w:val="28"/>
        </w:rPr>
      </w:pPr>
      <w:r>
        <w:rPr>
          <w:rFonts w:hint="eastAsia" w:cs="宋体" w:asciiTheme="majorEastAsia" w:hAnsiTheme="majorEastAsia" w:eastAsiaTheme="majorEastAsia"/>
          <w:b/>
          <w:color w:val="000000"/>
          <w:sz w:val="24"/>
          <w:szCs w:val="28"/>
        </w:rPr>
        <w:t>投标报价：人民币（大写</w:t>
      </w:r>
      <w:r>
        <w:rPr>
          <w:rFonts w:hint="eastAsia" w:cs="宋体" w:asciiTheme="majorEastAsia" w:hAnsiTheme="majorEastAsia" w:eastAsiaTheme="majorEastAsia"/>
          <w:b/>
          <w:color w:val="000000"/>
          <w:sz w:val="24"/>
          <w:szCs w:val="28"/>
          <w:u w:val="single"/>
        </w:rPr>
        <w:t>）</w:t>
      </w:r>
      <w:r>
        <w:rPr>
          <w:rFonts w:hint="eastAsia" w:cs="宋体" w:asciiTheme="majorEastAsia" w:hAnsiTheme="majorEastAsia" w:eastAsiaTheme="majorEastAsia"/>
          <w:b/>
          <w:color w:val="000000"/>
          <w:sz w:val="24"/>
          <w:szCs w:val="28"/>
          <w:u w:val="single"/>
          <w:lang w:val="en-US" w:eastAsia="zh-CN"/>
        </w:rPr>
        <w:t xml:space="preserve">        </w:t>
      </w:r>
      <w:r>
        <w:rPr>
          <w:rFonts w:hint="eastAsia" w:cs="宋体" w:asciiTheme="majorEastAsia" w:hAnsiTheme="majorEastAsia" w:eastAsiaTheme="majorEastAsia"/>
          <w:b/>
          <w:color w:val="000000"/>
          <w:sz w:val="24"/>
          <w:szCs w:val="28"/>
          <w:u w:val="single"/>
        </w:rPr>
        <w:t>元</w:t>
      </w:r>
      <w:r>
        <w:rPr>
          <w:rFonts w:hint="eastAsia" w:cs="宋体" w:asciiTheme="majorEastAsia" w:hAnsiTheme="majorEastAsia" w:eastAsiaTheme="majorEastAsia"/>
          <w:b/>
          <w:color w:val="000000"/>
          <w:sz w:val="24"/>
          <w:szCs w:val="28"/>
        </w:rPr>
        <w:t>。</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我方有责任和义务完成合同与招标文件中的条款。</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我方已详细检查所有投标文件、附件以及所提供的参考文件，由模糊和误解产生的一切后果，由我方自负。</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投标文件在开标后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日历天内有效。如果我方在规定开标后的有效期内撤回投标，采购人可以按招标书的要求没收我方投标保证金。</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投标保证金有效期在开标后</w:t>
      </w:r>
      <w:r>
        <w:rPr>
          <w:rFonts w:cs="宋体" w:asciiTheme="majorEastAsia" w:hAnsiTheme="majorEastAsia" w:eastAsiaTheme="majorEastAsia"/>
          <w:color w:val="000000"/>
          <w:sz w:val="24"/>
          <w:szCs w:val="28"/>
        </w:rPr>
        <w:t>90</w:t>
      </w:r>
      <w:r>
        <w:rPr>
          <w:rFonts w:hint="eastAsia" w:cs="宋体" w:asciiTheme="majorEastAsia" w:hAnsiTheme="majorEastAsia" w:eastAsiaTheme="majorEastAsia"/>
          <w:color w:val="000000"/>
          <w:sz w:val="24"/>
          <w:szCs w:val="28"/>
        </w:rPr>
        <w:t>日历天有效。</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我方同意应采购人的要求，提供与投标有关的数据和资料。</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我们理解，最低报价不是中标的唯一条件，你们有选择中标人的权力。</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我方愿按《中华人民共和国合同法》履行自己的全部责任。</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除非另外达成协议并生效，你方的中标通知书和本投标文件将成为约束双方的合同文件的组成部分。</w:t>
      </w:r>
    </w:p>
    <w:p>
      <w:pPr>
        <w:pStyle w:val="16"/>
        <w:numPr>
          <w:ilvl w:val="2"/>
          <w:numId w:val="7"/>
        </w:numPr>
        <w:tabs>
          <w:tab w:val="left" w:pos="960"/>
        </w:tabs>
        <w:adjustRightInd w:val="0"/>
        <w:snapToGrid w:val="0"/>
        <w:spacing w:after="0" w:line="276" w:lineRule="auto"/>
        <w:ind w:left="0" w:leftChars="0" w:firstLine="480" w:firstLineChars="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联系：有关本投标事宜可按下述地址与我单位书面联系。</w:t>
      </w:r>
    </w:p>
    <w:p>
      <w:pPr>
        <w:spacing w:line="276" w:lineRule="auto"/>
        <w:jc w:val="left"/>
        <w:rPr>
          <w:rFonts w:cs="宋体" w:asciiTheme="majorEastAsia" w:hAnsiTheme="majorEastAsia" w:eastAsiaTheme="majorEastAsia"/>
          <w:color w:val="000000"/>
          <w:sz w:val="24"/>
          <w:szCs w:val="28"/>
        </w:rPr>
      </w:pPr>
    </w:p>
    <w:p>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投标单位：（盖单位章）</w:t>
      </w:r>
    </w:p>
    <w:p>
      <w:pPr>
        <w:spacing w:line="276" w:lineRule="auto"/>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法人代表人</w:t>
      </w:r>
      <w:r>
        <w:rPr>
          <w:rFonts w:hint="eastAsia" w:cs="宋体" w:asciiTheme="majorEastAsia" w:hAnsiTheme="majorEastAsia" w:eastAsiaTheme="majorEastAsia"/>
          <w:color w:val="000000"/>
          <w:sz w:val="24"/>
        </w:rPr>
        <w:t>或授权委托人</w:t>
      </w:r>
      <w:r>
        <w:rPr>
          <w:rFonts w:hint="eastAsia" w:cs="宋体" w:asciiTheme="majorEastAsia" w:hAnsiTheme="majorEastAsia" w:eastAsiaTheme="majorEastAsia"/>
          <w:color w:val="000000"/>
          <w:sz w:val="24"/>
          <w:szCs w:val="28"/>
        </w:rPr>
        <w:t>：（签字或盖章）</w:t>
      </w:r>
    </w:p>
    <w:p>
      <w:pPr>
        <w:spacing w:line="276" w:lineRule="auto"/>
        <w:ind w:firstLine="5280" w:firstLineChars="2200"/>
        <w:jc w:val="left"/>
        <w:rPr>
          <w:rFonts w:cs="宋体" w:asciiTheme="majorEastAsia" w:hAnsiTheme="majorEastAsia" w:eastAsiaTheme="majorEastAsia"/>
          <w:color w:val="000000"/>
          <w:sz w:val="24"/>
          <w:szCs w:val="28"/>
        </w:rPr>
      </w:pP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地址：</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电话：</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传真：</w:t>
      </w:r>
    </w:p>
    <w:p>
      <w:pPr>
        <w:spacing w:line="276" w:lineRule="auto"/>
        <w:ind w:firstLine="5280" w:firstLineChars="2200"/>
        <w:jc w:val="left"/>
        <w:rPr>
          <w:rFonts w:cs="宋体" w:asciiTheme="majorEastAsia" w:hAnsiTheme="majorEastAsia" w:eastAsiaTheme="majorEastAsia"/>
          <w:color w:val="000000"/>
          <w:sz w:val="24"/>
          <w:szCs w:val="28"/>
        </w:rPr>
      </w:pPr>
      <w:r>
        <w:rPr>
          <w:rFonts w:hint="eastAsia" w:cs="宋体" w:asciiTheme="majorEastAsia" w:hAnsiTheme="majorEastAsia" w:eastAsiaTheme="majorEastAsia"/>
          <w:color w:val="000000"/>
          <w:sz w:val="24"/>
          <w:szCs w:val="28"/>
        </w:rPr>
        <w:t>邮政编码：</w:t>
      </w:r>
    </w:p>
    <w:p>
      <w:pPr>
        <w:tabs>
          <w:tab w:val="left" w:pos="-525"/>
          <w:tab w:val="left" w:pos="420"/>
        </w:tabs>
        <w:spacing w:line="276" w:lineRule="auto"/>
        <w:ind w:left="-525" w:hanging="45"/>
        <w:jc w:val="right"/>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szCs w:val="28"/>
        </w:rPr>
        <w:t>年月日</w:t>
      </w:r>
    </w:p>
    <w:p>
      <w:pPr>
        <w:spacing w:line="276" w:lineRule="auto"/>
        <w:rPr>
          <w:rFonts w:cs="宋体" w:asciiTheme="majorEastAsia" w:hAnsiTheme="majorEastAsia" w:eastAsiaTheme="majorEastAsia"/>
          <w:b/>
          <w:color w:val="000000"/>
          <w:sz w:val="24"/>
        </w:rPr>
      </w:pPr>
    </w:p>
    <w:p>
      <w:pPr>
        <w:pStyle w:val="5"/>
      </w:pPr>
    </w:p>
    <w:p>
      <w:pPr>
        <w:pStyle w:val="5"/>
      </w:pPr>
    </w:p>
    <w:p>
      <w:pPr>
        <w:spacing w:line="276" w:lineRule="auto"/>
        <w:rPr>
          <w:rFonts w:cs="宋体" w:asciiTheme="majorEastAsia" w:hAnsiTheme="majorEastAsia" w:eastAsiaTheme="majorEastAsia"/>
          <w:b/>
          <w:color w:val="000000"/>
          <w:sz w:val="24"/>
        </w:rPr>
      </w:pPr>
    </w:p>
    <w:p>
      <w:pPr>
        <w:rPr>
          <w:rFonts w:hint="eastAsia"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br w:type="page"/>
      </w:r>
    </w:p>
    <w:p>
      <w:pPr>
        <w:spacing w:line="276" w:lineRule="auto"/>
        <w:rPr>
          <w:rFonts w:cs="宋体" w:asciiTheme="majorEastAsia" w:hAnsiTheme="majorEastAsia" w:eastAsiaTheme="majorEastAsia"/>
          <w:b/>
          <w:color w:val="000000"/>
          <w:sz w:val="24"/>
        </w:rPr>
      </w:pPr>
      <w:r>
        <w:rPr>
          <w:rFonts w:hint="eastAsia" w:cs="宋体" w:asciiTheme="majorEastAsia" w:hAnsiTheme="majorEastAsia" w:eastAsiaTheme="majorEastAsia"/>
          <w:b/>
          <w:color w:val="000000"/>
          <w:sz w:val="24"/>
        </w:rPr>
        <w:t>格式</w:t>
      </w:r>
      <w:r>
        <w:rPr>
          <w:rFonts w:cs="宋体" w:asciiTheme="majorEastAsia" w:hAnsiTheme="majorEastAsia" w:eastAsiaTheme="majorEastAsia"/>
          <w:b/>
          <w:color w:val="000000"/>
          <w:sz w:val="24"/>
        </w:rPr>
        <w:t>4</w:t>
      </w:r>
    </w:p>
    <w:p>
      <w:pPr>
        <w:spacing w:line="276" w:lineRule="auto"/>
        <w:jc w:val="center"/>
        <w:rPr>
          <w:rFonts w:hint="eastAsia" w:cs="宋体" w:asciiTheme="majorEastAsia" w:hAnsiTheme="majorEastAsia" w:eastAsiaTheme="majorEastAsia"/>
          <w:b/>
          <w:color w:val="000000"/>
          <w:sz w:val="36"/>
          <w:szCs w:val="30"/>
        </w:rPr>
      </w:pP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法定代表人身份证明书</w:t>
      </w:r>
    </w:p>
    <w:p>
      <w:pPr>
        <w:spacing w:line="276" w:lineRule="auto"/>
        <w:ind w:firstLine="612"/>
        <w:rPr>
          <w:rFonts w:cs="宋体" w:asciiTheme="majorEastAsia" w:hAnsiTheme="majorEastAsia" w:eastAsiaTheme="majorEastAsia"/>
          <w:color w:val="000000"/>
          <w:sz w:val="24"/>
        </w:rPr>
      </w:pPr>
      <w:bookmarkStart w:id="647" w:name="_Toc201719188"/>
      <w:r>
        <w:rPr>
          <w:rFonts w:hint="eastAsia" w:cs="宋体" w:asciiTheme="majorEastAsia" w:hAnsiTheme="majorEastAsia" w:eastAsiaTheme="majorEastAsia"/>
          <w:color w:val="000000"/>
          <w:sz w:val="24"/>
        </w:rPr>
        <w:t>单位名称：</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单位性质：</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地址：</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成立时间：年月日</w:t>
      </w:r>
    </w:p>
    <w:p>
      <w:pPr>
        <w:spacing w:line="276" w:lineRule="auto"/>
        <w:ind w:firstLine="610"/>
        <w:rPr>
          <w:rFonts w:cs="宋体" w:asciiTheme="majorEastAsia" w:hAnsiTheme="majorEastAsia" w:eastAsiaTheme="majorEastAsia"/>
          <w:color w:val="000000"/>
          <w:sz w:val="24"/>
          <w:u w:val="single"/>
        </w:rPr>
      </w:pPr>
      <w:r>
        <w:rPr>
          <w:rFonts w:hint="eastAsia" w:cs="宋体" w:asciiTheme="majorEastAsia" w:hAnsiTheme="majorEastAsia" w:eastAsiaTheme="majorEastAsia"/>
          <w:color w:val="000000"/>
          <w:sz w:val="24"/>
        </w:rPr>
        <w:t>经营期限：</w:t>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姓名：性别：年龄：职务：</w:t>
      </w:r>
      <w:r>
        <w:rPr>
          <w:rFonts w:cs="宋体" w:asciiTheme="majorEastAsia" w:hAnsiTheme="majorEastAsia" w:eastAsiaTheme="majorEastAsia"/>
          <w:color w:val="000000"/>
          <w:sz w:val="24"/>
          <w:u w:val="single"/>
        </w:rPr>
        <w:tab/>
      </w:r>
      <w:r>
        <w:rPr>
          <w:rFonts w:cs="宋体" w:asciiTheme="majorEastAsia" w:hAnsiTheme="majorEastAsia" w:eastAsiaTheme="majorEastAsia"/>
          <w:color w:val="000000"/>
          <w:sz w:val="24"/>
          <w:u w:val="single"/>
        </w:rPr>
        <w:tab/>
      </w: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系的法定代表人。</w:t>
      </w:r>
    </w:p>
    <w:p>
      <w:pPr>
        <w:spacing w:line="276" w:lineRule="auto"/>
        <w:ind w:firstLine="610"/>
        <w:rPr>
          <w:rFonts w:cs="宋体" w:asciiTheme="majorEastAsia" w:hAnsiTheme="majorEastAsia" w:eastAsiaTheme="majorEastAsia"/>
          <w:color w:val="000000"/>
          <w:sz w:val="24"/>
        </w:rPr>
      </w:pPr>
    </w:p>
    <w:p>
      <w:pPr>
        <w:spacing w:line="276" w:lineRule="auto"/>
        <w:ind w:firstLine="61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特此证明</w:t>
      </w:r>
    </w:p>
    <w:p>
      <w:pPr>
        <w:tabs>
          <w:tab w:val="left" w:pos="720"/>
          <w:tab w:val="left" w:pos="900"/>
        </w:tabs>
        <w:spacing w:line="276" w:lineRule="auto"/>
        <w:rPr>
          <w:rFonts w:cs="宋体" w:asciiTheme="majorEastAsia" w:hAnsiTheme="majorEastAsia" w:eastAsiaTheme="majorEastAsia"/>
          <w:color w:val="000000"/>
          <w:sz w:val="24"/>
        </w:rPr>
      </w:pPr>
    </w:p>
    <w:p>
      <w:pPr>
        <w:tabs>
          <w:tab w:val="left" w:pos="720"/>
          <w:tab w:val="left" w:pos="900"/>
        </w:tabs>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（附法人身份证正、反面）</w:t>
      </w:r>
    </w:p>
    <w:p>
      <w:pPr>
        <w:tabs>
          <w:tab w:val="left" w:pos="720"/>
          <w:tab w:val="left" w:pos="900"/>
        </w:tabs>
        <w:spacing w:line="276" w:lineRule="auto"/>
        <w:ind w:firstLine="4320" w:firstLineChars="1800"/>
        <w:rPr>
          <w:rFonts w:cs="宋体" w:asciiTheme="majorEastAsia" w:hAnsiTheme="majorEastAsia" w:eastAsiaTheme="majorEastAsia"/>
          <w:color w:val="000000"/>
          <w:sz w:val="24"/>
        </w:rPr>
      </w:pPr>
    </w:p>
    <w:p>
      <w:pPr>
        <w:tabs>
          <w:tab w:val="left" w:pos="720"/>
          <w:tab w:val="left" w:pos="900"/>
        </w:tabs>
        <w:spacing w:line="276" w:lineRule="auto"/>
        <w:ind w:firstLine="5520" w:firstLineChars="23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供应商：（盖单位章）</w:t>
      </w:r>
    </w:p>
    <w:p>
      <w:pPr>
        <w:spacing w:line="276" w:lineRule="auto"/>
        <w:ind w:firstLine="6120" w:firstLineChars="2550"/>
        <w:jc w:val="left"/>
        <w:rPr>
          <w:rFonts w:cs="宋体" w:asciiTheme="majorEastAsia" w:hAnsiTheme="majorEastAsia" w:eastAsiaTheme="majorEastAsia"/>
          <w:bCs/>
          <w:color w:val="000000"/>
          <w:sz w:val="24"/>
        </w:rPr>
      </w:pPr>
      <w:r>
        <w:rPr>
          <w:rFonts w:hint="eastAsia" w:cs="宋体" w:asciiTheme="majorEastAsia" w:hAnsiTheme="majorEastAsia" w:eastAsiaTheme="majorEastAsia"/>
          <w:bCs/>
          <w:color w:val="000000"/>
          <w:sz w:val="24"/>
        </w:rPr>
        <w:t>年月日</w:t>
      </w:r>
    </w:p>
    <w:p>
      <w:pPr>
        <w:spacing w:line="276" w:lineRule="auto"/>
        <w:jc w:val="center"/>
        <w:rPr>
          <w:rFonts w:cs="宋体" w:asciiTheme="majorEastAsia" w:hAnsiTheme="majorEastAsia" w:eastAsiaTheme="majorEastAsia"/>
          <w:b/>
          <w:color w:val="000000"/>
          <w:sz w:val="32"/>
          <w:lang w:val="zh-CN"/>
        </w:rPr>
      </w:pPr>
      <w:r>
        <w:rPr>
          <w:rFonts w:cs="宋体" w:asciiTheme="majorEastAsia" w:hAnsiTheme="majorEastAsia" w:eastAsiaTheme="majorEastAsia"/>
          <w:b/>
          <w:color w:val="000000"/>
          <w:sz w:val="32"/>
          <w:lang w:val="zh-CN"/>
        </w:rPr>
        <w:br w:type="page"/>
      </w:r>
    </w:p>
    <w:bookmarkEnd w:id="647"/>
    <w:p>
      <w:pPr>
        <w:spacing w:line="276" w:lineRule="auto"/>
        <w:rPr>
          <w:rFonts w:hint="eastAsia" w:cs="宋体" w:asciiTheme="majorEastAsia" w:hAnsiTheme="majorEastAsia" w:eastAsiaTheme="majorEastAsia"/>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5</w:t>
      </w:r>
    </w:p>
    <w:p>
      <w:pPr>
        <w:pStyle w:val="6"/>
        <w:spacing w:line="276" w:lineRule="auto"/>
        <w:jc w:val="center"/>
        <w:rPr>
          <w:rFonts w:cs="宋体" w:asciiTheme="majorEastAsia" w:hAnsiTheme="majorEastAsia" w:eastAsiaTheme="majorEastAsia"/>
          <w:color w:val="000000"/>
          <w:sz w:val="36"/>
          <w:szCs w:val="30"/>
        </w:rPr>
      </w:pPr>
      <w:bookmarkStart w:id="648" w:name="_Toc1950"/>
      <w:r>
        <w:rPr>
          <w:rFonts w:hint="eastAsia" w:cs="宋体" w:asciiTheme="majorEastAsia" w:hAnsiTheme="majorEastAsia" w:eastAsiaTheme="majorEastAsia"/>
          <w:color w:val="000000"/>
          <w:sz w:val="36"/>
          <w:szCs w:val="30"/>
        </w:rPr>
        <w:t>被授权人身份证明书</w:t>
      </w:r>
      <w:bookmarkEnd w:id="648"/>
    </w:p>
    <w:p>
      <w:pPr>
        <w:spacing w:line="276" w:lineRule="auto"/>
        <w:ind w:firstLine="420" w:firstLineChars="200"/>
        <w:rPr>
          <w:rFonts w:cs="宋体" w:asciiTheme="majorEastAsia" w:hAnsiTheme="majorEastAsia" w:eastAsiaTheme="majorEastAsia"/>
          <w:szCs w:val="21"/>
        </w:rPr>
      </w:pP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本人（姓名）系（</w:t>
      </w: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名称）的法定代表人，现委托（姓名）为我方代理人。代理人根据授权，以我方名义签署、澄清、说明、补正、递交、撤回、修改</w:t>
      </w:r>
      <w:r>
        <w:rPr>
          <w:rFonts w:hint="eastAsia" w:cs="宋体" w:asciiTheme="majorEastAsia" w:hAnsiTheme="majorEastAsia" w:eastAsiaTheme="majorEastAsia"/>
          <w:sz w:val="24"/>
          <w:u w:val="single"/>
        </w:rPr>
        <w:t>（项目名称）</w:t>
      </w:r>
      <w:r>
        <w:rPr>
          <w:rFonts w:hint="eastAsia" w:cs="宋体" w:asciiTheme="majorEastAsia" w:hAnsiTheme="majorEastAsia" w:eastAsiaTheme="majorEastAsia"/>
          <w:sz w:val="24"/>
          <w:u w:val="single"/>
          <w:lang w:val="en-US" w:eastAsia="zh-CN"/>
        </w:rPr>
        <w:t xml:space="preserve">     </w:t>
      </w:r>
      <w:r>
        <w:rPr>
          <w:rFonts w:hint="eastAsia" w:cs="宋体" w:asciiTheme="majorEastAsia" w:hAnsiTheme="majorEastAsia" w:eastAsiaTheme="majorEastAsia"/>
          <w:sz w:val="24"/>
          <w:u w:val="single"/>
        </w:rPr>
        <w:t>投</w:t>
      </w:r>
      <w:r>
        <w:rPr>
          <w:rFonts w:hint="eastAsia" w:cs="宋体" w:asciiTheme="majorEastAsia" w:hAnsiTheme="majorEastAsia" w:eastAsiaTheme="majorEastAsia"/>
          <w:sz w:val="24"/>
        </w:rPr>
        <w:t>标文件、签订合同和处理有关事宜，其法律后果由我方承担。</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委托期限：</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代理人无转委托权。</w:t>
      </w:r>
    </w:p>
    <w:p>
      <w:pPr>
        <w:spacing w:line="276" w:lineRule="auto"/>
        <w:ind w:firstLine="480" w:firstLineChars="200"/>
        <w:rPr>
          <w:rFonts w:cs="宋体" w:asciiTheme="majorEastAsia" w:hAnsiTheme="majorEastAsia" w:eastAsiaTheme="majorEastAsia"/>
          <w:sz w:val="24"/>
        </w:rPr>
      </w:pPr>
      <w:r>
        <w:rPr>
          <w:rFonts w:hint="eastAsia" w:cs="宋体" w:asciiTheme="majorEastAsia" w:hAnsiTheme="majorEastAsia" w:eastAsiaTheme="majorEastAsia"/>
          <w:sz w:val="24"/>
        </w:rPr>
        <w:t>附：法定代表人身份证及被授权人身份证</w:t>
      </w: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lang w:eastAsia="zh-CN"/>
        </w:rPr>
        <w:t>投标人</w:t>
      </w:r>
      <w:r>
        <w:rPr>
          <w:rFonts w:hint="eastAsia" w:cs="宋体" w:asciiTheme="majorEastAsia" w:hAnsiTheme="majorEastAsia" w:eastAsiaTheme="majorEastAsia"/>
          <w:sz w:val="24"/>
        </w:rPr>
        <w:t>：（盖单位章）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法定代表人：（签字或盖章）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委托代理人：（签字或盖章）</w:t>
      </w:r>
    </w:p>
    <w:p>
      <w:pPr>
        <w:spacing w:line="276" w:lineRule="auto"/>
        <w:ind w:firstLine="480" w:firstLineChars="200"/>
        <w:rPr>
          <w:rFonts w:cs="宋体" w:asciiTheme="majorEastAsia" w:hAnsiTheme="majorEastAsia" w:eastAsiaTheme="majorEastAsia"/>
          <w:sz w:val="24"/>
        </w:rPr>
      </w:pPr>
    </w:p>
    <w:p>
      <w:pPr>
        <w:spacing w:line="276" w:lineRule="auto"/>
        <w:rPr>
          <w:rFonts w:cs="宋体" w:asciiTheme="majorEastAsia" w:hAnsiTheme="majorEastAsia" w:eastAsiaTheme="majorEastAsia"/>
          <w:sz w:val="24"/>
        </w:rPr>
      </w:pPr>
      <w:r>
        <w:rPr>
          <w:rFonts w:hint="eastAsia" w:cs="宋体" w:asciiTheme="majorEastAsia" w:hAnsiTheme="majorEastAsia" w:eastAsiaTheme="majorEastAsia"/>
          <w:sz w:val="24"/>
        </w:rPr>
        <w:t>身份证号码：</w:t>
      </w:r>
    </w:p>
    <w:p>
      <w:pPr>
        <w:spacing w:line="276" w:lineRule="auto"/>
        <w:ind w:firstLine="6120" w:firstLineChars="2550"/>
        <w:rPr>
          <w:rFonts w:cs="宋体" w:asciiTheme="majorEastAsia" w:hAnsiTheme="majorEastAsia" w:eastAsiaTheme="majorEastAsia"/>
          <w:sz w:val="24"/>
        </w:rPr>
      </w:pPr>
    </w:p>
    <w:p>
      <w:pPr>
        <w:spacing w:line="276" w:lineRule="auto"/>
        <w:ind w:firstLine="5760" w:firstLineChars="2400"/>
        <w:rPr>
          <w:rFonts w:cs="宋体" w:asciiTheme="majorEastAsia" w:hAnsiTheme="majorEastAsia" w:eastAsiaTheme="majorEastAsia"/>
          <w:sz w:val="24"/>
          <w:u w:val="single"/>
        </w:rPr>
      </w:pPr>
    </w:p>
    <w:p>
      <w:pPr>
        <w:spacing w:line="276" w:lineRule="auto"/>
        <w:jc w:val="right"/>
        <w:rPr>
          <w:rFonts w:cs="宋体" w:asciiTheme="majorEastAsia" w:hAnsiTheme="majorEastAsia" w:eastAsiaTheme="majorEastAsia"/>
          <w:sz w:val="24"/>
        </w:rPr>
        <w:sectPr>
          <w:pgSz w:w="11906" w:h="16838"/>
          <w:pgMar w:top="1418" w:right="1134" w:bottom="1418" w:left="1418" w:header="851" w:footer="992" w:gutter="0"/>
          <w:cols w:space="720" w:num="1"/>
          <w:docGrid w:type="linesAndChars" w:linePitch="312" w:charSpace="0"/>
        </w:sectPr>
      </w:pPr>
      <w:r>
        <w:rPr>
          <w:rFonts w:hint="eastAsia" w:cs="宋体" w:asciiTheme="majorEastAsia" w:hAnsiTheme="majorEastAsia" w:eastAsiaTheme="majorEastAsia"/>
          <w:sz w:val="24"/>
        </w:rPr>
        <w:t>年月</w:t>
      </w:r>
      <w:r>
        <w:rPr>
          <w:rFonts w:hint="eastAsia" w:cs="宋体" w:asciiTheme="majorEastAsia" w:hAnsiTheme="majorEastAsia" w:eastAsiaTheme="majorEastAsia"/>
          <w:sz w:val="24"/>
          <w:u w:val="single"/>
        </w:rPr>
        <w:t>日</w:t>
      </w: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6</w:t>
      </w:r>
    </w:p>
    <w:p>
      <w:pPr>
        <w:spacing w:line="360" w:lineRule="auto"/>
        <w:jc w:val="center"/>
        <w:rPr>
          <w:color w:val="auto"/>
        </w:rPr>
      </w:pPr>
      <w:r>
        <w:rPr>
          <w:rFonts w:hint="eastAsia" w:ascii="黑体" w:eastAsia="黑体" w:cs="黑体"/>
          <w:bCs/>
          <w:color w:val="auto"/>
          <w:sz w:val="24"/>
          <w:lang w:val="zh-CN"/>
        </w:rPr>
        <w:t>（一）供应商基本情况</w:t>
      </w:r>
    </w:p>
    <w:tbl>
      <w:tblPr>
        <w:tblStyle w:val="30"/>
        <w:tblW w:w="898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65"/>
        <w:gridCol w:w="1047"/>
        <w:gridCol w:w="1356"/>
        <w:gridCol w:w="1365"/>
        <w:gridCol w:w="1444"/>
        <w:gridCol w:w="2112"/>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18"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投标人名称</w:t>
            </w:r>
          </w:p>
        </w:tc>
        <w:tc>
          <w:tcPr>
            <w:tcW w:w="7324" w:type="dxa"/>
            <w:gridSpan w:val="5"/>
            <w:tcBorders>
              <w:top w:val="single" w:color="auto" w:sz="18"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注册地址</w:t>
            </w:r>
          </w:p>
        </w:tc>
        <w:tc>
          <w:tcPr>
            <w:tcW w:w="3768" w:type="dxa"/>
            <w:gridSpan w:val="3"/>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邮政编码</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vMerge w:val="restart"/>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联系方式</w:t>
            </w: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联系人</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电话</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4" w:hRule="atLeast"/>
          <w:jc w:val="center"/>
        </w:trPr>
        <w:tc>
          <w:tcPr>
            <w:tcW w:w="1665" w:type="dxa"/>
            <w:vMerge w:val="continue"/>
            <w:tcBorders>
              <w:top w:val="single" w:color="auto" w:sz="6" w:space="0"/>
              <w:left w:val="single" w:color="auto" w:sz="18" w:space="0"/>
              <w:bottom w:val="single" w:color="auto" w:sz="6" w:space="0"/>
              <w:right w:val="single" w:color="auto" w:sz="6" w:space="0"/>
            </w:tcBorders>
            <w:noWrap w:val="0"/>
            <w:vAlign w:val="center"/>
          </w:tcPr>
          <w:p>
            <w:pPr>
              <w:widowControl/>
              <w:jc w:val="center"/>
              <w:rPr>
                <w:rFonts w:ascii="宋体" w:hAnsi="宋体"/>
                <w:color w:val="auto"/>
                <w:szCs w:val="21"/>
              </w:rPr>
            </w:pP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传真</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网址</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法定代表人</w:t>
            </w:r>
          </w:p>
        </w:tc>
        <w:tc>
          <w:tcPr>
            <w:tcW w:w="1047"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姓名</w:t>
            </w:r>
          </w:p>
        </w:tc>
        <w:tc>
          <w:tcPr>
            <w:tcW w:w="2721" w:type="dxa"/>
            <w:gridSpan w:val="2"/>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p>
        </w:tc>
        <w:tc>
          <w:tcPr>
            <w:tcW w:w="144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技术职称</w:t>
            </w:r>
          </w:p>
        </w:tc>
        <w:tc>
          <w:tcPr>
            <w:tcW w:w="2112" w:type="dxa"/>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成立时间</w:t>
            </w:r>
          </w:p>
        </w:tc>
        <w:tc>
          <w:tcPr>
            <w:tcW w:w="2403" w:type="dxa"/>
            <w:gridSpan w:val="2"/>
            <w:tcBorders>
              <w:top w:val="single" w:color="auto" w:sz="6" w:space="0"/>
              <w:left w:val="single" w:color="auto" w:sz="6" w:space="0"/>
              <w:bottom w:val="single" w:color="auto" w:sz="4" w:space="0"/>
              <w:right w:val="single" w:color="auto" w:sz="6" w:space="0"/>
            </w:tcBorders>
            <w:noWrap w:val="0"/>
            <w:vAlign w:val="center"/>
          </w:tcPr>
          <w:p>
            <w:pPr>
              <w:spacing w:line="500" w:lineRule="exact"/>
              <w:rPr>
                <w:rFonts w:hint="eastAsia" w:ascii="宋体" w:hAnsi="宋体"/>
                <w:color w:val="auto"/>
                <w:szCs w:val="21"/>
              </w:rPr>
            </w:pPr>
          </w:p>
        </w:tc>
        <w:tc>
          <w:tcPr>
            <w:tcW w:w="4921" w:type="dxa"/>
            <w:gridSpan w:val="3"/>
            <w:tcBorders>
              <w:top w:val="single" w:color="auto" w:sz="6" w:space="0"/>
              <w:left w:val="single" w:color="auto" w:sz="6" w:space="0"/>
              <w:bottom w:val="single" w:color="auto" w:sz="4" w:space="0"/>
              <w:right w:val="single" w:color="auto" w:sz="18" w:space="0"/>
            </w:tcBorders>
            <w:noWrap w:val="0"/>
            <w:vAlign w:val="center"/>
          </w:tcPr>
          <w:p>
            <w:pPr>
              <w:spacing w:line="500" w:lineRule="exact"/>
              <w:rPr>
                <w:rFonts w:hint="eastAsia" w:ascii="宋体" w:hAnsi="宋体"/>
                <w:color w:val="auto"/>
                <w:szCs w:val="21"/>
              </w:rPr>
            </w:pPr>
            <w:r>
              <w:rPr>
                <w:rFonts w:hint="eastAsia" w:ascii="宋体" w:hAnsi="宋体"/>
                <w:color w:val="auto"/>
                <w:szCs w:val="2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注册资金</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开户银行</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2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账号</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619" w:hRule="atLeast"/>
          <w:jc w:val="center"/>
        </w:trPr>
        <w:tc>
          <w:tcPr>
            <w:tcW w:w="1665" w:type="dxa"/>
            <w:tcBorders>
              <w:top w:val="single" w:color="auto" w:sz="6" w:space="0"/>
              <w:left w:val="single" w:color="auto" w:sz="18" w:space="0"/>
              <w:bottom w:val="single" w:color="auto" w:sz="6" w:space="0"/>
              <w:right w:val="single" w:color="auto" w:sz="6" w:space="0"/>
            </w:tcBorders>
            <w:noWrap w:val="0"/>
            <w:vAlign w:val="center"/>
          </w:tcPr>
          <w:p>
            <w:pPr>
              <w:spacing w:line="500" w:lineRule="exact"/>
              <w:jc w:val="center"/>
              <w:rPr>
                <w:rFonts w:hint="eastAsia" w:ascii="宋体" w:hAnsi="宋体"/>
                <w:color w:val="auto"/>
                <w:szCs w:val="21"/>
              </w:rPr>
            </w:pPr>
            <w:r>
              <w:rPr>
                <w:rFonts w:hint="eastAsia" w:ascii="宋体" w:hAnsi="宋体"/>
                <w:color w:val="auto"/>
                <w:szCs w:val="21"/>
              </w:rPr>
              <w:t>经营范围</w:t>
            </w:r>
          </w:p>
        </w:tc>
        <w:tc>
          <w:tcPr>
            <w:tcW w:w="7324" w:type="dxa"/>
            <w:gridSpan w:val="5"/>
            <w:tcBorders>
              <w:top w:val="single" w:color="auto" w:sz="6" w:space="0"/>
              <w:left w:val="single" w:color="auto" w:sz="6" w:space="0"/>
              <w:bottom w:val="single" w:color="auto" w:sz="6" w:space="0"/>
              <w:right w:val="single" w:color="auto" w:sz="18" w:space="0"/>
            </w:tcBorders>
            <w:noWrap w:val="0"/>
            <w:vAlign w:val="center"/>
          </w:tcPr>
          <w:p>
            <w:pPr>
              <w:spacing w:line="500" w:lineRule="exact"/>
              <w:rPr>
                <w:rFonts w:hint="eastAsia" w:ascii="宋体" w:hAnsi="宋体"/>
                <w:color w:val="auto"/>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41" w:hRule="atLeast"/>
          <w:jc w:val="center"/>
        </w:trPr>
        <w:tc>
          <w:tcPr>
            <w:tcW w:w="1665" w:type="dxa"/>
            <w:tcBorders>
              <w:top w:val="single" w:color="auto" w:sz="6" w:space="0"/>
              <w:left w:val="single" w:color="auto" w:sz="18" w:space="0"/>
              <w:bottom w:val="single" w:color="auto" w:sz="18" w:space="0"/>
              <w:right w:val="single" w:color="auto" w:sz="6" w:space="0"/>
            </w:tcBorders>
            <w:noWrap w:val="0"/>
            <w:vAlign w:val="top"/>
          </w:tcPr>
          <w:p>
            <w:pPr>
              <w:spacing w:line="500" w:lineRule="exact"/>
              <w:jc w:val="center"/>
              <w:rPr>
                <w:rFonts w:hint="eastAsia" w:ascii="宋体" w:hAnsi="宋体"/>
                <w:color w:val="auto"/>
                <w:szCs w:val="21"/>
              </w:rPr>
            </w:pPr>
            <w:r>
              <w:rPr>
                <w:rFonts w:hint="eastAsia" w:ascii="宋体" w:hAnsi="宋体"/>
                <w:color w:val="auto"/>
                <w:szCs w:val="21"/>
              </w:rPr>
              <w:t>备注</w:t>
            </w:r>
          </w:p>
        </w:tc>
        <w:tc>
          <w:tcPr>
            <w:tcW w:w="7324" w:type="dxa"/>
            <w:gridSpan w:val="5"/>
            <w:tcBorders>
              <w:top w:val="single" w:color="auto" w:sz="6" w:space="0"/>
              <w:left w:val="single" w:color="auto" w:sz="6" w:space="0"/>
              <w:bottom w:val="single" w:color="auto" w:sz="18" w:space="0"/>
              <w:right w:val="single" w:color="auto" w:sz="18" w:space="0"/>
            </w:tcBorders>
            <w:noWrap w:val="0"/>
            <w:vAlign w:val="top"/>
          </w:tcPr>
          <w:p>
            <w:pPr>
              <w:spacing w:line="500" w:lineRule="exact"/>
              <w:rPr>
                <w:rFonts w:hint="eastAsia" w:ascii="宋体" w:hAnsi="宋体"/>
                <w:color w:val="auto"/>
                <w:szCs w:val="21"/>
              </w:rPr>
            </w:pPr>
          </w:p>
        </w:tc>
      </w:tr>
    </w:tbl>
    <w:p>
      <w:pPr>
        <w:pStyle w:val="4"/>
        <w:rPr>
          <w:rFonts w:hint="eastAsia"/>
          <w:lang w:val="en-US" w:eastAsia="zh-CN"/>
        </w:rPr>
      </w:pPr>
    </w:p>
    <w:p>
      <w:pPr>
        <w:spacing w:line="360" w:lineRule="auto"/>
        <w:rPr>
          <w:rFonts w:eastAsia="黑体"/>
          <w:bCs/>
          <w:color w:val="auto"/>
          <w:sz w:val="24"/>
        </w:rPr>
      </w:pPr>
    </w:p>
    <w:p>
      <w:pPr>
        <w:pStyle w:val="4"/>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rPr>
          <w:rFonts w:eastAsia="黑体"/>
          <w:bCs/>
          <w:color w:val="auto"/>
          <w:sz w:val="24"/>
        </w:rPr>
      </w:pPr>
    </w:p>
    <w:p>
      <w:pPr>
        <w:pStyle w:val="5"/>
        <w:ind w:left="0" w:leftChars="0" w:firstLine="0" w:firstLineChars="0"/>
        <w:jc w:val="center"/>
        <w:rPr>
          <w:rFonts w:eastAsia="黑体"/>
          <w:bCs/>
          <w:color w:val="auto"/>
          <w:sz w:val="24"/>
        </w:rPr>
      </w:pPr>
      <w:r>
        <w:rPr>
          <w:rFonts w:hint="eastAsia" w:eastAsia="黑体"/>
          <w:bCs/>
          <w:color w:val="auto"/>
          <w:sz w:val="24"/>
          <w:lang w:eastAsia="zh-CN"/>
        </w:rPr>
        <w:t>（二）</w:t>
      </w:r>
      <w:r>
        <w:rPr>
          <w:rFonts w:hint="eastAsia" w:eastAsia="黑体"/>
          <w:bCs/>
          <w:color w:val="auto"/>
          <w:sz w:val="24"/>
        </w:rPr>
        <w:t>供应商的资格声明</w:t>
      </w:r>
    </w:p>
    <w:p>
      <w:pPr>
        <w:spacing w:line="360" w:lineRule="auto"/>
        <w:rPr>
          <w:color w:val="auto"/>
          <w:sz w:val="24"/>
          <w:szCs w:val="24"/>
        </w:rPr>
      </w:pPr>
      <w:r>
        <w:rPr>
          <w:rFonts w:hint="eastAsia" w:ascii="宋体" w:hAnsi="宋体"/>
          <w:color w:val="auto"/>
          <w:kern w:val="0"/>
          <w:sz w:val="24"/>
          <w:szCs w:val="24"/>
        </w:rPr>
        <w:t>致</w:t>
      </w:r>
      <w:r>
        <w:rPr>
          <w:rFonts w:hint="eastAsia" w:ascii="宋体" w:hAnsi="宋体"/>
          <w:color w:val="auto"/>
          <w:kern w:val="0"/>
          <w:sz w:val="24"/>
          <w:szCs w:val="24"/>
          <w:u w:val="single"/>
        </w:rPr>
        <w:t xml:space="preserve">          （</w:t>
      </w:r>
      <w:r>
        <w:rPr>
          <w:rFonts w:hint="eastAsia" w:ascii="宋体" w:hAnsi="宋体"/>
          <w:color w:val="auto"/>
          <w:kern w:val="0"/>
          <w:sz w:val="24"/>
          <w:szCs w:val="24"/>
          <w:u w:val="single"/>
          <w:lang w:eastAsia="zh-CN"/>
        </w:rPr>
        <w:t>采购人</w:t>
      </w:r>
      <w:r>
        <w:rPr>
          <w:rFonts w:hint="eastAsia" w:ascii="宋体" w:hAnsi="宋体"/>
          <w:color w:val="auto"/>
          <w:kern w:val="0"/>
          <w:sz w:val="24"/>
          <w:szCs w:val="24"/>
          <w:u w:val="single"/>
        </w:rPr>
        <w:t xml:space="preserve">名称）         </w:t>
      </w:r>
      <w:r>
        <w:rPr>
          <w:rFonts w:hint="eastAsia" w:ascii="宋体" w:cs="宋体"/>
          <w:color w:val="auto"/>
          <w:sz w:val="24"/>
          <w:szCs w:val="24"/>
          <w:lang w:val="zh-CN"/>
        </w:rPr>
        <w:t>：</w:t>
      </w:r>
    </w:p>
    <w:p>
      <w:pPr>
        <w:spacing w:line="360" w:lineRule="auto"/>
        <w:ind w:firstLine="480" w:firstLineChars="200"/>
        <w:rPr>
          <w:rFonts w:ascii="宋体" w:hAnsi="宋体"/>
          <w:color w:val="auto"/>
          <w:sz w:val="24"/>
          <w:szCs w:val="24"/>
        </w:rPr>
      </w:pPr>
      <w:r>
        <w:rPr>
          <w:rFonts w:hint="eastAsia" w:ascii="宋体" w:cs="宋体"/>
          <w:color w:val="auto"/>
          <w:sz w:val="24"/>
          <w:szCs w:val="24"/>
          <w:lang w:val="zh-CN"/>
        </w:rPr>
        <w:t>按照《中华人民共和国政府采购</w:t>
      </w:r>
      <w:r>
        <w:rPr>
          <w:rFonts w:hint="eastAsia" w:ascii="宋体" w:hAnsi="宋体" w:cs="宋体"/>
          <w:color w:val="auto"/>
          <w:sz w:val="24"/>
          <w:szCs w:val="24"/>
          <w:lang w:val="zh-CN"/>
        </w:rPr>
        <w:t>法》第</w:t>
      </w:r>
      <w:r>
        <w:rPr>
          <w:rFonts w:hint="eastAsia" w:ascii="宋体" w:hAnsi="宋体" w:cs="宋体"/>
          <w:color w:val="auto"/>
          <w:sz w:val="24"/>
          <w:szCs w:val="24"/>
        </w:rPr>
        <w:t>22</w:t>
      </w:r>
      <w:r>
        <w:rPr>
          <w:rFonts w:hint="eastAsia" w:ascii="宋体" w:hAnsi="宋体" w:cs="宋体"/>
          <w:color w:val="auto"/>
          <w:sz w:val="24"/>
          <w:szCs w:val="24"/>
          <w:lang w:val="zh-CN"/>
        </w:rPr>
        <w:t>条和</w:t>
      </w:r>
      <w:r>
        <w:rPr>
          <w:rFonts w:hint="eastAsia" w:ascii="宋体" w:cs="宋体"/>
          <w:color w:val="auto"/>
          <w:sz w:val="24"/>
          <w:szCs w:val="24"/>
          <w:lang w:val="zh-CN"/>
        </w:rPr>
        <w:t>你采购代理公司发布的《</w:t>
      </w:r>
      <w:r>
        <w:rPr>
          <w:rFonts w:ascii="宋体" w:cs="宋体"/>
          <w:color w:val="auto"/>
          <w:sz w:val="24"/>
          <w:szCs w:val="24"/>
          <w:u w:val="single"/>
          <w:lang w:val="zh-CN"/>
        </w:rPr>
        <w:t xml:space="preserve"> </w:t>
      </w:r>
      <w:r>
        <w:rPr>
          <w:rFonts w:hint="eastAsia" w:ascii="宋体" w:cs="宋体"/>
          <w:color w:val="auto"/>
          <w:sz w:val="24"/>
          <w:szCs w:val="24"/>
          <w:u w:val="single"/>
          <w:lang w:val="zh-CN"/>
        </w:rPr>
        <w:t>项目名称</w:t>
      </w:r>
      <w:r>
        <w:rPr>
          <w:rFonts w:hint="eastAsia" w:ascii="宋体" w:cs="宋体"/>
          <w:color w:val="auto"/>
          <w:sz w:val="24"/>
          <w:szCs w:val="24"/>
          <w:lang w:val="zh-CN"/>
        </w:rPr>
        <w:t>》（</w:t>
      </w:r>
      <w:r>
        <w:rPr>
          <w:rFonts w:hint="eastAsia" w:ascii="宋体" w:hAnsi="宋体"/>
          <w:color w:val="auto"/>
          <w:sz w:val="24"/>
          <w:szCs w:val="24"/>
        </w:rPr>
        <w:t xml:space="preserve"> </w:t>
      </w:r>
      <w:r>
        <w:rPr>
          <w:rFonts w:hint="eastAsia" w:ascii="宋体" w:cs="宋体"/>
          <w:color w:val="auto"/>
          <w:sz w:val="24"/>
          <w:szCs w:val="24"/>
          <w:lang w:val="zh-CN"/>
        </w:rPr>
        <w:t>项目编号）的规定，我公司郑重声明如下：</w:t>
      </w:r>
    </w:p>
    <w:p>
      <w:pPr>
        <w:spacing w:line="360" w:lineRule="auto"/>
        <w:ind w:firstLine="480"/>
        <w:rPr>
          <w:color w:val="auto"/>
          <w:sz w:val="24"/>
          <w:szCs w:val="24"/>
        </w:rPr>
      </w:pPr>
      <w:r>
        <w:rPr>
          <w:color w:val="auto"/>
          <w:sz w:val="24"/>
          <w:szCs w:val="24"/>
        </w:rPr>
        <w:t>1</w:t>
      </w:r>
      <w:r>
        <w:rPr>
          <w:rFonts w:hint="eastAsia" w:ascii="宋体" w:cs="宋体"/>
          <w:color w:val="auto"/>
          <w:sz w:val="24"/>
          <w:szCs w:val="24"/>
          <w:lang w:val="zh-CN"/>
        </w:rPr>
        <w:t>、我公司是按照中华人民共和国法律在工商管理机关登记注册的企业法人，注册地点为</w:t>
      </w:r>
      <w:r>
        <w:rPr>
          <w:color w:val="auto"/>
          <w:sz w:val="24"/>
          <w:szCs w:val="24"/>
          <w:u w:val="single"/>
        </w:rPr>
        <w:t xml:space="preserve">         </w:t>
      </w:r>
      <w:r>
        <w:rPr>
          <w:rFonts w:hint="eastAsia" w:ascii="宋体" w:cs="宋体"/>
          <w:color w:val="auto"/>
          <w:sz w:val="24"/>
          <w:szCs w:val="24"/>
          <w:lang w:val="zh-CN"/>
        </w:rPr>
        <w:t>，公司全称为</w:t>
      </w:r>
      <w:r>
        <w:rPr>
          <w:color w:val="auto"/>
          <w:sz w:val="24"/>
          <w:szCs w:val="24"/>
          <w:u w:val="single"/>
        </w:rPr>
        <w:t xml:space="preserve">        </w:t>
      </w:r>
      <w:r>
        <w:rPr>
          <w:rFonts w:hint="eastAsia" w:ascii="宋体" w:cs="宋体"/>
          <w:color w:val="auto"/>
          <w:sz w:val="24"/>
          <w:szCs w:val="24"/>
          <w:lang w:val="zh-CN"/>
        </w:rPr>
        <w:t>，法定代表人为</w:t>
      </w:r>
      <w:r>
        <w:rPr>
          <w:color w:val="auto"/>
          <w:sz w:val="24"/>
          <w:szCs w:val="24"/>
          <w:u w:val="single"/>
        </w:rPr>
        <w:t xml:space="preserve">         </w:t>
      </w:r>
      <w:r>
        <w:rPr>
          <w:rFonts w:hint="eastAsia" w:ascii="宋体" w:cs="宋体"/>
          <w:color w:val="auto"/>
          <w:sz w:val="24"/>
          <w:szCs w:val="24"/>
          <w:lang w:val="zh-CN"/>
        </w:rPr>
        <w:t>，具有独立承担民事责任的能力。</w:t>
      </w:r>
    </w:p>
    <w:p>
      <w:pPr>
        <w:spacing w:line="360" w:lineRule="auto"/>
        <w:ind w:firstLine="480"/>
        <w:rPr>
          <w:color w:val="auto"/>
          <w:sz w:val="24"/>
          <w:szCs w:val="24"/>
        </w:rPr>
      </w:pPr>
      <w:r>
        <w:rPr>
          <w:color w:val="auto"/>
          <w:sz w:val="24"/>
          <w:szCs w:val="24"/>
        </w:rPr>
        <w:t>2</w:t>
      </w:r>
      <w:r>
        <w:rPr>
          <w:rFonts w:hint="eastAsia" w:ascii="宋体" w:cs="宋体"/>
          <w:color w:val="auto"/>
          <w:sz w:val="24"/>
          <w:szCs w:val="24"/>
          <w:lang w:val="zh-CN"/>
        </w:rPr>
        <w:t>、我公司具有良好的商业信誉和健全的财务会计制度。</w:t>
      </w:r>
    </w:p>
    <w:p>
      <w:pPr>
        <w:spacing w:line="360" w:lineRule="auto"/>
        <w:ind w:firstLine="480"/>
        <w:rPr>
          <w:color w:val="auto"/>
          <w:sz w:val="24"/>
          <w:szCs w:val="24"/>
        </w:rPr>
      </w:pPr>
      <w:r>
        <w:rPr>
          <w:color w:val="auto"/>
          <w:sz w:val="24"/>
          <w:szCs w:val="24"/>
        </w:rPr>
        <w:t>3</w:t>
      </w:r>
      <w:r>
        <w:rPr>
          <w:rFonts w:hint="eastAsia" w:ascii="宋体" w:cs="宋体"/>
          <w:color w:val="auto"/>
          <w:sz w:val="24"/>
          <w:szCs w:val="24"/>
          <w:lang w:val="zh-CN"/>
        </w:rPr>
        <w:t>、我公司具有履行本项目采购合同所必需的设备和专业技术能力。</w:t>
      </w:r>
    </w:p>
    <w:p>
      <w:pPr>
        <w:spacing w:line="360" w:lineRule="auto"/>
        <w:ind w:firstLine="480"/>
        <w:rPr>
          <w:color w:val="auto"/>
          <w:sz w:val="24"/>
          <w:szCs w:val="24"/>
        </w:rPr>
      </w:pPr>
      <w:r>
        <w:rPr>
          <w:color w:val="auto"/>
          <w:sz w:val="24"/>
          <w:szCs w:val="24"/>
        </w:rPr>
        <w:t>4</w:t>
      </w:r>
      <w:r>
        <w:rPr>
          <w:rFonts w:hint="eastAsia" w:ascii="宋体" w:cs="宋体"/>
          <w:color w:val="auto"/>
          <w:sz w:val="24"/>
          <w:szCs w:val="24"/>
          <w:lang w:val="zh-CN"/>
        </w:rPr>
        <w:t>、我公司具有依法缴纳税收和社会保障资金的良好记录。</w:t>
      </w:r>
    </w:p>
    <w:p>
      <w:pPr>
        <w:spacing w:line="360" w:lineRule="auto"/>
        <w:ind w:firstLine="480"/>
        <w:rPr>
          <w:color w:val="auto"/>
          <w:sz w:val="24"/>
          <w:szCs w:val="24"/>
        </w:rPr>
      </w:pPr>
      <w:r>
        <w:rPr>
          <w:color w:val="auto"/>
          <w:sz w:val="24"/>
          <w:szCs w:val="24"/>
        </w:rPr>
        <w:t>5</w:t>
      </w:r>
      <w:r>
        <w:rPr>
          <w:rFonts w:hint="eastAsia" w:ascii="宋体" w:cs="宋体"/>
          <w:color w:val="auto"/>
          <w:sz w:val="24"/>
          <w:szCs w:val="24"/>
          <w:lang w:val="zh-CN"/>
        </w:rPr>
        <w:t>、我公司在参与本次政府采购活动之前三年内，在经营活动中无重大违法记录。</w:t>
      </w:r>
    </w:p>
    <w:p>
      <w:pPr>
        <w:spacing w:line="360" w:lineRule="auto"/>
        <w:ind w:firstLine="480"/>
        <w:rPr>
          <w:color w:val="auto"/>
          <w:sz w:val="24"/>
          <w:szCs w:val="24"/>
        </w:rPr>
      </w:pPr>
      <w:r>
        <w:rPr>
          <w:color w:val="auto"/>
          <w:sz w:val="24"/>
          <w:szCs w:val="24"/>
        </w:rPr>
        <w:t>6</w:t>
      </w:r>
      <w:r>
        <w:rPr>
          <w:rFonts w:hint="eastAsia" w:ascii="宋体" w:cs="宋体"/>
          <w:color w:val="auto"/>
          <w:sz w:val="24"/>
          <w:szCs w:val="24"/>
          <w:lang w:val="zh-CN"/>
        </w:rPr>
        <w:t>、我公司在参与本次政府采购活动时未受到任何地方政府采购部门作出的暂停参加政府采购活动的处罚。</w:t>
      </w:r>
    </w:p>
    <w:p>
      <w:pPr>
        <w:spacing w:line="360" w:lineRule="auto"/>
        <w:ind w:firstLine="480"/>
        <w:rPr>
          <w:color w:val="auto"/>
          <w:sz w:val="24"/>
          <w:szCs w:val="24"/>
        </w:rPr>
      </w:pPr>
      <w:r>
        <w:rPr>
          <w:rFonts w:hint="eastAsia" w:ascii="宋体" w:cs="宋体"/>
          <w:color w:val="auto"/>
          <w:sz w:val="24"/>
          <w:szCs w:val="24"/>
          <w:lang w:val="zh-CN"/>
        </w:rPr>
        <w:t>我公司保证上述声明的事项都是真实的，如有虚假，我公司承担相应的法律责任，并承担因此给你</w:t>
      </w:r>
      <w:r>
        <w:rPr>
          <w:rFonts w:hint="eastAsia" w:ascii="宋体" w:cs="宋体"/>
          <w:color w:val="auto"/>
          <w:sz w:val="24"/>
          <w:szCs w:val="24"/>
          <w:lang w:val="zh-CN" w:eastAsia="zh-CN"/>
        </w:rPr>
        <w:t>公司</w:t>
      </w:r>
      <w:r>
        <w:rPr>
          <w:rFonts w:hint="eastAsia" w:ascii="宋体" w:cs="宋体"/>
          <w:color w:val="auto"/>
          <w:sz w:val="24"/>
          <w:szCs w:val="24"/>
          <w:lang w:val="zh-CN"/>
        </w:rPr>
        <w:t>以及本项目采购人所造成的损失。</w:t>
      </w:r>
    </w:p>
    <w:p>
      <w:pPr>
        <w:spacing w:line="360" w:lineRule="auto"/>
        <w:ind w:firstLine="480"/>
        <w:rPr>
          <w:color w:val="auto"/>
          <w:sz w:val="24"/>
          <w:szCs w:val="24"/>
        </w:rPr>
      </w:pPr>
      <w:r>
        <w:rPr>
          <w:rFonts w:hint="eastAsia" w:ascii="宋体" w:cs="宋体"/>
          <w:color w:val="auto"/>
          <w:sz w:val="24"/>
          <w:szCs w:val="24"/>
          <w:lang w:val="zh-CN"/>
        </w:rPr>
        <w:t>我公司已经按照招标文件的要求提交了所要求提交的能够证明上述声明事项真实性的全部文件材料，并保证随时按照你公司的要求提供能够证明上述声明事项真实性的任何有效文件。</w:t>
      </w:r>
    </w:p>
    <w:p>
      <w:pPr>
        <w:spacing w:line="360" w:lineRule="auto"/>
        <w:ind w:firstLine="480"/>
        <w:rPr>
          <w:color w:val="auto"/>
          <w:sz w:val="24"/>
          <w:szCs w:val="24"/>
        </w:rPr>
      </w:pPr>
    </w:p>
    <w:p>
      <w:pPr>
        <w:spacing w:line="360" w:lineRule="auto"/>
        <w:ind w:firstLine="480"/>
        <w:rPr>
          <w:color w:val="auto"/>
          <w:sz w:val="24"/>
          <w:szCs w:val="24"/>
        </w:rPr>
      </w:pPr>
    </w:p>
    <w:p>
      <w:pPr>
        <w:spacing w:line="360" w:lineRule="auto"/>
        <w:ind w:firstLine="480"/>
        <w:rPr>
          <w:color w:val="auto"/>
          <w:sz w:val="24"/>
          <w:szCs w:val="24"/>
        </w:rPr>
      </w:pPr>
      <w:r>
        <w:rPr>
          <w:rFonts w:hint="eastAsia" w:ascii="宋体" w:cs="宋体"/>
          <w:color w:val="auto"/>
          <w:sz w:val="24"/>
          <w:szCs w:val="24"/>
          <w:lang w:val="zh-CN"/>
        </w:rPr>
        <w:t>投标人名称全称</w:t>
      </w:r>
      <w:r>
        <w:rPr>
          <w:rFonts w:hint="eastAsia" w:ascii="黑体" w:eastAsia="黑体" w:cs="黑体"/>
          <w:bCs/>
          <w:color w:val="auto"/>
          <w:sz w:val="24"/>
          <w:szCs w:val="24"/>
          <w:lang w:val="zh-CN"/>
        </w:rPr>
        <w:t>（加盖公章）</w:t>
      </w:r>
      <w:r>
        <w:rPr>
          <w:rFonts w:hint="eastAsia" w:ascii="宋体" w:cs="宋体"/>
          <w:color w:val="auto"/>
          <w:sz w:val="24"/>
          <w:szCs w:val="24"/>
          <w:lang w:val="zh-CN"/>
        </w:rPr>
        <w:t>：</w:t>
      </w:r>
    </w:p>
    <w:p>
      <w:pPr>
        <w:spacing w:line="360" w:lineRule="auto"/>
        <w:ind w:firstLine="480"/>
        <w:rPr>
          <w:color w:val="auto"/>
          <w:sz w:val="24"/>
          <w:szCs w:val="24"/>
        </w:rPr>
      </w:pPr>
      <w:r>
        <w:rPr>
          <w:rFonts w:hint="eastAsia" w:ascii="宋体" w:cs="宋体"/>
          <w:color w:val="auto"/>
          <w:sz w:val="24"/>
          <w:szCs w:val="24"/>
          <w:lang w:val="zh-CN"/>
        </w:rPr>
        <w:t>时间：</w:t>
      </w:r>
      <w:r>
        <w:rPr>
          <w:color w:val="auto"/>
          <w:sz w:val="24"/>
          <w:szCs w:val="24"/>
        </w:rPr>
        <w:t xml:space="preserve">  </w:t>
      </w:r>
      <w:r>
        <w:rPr>
          <w:rFonts w:hint="eastAsia" w:ascii="宋体" w:cs="宋体"/>
          <w:color w:val="auto"/>
          <w:sz w:val="24"/>
          <w:szCs w:val="24"/>
          <w:lang w:val="zh-CN"/>
        </w:rPr>
        <w:t>年</w:t>
      </w:r>
      <w:r>
        <w:rPr>
          <w:color w:val="auto"/>
          <w:sz w:val="24"/>
          <w:szCs w:val="24"/>
        </w:rPr>
        <w:t xml:space="preserve">  </w:t>
      </w:r>
      <w:r>
        <w:rPr>
          <w:rFonts w:hint="eastAsia" w:ascii="宋体" w:cs="宋体"/>
          <w:color w:val="auto"/>
          <w:sz w:val="24"/>
          <w:szCs w:val="24"/>
          <w:lang w:val="zh-CN"/>
        </w:rPr>
        <w:t>月</w:t>
      </w:r>
      <w:r>
        <w:rPr>
          <w:color w:val="auto"/>
          <w:sz w:val="24"/>
          <w:szCs w:val="24"/>
        </w:rPr>
        <w:t xml:space="preserve">  </w:t>
      </w:r>
      <w:r>
        <w:rPr>
          <w:rFonts w:hint="eastAsia" w:ascii="宋体" w:cs="宋体"/>
          <w:color w:val="auto"/>
          <w:sz w:val="24"/>
          <w:szCs w:val="24"/>
          <w:lang w:val="zh-CN"/>
        </w:rPr>
        <w:t>日</w:t>
      </w:r>
    </w:p>
    <w:p>
      <w:pPr>
        <w:widowControl/>
        <w:spacing w:line="276" w:lineRule="auto"/>
        <w:jc w:val="left"/>
        <w:rPr>
          <w:rFonts w:hint="eastAsia"/>
        </w:rPr>
      </w:pPr>
    </w:p>
    <w:p>
      <w:pPr>
        <w:pStyle w:val="4"/>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ind w:left="0" w:leftChars="0" w:firstLine="0" w:firstLineChars="0"/>
        <w:jc w:val="center"/>
        <w:rPr>
          <w:rFonts w:hint="eastAsia" w:hAnsi="Times New Roman" w:eastAsia="黑体" w:cs="Times New Roman"/>
          <w:bCs/>
          <w:color w:val="auto"/>
          <w:sz w:val="24"/>
          <w:lang w:val="en-US" w:eastAsia="zh-CN"/>
        </w:rPr>
      </w:pPr>
      <w:r>
        <w:rPr>
          <w:rFonts w:hint="eastAsia" w:hAnsi="Times New Roman" w:eastAsia="黑体" w:cs="Times New Roman"/>
          <w:bCs/>
          <w:color w:val="auto"/>
          <w:sz w:val="24"/>
          <w:lang w:val="en-US" w:eastAsia="zh-CN"/>
        </w:rPr>
        <w:t>（三）无弄虚作假承诺书</w:t>
      </w:r>
    </w:p>
    <w:p>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我公司郑重承诺在本次投标中提供的任何资料均真实有效，没有弄虚作假行为，如果我公司在本次投标中获取中标资格，采购</w:t>
      </w:r>
      <w:r>
        <w:rPr>
          <w:rFonts w:hint="eastAsia" w:ascii="宋体" w:cs="宋体"/>
          <w:color w:val="auto"/>
          <w:sz w:val="24"/>
          <w:szCs w:val="24"/>
          <w:lang w:val="en-US" w:eastAsia="zh-CN"/>
        </w:rPr>
        <w:t>人</w:t>
      </w:r>
      <w:r>
        <w:rPr>
          <w:rFonts w:hint="eastAsia" w:ascii="宋体" w:hAnsi="Times New Roman" w:cs="宋体"/>
          <w:color w:val="auto"/>
          <w:sz w:val="24"/>
          <w:szCs w:val="24"/>
          <w:lang w:val="en-US" w:eastAsia="zh-CN"/>
        </w:rPr>
        <w:t>有权核实我方投标文件中资料的真实性，如果发现我公司有任何弄虚作假行为，采购人有权取消我公司中标资格。</w:t>
      </w:r>
    </w:p>
    <w:p>
      <w:pPr>
        <w:spacing w:line="360" w:lineRule="auto"/>
        <w:ind w:firstLine="480"/>
        <w:rPr>
          <w:rFonts w:hint="eastAsia" w:ascii="宋体" w:hAnsi="Times New Roman" w:cs="宋体"/>
          <w:color w:val="auto"/>
          <w:sz w:val="24"/>
          <w:szCs w:val="24"/>
          <w:lang w:val="en-US" w:eastAsia="zh-CN"/>
        </w:rPr>
      </w:pPr>
      <w:r>
        <w:rPr>
          <w:rFonts w:hint="eastAsia" w:ascii="宋体" w:hAnsi="Times New Roman" w:cs="宋体"/>
          <w:color w:val="auto"/>
          <w:sz w:val="24"/>
          <w:szCs w:val="24"/>
          <w:lang w:val="en-US" w:eastAsia="zh-CN"/>
        </w:rPr>
        <w:t>特此承诺。</w:t>
      </w: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r>
        <w:rPr>
          <w:rFonts w:hint="eastAsia"/>
          <w:lang w:val="en-US" w:eastAsia="zh-CN"/>
        </w:rPr>
        <w:t>投标人（印刷体及公章）：</w:t>
      </w:r>
    </w:p>
    <w:p>
      <w:pPr>
        <w:pStyle w:val="5"/>
        <w:rPr>
          <w:rFonts w:hint="eastAsia"/>
          <w:lang w:val="en-US" w:eastAsia="zh-CN"/>
        </w:rPr>
      </w:pPr>
    </w:p>
    <w:p>
      <w:pPr>
        <w:pStyle w:val="5"/>
        <w:rPr>
          <w:rFonts w:hint="eastAsia"/>
          <w:lang w:val="en-US" w:eastAsia="zh-CN"/>
        </w:rPr>
      </w:pPr>
      <w:r>
        <w:rPr>
          <w:rFonts w:hint="eastAsia"/>
          <w:lang w:val="en-US" w:eastAsia="zh-CN"/>
        </w:rPr>
        <w:t>法定代表人或授权委托人（签字或盖章）：</w:t>
      </w: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lang w:val="en-US" w:eastAsia="zh-CN"/>
        </w:rPr>
      </w:pPr>
    </w:p>
    <w:p>
      <w:pPr>
        <w:pStyle w:val="5"/>
        <w:rPr>
          <w:rFonts w:hint="eastAsia" w:eastAsia="宋体"/>
          <w:lang w:val="en-US" w:eastAsia="zh-CN"/>
        </w:rPr>
      </w:pPr>
      <w:r>
        <w:rPr>
          <w:rFonts w:hint="eastAsia"/>
          <w:lang w:val="en-US" w:eastAsia="zh-CN"/>
        </w:rPr>
        <w:t>日期：</w:t>
      </w: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pStyle w:val="5"/>
        <w:rPr>
          <w:rFonts w:hint="eastAsia"/>
        </w:rPr>
      </w:pP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7</w:t>
      </w:r>
    </w:p>
    <w:p>
      <w:pPr>
        <w:spacing w:line="276" w:lineRule="auto"/>
        <w:rPr>
          <w:rFonts w:cs="宋体" w:asciiTheme="majorEastAsia" w:hAnsiTheme="majorEastAsia" w:eastAsiaTheme="majorEastAsia"/>
          <w:color w:val="000000"/>
          <w:sz w:val="24"/>
        </w:rPr>
      </w:pPr>
    </w:p>
    <w:p>
      <w:pPr>
        <w:autoSpaceDE w:val="0"/>
        <w:autoSpaceDN w:val="0"/>
        <w:adjustRightInd w:val="0"/>
        <w:spacing w:beforeLines="50" w:afterLines="50"/>
        <w:jc w:val="center"/>
        <w:rPr>
          <w:rFonts w:ascii="宋体"/>
          <w:kern w:val="0"/>
          <w:sz w:val="24"/>
          <w:szCs w:val="24"/>
        </w:rPr>
      </w:pPr>
      <w:r>
        <w:rPr>
          <w:rFonts w:hint="eastAsia" w:ascii="黑体" w:hAnsi="黑体" w:eastAsia="黑体" w:cs="黑体"/>
          <w:kern w:val="0"/>
          <w:sz w:val="30"/>
          <w:szCs w:val="30"/>
        </w:rPr>
        <w:t>三年内在经营活动中没有重大违法记录的声明</w:t>
      </w:r>
    </w:p>
    <w:p>
      <w:pPr>
        <w:spacing w:line="360" w:lineRule="auto"/>
        <w:ind w:firstLine="480"/>
        <w:rPr>
          <w:rFonts w:hint="eastAsia" w:ascii="宋体" w:hAnsi="Times New Roman" w:cs="宋体"/>
          <w:color w:val="auto"/>
          <w:sz w:val="24"/>
          <w:szCs w:val="24"/>
          <w:lang w:val="zh-CN"/>
        </w:rPr>
      </w:pPr>
    </w:p>
    <w:p>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郑重声明，根据《中华人民共和国政府采购法实施条例》的规定，本公司三年内在经营活动中没有重大违法记录，本声明所称重大违法记录，是指供应商因违法经营受到刑事处罚或者责令停产停业、吊销许可证或者执照、较大数额罚款等行政处罚。</w:t>
      </w:r>
    </w:p>
    <w:p>
      <w:pPr>
        <w:spacing w:line="360" w:lineRule="auto"/>
        <w:ind w:firstLine="480"/>
        <w:rPr>
          <w:rFonts w:hint="eastAsia" w:ascii="宋体" w:hAnsi="Times New Roman" w:cs="宋体"/>
          <w:color w:val="auto"/>
          <w:sz w:val="24"/>
          <w:szCs w:val="24"/>
          <w:lang w:val="zh-CN"/>
        </w:rPr>
      </w:pPr>
      <w:r>
        <w:rPr>
          <w:rFonts w:hint="eastAsia" w:ascii="宋体" w:hAnsi="Times New Roman" w:cs="宋体"/>
          <w:color w:val="auto"/>
          <w:sz w:val="24"/>
          <w:szCs w:val="24"/>
          <w:lang w:val="zh-CN"/>
        </w:rPr>
        <w:t>本公司对上述声明的真实性负责。如有虚假，将依法承担相应责任。</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p>
    <w:p>
      <w:pPr>
        <w:spacing w:line="276" w:lineRule="auto"/>
        <w:ind w:right="480" w:firstLine="6240" w:firstLineChars="2600"/>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日期：</w:t>
      </w: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ind w:left="0" w:leftChars="0" w:firstLine="0" w:firstLineChars="0"/>
        <w:jc w:val="center"/>
      </w:pPr>
      <w:r>
        <w:rPr>
          <w:rFonts w:hint="eastAsia"/>
          <w:sz w:val="36"/>
          <w:szCs w:val="36"/>
        </w:rPr>
        <w:t>供应商认为需要提供的其他商务文件材料，但应注意不要提供与评标无直接关联的文件材料</w:t>
      </w:r>
      <w:r>
        <w:rPr>
          <w:rFonts w:hint="eastAsia"/>
        </w:rPr>
        <w:t>。</w:t>
      </w: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pPr>
    </w:p>
    <w:p>
      <w:pPr>
        <w:pStyle w:val="5"/>
        <w:ind w:firstLine="0"/>
        <w:jc w:val="center"/>
      </w:pPr>
      <w:r>
        <w:rPr>
          <w:rFonts w:hint="eastAsia"/>
          <w:b/>
          <w:bCs/>
          <w:sz w:val="52"/>
          <w:szCs w:val="52"/>
        </w:rPr>
        <w:t>技术部分</w:t>
      </w:r>
    </w:p>
    <w:p>
      <w:pPr>
        <w:pStyle w:val="5"/>
      </w:pPr>
    </w:p>
    <w:p>
      <w:pPr>
        <w:pStyle w:val="5"/>
      </w:pPr>
    </w:p>
    <w:p>
      <w:pPr>
        <w:pStyle w:val="5"/>
      </w:pPr>
    </w:p>
    <w:p>
      <w:pPr>
        <w:pStyle w:val="5"/>
      </w:pPr>
    </w:p>
    <w:p>
      <w:pPr>
        <w:pStyle w:val="5"/>
      </w:pPr>
    </w:p>
    <w:p>
      <w:pPr>
        <w:pStyle w:val="5"/>
      </w:pPr>
    </w:p>
    <w:p>
      <w:pPr>
        <w:spacing w:line="276" w:lineRule="auto"/>
        <w:rPr>
          <w:rFonts w:cs="宋体" w:asciiTheme="majorEastAsia" w:hAnsiTheme="majorEastAsia" w:eastAsiaTheme="majorEastAsia"/>
          <w:b/>
          <w:bCs/>
          <w:color w:val="000000"/>
          <w:sz w:val="32"/>
          <w:szCs w:val="32"/>
        </w:rPr>
      </w:pPr>
    </w:p>
    <w:p>
      <w:pPr>
        <w:spacing w:line="276" w:lineRule="auto"/>
        <w:rPr>
          <w:rFonts w:cs="宋体" w:asciiTheme="majorEastAsia" w:hAnsiTheme="majorEastAsia" w:eastAsiaTheme="majorEastAsia"/>
          <w:b/>
          <w:bCs/>
          <w:color w:val="000000"/>
          <w:sz w:val="30"/>
          <w:szCs w:val="30"/>
        </w:rPr>
      </w:pPr>
      <w:r>
        <w:rPr>
          <w:rFonts w:cs="宋体" w:asciiTheme="majorEastAsia" w:hAnsiTheme="majorEastAsia" w:eastAsiaTheme="majorEastAsia"/>
          <w:b/>
          <w:bCs/>
          <w:color w:val="000000"/>
          <w:sz w:val="30"/>
          <w:szCs w:val="30"/>
        </w:rPr>
        <w:br w:type="page"/>
      </w:r>
    </w:p>
    <w:p>
      <w:pPr>
        <w:spacing w:line="276" w:lineRule="auto"/>
        <w:rPr>
          <w:rFonts w:hint="eastAsia" w:cs="宋体" w:asciiTheme="majorEastAsia" w:hAnsiTheme="majorEastAsia" w:eastAsiaTheme="majorEastAsia"/>
          <w:b/>
          <w:color w:val="000000"/>
          <w:sz w:val="24"/>
          <w:lang w:eastAsia="zh-CN"/>
        </w:rPr>
      </w:pPr>
      <w:r>
        <w:rPr>
          <w:rFonts w:hint="eastAsia" w:cs="宋体" w:asciiTheme="majorEastAsia" w:hAnsiTheme="majorEastAsia" w:eastAsiaTheme="majorEastAsia"/>
          <w:b/>
          <w:color w:val="000000"/>
          <w:sz w:val="24"/>
        </w:rPr>
        <w:t>格式</w:t>
      </w:r>
      <w:r>
        <w:rPr>
          <w:rFonts w:hint="eastAsia" w:cs="宋体" w:asciiTheme="majorEastAsia" w:hAnsiTheme="majorEastAsia" w:eastAsiaTheme="majorEastAsia"/>
          <w:b/>
          <w:color w:val="000000"/>
          <w:sz w:val="24"/>
          <w:lang w:val="en-US" w:eastAsia="zh-CN"/>
        </w:rPr>
        <w:t>8</w:t>
      </w:r>
    </w:p>
    <w:p>
      <w:pPr>
        <w:spacing w:line="276" w:lineRule="auto"/>
        <w:jc w:val="center"/>
        <w:rPr>
          <w:rFonts w:hint="eastAsia" w:cs="宋体" w:asciiTheme="majorEastAsia" w:hAnsiTheme="majorEastAsia" w:eastAsiaTheme="majorEastAsia"/>
          <w:b/>
          <w:color w:val="000000"/>
          <w:sz w:val="36"/>
          <w:szCs w:val="30"/>
          <w:lang w:eastAsia="zh-CN"/>
        </w:rPr>
      </w:pPr>
      <w:r>
        <w:rPr>
          <w:rFonts w:hint="eastAsia" w:cs="宋体" w:asciiTheme="majorEastAsia" w:hAnsiTheme="majorEastAsia" w:eastAsiaTheme="majorEastAsia"/>
          <w:b/>
          <w:color w:val="000000"/>
          <w:sz w:val="36"/>
          <w:szCs w:val="30"/>
        </w:rPr>
        <w:t>技术</w:t>
      </w:r>
      <w:r>
        <w:rPr>
          <w:rFonts w:hint="eastAsia" w:cs="宋体" w:asciiTheme="majorEastAsia" w:hAnsiTheme="majorEastAsia" w:eastAsiaTheme="majorEastAsia"/>
          <w:b/>
          <w:color w:val="000000"/>
          <w:sz w:val="36"/>
          <w:szCs w:val="30"/>
          <w:lang w:eastAsia="zh-CN"/>
        </w:rPr>
        <w:t>偏离表</w:t>
      </w:r>
    </w:p>
    <w:tbl>
      <w:tblPr>
        <w:tblStyle w:val="30"/>
        <w:tblW w:w="8945"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1386"/>
        <w:gridCol w:w="2713"/>
        <w:gridCol w:w="2705"/>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restart"/>
            <w:vAlign w:val="center"/>
          </w:tcPr>
          <w:p>
            <w:pPr>
              <w:spacing w:before="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序号</w:t>
            </w:r>
          </w:p>
        </w:tc>
        <w:tc>
          <w:tcPr>
            <w:tcW w:w="4099" w:type="dxa"/>
            <w:gridSpan w:val="2"/>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招标文件要求</w:t>
            </w:r>
          </w:p>
        </w:tc>
        <w:tc>
          <w:tcPr>
            <w:tcW w:w="2705"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投标货物规格</w:t>
            </w:r>
          </w:p>
        </w:tc>
        <w:tc>
          <w:tcPr>
            <w:tcW w:w="1134" w:type="dxa"/>
            <w:vMerge w:val="restart"/>
            <w:vAlign w:val="center"/>
          </w:tcPr>
          <w:p>
            <w:pPr>
              <w:spacing w:before="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偏差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7" w:type="dxa"/>
            <w:vMerge w:val="continue"/>
            <w:vAlign w:val="center"/>
          </w:tcPr>
          <w:p>
            <w:pPr>
              <w:spacing w:line="276" w:lineRule="auto"/>
              <w:jc w:val="center"/>
              <w:rPr>
                <w:rFonts w:cs="宋体" w:asciiTheme="majorEastAsia" w:hAnsiTheme="majorEastAsia" w:eastAsiaTheme="majorEastAsia"/>
                <w:color w:val="000000"/>
              </w:rPr>
            </w:pPr>
          </w:p>
        </w:tc>
        <w:tc>
          <w:tcPr>
            <w:tcW w:w="1386"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设备</w:t>
            </w:r>
          </w:p>
        </w:tc>
        <w:tc>
          <w:tcPr>
            <w:tcW w:w="2713"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2705" w:type="dxa"/>
            <w:vAlign w:val="center"/>
          </w:tcPr>
          <w:p>
            <w:pPr>
              <w:spacing w:before="120" w:after="120" w:line="276" w:lineRule="auto"/>
              <w:jc w:val="center"/>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参数</w:t>
            </w:r>
          </w:p>
        </w:tc>
        <w:tc>
          <w:tcPr>
            <w:tcW w:w="1134" w:type="dxa"/>
            <w:vMerge w:val="continue"/>
            <w:vAlign w:val="center"/>
          </w:tcPr>
          <w:p>
            <w:pPr>
              <w:spacing w:line="276" w:lineRule="auto"/>
              <w:jc w:val="center"/>
              <w:rPr>
                <w:rFonts w:cs="宋体" w:asciiTheme="majorEastAsia" w:hAnsiTheme="majorEastAsia" w:eastAsiaTheme="majorEastAsia"/>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7" w:type="dxa"/>
            <w:vAlign w:val="center"/>
          </w:tcPr>
          <w:p>
            <w:pPr>
              <w:spacing w:before="120" w:after="120" w:line="276" w:lineRule="auto"/>
              <w:jc w:val="center"/>
              <w:rPr>
                <w:rFonts w:cs="宋体" w:asciiTheme="majorEastAsia" w:hAnsiTheme="majorEastAsia" w:eastAsiaTheme="majorEastAsia"/>
                <w:color w:val="000000"/>
                <w:sz w:val="32"/>
              </w:rPr>
            </w:pPr>
          </w:p>
        </w:tc>
        <w:tc>
          <w:tcPr>
            <w:tcW w:w="1386" w:type="dxa"/>
            <w:vAlign w:val="center"/>
          </w:tcPr>
          <w:p>
            <w:pPr>
              <w:spacing w:before="120" w:after="120" w:line="276" w:lineRule="auto"/>
              <w:jc w:val="center"/>
              <w:rPr>
                <w:rFonts w:cs="宋体" w:asciiTheme="majorEastAsia" w:hAnsiTheme="majorEastAsia" w:eastAsiaTheme="majorEastAsia"/>
                <w:color w:val="000000"/>
                <w:sz w:val="32"/>
              </w:rPr>
            </w:pPr>
          </w:p>
        </w:tc>
        <w:tc>
          <w:tcPr>
            <w:tcW w:w="2713" w:type="dxa"/>
            <w:vAlign w:val="center"/>
          </w:tcPr>
          <w:p>
            <w:pPr>
              <w:spacing w:before="120" w:after="120" w:line="276" w:lineRule="auto"/>
              <w:jc w:val="center"/>
              <w:rPr>
                <w:rFonts w:cs="宋体" w:asciiTheme="majorEastAsia" w:hAnsiTheme="majorEastAsia" w:eastAsiaTheme="majorEastAsia"/>
                <w:color w:val="000000"/>
                <w:sz w:val="32"/>
              </w:rPr>
            </w:pPr>
          </w:p>
        </w:tc>
        <w:tc>
          <w:tcPr>
            <w:tcW w:w="2705" w:type="dxa"/>
            <w:vAlign w:val="center"/>
          </w:tcPr>
          <w:p>
            <w:pPr>
              <w:spacing w:before="120" w:after="120" w:line="276" w:lineRule="auto"/>
              <w:jc w:val="center"/>
              <w:rPr>
                <w:rFonts w:cs="宋体" w:asciiTheme="majorEastAsia" w:hAnsiTheme="majorEastAsia" w:eastAsiaTheme="majorEastAsia"/>
                <w:color w:val="000000"/>
                <w:sz w:val="32"/>
              </w:rPr>
            </w:pPr>
          </w:p>
        </w:tc>
        <w:tc>
          <w:tcPr>
            <w:tcW w:w="1134" w:type="dxa"/>
            <w:vAlign w:val="center"/>
          </w:tcPr>
          <w:p>
            <w:pPr>
              <w:spacing w:before="120" w:after="120" w:line="276" w:lineRule="auto"/>
              <w:jc w:val="center"/>
              <w:rPr>
                <w:rFonts w:cs="宋体" w:asciiTheme="majorEastAsia" w:hAnsiTheme="majorEastAsia" w:eastAsiaTheme="majorEastAsia"/>
                <w:color w:val="000000"/>
                <w:sz w:val="32"/>
              </w:rPr>
            </w:pPr>
          </w:p>
        </w:tc>
      </w:tr>
    </w:tbl>
    <w:p>
      <w:pPr>
        <w:spacing w:line="276" w:lineRule="auto"/>
        <w:rPr>
          <w:rFonts w:cs="宋体" w:asciiTheme="majorEastAsia" w:hAnsiTheme="majorEastAsia" w:eastAsiaTheme="majorEastAsia"/>
          <w:color w:val="000000"/>
          <w:sz w:val="24"/>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注：</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1、投标人必须把招标项目的全部技术参数列入此表。</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2、按照招标项目技术要求的顺序对应填写。</w:t>
      </w: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3、“偏离情况”栏应当填写“正偏离、无偏离、负偏离”。</w:t>
      </w:r>
    </w:p>
    <w:p>
      <w:pPr>
        <w:spacing w:line="276" w:lineRule="auto"/>
        <w:rPr>
          <w:rFonts w:hint="eastAsia" w:cs="宋体" w:asciiTheme="majorEastAsia" w:hAnsiTheme="majorEastAsia" w:eastAsiaTheme="majorEastAsia"/>
          <w:color w:val="000000"/>
          <w:sz w:val="24"/>
          <w:lang w:val="en-US" w:eastAsia="zh-CN"/>
        </w:rPr>
      </w:pPr>
      <w:r>
        <w:rPr>
          <w:rFonts w:hint="eastAsia" w:cs="宋体" w:asciiTheme="majorEastAsia" w:hAnsiTheme="majorEastAsia" w:eastAsiaTheme="majorEastAsia"/>
          <w:color w:val="000000"/>
          <w:sz w:val="24"/>
          <w:lang w:val="en-US" w:eastAsia="zh-CN"/>
        </w:rPr>
        <w:t>4、不得虚假应标，如中标后发现所供应设备技术标准与投标文件技术标准不符，按虚假应标处理，采购人有权取消中标人资格。</w:t>
      </w:r>
    </w:p>
    <w:p>
      <w:pPr>
        <w:spacing w:line="276" w:lineRule="auto"/>
        <w:rPr>
          <w:rFonts w:hint="eastAsia" w:cs="宋体" w:asciiTheme="majorEastAsia" w:hAnsiTheme="majorEastAsia" w:eastAsiaTheme="majorEastAsia"/>
          <w:color w:val="000000"/>
          <w:sz w:val="24"/>
          <w:lang w:eastAsia="zh-CN"/>
        </w:rPr>
      </w:pPr>
      <w:bookmarkStart w:id="649" w:name="_Toc24696157"/>
      <w:bookmarkStart w:id="650" w:name="_Toc524834043"/>
    </w:p>
    <w:p>
      <w:pPr>
        <w:spacing w:line="276" w:lineRule="auto"/>
        <w:rPr>
          <w:rFonts w:hint="eastAsia" w:cs="宋体" w:asciiTheme="majorEastAsia" w:hAnsiTheme="majorEastAsia" w:eastAsiaTheme="majorEastAsia"/>
          <w:color w:val="000000"/>
          <w:sz w:val="24"/>
          <w:lang w:eastAsia="zh-CN"/>
        </w:rPr>
      </w:pPr>
    </w:p>
    <w:p>
      <w:pPr>
        <w:spacing w:line="276" w:lineRule="auto"/>
        <w:rPr>
          <w:rFonts w:cs="宋体" w:asciiTheme="majorEastAsia" w:hAnsiTheme="majorEastAsia" w:eastAsiaTheme="majorEastAsia"/>
          <w:color w:val="000000"/>
          <w:sz w:val="24"/>
        </w:rPr>
      </w:pPr>
      <w:r>
        <w:rPr>
          <w:rFonts w:hint="eastAsia" w:cs="宋体" w:asciiTheme="majorEastAsia" w:hAnsiTheme="majorEastAsia" w:eastAsiaTheme="majorEastAsia"/>
          <w:color w:val="000000"/>
          <w:sz w:val="24"/>
          <w:lang w:eastAsia="zh-CN"/>
        </w:rPr>
        <w:t>投标人</w:t>
      </w:r>
      <w:r>
        <w:rPr>
          <w:rFonts w:hint="eastAsia" w:cs="宋体" w:asciiTheme="majorEastAsia" w:hAnsiTheme="majorEastAsia" w:eastAsiaTheme="majorEastAsia"/>
          <w:color w:val="000000"/>
          <w:sz w:val="24"/>
        </w:rPr>
        <w:t>（印刷体及公章）：</w:t>
      </w:r>
    </w:p>
    <w:p>
      <w:pPr>
        <w:spacing w:line="276" w:lineRule="auto"/>
        <w:rPr>
          <w:rFonts w:hint="eastAsia" w:cs="宋体" w:asciiTheme="majorEastAsia" w:hAnsiTheme="majorEastAsia" w:eastAsiaTheme="majorEastAsia"/>
          <w:color w:val="000000"/>
          <w:sz w:val="24"/>
        </w:rPr>
      </w:pPr>
    </w:p>
    <w:p>
      <w:pPr>
        <w:spacing w:line="276" w:lineRule="auto"/>
        <w:rPr>
          <w:rFonts w:hint="eastAsia" w:cs="宋体" w:asciiTheme="majorEastAsia" w:hAnsiTheme="majorEastAsia" w:eastAsiaTheme="majorEastAsia"/>
          <w:color w:val="000000"/>
          <w:sz w:val="24"/>
        </w:rPr>
      </w:pPr>
      <w:r>
        <w:rPr>
          <w:rFonts w:hint="eastAsia" w:cs="宋体" w:asciiTheme="majorEastAsia" w:hAnsiTheme="majorEastAsia" w:eastAsiaTheme="majorEastAsia"/>
          <w:color w:val="000000"/>
          <w:sz w:val="24"/>
        </w:rPr>
        <w:t>法定代表人或授权委托人（签字或盖章）：</w:t>
      </w:r>
      <w:bookmarkEnd w:id="649"/>
      <w:bookmarkEnd w:id="650"/>
    </w:p>
    <w:p>
      <w:pPr>
        <w:pStyle w:val="28"/>
        <w:rPr>
          <w:rFonts w:hint="eastAsia" w:cs="宋体" w:asciiTheme="majorEastAsia" w:hAnsiTheme="majorEastAsia" w:eastAsiaTheme="majorEastAsia"/>
          <w:color w:val="000000"/>
          <w:sz w:val="24"/>
        </w:rPr>
      </w:pPr>
    </w:p>
    <w:p>
      <w:pPr>
        <w:rPr>
          <w:rFonts w:hint="eastAsia" w:cs="宋体" w:asciiTheme="majorEastAsia" w:hAnsiTheme="majorEastAsia" w:eastAsiaTheme="majorEastAsia"/>
          <w:color w:val="000000"/>
          <w:sz w:val="24"/>
        </w:rPr>
      </w:pPr>
    </w:p>
    <w:p>
      <w:pPr>
        <w:pStyle w:val="28"/>
        <w:rPr>
          <w:rFonts w:hint="eastAsia" w:cs="宋体" w:asciiTheme="majorEastAsia" w:hAnsiTheme="majorEastAsia" w:eastAsiaTheme="majorEastAsia"/>
          <w:color w:val="000000"/>
          <w:sz w:val="24"/>
        </w:rPr>
      </w:pPr>
    </w:p>
    <w:p>
      <w:pPr>
        <w:rPr>
          <w:rFonts w:hint="eastAsia" w:cs="宋体" w:asciiTheme="majorEastAsia" w:hAnsiTheme="majorEastAsia" w:eastAsiaTheme="majorEastAsia"/>
          <w:color w:val="000000"/>
          <w:sz w:val="24"/>
        </w:rPr>
      </w:pPr>
    </w:p>
    <w:p>
      <w:pPr>
        <w:pStyle w:val="5"/>
        <w:spacing w:line="276" w:lineRule="auto"/>
        <w:ind w:left="0" w:leftChars="0" w:firstLine="0" w:firstLineChars="0"/>
        <w:jc w:val="center"/>
        <w:rPr>
          <w:rFonts w:hint="eastAsia" w:cs="宋体" w:asciiTheme="majorEastAsia" w:hAnsiTheme="majorEastAsia" w:eastAsiaTheme="majorEastAsia"/>
          <w:b/>
          <w:color w:val="000000"/>
          <w:sz w:val="36"/>
          <w:szCs w:val="30"/>
        </w:rPr>
      </w:pPr>
    </w:p>
    <w:p>
      <w:pPr>
        <w:pStyle w:val="5"/>
        <w:spacing w:line="276" w:lineRule="auto"/>
        <w:ind w:left="0" w:leftChars="0" w:firstLine="0" w:firstLineChars="0"/>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lang w:eastAsia="zh-CN"/>
        </w:rPr>
        <w:t>投标人可根据本项目</w:t>
      </w:r>
      <w:r>
        <w:rPr>
          <w:rFonts w:hint="eastAsia" w:cs="宋体" w:asciiTheme="majorEastAsia" w:hAnsiTheme="majorEastAsia" w:eastAsiaTheme="majorEastAsia"/>
          <w:b/>
          <w:color w:val="000000"/>
          <w:sz w:val="36"/>
          <w:szCs w:val="30"/>
        </w:rPr>
        <w:t>要求的其他内容</w:t>
      </w:r>
    </w:p>
    <w:p>
      <w:pPr>
        <w:spacing w:line="276" w:lineRule="auto"/>
        <w:jc w:val="center"/>
        <w:rPr>
          <w:rFonts w:cs="宋体" w:asciiTheme="majorEastAsia" w:hAnsiTheme="majorEastAsia" w:eastAsiaTheme="majorEastAsia"/>
          <w:b/>
          <w:color w:val="000000"/>
          <w:sz w:val="36"/>
          <w:szCs w:val="30"/>
        </w:rPr>
      </w:pPr>
      <w:r>
        <w:rPr>
          <w:rFonts w:hint="eastAsia" w:cs="宋体" w:asciiTheme="majorEastAsia" w:hAnsiTheme="majorEastAsia" w:eastAsiaTheme="majorEastAsia"/>
          <w:b/>
          <w:color w:val="000000"/>
          <w:sz w:val="36"/>
          <w:szCs w:val="30"/>
        </w:rPr>
        <w:t>自行编写技术部分</w:t>
      </w: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pStyle w:val="5"/>
        <w:spacing w:line="276" w:lineRule="auto"/>
        <w:rPr>
          <w:rFonts w:asciiTheme="majorEastAsia" w:hAnsiTheme="majorEastAsia" w:eastAsiaTheme="majorEastAsia"/>
        </w:rPr>
      </w:pPr>
    </w:p>
    <w:p>
      <w:pPr>
        <w:rPr>
          <w:rFonts w:asciiTheme="majorEastAsia" w:hAnsiTheme="majorEastAsia" w:eastAsiaTheme="majorEastAsia"/>
        </w:rPr>
      </w:pPr>
      <w:r>
        <w:rPr>
          <w:rFonts w:asciiTheme="majorEastAsia" w:hAnsiTheme="majorEastAsia" w:eastAsiaTheme="majorEastAsia"/>
        </w:rPr>
        <w:br w:type="page"/>
      </w:r>
    </w:p>
    <w:p>
      <w:pPr>
        <w:widowControl w:val="0"/>
        <w:spacing w:line="240" w:lineRule="atLeast"/>
        <w:jc w:val="left"/>
        <w:rPr>
          <w:rFonts w:hint="eastAsia" w:ascii="宋体" w:hAnsi="宋体" w:eastAsia="宋体" w:cs="宋体"/>
          <w:b/>
          <w:color w:val="000000"/>
          <w:kern w:val="2"/>
          <w:sz w:val="30"/>
          <w:szCs w:val="30"/>
          <w:lang w:val="en-US" w:eastAsia="zh-CN" w:bidi="ar-SA"/>
        </w:rPr>
      </w:pPr>
      <w:r>
        <w:rPr>
          <w:rFonts w:hint="eastAsia" w:ascii="宋体" w:hAnsi="宋体" w:eastAsia="宋体" w:cs="宋体"/>
          <w:b/>
          <w:color w:val="000000"/>
          <w:kern w:val="2"/>
          <w:sz w:val="30"/>
          <w:szCs w:val="30"/>
          <w:lang w:val="en-US" w:eastAsia="zh-CN" w:bidi="ar-SA"/>
        </w:rPr>
        <w:t>附件1</w:t>
      </w:r>
    </w:p>
    <w:p>
      <w:pPr>
        <w:widowControl w:val="0"/>
        <w:numPr>
          <w:ilvl w:val="0"/>
          <w:numId w:val="0"/>
        </w:numPr>
        <w:autoSpaceDE w:val="0"/>
        <w:autoSpaceDN w:val="0"/>
        <w:spacing w:before="0" w:after="0" w:line="240" w:lineRule="auto"/>
        <w:ind w:right="0" w:rightChars="0"/>
        <w:jc w:val="center"/>
        <w:rPr>
          <w:rFonts w:hint="eastAsia" w:ascii="Times New Roman" w:hAnsi="Times New Roman" w:eastAsia="宋体" w:cs="Times New Roman"/>
          <w:b/>
          <w:bCs/>
          <w:sz w:val="30"/>
          <w:szCs w:val="30"/>
        </w:rPr>
      </w:pPr>
      <w:r>
        <w:rPr>
          <w:rFonts w:hint="eastAsia" w:ascii="Times New Roman" w:hAnsi="Times New Roman" w:eastAsia="宋体" w:cs="Times New Roman"/>
          <w:b/>
          <w:bCs/>
          <w:sz w:val="30"/>
          <w:szCs w:val="30"/>
        </w:rPr>
        <w:t>中小企业声明函（货物）</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本公司</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rPr>
        <w:t>（联合体）郑重声明，根据《政府采购促进中小企业发展管理办法》（财库﹝2020﹞46 号）的规定，本公司</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rPr>
        <w:t>（联合体）参加（</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u w:val="single"/>
        </w:rPr>
        <w:t>单位名称</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rPr>
        <w:t>）的（</w:t>
      </w:r>
      <w:r>
        <w:rPr>
          <w:rFonts w:hint="eastAsia" w:ascii="Times New Roman" w:hAnsi="Times New Roman" w:eastAsia="宋体" w:cs="Times New Roman"/>
          <w:sz w:val="28"/>
          <w:szCs w:val="28"/>
          <w:u w:val="single"/>
        </w:rPr>
        <w:t>项目名称</w:t>
      </w:r>
      <w:r>
        <w:rPr>
          <w:rFonts w:hint="eastAsia" w:ascii="Times New Roman" w:hAnsi="Times New Roman" w:eastAsia="宋体" w:cs="Times New Roman"/>
          <w:sz w:val="28"/>
          <w:szCs w:val="28"/>
        </w:rPr>
        <w:t>）采购活动，提供的货物全部由符合政策要求的中小企业制造。相关企业（含联合体中的中小企业、签订分包意向协议的中小企业） 的具体情况如下：</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 xml:space="preserve">1. （ </w:t>
      </w:r>
      <w:r>
        <w:rPr>
          <w:rFonts w:hint="eastAsia" w:ascii="Times New Roman" w:hAnsi="Times New Roman" w:eastAsia="宋体" w:cs="Times New Roman"/>
          <w:sz w:val="28"/>
          <w:szCs w:val="28"/>
          <w:u w:val="single"/>
        </w:rPr>
        <w:t xml:space="preserve">标 的 名 称 </w:t>
      </w:r>
      <w:r>
        <w:rPr>
          <w:rFonts w:hint="eastAsia" w:ascii="Times New Roman" w:hAnsi="Times New Roman" w:eastAsia="宋体" w:cs="Times New Roman"/>
          <w:sz w:val="28"/>
          <w:szCs w:val="28"/>
        </w:rPr>
        <w:t xml:space="preserve">） ， 属 于 （ </w:t>
      </w:r>
      <w:r>
        <w:rPr>
          <w:rFonts w:hint="eastAsia" w:ascii="Times New Roman" w:hAnsi="Times New Roman" w:eastAsia="宋体" w:cs="Times New Roman"/>
          <w:sz w:val="28"/>
          <w:szCs w:val="28"/>
          <w:u w:val="single"/>
        </w:rPr>
        <w:t xml:space="preserve">采 购 文 件 中 明 确 的 所 属 行 业 </w:t>
      </w:r>
      <w:r>
        <w:rPr>
          <w:rFonts w:hint="eastAsia" w:ascii="Times New Roman" w:hAnsi="Times New Roman" w:eastAsia="宋体" w:cs="Times New Roman"/>
          <w:sz w:val="28"/>
          <w:szCs w:val="28"/>
        </w:rPr>
        <w:t>） 行业；制造商为（</w:t>
      </w:r>
      <w:r>
        <w:rPr>
          <w:rFonts w:hint="eastAsia" w:ascii="Times New Roman" w:hAnsi="Times New Roman" w:eastAsia="宋体" w:cs="Times New Roman"/>
          <w:sz w:val="28"/>
          <w:szCs w:val="28"/>
          <w:u w:val="single"/>
        </w:rPr>
        <w:t>企业名称</w:t>
      </w:r>
      <w:r>
        <w:rPr>
          <w:rFonts w:hint="eastAsia" w:ascii="Times New Roman" w:hAnsi="Times New Roman" w:eastAsia="宋体" w:cs="Times New Roman"/>
          <w:sz w:val="28"/>
          <w:szCs w:val="28"/>
        </w:rPr>
        <w:t>），从业人员</w:t>
      </w:r>
      <w:r>
        <w:rPr>
          <w:rFonts w:hint="eastAsia" w:ascii="Times New Roman" w:hAnsi="Times New Roman" w:eastAsia="宋体" w:cs="Times New Roman"/>
          <w:sz w:val="28"/>
          <w:szCs w:val="28"/>
          <w:u w:val="single"/>
        </w:rPr>
        <w:t xml:space="preserve"> </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u w:val="single"/>
        </w:rPr>
        <w:tab/>
      </w:r>
      <w:r>
        <w:rPr>
          <w:rFonts w:hint="eastAsia" w:ascii="Times New Roman" w:hAnsi="Times New Roman" w:eastAsia="宋体" w:cs="Times New Roman"/>
          <w:sz w:val="28"/>
          <w:szCs w:val="28"/>
        </w:rPr>
        <w:t>人，营业收入为</w:t>
      </w:r>
      <w:r>
        <w:rPr>
          <w:rFonts w:hint="eastAsia" w:ascii="Times New Roman" w:hAnsi="Times New Roman" w:eastAsia="宋体" w:cs="Times New Roman"/>
          <w:sz w:val="28"/>
          <w:szCs w:val="28"/>
          <w:u w:val="single"/>
        </w:rPr>
        <w:t xml:space="preserve"> </w:t>
      </w:r>
      <w:r>
        <w:rPr>
          <w:rFonts w:hint="eastAsia" w:ascii="Times New Roman" w:hAnsi="Times New Roman" w:eastAsia="宋体" w:cs="Times New Roman"/>
          <w:sz w:val="28"/>
          <w:szCs w:val="28"/>
          <w:u w:val="single"/>
        </w:rPr>
        <w:tab/>
      </w:r>
      <w:r>
        <w:rPr>
          <w:rFonts w:hint="eastAsia" w:ascii="Times New Roman" w:hAnsi="Times New Roman" w:eastAsia="宋体" w:cs="Times New Roman"/>
          <w:sz w:val="28"/>
          <w:szCs w:val="28"/>
        </w:rPr>
        <w:t>万元，资产总额为</w:t>
      </w:r>
      <w:r>
        <w:rPr>
          <w:rFonts w:hint="eastAsia" w:ascii="Times New Roman" w:hAnsi="Times New Roman" w:eastAsia="宋体" w:cs="Times New Roman"/>
          <w:sz w:val="28"/>
          <w:szCs w:val="28"/>
          <w:u w:val="single"/>
        </w:rPr>
        <w:t xml:space="preserve"> </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u w:val="single"/>
        </w:rPr>
        <w:tab/>
      </w:r>
      <w:r>
        <w:rPr>
          <w:rFonts w:hint="eastAsia" w:ascii="Times New Roman" w:hAnsi="Times New Roman" w:eastAsia="宋体" w:cs="Times New Roman"/>
          <w:sz w:val="28"/>
          <w:szCs w:val="28"/>
        </w:rPr>
        <w:t>万元，属于（中型企业、小型企业、微型企业）；</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2. （ 标 的 名 称 ） ， 属 于 （ 采 购 文 件 中 明 确 的 所 属 行 业 ） 行业；制造商为（企业名称），从业人员</w:t>
      </w:r>
      <w:r>
        <w:rPr>
          <w:rFonts w:hint="eastAsia" w:ascii="Times New Roman" w:hAnsi="Times New Roman" w:eastAsia="宋体" w:cs="Times New Roman"/>
          <w:sz w:val="28"/>
          <w:szCs w:val="28"/>
          <w:u w:val="single"/>
        </w:rPr>
        <w:t xml:space="preserve"> </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u w:val="single"/>
        </w:rPr>
        <w:tab/>
      </w:r>
      <w:r>
        <w:rPr>
          <w:rFonts w:hint="eastAsia" w:ascii="Times New Roman" w:hAnsi="Times New Roman" w:eastAsia="宋体" w:cs="Times New Roman"/>
          <w:sz w:val="28"/>
          <w:szCs w:val="28"/>
        </w:rPr>
        <w:t>人，营业收入为</w:t>
      </w:r>
      <w:r>
        <w:rPr>
          <w:rFonts w:hint="eastAsia" w:ascii="Times New Roman" w:hAnsi="Times New Roman" w:eastAsia="宋体" w:cs="Times New Roman"/>
          <w:i/>
          <w:iCs/>
          <w:sz w:val="28"/>
          <w:szCs w:val="28"/>
          <w:u w:val="single"/>
        </w:rPr>
        <w:t xml:space="preserve"> </w:t>
      </w:r>
      <w:r>
        <w:rPr>
          <w:rFonts w:hint="eastAsia" w:ascii="Times New Roman" w:hAnsi="Times New Roman" w:eastAsia="宋体" w:cs="Times New Roman"/>
          <w:i/>
          <w:iCs/>
          <w:sz w:val="28"/>
          <w:szCs w:val="28"/>
          <w:u w:val="single"/>
        </w:rPr>
        <w:tab/>
      </w:r>
      <w:r>
        <w:rPr>
          <w:rFonts w:hint="eastAsia" w:ascii="Times New Roman" w:hAnsi="Times New Roman" w:eastAsia="宋体" w:cs="Times New Roman"/>
          <w:sz w:val="28"/>
          <w:szCs w:val="28"/>
        </w:rPr>
        <w:t>万元，资产总额为</w:t>
      </w:r>
      <w:r>
        <w:rPr>
          <w:rFonts w:hint="eastAsia" w:ascii="Times New Roman" w:hAnsi="Times New Roman" w:eastAsia="宋体" w:cs="Times New Roman"/>
          <w:sz w:val="28"/>
          <w:szCs w:val="28"/>
          <w:u w:val="single"/>
          <w:lang w:val="en-US" w:eastAsia="zh-CN"/>
        </w:rPr>
        <w:t xml:space="preserve">   </w:t>
      </w:r>
      <w:r>
        <w:rPr>
          <w:rFonts w:hint="eastAsia" w:ascii="Times New Roman" w:hAnsi="Times New Roman" w:eastAsia="宋体" w:cs="Times New Roman"/>
          <w:sz w:val="28"/>
          <w:szCs w:val="28"/>
        </w:rPr>
        <w:t>万元，属于（中型企业、小型企业、微型企业）；</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以上企业，不属于大企业的分支机构，不存在控股股东为大企业的情形，也不存在与大企业的负责人为同一人的情形。</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本企业对上述声明内容的真实性负责。如有虚假，将依法承担相应责任。</w:t>
      </w:r>
    </w:p>
    <w:p>
      <w:pPr>
        <w:keepNext w:val="0"/>
        <w:keepLines w:val="0"/>
        <w:pageBreakBefore w:val="0"/>
        <w:widowControl w:val="0"/>
        <w:numPr>
          <w:ilvl w:val="0"/>
          <w:numId w:val="0"/>
        </w:numPr>
        <w:kinsoku/>
        <w:wordWrap/>
        <w:overflowPunct/>
        <w:topLinePunct w:val="0"/>
        <w:autoSpaceDE w:val="0"/>
        <w:autoSpaceDN w:val="0"/>
        <w:bidi w:val="0"/>
        <w:snapToGrid/>
        <w:spacing w:before="0" w:after="0" w:line="360" w:lineRule="exact"/>
        <w:ind w:right="0" w:rightChars="0"/>
        <w:jc w:val="left"/>
        <w:textAlignment w:val="auto"/>
        <w:rPr>
          <w:rFonts w:hint="eastAsia" w:ascii="Times New Roman" w:hAnsi="Times New Roman" w:eastAsia="宋体" w:cs="Times New Roman"/>
          <w:sz w:val="28"/>
          <w:szCs w:val="28"/>
        </w:rPr>
      </w:pPr>
      <w:r>
        <w:rPr>
          <w:rFonts w:hint="eastAsia" w:ascii="Times New Roman" w:hAnsi="Times New Roman" w:eastAsia="宋体" w:cs="Times New Roman"/>
          <w:sz w:val="28"/>
          <w:szCs w:val="28"/>
        </w:rPr>
        <w:t>企业名称（盖章）：</w:t>
      </w:r>
    </w:p>
    <w:p>
      <w:pPr>
        <w:keepNext w:val="0"/>
        <w:keepLines w:val="0"/>
        <w:pageBreakBefore w:val="0"/>
        <w:widowControl w:val="0"/>
        <w:kinsoku/>
        <w:wordWrap/>
        <w:overflowPunct/>
        <w:topLinePunct w:val="0"/>
        <w:bidi w:val="0"/>
        <w:adjustRightInd w:val="0"/>
        <w:snapToGrid/>
        <w:spacing w:line="360" w:lineRule="exact"/>
        <w:ind w:left="0" w:leftChars="0" w:firstLine="0" w:firstLineChars="0"/>
        <w:jc w:val="left"/>
        <w:textAlignment w:val="auto"/>
        <w:rPr>
          <w:rFonts w:ascii="宋体" w:hAnsi="宋体" w:eastAsia="宋体" w:cs="Times New Roman"/>
          <w:kern w:val="0"/>
          <w:sz w:val="24"/>
          <w:szCs w:val="20"/>
          <w:lang w:val="en-US" w:eastAsia="zh-CN" w:bidi="ar-SA"/>
        </w:rPr>
      </w:pPr>
      <w:r>
        <w:rPr>
          <w:rFonts w:hint="eastAsia" w:ascii="宋体" w:hAnsi="Times New Roman" w:eastAsia="宋体" w:cs="Times New Roman"/>
          <w:kern w:val="0"/>
          <w:sz w:val="28"/>
          <w:szCs w:val="28"/>
          <w:lang w:val="en-US" w:eastAsia="zh-CN" w:bidi="ar-SA"/>
        </w:rPr>
        <w:t>日期：</w:t>
      </w: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left="0" w:leftChars="0" w:firstLine="0" w:firstLineChars="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firstLine="420"/>
        <w:jc w:val="left"/>
        <w:rPr>
          <w:rFonts w:ascii="宋体" w:hAnsi="宋体" w:eastAsia="宋体" w:cs="Times New Roman"/>
          <w:kern w:val="0"/>
          <w:sz w:val="24"/>
          <w:szCs w:val="20"/>
          <w:lang w:val="en-US" w:eastAsia="zh-CN" w:bidi="ar-SA"/>
        </w:rPr>
      </w:pPr>
    </w:p>
    <w:p>
      <w:pPr>
        <w:widowControl w:val="0"/>
        <w:adjustRightInd w:val="0"/>
        <w:spacing w:line="276" w:lineRule="auto"/>
        <w:ind w:left="0" w:leftChars="0" w:firstLine="0" w:firstLineChars="0"/>
        <w:jc w:val="left"/>
        <w:rPr>
          <w:rFonts w:hint="eastAsia" w:ascii="宋体" w:hAnsi="宋体" w:eastAsia="宋体" w:cs="宋体"/>
          <w:b/>
          <w:kern w:val="0"/>
          <w:sz w:val="21"/>
          <w:szCs w:val="21"/>
          <w:lang w:val="en-US" w:eastAsia="zh-CN" w:bidi="ar-SA"/>
        </w:rPr>
      </w:pPr>
      <w:r>
        <w:rPr>
          <w:rFonts w:hint="eastAsia" w:ascii="宋体" w:hAnsi="宋体" w:eastAsia="宋体" w:cs="宋体"/>
          <w:b/>
          <w:kern w:val="0"/>
          <w:sz w:val="21"/>
          <w:szCs w:val="21"/>
          <w:lang w:val="en-US" w:eastAsia="zh-CN" w:bidi="ar-SA"/>
        </w:rPr>
        <w:t>注释：中小企业参加政府采购活动，应当出具本办法规定的《中小企业声明函》（附1），否则不得享受相关中小企业扶持政策。</w:t>
      </w:r>
    </w:p>
    <w:p>
      <w:pPr>
        <w:pStyle w:val="5"/>
        <w:spacing w:line="276" w:lineRule="auto"/>
        <w:ind w:left="0" w:leftChars="0" w:firstLine="0" w:firstLineChars="0"/>
        <w:rPr>
          <w:rFonts w:asciiTheme="majorEastAsia" w:hAnsiTheme="majorEastAsia" w:eastAsiaTheme="major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monospace">
    <w:altName w:val="Courier New"/>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Wingdings 2">
    <w:altName w:val="Wingdings"/>
    <w:panose1 w:val="05020102010507070707"/>
    <w:charset w:val="02"/>
    <w:family w:val="roman"/>
    <w:pitch w:val="default"/>
    <w:sig w:usb0="00000000" w:usb1="00000000" w:usb2="00000000" w:usb3="00000000" w:csb0="80000000"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pict>
        <v:shape id="文本框 1025"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PlfknQ&#10;AAAAAwEAAA8AAAAAAAAAAQAgAAAAIgAAAGRycy9kb3ducmV2LnhtbFBLAQIUABQAAAAIAIdO4kBS&#10;ugY5tgEAAEwDAAAOAAAAAAAAAAEAIAAAAB8BAABkcnMvZTJvRG9jLnhtbFBLBQYAAAAABgAGAFkB&#10;AABHBQAAAAA=&#10;">
          <v:path/>
          <v:fill on="f" focussize="0,0"/>
          <v:stroke on="f" joinstyle="miter"/>
          <v:imagedata o:title=""/>
          <o:lock v:ext="edit"/>
          <v:textbox inset="0mm,0mm,0mm,0mm" style="mso-fit-shape-to-text:t;">
            <w:txbxContent>
              <w:p>
                <w:pPr>
                  <w:pStyle w:val="18"/>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pict>
        <v:shape id="文本框 1026" o:spid="_x0000_s3073"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JB7XTPQ&#10;AAAAAwEAAA8AAAAAAAAAAQAgAAAAIgAAAGRycy9kb3ducmV2LnhtbFBLAQIUABQAAAAIAIdO4kAB&#10;X77htgEAAEwDAAAOAAAAAAAAAAEAIAAAAB8BAABkcnMvZTJvRG9jLnhtbFBLBQYAAAAABgAGAFkB&#10;AABHBQAAAAA=&#10;">
          <v:path/>
          <v:fill on="f" focussize="0,0"/>
          <v:stroke on="f" joinstyle="miter"/>
          <v:imagedata o:title=""/>
          <o:lock v:ext="edit"/>
          <v:textbox inset="0mm,0mm,0mm,0mm" style="mso-fit-shape-to-text:t;">
            <w:txbxContent>
              <w:p>
                <w:pPr>
                  <w:snapToGrid w:val="0"/>
                  <w:rPr>
                    <w:sz w:val="18"/>
                  </w:rPr>
                </w:pPr>
                <w:r>
                  <w:fldChar w:fldCharType="begin"/>
                </w:r>
                <w:r>
                  <w:instrText xml:space="preserve"> PAGE  \* MERGEFORMAT </w:instrText>
                </w:r>
                <w:r>
                  <w:fldChar w:fldCharType="separate"/>
                </w:r>
                <w:r>
                  <w:t>55</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E1166C"/>
    <w:multiLevelType w:val="singleLevel"/>
    <w:tmpl w:val="9FE1166C"/>
    <w:lvl w:ilvl="0" w:tentative="0">
      <w:start w:val="1"/>
      <w:numFmt w:val="decimal"/>
      <w:suff w:val="nothing"/>
      <w:lvlText w:val="%1）"/>
      <w:lvlJc w:val="left"/>
      <w:rPr>
        <w:rFonts w:cs="Times New Roman"/>
      </w:rPr>
    </w:lvl>
  </w:abstractNum>
  <w:abstractNum w:abstractNumId="1">
    <w:nsid w:val="B56C586C"/>
    <w:multiLevelType w:val="singleLevel"/>
    <w:tmpl w:val="B56C586C"/>
    <w:lvl w:ilvl="0" w:tentative="0">
      <w:start w:val="1"/>
      <w:numFmt w:val="decimal"/>
      <w:suff w:val="nothing"/>
      <w:lvlText w:val="%1）"/>
      <w:lvlJc w:val="left"/>
      <w:rPr>
        <w:rFonts w:cs="Times New Roman"/>
      </w:rPr>
    </w:lvl>
  </w:abstractNum>
  <w:abstractNum w:abstractNumId="2">
    <w:nsid w:val="CBEB6A75"/>
    <w:multiLevelType w:val="singleLevel"/>
    <w:tmpl w:val="CBEB6A75"/>
    <w:lvl w:ilvl="0" w:tentative="0">
      <w:start w:val="2"/>
      <w:numFmt w:val="chineseCounting"/>
      <w:suff w:val="space"/>
      <w:lvlText w:val="第%1节"/>
      <w:lvlJc w:val="left"/>
      <w:rPr>
        <w:rFonts w:hint="eastAsia" w:cs="Times New Roman"/>
      </w:rPr>
    </w:lvl>
  </w:abstractNum>
  <w:abstractNum w:abstractNumId="3">
    <w:nsid w:val="CE1702B5"/>
    <w:multiLevelType w:val="singleLevel"/>
    <w:tmpl w:val="CE1702B5"/>
    <w:lvl w:ilvl="0" w:tentative="0">
      <w:start w:val="1"/>
      <w:numFmt w:val="decimal"/>
      <w:suff w:val="nothing"/>
      <w:lvlText w:val="%1、"/>
      <w:lvlJc w:val="left"/>
    </w:lvl>
  </w:abstractNum>
  <w:abstractNum w:abstractNumId="4">
    <w:nsid w:val="ED9E512A"/>
    <w:multiLevelType w:val="singleLevel"/>
    <w:tmpl w:val="ED9E512A"/>
    <w:lvl w:ilvl="0" w:tentative="0">
      <w:start w:val="1"/>
      <w:numFmt w:val="decimal"/>
      <w:suff w:val="nothing"/>
      <w:lvlText w:val="%1、"/>
      <w:lvlJc w:val="left"/>
    </w:lvl>
  </w:abstractNum>
  <w:abstractNum w:abstractNumId="5">
    <w:nsid w:val="00000010"/>
    <w:multiLevelType w:val="multilevel"/>
    <w:tmpl w:val="00000010"/>
    <w:lvl w:ilvl="0" w:tentative="0">
      <w:start w:val="1"/>
      <w:numFmt w:val="decimal"/>
      <w:lvlText w:val="（%1）"/>
      <w:lvlJc w:val="left"/>
      <w:pPr>
        <w:tabs>
          <w:tab w:val="left" w:pos="1369"/>
        </w:tabs>
        <w:ind w:left="1369" w:hanging="972"/>
      </w:pPr>
      <w:rPr>
        <w:rFonts w:hint="eastAsia" w:cs="Times New Roman"/>
      </w:rPr>
    </w:lvl>
    <w:lvl w:ilvl="1" w:tentative="0">
      <w:start w:val="1"/>
      <w:numFmt w:val="decimal"/>
      <w:lvlText w:val="（%2）"/>
      <w:lvlJc w:val="left"/>
      <w:pPr>
        <w:tabs>
          <w:tab w:val="left" w:pos="1174"/>
        </w:tabs>
        <w:ind w:left="794" w:hanging="340"/>
      </w:pPr>
      <w:rPr>
        <w:rFonts w:hint="eastAsia" w:cs="Times New Roman"/>
      </w:rPr>
    </w:lvl>
    <w:lvl w:ilvl="2" w:tentative="0">
      <w:start w:val="1"/>
      <w:numFmt w:val="decimal"/>
      <w:lvlText w:val="%3、"/>
      <w:lvlJc w:val="left"/>
      <w:pPr>
        <w:tabs>
          <w:tab w:val="left" w:pos="1230"/>
        </w:tabs>
        <w:ind w:left="1230" w:hanging="720"/>
      </w:pPr>
      <w:rPr>
        <w:rFonts w:hint="eastAsia" w:eastAsia="宋体" w:cs="Times New Roman"/>
        <w:b w:val="0"/>
      </w:rPr>
    </w:lvl>
    <w:lvl w:ilvl="3" w:tentative="0">
      <w:start w:val="1"/>
      <w:numFmt w:val="japaneseCounting"/>
      <w:lvlText w:val="（%4）"/>
      <w:lvlJc w:val="left"/>
      <w:pPr>
        <w:ind w:left="6010" w:hanging="1080"/>
      </w:pPr>
      <w:rPr>
        <w:rFonts w:hint="default"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6">
    <w:nsid w:val="72299AD6"/>
    <w:multiLevelType w:val="singleLevel"/>
    <w:tmpl w:val="72299AD6"/>
    <w:lvl w:ilvl="0" w:tentative="0">
      <w:start w:val="6"/>
      <w:numFmt w:val="chineseCounting"/>
      <w:suff w:val="nothing"/>
      <w:lvlText w:val="%1、"/>
      <w:lvlJc w:val="left"/>
      <w:rPr>
        <w:rFonts w:hint="eastAsia"/>
      </w:rPr>
    </w:lvl>
  </w:abstractNum>
  <w:num w:numId="1">
    <w:abstractNumId w:val="6"/>
  </w:num>
  <w:num w:numId="2">
    <w:abstractNumId w:val="1"/>
  </w:num>
  <w:num w:numId="3">
    <w:abstractNumId w:val="0"/>
  </w:num>
  <w:num w:numId="4">
    <w:abstractNumId w:val="4"/>
  </w:num>
  <w:num w:numId="5">
    <w:abstractNumId w:val="3"/>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1,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TU1NTg4NzlkYmRiNWUzNzUyNzhlYzEyNDY4ODk2ZjcifQ=="/>
  </w:docVars>
  <w:rsids>
    <w:rsidRoot w:val="00333D71"/>
    <w:rsid w:val="000110DA"/>
    <w:rsid w:val="000116A6"/>
    <w:rsid w:val="000143AB"/>
    <w:rsid w:val="00015BA2"/>
    <w:rsid w:val="00027AA7"/>
    <w:rsid w:val="000375CC"/>
    <w:rsid w:val="00041E48"/>
    <w:rsid w:val="00045C50"/>
    <w:rsid w:val="000529BA"/>
    <w:rsid w:val="00054870"/>
    <w:rsid w:val="00055CB5"/>
    <w:rsid w:val="0005617A"/>
    <w:rsid w:val="00056FE2"/>
    <w:rsid w:val="0005793E"/>
    <w:rsid w:val="000653F9"/>
    <w:rsid w:val="000733F3"/>
    <w:rsid w:val="00083E1D"/>
    <w:rsid w:val="00095B8C"/>
    <w:rsid w:val="000977E5"/>
    <w:rsid w:val="000A264F"/>
    <w:rsid w:val="000A63F0"/>
    <w:rsid w:val="000C1FF7"/>
    <w:rsid w:val="000C3007"/>
    <w:rsid w:val="000C674B"/>
    <w:rsid w:val="000D0C14"/>
    <w:rsid w:val="000D2440"/>
    <w:rsid w:val="000E078D"/>
    <w:rsid w:val="000E30E4"/>
    <w:rsid w:val="000E3C32"/>
    <w:rsid w:val="000F0631"/>
    <w:rsid w:val="000F2BCA"/>
    <w:rsid w:val="001011F7"/>
    <w:rsid w:val="00103B91"/>
    <w:rsid w:val="00113069"/>
    <w:rsid w:val="00116E7E"/>
    <w:rsid w:val="00120C62"/>
    <w:rsid w:val="00125289"/>
    <w:rsid w:val="00130711"/>
    <w:rsid w:val="00131394"/>
    <w:rsid w:val="00133042"/>
    <w:rsid w:val="00133245"/>
    <w:rsid w:val="00136148"/>
    <w:rsid w:val="00150E33"/>
    <w:rsid w:val="00152402"/>
    <w:rsid w:val="00160F4E"/>
    <w:rsid w:val="00163138"/>
    <w:rsid w:val="00167049"/>
    <w:rsid w:val="001854CD"/>
    <w:rsid w:val="001A1F63"/>
    <w:rsid w:val="001B0E21"/>
    <w:rsid w:val="001B77E8"/>
    <w:rsid w:val="001C1510"/>
    <w:rsid w:val="001D0D9F"/>
    <w:rsid w:val="001D164A"/>
    <w:rsid w:val="001D5889"/>
    <w:rsid w:val="001D6CDC"/>
    <w:rsid w:val="001E1425"/>
    <w:rsid w:val="001E1C52"/>
    <w:rsid w:val="001F3E4C"/>
    <w:rsid w:val="001F5128"/>
    <w:rsid w:val="00214443"/>
    <w:rsid w:val="00215E76"/>
    <w:rsid w:val="00220E9E"/>
    <w:rsid w:val="00223282"/>
    <w:rsid w:val="00224441"/>
    <w:rsid w:val="002425B1"/>
    <w:rsid w:val="00243C23"/>
    <w:rsid w:val="002504DE"/>
    <w:rsid w:val="00253761"/>
    <w:rsid w:val="00256DD9"/>
    <w:rsid w:val="0026082F"/>
    <w:rsid w:val="00264C45"/>
    <w:rsid w:val="00267D99"/>
    <w:rsid w:val="002777D7"/>
    <w:rsid w:val="00282670"/>
    <w:rsid w:val="002945CC"/>
    <w:rsid w:val="00295FC3"/>
    <w:rsid w:val="002A1E6F"/>
    <w:rsid w:val="002A509E"/>
    <w:rsid w:val="002A5644"/>
    <w:rsid w:val="002B23B9"/>
    <w:rsid w:val="002B267A"/>
    <w:rsid w:val="002C4366"/>
    <w:rsid w:val="002C7625"/>
    <w:rsid w:val="002D0179"/>
    <w:rsid w:val="002D1CDC"/>
    <w:rsid w:val="002D785D"/>
    <w:rsid w:val="002E23C3"/>
    <w:rsid w:val="002E761D"/>
    <w:rsid w:val="002F0161"/>
    <w:rsid w:val="002F05A1"/>
    <w:rsid w:val="002F151A"/>
    <w:rsid w:val="002F7EF0"/>
    <w:rsid w:val="0031033E"/>
    <w:rsid w:val="0031554F"/>
    <w:rsid w:val="003224CA"/>
    <w:rsid w:val="00324F63"/>
    <w:rsid w:val="00326F15"/>
    <w:rsid w:val="00330E2A"/>
    <w:rsid w:val="00333D71"/>
    <w:rsid w:val="00343A61"/>
    <w:rsid w:val="00346D62"/>
    <w:rsid w:val="00352AEF"/>
    <w:rsid w:val="00353D1C"/>
    <w:rsid w:val="0035728F"/>
    <w:rsid w:val="0036021D"/>
    <w:rsid w:val="00375059"/>
    <w:rsid w:val="00380E85"/>
    <w:rsid w:val="00386D4F"/>
    <w:rsid w:val="00387709"/>
    <w:rsid w:val="003916B8"/>
    <w:rsid w:val="00393E7C"/>
    <w:rsid w:val="003A06CE"/>
    <w:rsid w:val="003A341F"/>
    <w:rsid w:val="003B6D82"/>
    <w:rsid w:val="003B7B29"/>
    <w:rsid w:val="003E127B"/>
    <w:rsid w:val="003E1AF7"/>
    <w:rsid w:val="003E2BB0"/>
    <w:rsid w:val="003E3F69"/>
    <w:rsid w:val="003E433E"/>
    <w:rsid w:val="003F16D0"/>
    <w:rsid w:val="003F1CA0"/>
    <w:rsid w:val="003F4571"/>
    <w:rsid w:val="003F5233"/>
    <w:rsid w:val="003F6D22"/>
    <w:rsid w:val="003F773E"/>
    <w:rsid w:val="004012F1"/>
    <w:rsid w:val="0040363F"/>
    <w:rsid w:val="004168DA"/>
    <w:rsid w:val="00427AFD"/>
    <w:rsid w:val="00445317"/>
    <w:rsid w:val="0045211D"/>
    <w:rsid w:val="00463D65"/>
    <w:rsid w:val="0046578C"/>
    <w:rsid w:val="0046651B"/>
    <w:rsid w:val="004669FF"/>
    <w:rsid w:val="00466F56"/>
    <w:rsid w:val="00473107"/>
    <w:rsid w:val="00480E5F"/>
    <w:rsid w:val="004849AF"/>
    <w:rsid w:val="004874F7"/>
    <w:rsid w:val="00491522"/>
    <w:rsid w:val="00495F2A"/>
    <w:rsid w:val="00495FA4"/>
    <w:rsid w:val="004974A3"/>
    <w:rsid w:val="004A5ECD"/>
    <w:rsid w:val="004A6C5A"/>
    <w:rsid w:val="004A7C35"/>
    <w:rsid w:val="004B1539"/>
    <w:rsid w:val="004B7CB8"/>
    <w:rsid w:val="004C1210"/>
    <w:rsid w:val="004C183A"/>
    <w:rsid w:val="004C2B78"/>
    <w:rsid w:val="004C45C1"/>
    <w:rsid w:val="004E42BC"/>
    <w:rsid w:val="004E63E0"/>
    <w:rsid w:val="004F5BDA"/>
    <w:rsid w:val="00500248"/>
    <w:rsid w:val="00502322"/>
    <w:rsid w:val="005036DA"/>
    <w:rsid w:val="00504DAE"/>
    <w:rsid w:val="0050617A"/>
    <w:rsid w:val="00510265"/>
    <w:rsid w:val="0051165B"/>
    <w:rsid w:val="00514FAA"/>
    <w:rsid w:val="00517443"/>
    <w:rsid w:val="00520CBE"/>
    <w:rsid w:val="00523482"/>
    <w:rsid w:val="0052464A"/>
    <w:rsid w:val="0053159D"/>
    <w:rsid w:val="00536063"/>
    <w:rsid w:val="00542D22"/>
    <w:rsid w:val="005466CD"/>
    <w:rsid w:val="0055061D"/>
    <w:rsid w:val="005520D8"/>
    <w:rsid w:val="005710B6"/>
    <w:rsid w:val="00577BB7"/>
    <w:rsid w:val="00582EA1"/>
    <w:rsid w:val="00585102"/>
    <w:rsid w:val="00591055"/>
    <w:rsid w:val="00594BC9"/>
    <w:rsid w:val="00596F73"/>
    <w:rsid w:val="005B2A11"/>
    <w:rsid w:val="005B2EC5"/>
    <w:rsid w:val="005B7C9D"/>
    <w:rsid w:val="005C38E5"/>
    <w:rsid w:val="005D0FCF"/>
    <w:rsid w:val="005D1E6E"/>
    <w:rsid w:val="005D643C"/>
    <w:rsid w:val="005E297B"/>
    <w:rsid w:val="005F36AD"/>
    <w:rsid w:val="005F652D"/>
    <w:rsid w:val="00602F8C"/>
    <w:rsid w:val="0061680A"/>
    <w:rsid w:val="00617776"/>
    <w:rsid w:val="00621DFD"/>
    <w:rsid w:val="006270B1"/>
    <w:rsid w:val="0063512D"/>
    <w:rsid w:val="00637391"/>
    <w:rsid w:val="00640B0E"/>
    <w:rsid w:val="00645E51"/>
    <w:rsid w:val="00646E2D"/>
    <w:rsid w:val="006605ED"/>
    <w:rsid w:val="0066070E"/>
    <w:rsid w:val="00664719"/>
    <w:rsid w:val="00676849"/>
    <w:rsid w:val="0068640D"/>
    <w:rsid w:val="00690EFF"/>
    <w:rsid w:val="00692A32"/>
    <w:rsid w:val="00697F9A"/>
    <w:rsid w:val="006A4C02"/>
    <w:rsid w:val="006B1A77"/>
    <w:rsid w:val="006B700F"/>
    <w:rsid w:val="006C4369"/>
    <w:rsid w:val="006D5646"/>
    <w:rsid w:val="006E0FCE"/>
    <w:rsid w:val="006E1549"/>
    <w:rsid w:val="006E3D93"/>
    <w:rsid w:val="006F230C"/>
    <w:rsid w:val="006F335D"/>
    <w:rsid w:val="006F47C7"/>
    <w:rsid w:val="006F75BE"/>
    <w:rsid w:val="00704479"/>
    <w:rsid w:val="00710364"/>
    <w:rsid w:val="00721A2D"/>
    <w:rsid w:val="0072284B"/>
    <w:rsid w:val="007379EC"/>
    <w:rsid w:val="00740E7A"/>
    <w:rsid w:val="007417C8"/>
    <w:rsid w:val="00745F7D"/>
    <w:rsid w:val="007524AB"/>
    <w:rsid w:val="00756561"/>
    <w:rsid w:val="0075735C"/>
    <w:rsid w:val="00760587"/>
    <w:rsid w:val="00760E42"/>
    <w:rsid w:val="00764A7E"/>
    <w:rsid w:val="00770F26"/>
    <w:rsid w:val="007768E8"/>
    <w:rsid w:val="00782C6F"/>
    <w:rsid w:val="0079090F"/>
    <w:rsid w:val="00794857"/>
    <w:rsid w:val="00795EE1"/>
    <w:rsid w:val="007A7C52"/>
    <w:rsid w:val="007B6AB8"/>
    <w:rsid w:val="007B7424"/>
    <w:rsid w:val="007B7721"/>
    <w:rsid w:val="007B7BD0"/>
    <w:rsid w:val="007C0C49"/>
    <w:rsid w:val="007C1CFA"/>
    <w:rsid w:val="007C797E"/>
    <w:rsid w:val="007D01AA"/>
    <w:rsid w:val="007D3240"/>
    <w:rsid w:val="007D59D4"/>
    <w:rsid w:val="007E0A19"/>
    <w:rsid w:val="007E30F8"/>
    <w:rsid w:val="007E61CF"/>
    <w:rsid w:val="007E6A52"/>
    <w:rsid w:val="007E6A53"/>
    <w:rsid w:val="008117D4"/>
    <w:rsid w:val="008220D2"/>
    <w:rsid w:val="008254E7"/>
    <w:rsid w:val="008303A9"/>
    <w:rsid w:val="008322BB"/>
    <w:rsid w:val="00844E81"/>
    <w:rsid w:val="008474B1"/>
    <w:rsid w:val="00864609"/>
    <w:rsid w:val="0086538A"/>
    <w:rsid w:val="008653DD"/>
    <w:rsid w:val="00875703"/>
    <w:rsid w:val="00877F5B"/>
    <w:rsid w:val="00880AF5"/>
    <w:rsid w:val="00881748"/>
    <w:rsid w:val="00884859"/>
    <w:rsid w:val="00885308"/>
    <w:rsid w:val="0089187C"/>
    <w:rsid w:val="008924B1"/>
    <w:rsid w:val="00894E47"/>
    <w:rsid w:val="008A1C8D"/>
    <w:rsid w:val="008A78CC"/>
    <w:rsid w:val="008C0529"/>
    <w:rsid w:val="008C3762"/>
    <w:rsid w:val="008D34F6"/>
    <w:rsid w:val="008D68D6"/>
    <w:rsid w:val="008E0EE3"/>
    <w:rsid w:val="008E6566"/>
    <w:rsid w:val="008F4400"/>
    <w:rsid w:val="008F4AD6"/>
    <w:rsid w:val="00901A49"/>
    <w:rsid w:val="00906D9F"/>
    <w:rsid w:val="00910E56"/>
    <w:rsid w:val="00912F69"/>
    <w:rsid w:val="00915205"/>
    <w:rsid w:val="0091665E"/>
    <w:rsid w:val="009171A5"/>
    <w:rsid w:val="00921AB9"/>
    <w:rsid w:val="009327CD"/>
    <w:rsid w:val="009471D9"/>
    <w:rsid w:val="0096422A"/>
    <w:rsid w:val="0096485A"/>
    <w:rsid w:val="009733A6"/>
    <w:rsid w:val="009739C1"/>
    <w:rsid w:val="00982341"/>
    <w:rsid w:val="009842F6"/>
    <w:rsid w:val="00984E44"/>
    <w:rsid w:val="009905E6"/>
    <w:rsid w:val="0099252E"/>
    <w:rsid w:val="00996741"/>
    <w:rsid w:val="009A4AFD"/>
    <w:rsid w:val="009B4F84"/>
    <w:rsid w:val="009B58CE"/>
    <w:rsid w:val="009B6E34"/>
    <w:rsid w:val="009C15CD"/>
    <w:rsid w:val="009C5F63"/>
    <w:rsid w:val="009C6757"/>
    <w:rsid w:val="009C6B74"/>
    <w:rsid w:val="009D035A"/>
    <w:rsid w:val="009D4B73"/>
    <w:rsid w:val="009D74AF"/>
    <w:rsid w:val="009E369D"/>
    <w:rsid w:val="009E5000"/>
    <w:rsid w:val="009E724E"/>
    <w:rsid w:val="009F220E"/>
    <w:rsid w:val="009F3DED"/>
    <w:rsid w:val="009F6FCD"/>
    <w:rsid w:val="00A03EC5"/>
    <w:rsid w:val="00A10B49"/>
    <w:rsid w:val="00A15BCB"/>
    <w:rsid w:val="00A258F7"/>
    <w:rsid w:val="00A26671"/>
    <w:rsid w:val="00A27EFA"/>
    <w:rsid w:val="00A32F81"/>
    <w:rsid w:val="00A34FF7"/>
    <w:rsid w:val="00A454F0"/>
    <w:rsid w:val="00A57E34"/>
    <w:rsid w:val="00A636D5"/>
    <w:rsid w:val="00A72D6F"/>
    <w:rsid w:val="00A75004"/>
    <w:rsid w:val="00A76690"/>
    <w:rsid w:val="00A76F33"/>
    <w:rsid w:val="00A83A47"/>
    <w:rsid w:val="00A90001"/>
    <w:rsid w:val="00A912D6"/>
    <w:rsid w:val="00A97EAF"/>
    <w:rsid w:val="00AA114A"/>
    <w:rsid w:val="00AB08BA"/>
    <w:rsid w:val="00AB3B5E"/>
    <w:rsid w:val="00AB6817"/>
    <w:rsid w:val="00AB6D09"/>
    <w:rsid w:val="00AC10D1"/>
    <w:rsid w:val="00AC362D"/>
    <w:rsid w:val="00AD3B52"/>
    <w:rsid w:val="00AD4473"/>
    <w:rsid w:val="00AD61A2"/>
    <w:rsid w:val="00AE3AB2"/>
    <w:rsid w:val="00AF30FE"/>
    <w:rsid w:val="00B028A0"/>
    <w:rsid w:val="00B04F7E"/>
    <w:rsid w:val="00B05BAA"/>
    <w:rsid w:val="00B12E43"/>
    <w:rsid w:val="00B1685F"/>
    <w:rsid w:val="00B17CD4"/>
    <w:rsid w:val="00B200E6"/>
    <w:rsid w:val="00B2173B"/>
    <w:rsid w:val="00B22940"/>
    <w:rsid w:val="00B27573"/>
    <w:rsid w:val="00B34CC1"/>
    <w:rsid w:val="00B353C6"/>
    <w:rsid w:val="00B35D10"/>
    <w:rsid w:val="00B3636F"/>
    <w:rsid w:val="00B50033"/>
    <w:rsid w:val="00B51966"/>
    <w:rsid w:val="00B5565B"/>
    <w:rsid w:val="00B57E58"/>
    <w:rsid w:val="00B6081F"/>
    <w:rsid w:val="00B65B38"/>
    <w:rsid w:val="00B764CB"/>
    <w:rsid w:val="00B82F4B"/>
    <w:rsid w:val="00B83392"/>
    <w:rsid w:val="00B84C9D"/>
    <w:rsid w:val="00B905C1"/>
    <w:rsid w:val="00B91E1C"/>
    <w:rsid w:val="00B92375"/>
    <w:rsid w:val="00B933F6"/>
    <w:rsid w:val="00B97117"/>
    <w:rsid w:val="00BA73D5"/>
    <w:rsid w:val="00BB2525"/>
    <w:rsid w:val="00BB34A9"/>
    <w:rsid w:val="00BB4167"/>
    <w:rsid w:val="00BB6FE5"/>
    <w:rsid w:val="00BC21A4"/>
    <w:rsid w:val="00BC3BDA"/>
    <w:rsid w:val="00BC7043"/>
    <w:rsid w:val="00BC7C79"/>
    <w:rsid w:val="00BD0F68"/>
    <w:rsid w:val="00BD3BE9"/>
    <w:rsid w:val="00BD498C"/>
    <w:rsid w:val="00BD7A17"/>
    <w:rsid w:val="00BE038E"/>
    <w:rsid w:val="00BE5E7D"/>
    <w:rsid w:val="00BE6AEB"/>
    <w:rsid w:val="00BF27E9"/>
    <w:rsid w:val="00C02B4B"/>
    <w:rsid w:val="00C054E9"/>
    <w:rsid w:val="00C12BE6"/>
    <w:rsid w:val="00C15F24"/>
    <w:rsid w:val="00C17E80"/>
    <w:rsid w:val="00C217EC"/>
    <w:rsid w:val="00C30FA4"/>
    <w:rsid w:val="00C340A8"/>
    <w:rsid w:val="00C37938"/>
    <w:rsid w:val="00C475E8"/>
    <w:rsid w:val="00C53C30"/>
    <w:rsid w:val="00C5446A"/>
    <w:rsid w:val="00C57551"/>
    <w:rsid w:val="00C57F44"/>
    <w:rsid w:val="00C606BB"/>
    <w:rsid w:val="00C7129C"/>
    <w:rsid w:val="00C775E9"/>
    <w:rsid w:val="00C77FC9"/>
    <w:rsid w:val="00C82377"/>
    <w:rsid w:val="00C83EB9"/>
    <w:rsid w:val="00C92744"/>
    <w:rsid w:val="00CA1B44"/>
    <w:rsid w:val="00CA1FE2"/>
    <w:rsid w:val="00CA2DC0"/>
    <w:rsid w:val="00CA308E"/>
    <w:rsid w:val="00CA4C62"/>
    <w:rsid w:val="00CB25CC"/>
    <w:rsid w:val="00CB2B28"/>
    <w:rsid w:val="00CB5752"/>
    <w:rsid w:val="00CC6752"/>
    <w:rsid w:val="00CD25B5"/>
    <w:rsid w:val="00CD51EA"/>
    <w:rsid w:val="00CD7F3C"/>
    <w:rsid w:val="00CE5A28"/>
    <w:rsid w:val="00CF39E6"/>
    <w:rsid w:val="00CF6D02"/>
    <w:rsid w:val="00D04150"/>
    <w:rsid w:val="00D10127"/>
    <w:rsid w:val="00D21A64"/>
    <w:rsid w:val="00D24BBA"/>
    <w:rsid w:val="00D25852"/>
    <w:rsid w:val="00D25D87"/>
    <w:rsid w:val="00D26C1B"/>
    <w:rsid w:val="00D26D5A"/>
    <w:rsid w:val="00D30CB3"/>
    <w:rsid w:val="00D40642"/>
    <w:rsid w:val="00D449FF"/>
    <w:rsid w:val="00D46BBB"/>
    <w:rsid w:val="00D46D03"/>
    <w:rsid w:val="00D52366"/>
    <w:rsid w:val="00D60FAE"/>
    <w:rsid w:val="00D63D93"/>
    <w:rsid w:val="00D669C9"/>
    <w:rsid w:val="00D73F12"/>
    <w:rsid w:val="00D74F2A"/>
    <w:rsid w:val="00D8216F"/>
    <w:rsid w:val="00D82D70"/>
    <w:rsid w:val="00D904CA"/>
    <w:rsid w:val="00D90DBF"/>
    <w:rsid w:val="00D916FC"/>
    <w:rsid w:val="00D95CF1"/>
    <w:rsid w:val="00DA1E61"/>
    <w:rsid w:val="00DA2503"/>
    <w:rsid w:val="00DA3810"/>
    <w:rsid w:val="00DB14E6"/>
    <w:rsid w:val="00DB69FF"/>
    <w:rsid w:val="00DC0075"/>
    <w:rsid w:val="00DC0402"/>
    <w:rsid w:val="00DC538E"/>
    <w:rsid w:val="00DC6086"/>
    <w:rsid w:val="00DD41BD"/>
    <w:rsid w:val="00DD56F4"/>
    <w:rsid w:val="00DE4131"/>
    <w:rsid w:val="00DE58B2"/>
    <w:rsid w:val="00DE776C"/>
    <w:rsid w:val="00DF0100"/>
    <w:rsid w:val="00DF0FBA"/>
    <w:rsid w:val="00DF301C"/>
    <w:rsid w:val="00E001BF"/>
    <w:rsid w:val="00E02DD3"/>
    <w:rsid w:val="00E0541A"/>
    <w:rsid w:val="00E06A43"/>
    <w:rsid w:val="00E134A9"/>
    <w:rsid w:val="00E13FD4"/>
    <w:rsid w:val="00E15BB9"/>
    <w:rsid w:val="00E25C6F"/>
    <w:rsid w:val="00E2643D"/>
    <w:rsid w:val="00E27708"/>
    <w:rsid w:val="00E57A61"/>
    <w:rsid w:val="00E734CA"/>
    <w:rsid w:val="00E764CD"/>
    <w:rsid w:val="00E83DC1"/>
    <w:rsid w:val="00E86C5F"/>
    <w:rsid w:val="00E917B2"/>
    <w:rsid w:val="00E92F48"/>
    <w:rsid w:val="00E9477E"/>
    <w:rsid w:val="00E96C12"/>
    <w:rsid w:val="00EA0ADD"/>
    <w:rsid w:val="00EA0B57"/>
    <w:rsid w:val="00EA1A89"/>
    <w:rsid w:val="00EB366F"/>
    <w:rsid w:val="00EB6E06"/>
    <w:rsid w:val="00EC6616"/>
    <w:rsid w:val="00EC68D4"/>
    <w:rsid w:val="00ED1E2A"/>
    <w:rsid w:val="00EE2109"/>
    <w:rsid w:val="00EE2806"/>
    <w:rsid w:val="00EE3706"/>
    <w:rsid w:val="00F00BC2"/>
    <w:rsid w:val="00F06804"/>
    <w:rsid w:val="00F12BEC"/>
    <w:rsid w:val="00F1513A"/>
    <w:rsid w:val="00F15B9A"/>
    <w:rsid w:val="00F167C7"/>
    <w:rsid w:val="00F21421"/>
    <w:rsid w:val="00F26FED"/>
    <w:rsid w:val="00F32D7C"/>
    <w:rsid w:val="00F364BE"/>
    <w:rsid w:val="00F440EB"/>
    <w:rsid w:val="00F450B0"/>
    <w:rsid w:val="00F4701E"/>
    <w:rsid w:val="00F503FA"/>
    <w:rsid w:val="00F55A4B"/>
    <w:rsid w:val="00F576BF"/>
    <w:rsid w:val="00F57AD0"/>
    <w:rsid w:val="00F61F2F"/>
    <w:rsid w:val="00F861C8"/>
    <w:rsid w:val="00F86C37"/>
    <w:rsid w:val="00FA1478"/>
    <w:rsid w:val="00FA35F6"/>
    <w:rsid w:val="00FA7131"/>
    <w:rsid w:val="00FA7B0C"/>
    <w:rsid w:val="00FC0D85"/>
    <w:rsid w:val="00FC2159"/>
    <w:rsid w:val="00FD3132"/>
    <w:rsid w:val="00FD4C62"/>
    <w:rsid w:val="00FE63A7"/>
    <w:rsid w:val="00FF1137"/>
    <w:rsid w:val="00FF652E"/>
    <w:rsid w:val="01046D05"/>
    <w:rsid w:val="010E46FB"/>
    <w:rsid w:val="010E51A2"/>
    <w:rsid w:val="010F7148"/>
    <w:rsid w:val="011025CA"/>
    <w:rsid w:val="01174ECA"/>
    <w:rsid w:val="01184748"/>
    <w:rsid w:val="011C3EEF"/>
    <w:rsid w:val="01232CF3"/>
    <w:rsid w:val="012E026C"/>
    <w:rsid w:val="013E3620"/>
    <w:rsid w:val="01430A0E"/>
    <w:rsid w:val="01563248"/>
    <w:rsid w:val="015C5207"/>
    <w:rsid w:val="0165139B"/>
    <w:rsid w:val="016A5294"/>
    <w:rsid w:val="016C7070"/>
    <w:rsid w:val="01772782"/>
    <w:rsid w:val="01781D56"/>
    <w:rsid w:val="017D2C13"/>
    <w:rsid w:val="018145FB"/>
    <w:rsid w:val="018D5EFA"/>
    <w:rsid w:val="01A37EC9"/>
    <w:rsid w:val="01A74ACE"/>
    <w:rsid w:val="01AE5944"/>
    <w:rsid w:val="01AF5E1F"/>
    <w:rsid w:val="01BD79C7"/>
    <w:rsid w:val="01CC5C7B"/>
    <w:rsid w:val="01CE30C5"/>
    <w:rsid w:val="01E75A73"/>
    <w:rsid w:val="01F42039"/>
    <w:rsid w:val="01FE48A3"/>
    <w:rsid w:val="02004A0B"/>
    <w:rsid w:val="02012B4C"/>
    <w:rsid w:val="02083B49"/>
    <w:rsid w:val="020E03C7"/>
    <w:rsid w:val="02104A8C"/>
    <w:rsid w:val="02106DDC"/>
    <w:rsid w:val="02121E78"/>
    <w:rsid w:val="021B7C25"/>
    <w:rsid w:val="021E6629"/>
    <w:rsid w:val="022624DE"/>
    <w:rsid w:val="02266D94"/>
    <w:rsid w:val="022A59FA"/>
    <w:rsid w:val="022A6766"/>
    <w:rsid w:val="022E26FA"/>
    <w:rsid w:val="02311E36"/>
    <w:rsid w:val="023339ED"/>
    <w:rsid w:val="02391794"/>
    <w:rsid w:val="02404C7C"/>
    <w:rsid w:val="024060B9"/>
    <w:rsid w:val="024A3F82"/>
    <w:rsid w:val="0252293B"/>
    <w:rsid w:val="025E02B4"/>
    <w:rsid w:val="026F2C9B"/>
    <w:rsid w:val="026F5C33"/>
    <w:rsid w:val="027331D0"/>
    <w:rsid w:val="027802BA"/>
    <w:rsid w:val="027B12F5"/>
    <w:rsid w:val="027B4B16"/>
    <w:rsid w:val="027C16B8"/>
    <w:rsid w:val="02894562"/>
    <w:rsid w:val="028A0542"/>
    <w:rsid w:val="02966988"/>
    <w:rsid w:val="02995712"/>
    <w:rsid w:val="02AB41F1"/>
    <w:rsid w:val="02BA3AC1"/>
    <w:rsid w:val="02BF778F"/>
    <w:rsid w:val="02C24BF1"/>
    <w:rsid w:val="02C65144"/>
    <w:rsid w:val="02CA3618"/>
    <w:rsid w:val="02CB1CF7"/>
    <w:rsid w:val="02CC54F6"/>
    <w:rsid w:val="02CD6B71"/>
    <w:rsid w:val="02D3048A"/>
    <w:rsid w:val="02DA27EB"/>
    <w:rsid w:val="02DB47E2"/>
    <w:rsid w:val="02E34615"/>
    <w:rsid w:val="02EB239A"/>
    <w:rsid w:val="02EC2E1D"/>
    <w:rsid w:val="02ED4920"/>
    <w:rsid w:val="02F2272D"/>
    <w:rsid w:val="02FA1E2D"/>
    <w:rsid w:val="03037639"/>
    <w:rsid w:val="03081551"/>
    <w:rsid w:val="030E16B4"/>
    <w:rsid w:val="03107858"/>
    <w:rsid w:val="032851E4"/>
    <w:rsid w:val="033A0B07"/>
    <w:rsid w:val="033E0A80"/>
    <w:rsid w:val="03407B91"/>
    <w:rsid w:val="034E32A7"/>
    <w:rsid w:val="034F4A7C"/>
    <w:rsid w:val="034F7FD8"/>
    <w:rsid w:val="03530CC2"/>
    <w:rsid w:val="035D128D"/>
    <w:rsid w:val="03701120"/>
    <w:rsid w:val="03717EAB"/>
    <w:rsid w:val="03845070"/>
    <w:rsid w:val="038638F5"/>
    <w:rsid w:val="039902BE"/>
    <w:rsid w:val="039F2C72"/>
    <w:rsid w:val="03A448DB"/>
    <w:rsid w:val="03A60618"/>
    <w:rsid w:val="03A83007"/>
    <w:rsid w:val="03AB4390"/>
    <w:rsid w:val="03C6143C"/>
    <w:rsid w:val="03D742BD"/>
    <w:rsid w:val="03E86904"/>
    <w:rsid w:val="03EB4AE8"/>
    <w:rsid w:val="03EB5541"/>
    <w:rsid w:val="03F10190"/>
    <w:rsid w:val="03F9311B"/>
    <w:rsid w:val="03FA60D2"/>
    <w:rsid w:val="04020848"/>
    <w:rsid w:val="040405DC"/>
    <w:rsid w:val="04043A74"/>
    <w:rsid w:val="040B28DC"/>
    <w:rsid w:val="040D6F97"/>
    <w:rsid w:val="04187467"/>
    <w:rsid w:val="042574C6"/>
    <w:rsid w:val="042B15EC"/>
    <w:rsid w:val="04392432"/>
    <w:rsid w:val="04474D35"/>
    <w:rsid w:val="044E27DA"/>
    <w:rsid w:val="045E177B"/>
    <w:rsid w:val="04632436"/>
    <w:rsid w:val="046732EE"/>
    <w:rsid w:val="046A47DB"/>
    <w:rsid w:val="047E1F9D"/>
    <w:rsid w:val="04806B32"/>
    <w:rsid w:val="04860462"/>
    <w:rsid w:val="048C2356"/>
    <w:rsid w:val="04920CC2"/>
    <w:rsid w:val="04934333"/>
    <w:rsid w:val="04B01AD6"/>
    <w:rsid w:val="04BB673B"/>
    <w:rsid w:val="04C72700"/>
    <w:rsid w:val="04D22F71"/>
    <w:rsid w:val="04E31926"/>
    <w:rsid w:val="04E452F2"/>
    <w:rsid w:val="04EA25D9"/>
    <w:rsid w:val="04EA7349"/>
    <w:rsid w:val="04F01F8A"/>
    <w:rsid w:val="04F80A45"/>
    <w:rsid w:val="04F96684"/>
    <w:rsid w:val="04FA6C1E"/>
    <w:rsid w:val="0505446B"/>
    <w:rsid w:val="0508282C"/>
    <w:rsid w:val="0516741C"/>
    <w:rsid w:val="051C35EF"/>
    <w:rsid w:val="051E0804"/>
    <w:rsid w:val="052628D6"/>
    <w:rsid w:val="052D4B72"/>
    <w:rsid w:val="052D6C99"/>
    <w:rsid w:val="052F2CC1"/>
    <w:rsid w:val="053436DE"/>
    <w:rsid w:val="05356E5F"/>
    <w:rsid w:val="05392CBE"/>
    <w:rsid w:val="0539425C"/>
    <w:rsid w:val="054254D8"/>
    <w:rsid w:val="055B6B11"/>
    <w:rsid w:val="056C27DA"/>
    <w:rsid w:val="056C78F3"/>
    <w:rsid w:val="056E0AD3"/>
    <w:rsid w:val="05755E05"/>
    <w:rsid w:val="05765804"/>
    <w:rsid w:val="05786D1F"/>
    <w:rsid w:val="057B535E"/>
    <w:rsid w:val="058102B9"/>
    <w:rsid w:val="05956C68"/>
    <w:rsid w:val="059C2384"/>
    <w:rsid w:val="05A23823"/>
    <w:rsid w:val="05A66CF0"/>
    <w:rsid w:val="05AF19F4"/>
    <w:rsid w:val="05B248CA"/>
    <w:rsid w:val="05BB2471"/>
    <w:rsid w:val="05C33F56"/>
    <w:rsid w:val="05CA6465"/>
    <w:rsid w:val="05CC2B2F"/>
    <w:rsid w:val="05CE21B9"/>
    <w:rsid w:val="05CE2B90"/>
    <w:rsid w:val="05CF78AA"/>
    <w:rsid w:val="05D527DF"/>
    <w:rsid w:val="05D931B3"/>
    <w:rsid w:val="05DA07E0"/>
    <w:rsid w:val="05EC1C40"/>
    <w:rsid w:val="05F17CC7"/>
    <w:rsid w:val="05F27129"/>
    <w:rsid w:val="05F374D2"/>
    <w:rsid w:val="05F7643C"/>
    <w:rsid w:val="06005421"/>
    <w:rsid w:val="060642B2"/>
    <w:rsid w:val="06146E84"/>
    <w:rsid w:val="0619721E"/>
    <w:rsid w:val="061C67D5"/>
    <w:rsid w:val="062922DB"/>
    <w:rsid w:val="062C6596"/>
    <w:rsid w:val="06325E4C"/>
    <w:rsid w:val="063D050E"/>
    <w:rsid w:val="063F1B60"/>
    <w:rsid w:val="064B6DCF"/>
    <w:rsid w:val="064F740C"/>
    <w:rsid w:val="06500ED0"/>
    <w:rsid w:val="06530BEE"/>
    <w:rsid w:val="06542095"/>
    <w:rsid w:val="065757CD"/>
    <w:rsid w:val="065D62CE"/>
    <w:rsid w:val="065D6BDB"/>
    <w:rsid w:val="06677F89"/>
    <w:rsid w:val="06691EAE"/>
    <w:rsid w:val="066979AC"/>
    <w:rsid w:val="06724299"/>
    <w:rsid w:val="06783A6C"/>
    <w:rsid w:val="067D52C1"/>
    <w:rsid w:val="067F451A"/>
    <w:rsid w:val="0681403F"/>
    <w:rsid w:val="068666D8"/>
    <w:rsid w:val="06866ADC"/>
    <w:rsid w:val="06912800"/>
    <w:rsid w:val="069428CA"/>
    <w:rsid w:val="06962865"/>
    <w:rsid w:val="06964C5D"/>
    <w:rsid w:val="06AA7908"/>
    <w:rsid w:val="06AE6D55"/>
    <w:rsid w:val="06AE7773"/>
    <w:rsid w:val="06B34F53"/>
    <w:rsid w:val="06B56245"/>
    <w:rsid w:val="06B71BB2"/>
    <w:rsid w:val="06B9408C"/>
    <w:rsid w:val="06BF5D48"/>
    <w:rsid w:val="06C02A27"/>
    <w:rsid w:val="06C20493"/>
    <w:rsid w:val="06CC41A0"/>
    <w:rsid w:val="06DA152C"/>
    <w:rsid w:val="06DA35DC"/>
    <w:rsid w:val="06DD514E"/>
    <w:rsid w:val="06E0100D"/>
    <w:rsid w:val="06F2115B"/>
    <w:rsid w:val="06F6484F"/>
    <w:rsid w:val="06F94FD5"/>
    <w:rsid w:val="06FD7CA7"/>
    <w:rsid w:val="070127C0"/>
    <w:rsid w:val="070D55D6"/>
    <w:rsid w:val="072F46A8"/>
    <w:rsid w:val="073704EF"/>
    <w:rsid w:val="07374CEA"/>
    <w:rsid w:val="073A6536"/>
    <w:rsid w:val="073E4236"/>
    <w:rsid w:val="074C3362"/>
    <w:rsid w:val="074C7627"/>
    <w:rsid w:val="07513B3C"/>
    <w:rsid w:val="075146C7"/>
    <w:rsid w:val="07531541"/>
    <w:rsid w:val="0754306E"/>
    <w:rsid w:val="075432EF"/>
    <w:rsid w:val="075A770E"/>
    <w:rsid w:val="075C24CA"/>
    <w:rsid w:val="075E138C"/>
    <w:rsid w:val="075E3483"/>
    <w:rsid w:val="07626F10"/>
    <w:rsid w:val="07642286"/>
    <w:rsid w:val="077706A0"/>
    <w:rsid w:val="077A189F"/>
    <w:rsid w:val="077A38A1"/>
    <w:rsid w:val="077F224A"/>
    <w:rsid w:val="077F373C"/>
    <w:rsid w:val="07924F64"/>
    <w:rsid w:val="07934B14"/>
    <w:rsid w:val="07951613"/>
    <w:rsid w:val="07960F7F"/>
    <w:rsid w:val="079771A3"/>
    <w:rsid w:val="07980050"/>
    <w:rsid w:val="0798632E"/>
    <w:rsid w:val="079B4099"/>
    <w:rsid w:val="07A62D33"/>
    <w:rsid w:val="07A75C3D"/>
    <w:rsid w:val="07A8433B"/>
    <w:rsid w:val="07B121F3"/>
    <w:rsid w:val="07B661FE"/>
    <w:rsid w:val="07B90CB8"/>
    <w:rsid w:val="07BA715B"/>
    <w:rsid w:val="07BE3C75"/>
    <w:rsid w:val="07BF1FE4"/>
    <w:rsid w:val="07C237CC"/>
    <w:rsid w:val="07C87C38"/>
    <w:rsid w:val="07C9562A"/>
    <w:rsid w:val="07CA34E3"/>
    <w:rsid w:val="07DC7DE9"/>
    <w:rsid w:val="07DF0852"/>
    <w:rsid w:val="07FB4377"/>
    <w:rsid w:val="080F3675"/>
    <w:rsid w:val="081111A9"/>
    <w:rsid w:val="081223CF"/>
    <w:rsid w:val="08225A1E"/>
    <w:rsid w:val="082B33E4"/>
    <w:rsid w:val="082B6965"/>
    <w:rsid w:val="08332A57"/>
    <w:rsid w:val="083958BA"/>
    <w:rsid w:val="08464F69"/>
    <w:rsid w:val="084733AB"/>
    <w:rsid w:val="08481F0E"/>
    <w:rsid w:val="084C3DAB"/>
    <w:rsid w:val="085165AC"/>
    <w:rsid w:val="08600F60"/>
    <w:rsid w:val="08601F29"/>
    <w:rsid w:val="086D08F2"/>
    <w:rsid w:val="08740FB9"/>
    <w:rsid w:val="08802A98"/>
    <w:rsid w:val="088B63E6"/>
    <w:rsid w:val="088C1F8B"/>
    <w:rsid w:val="088D01C2"/>
    <w:rsid w:val="08A66F77"/>
    <w:rsid w:val="08AC5488"/>
    <w:rsid w:val="08B01E48"/>
    <w:rsid w:val="08B31F97"/>
    <w:rsid w:val="08B847D1"/>
    <w:rsid w:val="08C6514E"/>
    <w:rsid w:val="08CC31C7"/>
    <w:rsid w:val="08CD2993"/>
    <w:rsid w:val="08CE5D0F"/>
    <w:rsid w:val="08DA7C18"/>
    <w:rsid w:val="08DE58E5"/>
    <w:rsid w:val="08DF501D"/>
    <w:rsid w:val="08E04023"/>
    <w:rsid w:val="08E2231C"/>
    <w:rsid w:val="08FB4835"/>
    <w:rsid w:val="08FD2862"/>
    <w:rsid w:val="08FF5787"/>
    <w:rsid w:val="09053D2E"/>
    <w:rsid w:val="09060D0E"/>
    <w:rsid w:val="090920DC"/>
    <w:rsid w:val="090B1578"/>
    <w:rsid w:val="090C77AC"/>
    <w:rsid w:val="0921214C"/>
    <w:rsid w:val="09287CDD"/>
    <w:rsid w:val="09294C94"/>
    <w:rsid w:val="092C5EEE"/>
    <w:rsid w:val="09336848"/>
    <w:rsid w:val="093607B1"/>
    <w:rsid w:val="093C4C13"/>
    <w:rsid w:val="093F5769"/>
    <w:rsid w:val="09404A9C"/>
    <w:rsid w:val="094D33E2"/>
    <w:rsid w:val="095206D1"/>
    <w:rsid w:val="09532A47"/>
    <w:rsid w:val="095709A0"/>
    <w:rsid w:val="095A5B83"/>
    <w:rsid w:val="095C3586"/>
    <w:rsid w:val="095F529B"/>
    <w:rsid w:val="0960396A"/>
    <w:rsid w:val="096E334D"/>
    <w:rsid w:val="097035F9"/>
    <w:rsid w:val="09710812"/>
    <w:rsid w:val="097459C0"/>
    <w:rsid w:val="09756720"/>
    <w:rsid w:val="09837B7E"/>
    <w:rsid w:val="09887186"/>
    <w:rsid w:val="09951701"/>
    <w:rsid w:val="09973771"/>
    <w:rsid w:val="099C619C"/>
    <w:rsid w:val="09A55056"/>
    <w:rsid w:val="09A87738"/>
    <w:rsid w:val="09B232E4"/>
    <w:rsid w:val="09B469B3"/>
    <w:rsid w:val="09B86C17"/>
    <w:rsid w:val="09B95927"/>
    <w:rsid w:val="09C27287"/>
    <w:rsid w:val="09CA6023"/>
    <w:rsid w:val="09D044B5"/>
    <w:rsid w:val="09D12E70"/>
    <w:rsid w:val="09D22CD9"/>
    <w:rsid w:val="09D2462C"/>
    <w:rsid w:val="09D9621E"/>
    <w:rsid w:val="09DC268A"/>
    <w:rsid w:val="09DD509A"/>
    <w:rsid w:val="09E153DE"/>
    <w:rsid w:val="09EE36B3"/>
    <w:rsid w:val="09F40E53"/>
    <w:rsid w:val="09F71A3D"/>
    <w:rsid w:val="09FC1DA7"/>
    <w:rsid w:val="09FE21DD"/>
    <w:rsid w:val="0A016C97"/>
    <w:rsid w:val="0A072825"/>
    <w:rsid w:val="0A0D7A69"/>
    <w:rsid w:val="0A175880"/>
    <w:rsid w:val="0A187007"/>
    <w:rsid w:val="0A194B74"/>
    <w:rsid w:val="0A1B04DB"/>
    <w:rsid w:val="0A1C7B9C"/>
    <w:rsid w:val="0A252303"/>
    <w:rsid w:val="0A2746EB"/>
    <w:rsid w:val="0A2801C1"/>
    <w:rsid w:val="0A292D02"/>
    <w:rsid w:val="0A313694"/>
    <w:rsid w:val="0A325AC3"/>
    <w:rsid w:val="0A357F36"/>
    <w:rsid w:val="0A366118"/>
    <w:rsid w:val="0A3A7203"/>
    <w:rsid w:val="0A4A71AC"/>
    <w:rsid w:val="0A55015F"/>
    <w:rsid w:val="0A6B58BE"/>
    <w:rsid w:val="0A721E31"/>
    <w:rsid w:val="0A724B13"/>
    <w:rsid w:val="0A7D31AA"/>
    <w:rsid w:val="0A8A6C00"/>
    <w:rsid w:val="0A8B0FB8"/>
    <w:rsid w:val="0A8F1606"/>
    <w:rsid w:val="0A94218E"/>
    <w:rsid w:val="0A9D521F"/>
    <w:rsid w:val="0AA56979"/>
    <w:rsid w:val="0AAB1637"/>
    <w:rsid w:val="0AAC398C"/>
    <w:rsid w:val="0AAF13A8"/>
    <w:rsid w:val="0AB16C0B"/>
    <w:rsid w:val="0AB32C8D"/>
    <w:rsid w:val="0AB85F54"/>
    <w:rsid w:val="0ABB5BB2"/>
    <w:rsid w:val="0AC17791"/>
    <w:rsid w:val="0AC41270"/>
    <w:rsid w:val="0AC55042"/>
    <w:rsid w:val="0AC91CA4"/>
    <w:rsid w:val="0ACA6936"/>
    <w:rsid w:val="0ACD1933"/>
    <w:rsid w:val="0AD16319"/>
    <w:rsid w:val="0ADD6FB2"/>
    <w:rsid w:val="0ADF6208"/>
    <w:rsid w:val="0AE8253A"/>
    <w:rsid w:val="0AEE74EE"/>
    <w:rsid w:val="0AEF2D0A"/>
    <w:rsid w:val="0AEF423F"/>
    <w:rsid w:val="0AFB04F2"/>
    <w:rsid w:val="0AFE7AD0"/>
    <w:rsid w:val="0B0002A5"/>
    <w:rsid w:val="0B024BDE"/>
    <w:rsid w:val="0B0467E7"/>
    <w:rsid w:val="0B054896"/>
    <w:rsid w:val="0B1358F4"/>
    <w:rsid w:val="0B157D31"/>
    <w:rsid w:val="0B16227D"/>
    <w:rsid w:val="0B1A2176"/>
    <w:rsid w:val="0B1B16C4"/>
    <w:rsid w:val="0B246449"/>
    <w:rsid w:val="0B2979C7"/>
    <w:rsid w:val="0B2F142C"/>
    <w:rsid w:val="0B2F3406"/>
    <w:rsid w:val="0B300C9C"/>
    <w:rsid w:val="0B323435"/>
    <w:rsid w:val="0B346DC3"/>
    <w:rsid w:val="0B347428"/>
    <w:rsid w:val="0B35167D"/>
    <w:rsid w:val="0B3D750A"/>
    <w:rsid w:val="0B4314CE"/>
    <w:rsid w:val="0B456F16"/>
    <w:rsid w:val="0B4E345B"/>
    <w:rsid w:val="0B503428"/>
    <w:rsid w:val="0B53464D"/>
    <w:rsid w:val="0B5769BC"/>
    <w:rsid w:val="0B5D10D5"/>
    <w:rsid w:val="0B613401"/>
    <w:rsid w:val="0B6A1833"/>
    <w:rsid w:val="0B716A11"/>
    <w:rsid w:val="0B731C71"/>
    <w:rsid w:val="0B7805BC"/>
    <w:rsid w:val="0B7B4F06"/>
    <w:rsid w:val="0B7E61EF"/>
    <w:rsid w:val="0B815C6B"/>
    <w:rsid w:val="0B8269B1"/>
    <w:rsid w:val="0B8378CE"/>
    <w:rsid w:val="0B874C6A"/>
    <w:rsid w:val="0B892C2B"/>
    <w:rsid w:val="0B8B0029"/>
    <w:rsid w:val="0B9218EA"/>
    <w:rsid w:val="0B950F73"/>
    <w:rsid w:val="0B952B8D"/>
    <w:rsid w:val="0B997C69"/>
    <w:rsid w:val="0B9E4DF9"/>
    <w:rsid w:val="0B9E4EF6"/>
    <w:rsid w:val="0B9F164D"/>
    <w:rsid w:val="0BA026C2"/>
    <w:rsid w:val="0BA34A4F"/>
    <w:rsid w:val="0BA73018"/>
    <w:rsid w:val="0BA85603"/>
    <w:rsid w:val="0BA97ABB"/>
    <w:rsid w:val="0BB7050F"/>
    <w:rsid w:val="0BB76D50"/>
    <w:rsid w:val="0BBB2BBE"/>
    <w:rsid w:val="0BBD6C50"/>
    <w:rsid w:val="0BBE4AEF"/>
    <w:rsid w:val="0BC22C8D"/>
    <w:rsid w:val="0BD01381"/>
    <w:rsid w:val="0BD35BB7"/>
    <w:rsid w:val="0BD4032B"/>
    <w:rsid w:val="0BD7011D"/>
    <w:rsid w:val="0BD71824"/>
    <w:rsid w:val="0BE15129"/>
    <w:rsid w:val="0BE3181D"/>
    <w:rsid w:val="0BEB757A"/>
    <w:rsid w:val="0BF260C7"/>
    <w:rsid w:val="0C17237D"/>
    <w:rsid w:val="0C186EA6"/>
    <w:rsid w:val="0C1C1816"/>
    <w:rsid w:val="0C22146D"/>
    <w:rsid w:val="0C224FE6"/>
    <w:rsid w:val="0C2A6FC1"/>
    <w:rsid w:val="0C2C0BBD"/>
    <w:rsid w:val="0C30452F"/>
    <w:rsid w:val="0C3152C1"/>
    <w:rsid w:val="0C32293D"/>
    <w:rsid w:val="0C37175D"/>
    <w:rsid w:val="0C3B1699"/>
    <w:rsid w:val="0C4D3C6E"/>
    <w:rsid w:val="0C521302"/>
    <w:rsid w:val="0C531AA3"/>
    <w:rsid w:val="0C5528C7"/>
    <w:rsid w:val="0C5952D6"/>
    <w:rsid w:val="0C5A0B77"/>
    <w:rsid w:val="0C5B66D4"/>
    <w:rsid w:val="0C5D4811"/>
    <w:rsid w:val="0C5E5AE2"/>
    <w:rsid w:val="0C644B40"/>
    <w:rsid w:val="0C652121"/>
    <w:rsid w:val="0C671018"/>
    <w:rsid w:val="0C6B6AA6"/>
    <w:rsid w:val="0C6F36DD"/>
    <w:rsid w:val="0C6F6E80"/>
    <w:rsid w:val="0C7A2001"/>
    <w:rsid w:val="0C820AA6"/>
    <w:rsid w:val="0C855BE1"/>
    <w:rsid w:val="0C98056B"/>
    <w:rsid w:val="0C9B273A"/>
    <w:rsid w:val="0CA75837"/>
    <w:rsid w:val="0CAC0DEC"/>
    <w:rsid w:val="0CB17527"/>
    <w:rsid w:val="0CB94930"/>
    <w:rsid w:val="0CE03634"/>
    <w:rsid w:val="0CE20EFC"/>
    <w:rsid w:val="0CE933A3"/>
    <w:rsid w:val="0CF21CC5"/>
    <w:rsid w:val="0CF43A8D"/>
    <w:rsid w:val="0CF81F11"/>
    <w:rsid w:val="0CFA194D"/>
    <w:rsid w:val="0CFE1250"/>
    <w:rsid w:val="0D023A38"/>
    <w:rsid w:val="0D06659C"/>
    <w:rsid w:val="0D083C6B"/>
    <w:rsid w:val="0D105504"/>
    <w:rsid w:val="0D196735"/>
    <w:rsid w:val="0D2555F7"/>
    <w:rsid w:val="0D267F50"/>
    <w:rsid w:val="0D293E32"/>
    <w:rsid w:val="0D2D3D42"/>
    <w:rsid w:val="0D2F6066"/>
    <w:rsid w:val="0D3255B6"/>
    <w:rsid w:val="0D361122"/>
    <w:rsid w:val="0D3E0044"/>
    <w:rsid w:val="0D3E5EA5"/>
    <w:rsid w:val="0D42393F"/>
    <w:rsid w:val="0D442174"/>
    <w:rsid w:val="0D495847"/>
    <w:rsid w:val="0D4E0CC2"/>
    <w:rsid w:val="0D4E7875"/>
    <w:rsid w:val="0D4F5B21"/>
    <w:rsid w:val="0D557298"/>
    <w:rsid w:val="0D611BD6"/>
    <w:rsid w:val="0D645361"/>
    <w:rsid w:val="0D6A2BE1"/>
    <w:rsid w:val="0D7E3CFF"/>
    <w:rsid w:val="0D801213"/>
    <w:rsid w:val="0D820A9C"/>
    <w:rsid w:val="0D922AE6"/>
    <w:rsid w:val="0D997802"/>
    <w:rsid w:val="0D9C2C0E"/>
    <w:rsid w:val="0DA00927"/>
    <w:rsid w:val="0DA00FB3"/>
    <w:rsid w:val="0DA53399"/>
    <w:rsid w:val="0DA61F0E"/>
    <w:rsid w:val="0DAC036B"/>
    <w:rsid w:val="0DB10C49"/>
    <w:rsid w:val="0DB135F2"/>
    <w:rsid w:val="0DC31559"/>
    <w:rsid w:val="0DCB0CE0"/>
    <w:rsid w:val="0DCB3462"/>
    <w:rsid w:val="0DD23758"/>
    <w:rsid w:val="0DD25D01"/>
    <w:rsid w:val="0DDA4038"/>
    <w:rsid w:val="0DE745FC"/>
    <w:rsid w:val="0DE7706B"/>
    <w:rsid w:val="0DEA1BCB"/>
    <w:rsid w:val="0DF359CB"/>
    <w:rsid w:val="0DF4585F"/>
    <w:rsid w:val="0DF93DEC"/>
    <w:rsid w:val="0DFE3856"/>
    <w:rsid w:val="0E0655AA"/>
    <w:rsid w:val="0E073B72"/>
    <w:rsid w:val="0E073C7C"/>
    <w:rsid w:val="0E097602"/>
    <w:rsid w:val="0E11239F"/>
    <w:rsid w:val="0E17208B"/>
    <w:rsid w:val="0E200867"/>
    <w:rsid w:val="0E20310E"/>
    <w:rsid w:val="0E260583"/>
    <w:rsid w:val="0E27286B"/>
    <w:rsid w:val="0E2C220E"/>
    <w:rsid w:val="0E371AB8"/>
    <w:rsid w:val="0E372937"/>
    <w:rsid w:val="0E3B15F1"/>
    <w:rsid w:val="0E3C3B1B"/>
    <w:rsid w:val="0E3E3CC5"/>
    <w:rsid w:val="0E3F29EC"/>
    <w:rsid w:val="0E433500"/>
    <w:rsid w:val="0E522333"/>
    <w:rsid w:val="0E6A4AB3"/>
    <w:rsid w:val="0E6D17EB"/>
    <w:rsid w:val="0E6E0F1C"/>
    <w:rsid w:val="0E875513"/>
    <w:rsid w:val="0E8D12CA"/>
    <w:rsid w:val="0E8E0DF7"/>
    <w:rsid w:val="0E92606F"/>
    <w:rsid w:val="0E9F08FC"/>
    <w:rsid w:val="0EA23615"/>
    <w:rsid w:val="0EA50E7D"/>
    <w:rsid w:val="0EA8107B"/>
    <w:rsid w:val="0EA91963"/>
    <w:rsid w:val="0EAA4EC5"/>
    <w:rsid w:val="0EB5496A"/>
    <w:rsid w:val="0EB76104"/>
    <w:rsid w:val="0EB858B0"/>
    <w:rsid w:val="0EB9125C"/>
    <w:rsid w:val="0EBB1B81"/>
    <w:rsid w:val="0EBB3483"/>
    <w:rsid w:val="0EC437F6"/>
    <w:rsid w:val="0EC905E0"/>
    <w:rsid w:val="0EC97280"/>
    <w:rsid w:val="0ECF60FD"/>
    <w:rsid w:val="0ED015F6"/>
    <w:rsid w:val="0ED74E9E"/>
    <w:rsid w:val="0EE47BCA"/>
    <w:rsid w:val="0EE83B0C"/>
    <w:rsid w:val="0EEB73A1"/>
    <w:rsid w:val="0EF44384"/>
    <w:rsid w:val="0EF62F5C"/>
    <w:rsid w:val="0EFF0F09"/>
    <w:rsid w:val="0F04025B"/>
    <w:rsid w:val="0F06421B"/>
    <w:rsid w:val="0F07168C"/>
    <w:rsid w:val="0F256C33"/>
    <w:rsid w:val="0F2601FA"/>
    <w:rsid w:val="0F285E12"/>
    <w:rsid w:val="0F286EF6"/>
    <w:rsid w:val="0F295F6C"/>
    <w:rsid w:val="0F3076F6"/>
    <w:rsid w:val="0F313A11"/>
    <w:rsid w:val="0F325F5C"/>
    <w:rsid w:val="0F42236F"/>
    <w:rsid w:val="0F4F2593"/>
    <w:rsid w:val="0F535128"/>
    <w:rsid w:val="0F5B5454"/>
    <w:rsid w:val="0F752CD6"/>
    <w:rsid w:val="0F7F3D72"/>
    <w:rsid w:val="0F7F69ED"/>
    <w:rsid w:val="0F853D64"/>
    <w:rsid w:val="0F856302"/>
    <w:rsid w:val="0F872D5B"/>
    <w:rsid w:val="0F940619"/>
    <w:rsid w:val="0F9845B0"/>
    <w:rsid w:val="0F9C1F20"/>
    <w:rsid w:val="0F9F4931"/>
    <w:rsid w:val="0FA346A2"/>
    <w:rsid w:val="0FA768B3"/>
    <w:rsid w:val="0FA87D43"/>
    <w:rsid w:val="0FB60AF8"/>
    <w:rsid w:val="0FB92842"/>
    <w:rsid w:val="0FBF2EC1"/>
    <w:rsid w:val="0FC528E4"/>
    <w:rsid w:val="0FCD17F0"/>
    <w:rsid w:val="0FD71B62"/>
    <w:rsid w:val="0FDA77E5"/>
    <w:rsid w:val="0FDD0FA5"/>
    <w:rsid w:val="0FE60F46"/>
    <w:rsid w:val="0FEA1D63"/>
    <w:rsid w:val="0FEE36A4"/>
    <w:rsid w:val="0FF85D35"/>
    <w:rsid w:val="100254E6"/>
    <w:rsid w:val="10026D25"/>
    <w:rsid w:val="10055AE0"/>
    <w:rsid w:val="10063773"/>
    <w:rsid w:val="100C4521"/>
    <w:rsid w:val="1010343F"/>
    <w:rsid w:val="10195B62"/>
    <w:rsid w:val="10196727"/>
    <w:rsid w:val="101B3017"/>
    <w:rsid w:val="10236BB9"/>
    <w:rsid w:val="102C1557"/>
    <w:rsid w:val="102C3E97"/>
    <w:rsid w:val="10361171"/>
    <w:rsid w:val="103E4D34"/>
    <w:rsid w:val="104206B5"/>
    <w:rsid w:val="10473338"/>
    <w:rsid w:val="104E339B"/>
    <w:rsid w:val="104F5999"/>
    <w:rsid w:val="10506631"/>
    <w:rsid w:val="10525730"/>
    <w:rsid w:val="10531BA1"/>
    <w:rsid w:val="10614BC2"/>
    <w:rsid w:val="106672B8"/>
    <w:rsid w:val="106E29E0"/>
    <w:rsid w:val="10704391"/>
    <w:rsid w:val="10790205"/>
    <w:rsid w:val="107D1C41"/>
    <w:rsid w:val="10832529"/>
    <w:rsid w:val="108C2185"/>
    <w:rsid w:val="109611DD"/>
    <w:rsid w:val="109F39D3"/>
    <w:rsid w:val="10A65197"/>
    <w:rsid w:val="10AF4A06"/>
    <w:rsid w:val="10B30287"/>
    <w:rsid w:val="10BB66A6"/>
    <w:rsid w:val="10C37275"/>
    <w:rsid w:val="10C57543"/>
    <w:rsid w:val="10C73305"/>
    <w:rsid w:val="10D56598"/>
    <w:rsid w:val="10DB1887"/>
    <w:rsid w:val="10DB6683"/>
    <w:rsid w:val="10E268A4"/>
    <w:rsid w:val="10E3215F"/>
    <w:rsid w:val="10E32E38"/>
    <w:rsid w:val="10F03343"/>
    <w:rsid w:val="10F407CD"/>
    <w:rsid w:val="10F80C4F"/>
    <w:rsid w:val="110034B4"/>
    <w:rsid w:val="11011E2A"/>
    <w:rsid w:val="110C1E79"/>
    <w:rsid w:val="11131439"/>
    <w:rsid w:val="112112C3"/>
    <w:rsid w:val="11240435"/>
    <w:rsid w:val="112934B3"/>
    <w:rsid w:val="112F5DA3"/>
    <w:rsid w:val="11395135"/>
    <w:rsid w:val="113E7DB7"/>
    <w:rsid w:val="11431992"/>
    <w:rsid w:val="11440D72"/>
    <w:rsid w:val="11443805"/>
    <w:rsid w:val="114C77DF"/>
    <w:rsid w:val="115E485D"/>
    <w:rsid w:val="1161688E"/>
    <w:rsid w:val="11650C86"/>
    <w:rsid w:val="11674876"/>
    <w:rsid w:val="116E20BD"/>
    <w:rsid w:val="117A3947"/>
    <w:rsid w:val="117D4A66"/>
    <w:rsid w:val="117D4FE9"/>
    <w:rsid w:val="117F0823"/>
    <w:rsid w:val="11846D34"/>
    <w:rsid w:val="118D3F7D"/>
    <w:rsid w:val="118E6B36"/>
    <w:rsid w:val="11984F58"/>
    <w:rsid w:val="11A008E1"/>
    <w:rsid w:val="11A57776"/>
    <w:rsid w:val="11A6141E"/>
    <w:rsid w:val="11BA18B5"/>
    <w:rsid w:val="11C57C7F"/>
    <w:rsid w:val="11C654A5"/>
    <w:rsid w:val="11C73FD2"/>
    <w:rsid w:val="11C853C3"/>
    <w:rsid w:val="11D37348"/>
    <w:rsid w:val="11D40394"/>
    <w:rsid w:val="11E84BC5"/>
    <w:rsid w:val="11EE2B47"/>
    <w:rsid w:val="11EE78E1"/>
    <w:rsid w:val="11FF2CA7"/>
    <w:rsid w:val="12031B51"/>
    <w:rsid w:val="12051601"/>
    <w:rsid w:val="120668A8"/>
    <w:rsid w:val="12086470"/>
    <w:rsid w:val="120D6E04"/>
    <w:rsid w:val="12172188"/>
    <w:rsid w:val="121C03AC"/>
    <w:rsid w:val="121D5E5A"/>
    <w:rsid w:val="12266D6E"/>
    <w:rsid w:val="122A7F34"/>
    <w:rsid w:val="122E4BDF"/>
    <w:rsid w:val="12323116"/>
    <w:rsid w:val="12373F93"/>
    <w:rsid w:val="12394EC2"/>
    <w:rsid w:val="1246596F"/>
    <w:rsid w:val="1248124B"/>
    <w:rsid w:val="12485F52"/>
    <w:rsid w:val="124E45B5"/>
    <w:rsid w:val="12532CA7"/>
    <w:rsid w:val="12536AFA"/>
    <w:rsid w:val="12593DD2"/>
    <w:rsid w:val="125B08F7"/>
    <w:rsid w:val="125E203A"/>
    <w:rsid w:val="12600773"/>
    <w:rsid w:val="1267181A"/>
    <w:rsid w:val="126E4404"/>
    <w:rsid w:val="126E5017"/>
    <w:rsid w:val="12744D20"/>
    <w:rsid w:val="127C4DBC"/>
    <w:rsid w:val="127C5776"/>
    <w:rsid w:val="12A2797D"/>
    <w:rsid w:val="12A32F34"/>
    <w:rsid w:val="12A51006"/>
    <w:rsid w:val="12B42EFD"/>
    <w:rsid w:val="12B97DBE"/>
    <w:rsid w:val="12BF5568"/>
    <w:rsid w:val="12C2162F"/>
    <w:rsid w:val="12CC3E2B"/>
    <w:rsid w:val="12CE5FA7"/>
    <w:rsid w:val="12CE60CC"/>
    <w:rsid w:val="12D828FF"/>
    <w:rsid w:val="12DB7407"/>
    <w:rsid w:val="12E0133C"/>
    <w:rsid w:val="12E45C87"/>
    <w:rsid w:val="12F45A33"/>
    <w:rsid w:val="12F72893"/>
    <w:rsid w:val="12FC0B8E"/>
    <w:rsid w:val="12FF6172"/>
    <w:rsid w:val="13014504"/>
    <w:rsid w:val="13143B7E"/>
    <w:rsid w:val="1318420A"/>
    <w:rsid w:val="131F221F"/>
    <w:rsid w:val="13200396"/>
    <w:rsid w:val="132C2E3F"/>
    <w:rsid w:val="132C519D"/>
    <w:rsid w:val="13314985"/>
    <w:rsid w:val="13361795"/>
    <w:rsid w:val="13412C46"/>
    <w:rsid w:val="135061F7"/>
    <w:rsid w:val="13556F8C"/>
    <w:rsid w:val="1360011D"/>
    <w:rsid w:val="13617C65"/>
    <w:rsid w:val="137369F2"/>
    <w:rsid w:val="13845E2A"/>
    <w:rsid w:val="13891C1E"/>
    <w:rsid w:val="138926BE"/>
    <w:rsid w:val="13893985"/>
    <w:rsid w:val="138C4CBA"/>
    <w:rsid w:val="138D6D9D"/>
    <w:rsid w:val="13930951"/>
    <w:rsid w:val="13996D11"/>
    <w:rsid w:val="13A55414"/>
    <w:rsid w:val="13A850D6"/>
    <w:rsid w:val="13B5731F"/>
    <w:rsid w:val="13B57C9B"/>
    <w:rsid w:val="13B84885"/>
    <w:rsid w:val="13BC0B5B"/>
    <w:rsid w:val="13C744BC"/>
    <w:rsid w:val="13CE3580"/>
    <w:rsid w:val="13CF2E46"/>
    <w:rsid w:val="13DA4490"/>
    <w:rsid w:val="13DB4A16"/>
    <w:rsid w:val="13DC6E9F"/>
    <w:rsid w:val="13E054EF"/>
    <w:rsid w:val="13EA21AB"/>
    <w:rsid w:val="13EE0E64"/>
    <w:rsid w:val="13F20DCB"/>
    <w:rsid w:val="13F21C65"/>
    <w:rsid w:val="13F25B1E"/>
    <w:rsid w:val="13F522A1"/>
    <w:rsid w:val="13FC08F7"/>
    <w:rsid w:val="13FD3830"/>
    <w:rsid w:val="14053709"/>
    <w:rsid w:val="140B289C"/>
    <w:rsid w:val="141023CF"/>
    <w:rsid w:val="14174B72"/>
    <w:rsid w:val="141B0C6C"/>
    <w:rsid w:val="141F71BC"/>
    <w:rsid w:val="14225BDD"/>
    <w:rsid w:val="142C7585"/>
    <w:rsid w:val="14375ABB"/>
    <w:rsid w:val="143D2405"/>
    <w:rsid w:val="143E5A52"/>
    <w:rsid w:val="143F7107"/>
    <w:rsid w:val="144A4CC5"/>
    <w:rsid w:val="144C3B71"/>
    <w:rsid w:val="144E72CB"/>
    <w:rsid w:val="14506E06"/>
    <w:rsid w:val="145225B7"/>
    <w:rsid w:val="14525AAA"/>
    <w:rsid w:val="14532701"/>
    <w:rsid w:val="14616EEF"/>
    <w:rsid w:val="146741C7"/>
    <w:rsid w:val="146C6E62"/>
    <w:rsid w:val="14787805"/>
    <w:rsid w:val="147951E0"/>
    <w:rsid w:val="147B353E"/>
    <w:rsid w:val="147D137E"/>
    <w:rsid w:val="147E12BF"/>
    <w:rsid w:val="147F6DE6"/>
    <w:rsid w:val="14870DFB"/>
    <w:rsid w:val="148A1CBE"/>
    <w:rsid w:val="148B4A35"/>
    <w:rsid w:val="1492039C"/>
    <w:rsid w:val="14965FBD"/>
    <w:rsid w:val="149844DB"/>
    <w:rsid w:val="14A20E8D"/>
    <w:rsid w:val="14A4204B"/>
    <w:rsid w:val="14A75F09"/>
    <w:rsid w:val="14AB19A6"/>
    <w:rsid w:val="14AC445C"/>
    <w:rsid w:val="14AE3F25"/>
    <w:rsid w:val="14BA0ECA"/>
    <w:rsid w:val="14BB7713"/>
    <w:rsid w:val="14C037BD"/>
    <w:rsid w:val="14C178A6"/>
    <w:rsid w:val="14C76C35"/>
    <w:rsid w:val="14C871FF"/>
    <w:rsid w:val="14CD413A"/>
    <w:rsid w:val="14CE7F36"/>
    <w:rsid w:val="14D131AA"/>
    <w:rsid w:val="14D52361"/>
    <w:rsid w:val="14D94FB4"/>
    <w:rsid w:val="14E320CE"/>
    <w:rsid w:val="14E6037C"/>
    <w:rsid w:val="14E75B9B"/>
    <w:rsid w:val="14EF43A5"/>
    <w:rsid w:val="14FF225C"/>
    <w:rsid w:val="15004EDE"/>
    <w:rsid w:val="15060238"/>
    <w:rsid w:val="150E3A6A"/>
    <w:rsid w:val="150E73A6"/>
    <w:rsid w:val="1511624D"/>
    <w:rsid w:val="15125344"/>
    <w:rsid w:val="1513523E"/>
    <w:rsid w:val="15173042"/>
    <w:rsid w:val="1517454E"/>
    <w:rsid w:val="15175270"/>
    <w:rsid w:val="151A29FF"/>
    <w:rsid w:val="151B6289"/>
    <w:rsid w:val="151E00DA"/>
    <w:rsid w:val="15251155"/>
    <w:rsid w:val="152D51BC"/>
    <w:rsid w:val="1532406F"/>
    <w:rsid w:val="15364A38"/>
    <w:rsid w:val="153B7935"/>
    <w:rsid w:val="153D273F"/>
    <w:rsid w:val="153D5F82"/>
    <w:rsid w:val="153E5F16"/>
    <w:rsid w:val="155A0DFA"/>
    <w:rsid w:val="155F0FF7"/>
    <w:rsid w:val="15654F9F"/>
    <w:rsid w:val="15677E09"/>
    <w:rsid w:val="156D4599"/>
    <w:rsid w:val="15705701"/>
    <w:rsid w:val="157B4DCB"/>
    <w:rsid w:val="15883E8A"/>
    <w:rsid w:val="15890FC7"/>
    <w:rsid w:val="158E7AFD"/>
    <w:rsid w:val="15910B7E"/>
    <w:rsid w:val="159613DB"/>
    <w:rsid w:val="159A69D0"/>
    <w:rsid w:val="159F241D"/>
    <w:rsid w:val="159F426F"/>
    <w:rsid w:val="15A70F2C"/>
    <w:rsid w:val="15A8529C"/>
    <w:rsid w:val="15A91AC8"/>
    <w:rsid w:val="15AB0A5C"/>
    <w:rsid w:val="15AC14D9"/>
    <w:rsid w:val="15AC7383"/>
    <w:rsid w:val="15B65BFC"/>
    <w:rsid w:val="15B67096"/>
    <w:rsid w:val="15B704ED"/>
    <w:rsid w:val="15B74252"/>
    <w:rsid w:val="15C44144"/>
    <w:rsid w:val="15C45589"/>
    <w:rsid w:val="15C556F9"/>
    <w:rsid w:val="15C611A2"/>
    <w:rsid w:val="15C73125"/>
    <w:rsid w:val="15C90318"/>
    <w:rsid w:val="15C9656A"/>
    <w:rsid w:val="15CA01C8"/>
    <w:rsid w:val="15CA0F82"/>
    <w:rsid w:val="15D1541F"/>
    <w:rsid w:val="15E1447E"/>
    <w:rsid w:val="15E843DA"/>
    <w:rsid w:val="15EB2AC6"/>
    <w:rsid w:val="15EE184B"/>
    <w:rsid w:val="16012EBA"/>
    <w:rsid w:val="16061F21"/>
    <w:rsid w:val="16113A6D"/>
    <w:rsid w:val="16135A37"/>
    <w:rsid w:val="16191A99"/>
    <w:rsid w:val="161940EF"/>
    <w:rsid w:val="161C5DB9"/>
    <w:rsid w:val="161E4493"/>
    <w:rsid w:val="162419F3"/>
    <w:rsid w:val="162641E6"/>
    <w:rsid w:val="16271A8A"/>
    <w:rsid w:val="16290DB7"/>
    <w:rsid w:val="162B75AB"/>
    <w:rsid w:val="162E31AD"/>
    <w:rsid w:val="163044BB"/>
    <w:rsid w:val="16372DB6"/>
    <w:rsid w:val="163D4894"/>
    <w:rsid w:val="166317E2"/>
    <w:rsid w:val="166640D6"/>
    <w:rsid w:val="1682013E"/>
    <w:rsid w:val="168F7FBF"/>
    <w:rsid w:val="16953AAB"/>
    <w:rsid w:val="169A5E34"/>
    <w:rsid w:val="169B52D9"/>
    <w:rsid w:val="16A13CE0"/>
    <w:rsid w:val="16A45527"/>
    <w:rsid w:val="16A756A6"/>
    <w:rsid w:val="16B13929"/>
    <w:rsid w:val="16C046A5"/>
    <w:rsid w:val="16D31B89"/>
    <w:rsid w:val="16D367DB"/>
    <w:rsid w:val="16D77F84"/>
    <w:rsid w:val="16DB73F1"/>
    <w:rsid w:val="16DE59F5"/>
    <w:rsid w:val="16E041A8"/>
    <w:rsid w:val="16E112D0"/>
    <w:rsid w:val="16E231E2"/>
    <w:rsid w:val="16E318AE"/>
    <w:rsid w:val="16E526D9"/>
    <w:rsid w:val="16EC14EA"/>
    <w:rsid w:val="16F21F98"/>
    <w:rsid w:val="16F305E2"/>
    <w:rsid w:val="16FB46EB"/>
    <w:rsid w:val="1705173A"/>
    <w:rsid w:val="1705518A"/>
    <w:rsid w:val="170576D4"/>
    <w:rsid w:val="170F6AA9"/>
    <w:rsid w:val="1716364E"/>
    <w:rsid w:val="1716650C"/>
    <w:rsid w:val="1719005A"/>
    <w:rsid w:val="172B30FA"/>
    <w:rsid w:val="17391A20"/>
    <w:rsid w:val="17392084"/>
    <w:rsid w:val="173C58CE"/>
    <w:rsid w:val="173E2F06"/>
    <w:rsid w:val="174020A8"/>
    <w:rsid w:val="174348B8"/>
    <w:rsid w:val="174E4402"/>
    <w:rsid w:val="17566C0E"/>
    <w:rsid w:val="17626C76"/>
    <w:rsid w:val="176D119E"/>
    <w:rsid w:val="176E1DF2"/>
    <w:rsid w:val="176F6A7E"/>
    <w:rsid w:val="17712A16"/>
    <w:rsid w:val="17761BCA"/>
    <w:rsid w:val="17820107"/>
    <w:rsid w:val="178A6943"/>
    <w:rsid w:val="178C6ACC"/>
    <w:rsid w:val="17952269"/>
    <w:rsid w:val="17A01653"/>
    <w:rsid w:val="17A37D12"/>
    <w:rsid w:val="17A866A4"/>
    <w:rsid w:val="17AC246E"/>
    <w:rsid w:val="17B77093"/>
    <w:rsid w:val="17B9517F"/>
    <w:rsid w:val="17BB5764"/>
    <w:rsid w:val="17C03B5A"/>
    <w:rsid w:val="17C121EB"/>
    <w:rsid w:val="17C252BC"/>
    <w:rsid w:val="17D23757"/>
    <w:rsid w:val="17D629D0"/>
    <w:rsid w:val="17DA35E3"/>
    <w:rsid w:val="17EB6EA6"/>
    <w:rsid w:val="17F00093"/>
    <w:rsid w:val="17F37126"/>
    <w:rsid w:val="17FB2C27"/>
    <w:rsid w:val="17FF5078"/>
    <w:rsid w:val="18040386"/>
    <w:rsid w:val="18086AD8"/>
    <w:rsid w:val="180F13F2"/>
    <w:rsid w:val="18100A40"/>
    <w:rsid w:val="181619FD"/>
    <w:rsid w:val="18186543"/>
    <w:rsid w:val="181C3E33"/>
    <w:rsid w:val="18273957"/>
    <w:rsid w:val="18281952"/>
    <w:rsid w:val="182C0D72"/>
    <w:rsid w:val="183D0C7E"/>
    <w:rsid w:val="183E5038"/>
    <w:rsid w:val="18424326"/>
    <w:rsid w:val="184A1386"/>
    <w:rsid w:val="184B1D43"/>
    <w:rsid w:val="184B51F7"/>
    <w:rsid w:val="18546E2C"/>
    <w:rsid w:val="185A2398"/>
    <w:rsid w:val="185A2DAC"/>
    <w:rsid w:val="185A7A25"/>
    <w:rsid w:val="185E1F05"/>
    <w:rsid w:val="18720B54"/>
    <w:rsid w:val="18762172"/>
    <w:rsid w:val="18770500"/>
    <w:rsid w:val="18776883"/>
    <w:rsid w:val="18841E0D"/>
    <w:rsid w:val="188D4809"/>
    <w:rsid w:val="188D6EB2"/>
    <w:rsid w:val="189221CB"/>
    <w:rsid w:val="189351D3"/>
    <w:rsid w:val="18951C50"/>
    <w:rsid w:val="18956BD8"/>
    <w:rsid w:val="189A04BA"/>
    <w:rsid w:val="18A509A6"/>
    <w:rsid w:val="18B75AA0"/>
    <w:rsid w:val="18B91460"/>
    <w:rsid w:val="18C10972"/>
    <w:rsid w:val="18C20BF3"/>
    <w:rsid w:val="18C60E5B"/>
    <w:rsid w:val="18CA4A46"/>
    <w:rsid w:val="18CC5F83"/>
    <w:rsid w:val="18D0694A"/>
    <w:rsid w:val="18D27714"/>
    <w:rsid w:val="18D47700"/>
    <w:rsid w:val="18D566DC"/>
    <w:rsid w:val="18DA6CE0"/>
    <w:rsid w:val="18DC3BB0"/>
    <w:rsid w:val="18DD2112"/>
    <w:rsid w:val="18DF2D8A"/>
    <w:rsid w:val="18E6447B"/>
    <w:rsid w:val="18EA6F23"/>
    <w:rsid w:val="18F5289B"/>
    <w:rsid w:val="18F72ECC"/>
    <w:rsid w:val="19015178"/>
    <w:rsid w:val="19125308"/>
    <w:rsid w:val="191565A6"/>
    <w:rsid w:val="19216AC6"/>
    <w:rsid w:val="19236FE9"/>
    <w:rsid w:val="192B7873"/>
    <w:rsid w:val="192D7027"/>
    <w:rsid w:val="19314F2F"/>
    <w:rsid w:val="193432EC"/>
    <w:rsid w:val="193B3C57"/>
    <w:rsid w:val="193F11B7"/>
    <w:rsid w:val="1944139F"/>
    <w:rsid w:val="194D74B2"/>
    <w:rsid w:val="1951098B"/>
    <w:rsid w:val="19516372"/>
    <w:rsid w:val="195B09E6"/>
    <w:rsid w:val="195D298A"/>
    <w:rsid w:val="1967324E"/>
    <w:rsid w:val="1968624C"/>
    <w:rsid w:val="196A40A4"/>
    <w:rsid w:val="197473BF"/>
    <w:rsid w:val="197B0DE0"/>
    <w:rsid w:val="197C107E"/>
    <w:rsid w:val="198906F9"/>
    <w:rsid w:val="19896C52"/>
    <w:rsid w:val="199D137A"/>
    <w:rsid w:val="199E02EE"/>
    <w:rsid w:val="199E119C"/>
    <w:rsid w:val="19A103C6"/>
    <w:rsid w:val="19A525E5"/>
    <w:rsid w:val="19BB13FB"/>
    <w:rsid w:val="19BC5062"/>
    <w:rsid w:val="19BC7FD1"/>
    <w:rsid w:val="19BE1C8C"/>
    <w:rsid w:val="19C039A4"/>
    <w:rsid w:val="19CB6EDE"/>
    <w:rsid w:val="19D651CF"/>
    <w:rsid w:val="19DE7DF7"/>
    <w:rsid w:val="19DF6A30"/>
    <w:rsid w:val="19ED604B"/>
    <w:rsid w:val="19ED60FD"/>
    <w:rsid w:val="19EE57F7"/>
    <w:rsid w:val="1A114984"/>
    <w:rsid w:val="1A143BA8"/>
    <w:rsid w:val="1A165AF6"/>
    <w:rsid w:val="1A1B3FB9"/>
    <w:rsid w:val="1A1C6EFF"/>
    <w:rsid w:val="1A216E30"/>
    <w:rsid w:val="1A283801"/>
    <w:rsid w:val="1A2E4F9D"/>
    <w:rsid w:val="1A2F0F30"/>
    <w:rsid w:val="1A322139"/>
    <w:rsid w:val="1A3935CC"/>
    <w:rsid w:val="1A3B730B"/>
    <w:rsid w:val="1A3C66AA"/>
    <w:rsid w:val="1A475D76"/>
    <w:rsid w:val="1A534F9B"/>
    <w:rsid w:val="1A56113B"/>
    <w:rsid w:val="1A571E75"/>
    <w:rsid w:val="1A5A52A4"/>
    <w:rsid w:val="1A607FD3"/>
    <w:rsid w:val="1A671D1D"/>
    <w:rsid w:val="1A687495"/>
    <w:rsid w:val="1A6E013B"/>
    <w:rsid w:val="1A7151CA"/>
    <w:rsid w:val="1A773BE2"/>
    <w:rsid w:val="1A7D0955"/>
    <w:rsid w:val="1A8044A7"/>
    <w:rsid w:val="1A84016E"/>
    <w:rsid w:val="1A874A25"/>
    <w:rsid w:val="1A8A3F6C"/>
    <w:rsid w:val="1A8A49A7"/>
    <w:rsid w:val="1A9971AE"/>
    <w:rsid w:val="1AA93F60"/>
    <w:rsid w:val="1AAA4CF5"/>
    <w:rsid w:val="1AAD1497"/>
    <w:rsid w:val="1AAF4447"/>
    <w:rsid w:val="1AB17609"/>
    <w:rsid w:val="1AB27189"/>
    <w:rsid w:val="1ABA46AC"/>
    <w:rsid w:val="1ABB3658"/>
    <w:rsid w:val="1ABB41D9"/>
    <w:rsid w:val="1AC169BC"/>
    <w:rsid w:val="1AC328A7"/>
    <w:rsid w:val="1AC542F4"/>
    <w:rsid w:val="1AC553D7"/>
    <w:rsid w:val="1AD32EC4"/>
    <w:rsid w:val="1AD856B8"/>
    <w:rsid w:val="1ADA7058"/>
    <w:rsid w:val="1ADB3ADF"/>
    <w:rsid w:val="1ADD2B87"/>
    <w:rsid w:val="1AE24712"/>
    <w:rsid w:val="1AE31CFA"/>
    <w:rsid w:val="1AF536E4"/>
    <w:rsid w:val="1AFD7F1F"/>
    <w:rsid w:val="1B076DBF"/>
    <w:rsid w:val="1B0B5C12"/>
    <w:rsid w:val="1B0E4D5A"/>
    <w:rsid w:val="1B0F7F07"/>
    <w:rsid w:val="1B100797"/>
    <w:rsid w:val="1B117315"/>
    <w:rsid w:val="1B126842"/>
    <w:rsid w:val="1B1B2302"/>
    <w:rsid w:val="1B1F09AF"/>
    <w:rsid w:val="1B273882"/>
    <w:rsid w:val="1B285AE1"/>
    <w:rsid w:val="1B2E6097"/>
    <w:rsid w:val="1B2E7029"/>
    <w:rsid w:val="1B345964"/>
    <w:rsid w:val="1B355413"/>
    <w:rsid w:val="1B382DB7"/>
    <w:rsid w:val="1B3A4C84"/>
    <w:rsid w:val="1B3D442A"/>
    <w:rsid w:val="1B3E00CB"/>
    <w:rsid w:val="1B4629FD"/>
    <w:rsid w:val="1B520E31"/>
    <w:rsid w:val="1B542D7A"/>
    <w:rsid w:val="1B580949"/>
    <w:rsid w:val="1B622D70"/>
    <w:rsid w:val="1B636A03"/>
    <w:rsid w:val="1B657DCE"/>
    <w:rsid w:val="1B6663A3"/>
    <w:rsid w:val="1B685C62"/>
    <w:rsid w:val="1B6C14A3"/>
    <w:rsid w:val="1B780494"/>
    <w:rsid w:val="1B782F83"/>
    <w:rsid w:val="1B7C35E6"/>
    <w:rsid w:val="1B8151F1"/>
    <w:rsid w:val="1B8247DD"/>
    <w:rsid w:val="1B835DCD"/>
    <w:rsid w:val="1B8619EC"/>
    <w:rsid w:val="1B8636E8"/>
    <w:rsid w:val="1B871E5C"/>
    <w:rsid w:val="1B8A0D1E"/>
    <w:rsid w:val="1B942EF7"/>
    <w:rsid w:val="1B951FFD"/>
    <w:rsid w:val="1B965141"/>
    <w:rsid w:val="1B9855B5"/>
    <w:rsid w:val="1B9A68E7"/>
    <w:rsid w:val="1BA14C38"/>
    <w:rsid w:val="1BB02045"/>
    <w:rsid w:val="1BB0423D"/>
    <w:rsid w:val="1BB8647B"/>
    <w:rsid w:val="1BBA41AB"/>
    <w:rsid w:val="1BC2577F"/>
    <w:rsid w:val="1BC33695"/>
    <w:rsid w:val="1BC86C07"/>
    <w:rsid w:val="1BCA4DEA"/>
    <w:rsid w:val="1BCB4F0B"/>
    <w:rsid w:val="1BCD3AB0"/>
    <w:rsid w:val="1BD16289"/>
    <w:rsid w:val="1BD70745"/>
    <w:rsid w:val="1BD91D36"/>
    <w:rsid w:val="1BDF13A3"/>
    <w:rsid w:val="1BE05E01"/>
    <w:rsid w:val="1BE307FC"/>
    <w:rsid w:val="1BE37F4F"/>
    <w:rsid w:val="1BE41126"/>
    <w:rsid w:val="1C063A25"/>
    <w:rsid w:val="1C0E02E0"/>
    <w:rsid w:val="1C1E47A5"/>
    <w:rsid w:val="1C2570E9"/>
    <w:rsid w:val="1C274785"/>
    <w:rsid w:val="1C28699B"/>
    <w:rsid w:val="1C2A28C4"/>
    <w:rsid w:val="1C337E59"/>
    <w:rsid w:val="1C36422E"/>
    <w:rsid w:val="1C3E1C1F"/>
    <w:rsid w:val="1C414DFE"/>
    <w:rsid w:val="1C450431"/>
    <w:rsid w:val="1C467B72"/>
    <w:rsid w:val="1C481C02"/>
    <w:rsid w:val="1C502D1A"/>
    <w:rsid w:val="1C68799C"/>
    <w:rsid w:val="1C6C0527"/>
    <w:rsid w:val="1C6E4C4A"/>
    <w:rsid w:val="1C8339EC"/>
    <w:rsid w:val="1C876C05"/>
    <w:rsid w:val="1C8E406A"/>
    <w:rsid w:val="1C950EA2"/>
    <w:rsid w:val="1C9D31E1"/>
    <w:rsid w:val="1CA12EBD"/>
    <w:rsid w:val="1CA55C6C"/>
    <w:rsid w:val="1CA62838"/>
    <w:rsid w:val="1CC11B80"/>
    <w:rsid w:val="1CC83173"/>
    <w:rsid w:val="1CCE53D3"/>
    <w:rsid w:val="1CD32DB2"/>
    <w:rsid w:val="1CDC4242"/>
    <w:rsid w:val="1CDD52D2"/>
    <w:rsid w:val="1CE36171"/>
    <w:rsid w:val="1CE658C5"/>
    <w:rsid w:val="1CEA02A5"/>
    <w:rsid w:val="1CEE58F8"/>
    <w:rsid w:val="1CEF5878"/>
    <w:rsid w:val="1CFB5C36"/>
    <w:rsid w:val="1D0D6E9B"/>
    <w:rsid w:val="1D1354DB"/>
    <w:rsid w:val="1D255A9E"/>
    <w:rsid w:val="1D266050"/>
    <w:rsid w:val="1D291F4B"/>
    <w:rsid w:val="1D2D3883"/>
    <w:rsid w:val="1D2E491B"/>
    <w:rsid w:val="1D377249"/>
    <w:rsid w:val="1D496A33"/>
    <w:rsid w:val="1D4E02FF"/>
    <w:rsid w:val="1D536BB2"/>
    <w:rsid w:val="1D547F97"/>
    <w:rsid w:val="1D562585"/>
    <w:rsid w:val="1D5B0D63"/>
    <w:rsid w:val="1D5E1444"/>
    <w:rsid w:val="1D5F7616"/>
    <w:rsid w:val="1D762E31"/>
    <w:rsid w:val="1D7B668B"/>
    <w:rsid w:val="1D826EBE"/>
    <w:rsid w:val="1D8321C5"/>
    <w:rsid w:val="1D85102C"/>
    <w:rsid w:val="1DB620BE"/>
    <w:rsid w:val="1DC96FB6"/>
    <w:rsid w:val="1DCA047F"/>
    <w:rsid w:val="1DCD1DFD"/>
    <w:rsid w:val="1DCE6CF6"/>
    <w:rsid w:val="1DD80A44"/>
    <w:rsid w:val="1DDB0BE7"/>
    <w:rsid w:val="1DE93D04"/>
    <w:rsid w:val="1DEC1F22"/>
    <w:rsid w:val="1DEC729A"/>
    <w:rsid w:val="1DEF691B"/>
    <w:rsid w:val="1DF17475"/>
    <w:rsid w:val="1DF21D9B"/>
    <w:rsid w:val="1DF23F5B"/>
    <w:rsid w:val="1DFD0A32"/>
    <w:rsid w:val="1DFE4D46"/>
    <w:rsid w:val="1E014F37"/>
    <w:rsid w:val="1E04575B"/>
    <w:rsid w:val="1E054781"/>
    <w:rsid w:val="1E083194"/>
    <w:rsid w:val="1E1075F6"/>
    <w:rsid w:val="1E135ECF"/>
    <w:rsid w:val="1E16306E"/>
    <w:rsid w:val="1E1A2378"/>
    <w:rsid w:val="1E1A32D3"/>
    <w:rsid w:val="1E2204D5"/>
    <w:rsid w:val="1E2E73BF"/>
    <w:rsid w:val="1E351197"/>
    <w:rsid w:val="1E35517B"/>
    <w:rsid w:val="1E3B373E"/>
    <w:rsid w:val="1E4273AC"/>
    <w:rsid w:val="1E477B18"/>
    <w:rsid w:val="1E4C6C6B"/>
    <w:rsid w:val="1E4F7829"/>
    <w:rsid w:val="1E582EBA"/>
    <w:rsid w:val="1E5848F2"/>
    <w:rsid w:val="1E5D309D"/>
    <w:rsid w:val="1E5F583A"/>
    <w:rsid w:val="1E6F30B9"/>
    <w:rsid w:val="1E777B01"/>
    <w:rsid w:val="1E780B2E"/>
    <w:rsid w:val="1E7C5A4B"/>
    <w:rsid w:val="1E820952"/>
    <w:rsid w:val="1E846364"/>
    <w:rsid w:val="1E846EFB"/>
    <w:rsid w:val="1E85324A"/>
    <w:rsid w:val="1E8F6295"/>
    <w:rsid w:val="1E9254DB"/>
    <w:rsid w:val="1E926956"/>
    <w:rsid w:val="1E962AB9"/>
    <w:rsid w:val="1E97759E"/>
    <w:rsid w:val="1E9A34D8"/>
    <w:rsid w:val="1E9C4AB8"/>
    <w:rsid w:val="1E9D7E1D"/>
    <w:rsid w:val="1EA4238F"/>
    <w:rsid w:val="1EB36BA7"/>
    <w:rsid w:val="1EC52641"/>
    <w:rsid w:val="1EC53317"/>
    <w:rsid w:val="1ED41CC0"/>
    <w:rsid w:val="1ED70AB2"/>
    <w:rsid w:val="1EE4619C"/>
    <w:rsid w:val="1EE940ED"/>
    <w:rsid w:val="1EF512E8"/>
    <w:rsid w:val="1EF87E04"/>
    <w:rsid w:val="1F055DFF"/>
    <w:rsid w:val="1F087282"/>
    <w:rsid w:val="1F092DBE"/>
    <w:rsid w:val="1F133DFA"/>
    <w:rsid w:val="1F134C66"/>
    <w:rsid w:val="1F162A6F"/>
    <w:rsid w:val="1F1B3587"/>
    <w:rsid w:val="1F1C28C7"/>
    <w:rsid w:val="1F3069B1"/>
    <w:rsid w:val="1F330359"/>
    <w:rsid w:val="1F371514"/>
    <w:rsid w:val="1F37595B"/>
    <w:rsid w:val="1F3770DA"/>
    <w:rsid w:val="1F401D30"/>
    <w:rsid w:val="1F4A0A08"/>
    <w:rsid w:val="1F515091"/>
    <w:rsid w:val="1F705F14"/>
    <w:rsid w:val="1F751511"/>
    <w:rsid w:val="1F78062A"/>
    <w:rsid w:val="1F7A1700"/>
    <w:rsid w:val="1F7F3AAB"/>
    <w:rsid w:val="1F841F9C"/>
    <w:rsid w:val="1F861E5A"/>
    <w:rsid w:val="1F8B78E1"/>
    <w:rsid w:val="1F8E612F"/>
    <w:rsid w:val="1F8F482F"/>
    <w:rsid w:val="1F923DFA"/>
    <w:rsid w:val="1F9B5A6B"/>
    <w:rsid w:val="1FA86E8A"/>
    <w:rsid w:val="1FA959E3"/>
    <w:rsid w:val="1FAC3FE1"/>
    <w:rsid w:val="1FB23644"/>
    <w:rsid w:val="1FC009DE"/>
    <w:rsid w:val="1FC0755B"/>
    <w:rsid w:val="1FC50356"/>
    <w:rsid w:val="1FC84FF9"/>
    <w:rsid w:val="1FE14043"/>
    <w:rsid w:val="1FE267B7"/>
    <w:rsid w:val="1FE40E9F"/>
    <w:rsid w:val="1FE45D78"/>
    <w:rsid w:val="1FE864B0"/>
    <w:rsid w:val="1FEB27A7"/>
    <w:rsid w:val="1FFB6136"/>
    <w:rsid w:val="20067C94"/>
    <w:rsid w:val="20091F39"/>
    <w:rsid w:val="200A2C73"/>
    <w:rsid w:val="200B03AC"/>
    <w:rsid w:val="201D01EB"/>
    <w:rsid w:val="20212468"/>
    <w:rsid w:val="20232854"/>
    <w:rsid w:val="20252083"/>
    <w:rsid w:val="202A1B2C"/>
    <w:rsid w:val="202A5E57"/>
    <w:rsid w:val="202B4E25"/>
    <w:rsid w:val="202E06A3"/>
    <w:rsid w:val="2031373D"/>
    <w:rsid w:val="20321CF6"/>
    <w:rsid w:val="203474F7"/>
    <w:rsid w:val="20404E0E"/>
    <w:rsid w:val="205028C9"/>
    <w:rsid w:val="205136B9"/>
    <w:rsid w:val="2051588D"/>
    <w:rsid w:val="20531463"/>
    <w:rsid w:val="20532554"/>
    <w:rsid w:val="20590DC3"/>
    <w:rsid w:val="20605D08"/>
    <w:rsid w:val="206863D5"/>
    <w:rsid w:val="20725F13"/>
    <w:rsid w:val="207D242B"/>
    <w:rsid w:val="20895FBF"/>
    <w:rsid w:val="208A5B0A"/>
    <w:rsid w:val="20945216"/>
    <w:rsid w:val="209B4FA7"/>
    <w:rsid w:val="209E479C"/>
    <w:rsid w:val="20A15C85"/>
    <w:rsid w:val="20A3345C"/>
    <w:rsid w:val="20AA51EA"/>
    <w:rsid w:val="20B41895"/>
    <w:rsid w:val="20B87006"/>
    <w:rsid w:val="20B971DB"/>
    <w:rsid w:val="20C77463"/>
    <w:rsid w:val="20C86912"/>
    <w:rsid w:val="20CB271C"/>
    <w:rsid w:val="20D25746"/>
    <w:rsid w:val="20E3487E"/>
    <w:rsid w:val="20EC4E66"/>
    <w:rsid w:val="20EC4F8A"/>
    <w:rsid w:val="20FB6F69"/>
    <w:rsid w:val="20FB75CC"/>
    <w:rsid w:val="20FF6897"/>
    <w:rsid w:val="2108665E"/>
    <w:rsid w:val="210A16A7"/>
    <w:rsid w:val="21211AC9"/>
    <w:rsid w:val="21213FED"/>
    <w:rsid w:val="212360E4"/>
    <w:rsid w:val="212826DA"/>
    <w:rsid w:val="21283933"/>
    <w:rsid w:val="212879CE"/>
    <w:rsid w:val="21296B4E"/>
    <w:rsid w:val="212F1E3B"/>
    <w:rsid w:val="21410377"/>
    <w:rsid w:val="21426579"/>
    <w:rsid w:val="2145498F"/>
    <w:rsid w:val="214779FA"/>
    <w:rsid w:val="21507B40"/>
    <w:rsid w:val="2154597D"/>
    <w:rsid w:val="21570862"/>
    <w:rsid w:val="215F6274"/>
    <w:rsid w:val="21657FA2"/>
    <w:rsid w:val="21676236"/>
    <w:rsid w:val="21697306"/>
    <w:rsid w:val="216E7BF3"/>
    <w:rsid w:val="2174007F"/>
    <w:rsid w:val="21791032"/>
    <w:rsid w:val="217A70EE"/>
    <w:rsid w:val="21823CA7"/>
    <w:rsid w:val="2189381B"/>
    <w:rsid w:val="218B4AD9"/>
    <w:rsid w:val="219148A3"/>
    <w:rsid w:val="21920158"/>
    <w:rsid w:val="21931DA4"/>
    <w:rsid w:val="219B686A"/>
    <w:rsid w:val="219E3CDE"/>
    <w:rsid w:val="21A0791B"/>
    <w:rsid w:val="21A34B70"/>
    <w:rsid w:val="21AA2FF4"/>
    <w:rsid w:val="21AE3FF3"/>
    <w:rsid w:val="21B4539C"/>
    <w:rsid w:val="21B82C1B"/>
    <w:rsid w:val="21B9031B"/>
    <w:rsid w:val="21B930E7"/>
    <w:rsid w:val="21BB32D9"/>
    <w:rsid w:val="21BC2066"/>
    <w:rsid w:val="21BF19B3"/>
    <w:rsid w:val="21C57807"/>
    <w:rsid w:val="21D61F53"/>
    <w:rsid w:val="21DD30DE"/>
    <w:rsid w:val="21F43E01"/>
    <w:rsid w:val="22121093"/>
    <w:rsid w:val="22132D0B"/>
    <w:rsid w:val="2213599D"/>
    <w:rsid w:val="22151733"/>
    <w:rsid w:val="22153089"/>
    <w:rsid w:val="22205764"/>
    <w:rsid w:val="22241B97"/>
    <w:rsid w:val="223119FD"/>
    <w:rsid w:val="2235363F"/>
    <w:rsid w:val="2238301F"/>
    <w:rsid w:val="224035C5"/>
    <w:rsid w:val="22426A36"/>
    <w:rsid w:val="2248768E"/>
    <w:rsid w:val="224941CC"/>
    <w:rsid w:val="225065FC"/>
    <w:rsid w:val="22523711"/>
    <w:rsid w:val="22526955"/>
    <w:rsid w:val="225929CC"/>
    <w:rsid w:val="22604018"/>
    <w:rsid w:val="22611B1E"/>
    <w:rsid w:val="22615229"/>
    <w:rsid w:val="2267753D"/>
    <w:rsid w:val="22697527"/>
    <w:rsid w:val="226D3EEC"/>
    <w:rsid w:val="22713226"/>
    <w:rsid w:val="22720B41"/>
    <w:rsid w:val="22772F3B"/>
    <w:rsid w:val="22834DFD"/>
    <w:rsid w:val="22871F10"/>
    <w:rsid w:val="228A1DEC"/>
    <w:rsid w:val="228C498F"/>
    <w:rsid w:val="22940D96"/>
    <w:rsid w:val="22A21A7C"/>
    <w:rsid w:val="22A34A40"/>
    <w:rsid w:val="22A77BFD"/>
    <w:rsid w:val="22B129B5"/>
    <w:rsid w:val="22B57284"/>
    <w:rsid w:val="22B77886"/>
    <w:rsid w:val="22C45E7F"/>
    <w:rsid w:val="22C71431"/>
    <w:rsid w:val="22C8503C"/>
    <w:rsid w:val="22D26822"/>
    <w:rsid w:val="22D74FA7"/>
    <w:rsid w:val="22E1670A"/>
    <w:rsid w:val="22E32C7C"/>
    <w:rsid w:val="22F02644"/>
    <w:rsid w:val="22F13115"/>
    <w:rsid w:val="22F1502C"/>
    <w:rsid w:val="22F70C9A"/>
    <w:rsid w:val="23007E31"/>
    <w:rsid w:val="23044C54"/>
    <w:rsid w:val="230726AF"/>
    <w:rsid w:val="230823EF"/>
    <w:rsid w:val="230B009C"/>
    <w:rsid w:val="230E1551"/>
    <w:rsid w:val="231A18DD"/>
    <w:rsid w:val="231F5C41"/>
    <w:rsid w:val="232B40F4"/>
    <w:rsid w:val="23330B55"/>
    <w:rsid w:val="233401CE"/>
    <w:rsid w:val="23384A40"/>
    <w:rsid w:val="233A1792"/>
    <w:rsid w:val="233A301D"/>
    <w:rsid w:val="233B3627"/>
    <w:rsid w:val="23434081"/>
    <w:rsid w:val="234C4D62"/>
    <w:rsid w:val="235855B1"/>
    <w:rsid w:val="235D1629"/>
    <w:rsid w:val="23622550"/>
    <w:rsid w:val="23642920"/>
    <w:rsid w:val="23680381"/>
    <w:rsid w:val="236A15CA"/>
    <w:rsid w:val="236D4A23"/>
    <w:rsid w:val="23754BA1"/>
    <w:rsid w:val="237A7AD8"/>
    <w:rsid w:val="23811821"/>
    <w:rsid w:val="23917CA9"/>
    <w:rsid w:val="23956AD6"/>
    <w:rsid w:val="239A4FCA"/>
    <w:rsid w:val="23A02D97"/>
    <w:rsid w:val="23A1796D"/>
    <w:rsid w:val="23AB2DED"/>
    <w:rsid w:val="23BE3FD3"/>
    <w:rsid w:val="23BF4BA9"/>
    <w:rsid w:val="23BF6C80"/>
    <w:rsid w:val="23C07461"/>
    <w:rsid w:val="23C465C3"/>
    <w:rsid w:val="23D13DF5"/>
    <w:rsid w:val="23D524D5"/>
    <w:rsid w:val="23D7416D"/>
    <w:rsid w:val="23D83E1C"/>
    <w:rsid w:val="23DA3BC7"/>
    <w:rsid w:val="23E46569"/>
    <w:rsid w:val="23EE2B46"/>
    <w:rsid w:val="23FA331C"/>
    <w:rsid w:val="23FB5975"/>
    <w:rsid w:val="240C1433"/>
    <w:rsid w:val="240F5504"/>
    <w:rsid w:val="24186D4A"/>
    <w:rsid w:val="241909F0"/>
    <w:rsid w:val="241B1989"/>
    <w:rsid w:val="24276218"/>
    <w:rsid w:val="243705E8"/>
    <w:rsid w:val="243E3012"/>
    <w:rsid w:val="243F21FD"/>
    <w:rsid w:val="24463563"/>
    <w:rsid w:val="24553364"/>
    <w:rsid w:val="24630067"/>
    <w:rsid w:val="246568E7"/>
    <w:rsid w:val="24657811"/>
    <w:rsid w:val="24693A78"/>
    <w:rsid w:val="247358E6"/>
    <w:rsid w:val="24822298"/>
    <w:rsid w:val="24866762"/>
    <w:rsid w:val="248C6872"/>
    <w:rsid w:val="249863C1"/>
    <w:rsid w:val="24A975F1"/>
    <w:rsid w:val="24AC46CD"/>
    <w:rsid w:val="24AD15DD"/>
    <w:rsid w:val="24BA14AA"/>
    <w:rsid w:val="24C50396"/>
    <w:rsid w:val="24C70B70"/>
    <w:rsid w:val="24CF1C37"/>
    <w:rsid w:val="24D119C6"/>
    <w:rsid w:val="24D665AE"/>
    <w:rsid w:val="24D81302"/>
    <w:rsid w:val="24D8686F"/>
    <w:rsid w:val="24E03613"/>
    <w:rsid w:val="24E25BB5"/>
    <w:rsid w:val="24E42949"/>
    <w:rsid w:val="24EC5DD1"/>
    <w:rsid w:val="24F84715"/>
    <w:rsid w:val="24F85FC0"/>
    <w:rsid w:val="25011FFA"/>
    <w:rsid w:val="25024878"/>
    <w:rsid w:val="2510405B"/>
    <w:rsid w:val="251549F4"/>
    <w:rsid w:val="251A48AC"/>
    <w:rsid w:val="2529428F"/>
    <w:rsid w:val="252C29F3"/>
    <w:rsid w:val="252E6C69"/>
    <w:rsid w:val="252F609C"/>
    <w:rsid w:val="253240D6"/>
    <w:rsid w:val="253357AE"/>
    <w:rsid w:val="25363A72"/>
    <w:rsid w:val="253A686E"/>
    <w:rsid w:val="253F6A05"/>
    <w:rsid w:val="254011CD"/>
    <w:rsid w:val="25524AEA"/>
    <w:rsid w:val="25536737"/>
    <w:rsid w:val="255545CB"/>
    <w:rsid w:val="255862A8"/>
    <w:rsid w:val="255971C4"/>
    <w:rsid w:val="255D3FEE"/>
    <w:rsid w:val="25644CF6"/>
    <w:rsid w:val="256452B2"/>
    <w:rsid w:val="256E447D"/>
    <w:rsid w:val="257A162F"/>
    <w:rsid w:val="257E28EE"/>
    <w:rsid w:val="2580651A"/>
    <w:rsid w:val="25826F0E"/>
    <w:rsid w:val="258D5929"/>
    <w:rsid w:val="25921A87"/>
    <w:rsid w:val="259C42E1"/>
    <w:rsid w:val="25A14C02"/>
    <w:rsid w:val="25AC7389"/>
    <w:rsid w:val="25B026D8"/>
    <w:rsid w:val="25B155B7"/>
    <w:rsid w:val="25BB3BEF"/>
    <w:rsid w:val="25BC22F3"/>
    <w:rsid w:val="25BD3A06"/>
    <w:rsid w:val="25BD7B65"/>
    <w:rsid w:val="25C96A4D"/>
    <w:rsid w:val="25CC2D6A"/>
    <w:rsid w:val="25D2032B"/>
    <w:rsid w:val="25DB046E"/>
    <w:rsid w:val="25E10A99"/>
    <w:rsid w:val="25E42D96"/>
    <w:rsid w:val="25F7472D"/>
    <w:rsid w:val="25FD7528"/>
    <w:rsid w:val="26007258"/>
    <w:rsid w:val="26112284"/>
    <w:rsid w:val="2615501E"/>
    <w:rsid w:val="26487037"/>
    <w:rsid w:val="2652435A"/>
    <w:rsid w:val="26571118"/>
    <w:rsid w:val="26592DEA"/>
    <w:rsid w:val="265B53D7"/>
    <w:rsid w:val="265C75AD"/>
    <w:rsid w:val="26610E56"/>
    <w:rsid w:val="266375FD"/>
    <w:rsid w:val="26651A30"/>
    <w:rsid w:val="266867BD"/>
    <w:rsid w:val="26754AF9"/>
    <w:rsid w:val="26774A4C"/>
    <w:rsid w:val="26783A95"/>
    <w:rsid w:val="267A6E39"/>
    <w:rsid w:val="26994911"/>
    <w:rsid w:val="26A3655B"/>
    <w:rsid w:val="26A64C98"/>
    <w:rsid w:val="26AB4A04"/>
    <w:rsid w:val="26B17B6C"/>
    <w:rsid w:val="26CE2B2F"/>
    <w:rsid w:val="26D531F3"/>
    <w:rsid w:val="26DA06D3"/>
    <w:rsid w:val="26EF3957"/>
    <w:rsid w:val="26F42BF1"/>
    <w:rsid w:val="27005E27"/>
    <w:rsid w:val="270341B0"/>
    <w:rsid w:val="27094FD0"/>
    <w:rsid w:val="270A1686"/>
    <w:rsid w:val="27173F46"/>
    <w:rsid w:val="27174EDA"/>
    <w:rsid w:val="27190735"/>
    <w:rsid w:val="27227805"/>
    <w:rsid w:val="272B26AA"/>
    <w:rsid w:val="272C128C"/>
    <w:rsid w:val="272E02D9"/>
    <w:rsid w:val="27371510"/>
    <w:rsid w:val="273F48DE"/>
    <w:rsid w:val="27422F6A"/>
    <w:rsid w:val="274D140D"/>
    <w:rsid w:val="275A6D01"/>
    <w:rsid w:val="275F4C03"/>
    <w:rsid w:val="276A649A"/>
    <w:rsid w:val="276E08C7"/>
    <w:rsid w:val="276E09F1"/>
    <w:rsid w:val="276F267B"/>
    <w:rsid w:val="27720BED"/>
    <w:rsid w:val="27762722"/>
    <w:rsid w:val="27791F47"/>
    <w:rsid w:val="27811D6F"/>
    <w:rsid w:val="2782310C"/>
    <w:rsid w:val="27824680"/>
    <w:rsid w:val="27941ECD"/>
    <w:rsid w:val="279938C3"/>
    <w:rsid w:val="279C1DA2"/>
    <w:rsid w:val="279C67DD"/>
    <w:rsid w:val="279E5966"/>
    <w:rsid w:val="279F6FE9"/>
    <w:rsid w:val="27A41F4B"/>
    <w:rsid w:val="27AE14D7"/>
    <w:rsid w:val="27AE466B"/>
    <w:rsid w:val="27B53849"/>
    <w:rsid w:val="27B659AA"/>
    <w:rsid w:val="27B97D81"/>
    <w:rsid w:val="27BA71EB"/>
    <w:rsid w:val="27BC6454"/>
    <w:rsid w:val="27C1040E"/>
    <w:rsid w:val="27C93C05"/>
    <w:rsid w:val="27CA22F5"/>
    <w:rsid w:val="27D54622"/>
    <w:rsid w:val="27D67E3C"/>
    <w:rsid w:val="27D7671F"/>
    <w:rsid w:val="27E35578"/>
    <w:rsid w:val="27E91FBB"/>
    <w:rsid w:val="27ED2D3A"/>
    <w:rsid w:val="27EF18C2"/>
    <w:rsid w:val="27FB3D3F"/>
    <w:rsid w:val="27FC1186"/>
    <w:rsid w:val="27FC4B5A"/>
    <w:rsid w:val="27FF5C84"/>
    <w:rsid w:val="28016E7C"/>
    <w:rsid w:val="2805689A"/>
    <w:rsid w:val="280D6DAA"/>
    <w:rsid w:val="28120EE6"/>
    <w:rsid w:val="281319DD"/>
    <w:rsid w:val="281475BC"/>
    <w:rsid w:val="281635F9"/>
    <w:rsid w:val="28386DDF"/>
    <w:rsid w:val="283B0812"/>
    <w:rsid w:val="283E3189"/>
    <w:rsid w:val="284003C4"/>
    <w:rsid w:val="284461BF"/>
    <w:rsid w:val="2850330B"/>
    <w:rsid w:val="28572E18"/>
    <w:rsid w:val="285D5C1D"/>
    <w:rsid w:val="286363AA"/>
    <w:rsid w:val="28636474"/>
    <w:rsid w:val="286972DD"/>
    <w:rsid w:val="287459E7"/>
    <w:rsid w:val="28783C99"/>
    <w:rsid w:val="288822B5"/>
    <w:rsid w:val="288F7330"/>
    <w:rsid w:val="2896578B"/>
    <w:rsid w:val="2897236D"/>
    <w:rsid w:val="28976A42"/>
    <w:rsid w:val="28AA2649"/>
    <w:rsid w:val="28AD14E5"/>
    <w:rsid w:val="28AE6C5B"/>
    <w:rsid w:val="28B03ED3"/>
    <w:rsid w:val="28BA3158"/>
    <w:rsid w:val="28BD653F"/>
    <w:rsid w:val="28C15AB1"/>
    <w:rsid w:val="28C27F23"/>
    <w:rsid w:val="28C76F2E"/>
    <w:rsid w:val="28CA1EC9"/>
    <w:rsid w:val="28CA78AE"/>
    <w:rsid w:val="28CE3B22"/>
    <w:rsid w:val="28D01566"/>
    <w:rsid w:val="28D12512"/>
    <w:rsid w:val="28E84736"/>
    <w:rsid w:val="29042DE7"/>
    <w:rsid w:val="290D71BB"/>
    <w:rsid w:val="291429D8"/>
    <w:rsid w:val="291A6C11"/>
    <w:rsid w:val="292D79EC"/>
    <w:rsid w:val="293548F9"/>
    <w:rsid w:val="293D4EAD"/>
    <w:rsid w:val="29420EA7"/>
    <w:rsid w:val="29523E6A"/>
    <w:rsid w:val="29683311"/>
    <w:rsid w:val="296C43C7"/>
    <w:rsid w:val="2979112F"/>
    <w:rsid w:val="297A1507"/>
    <w:rsid w:val="29802771"/>
    <w:rsid w:val="298834A6"/>
    <w:rsid w:val="29886BB7"/>
    <w:rsid w:val="299E7A47"/>
    <w:rsid w:val="29A13EAB"/>
    <w:rsid w:val="29BD109B"/>
    <w:rsid w:val="29BF2E3A"/>
    <w:rsid w:val="29C25353"/>
    <w:rsid w:val="29C4259A"/>
    <w:rsid w:val="29C5030E"/>
    <w:rsid w:val="29C51F12"/>
    <w:rsid w:val="29CD3357"/>
    <w:rsid w:val="29D34BC6"/>
    <w:rsid w:val="29D445C0"/>
    <w:rsid w:val="29DE10B7"/>
    <w:rsid w:val="29E14AC1"/>
    <w:rsid w:val="29E834FF"/>
    <w:rsid w:val="29EE2254"/>
    <w:rsid w:val="29FD1BB8"/>
    <w:rsid w:val="2A005004"/>
    <w:rsid w:val="2A01640C"/>
    <w:rsid w:val="2A0713B0"/>
    <w:rsid w:val="2A0C1EB9"/>
    <w:rsid w:val="2A1069F6"/>
    <w:rsid w:val="2A2142A3"/>
    <w:rsid w:val="2A254970"/>
    <w:rsid w:val="2A2735C6"/>
    <w:rsid w:val="2A295ACA"/>
    <w:rsid w:val="2A2D2117"/>
    <w:rsid w:val="2A336250"/>
    <w:rsid w:val="2A371349"/>
    <w:rsid w:val="2A3C5A1D"/>
    <w:rsid w:val="2A4641D7"/>
    <w:rsid w:val="2A464A18"/>
    <w:rsid w:val="2A484A97"/>
    <w:rsid w:val="2A56246E"/>
    <w:rsid w:val="2A5B4431"/>
    <w:rsid w:val="2A5C33D4"/>
    <w:rsid w:val="2A60477A"/>
    <w:rsid w:val="2A653899"/>
    <w:rsid w:val="2A6F2F9E"/>
    <w:rsid w:val="2A7A44B6"/>
    <w:rsid w:val="2A88547E"/>
    <w:rsid w:val="2A8E1F90"/>
    <w:rsid w:val="2A917DE9"/>
    <w:rsid w:val="2A961851"/>
    <w:rsid w:val="2A9C7B83"/>
    <w:rsid w:val="2AAC3A6A"/>
    <w:rsid w:val="2AAC49DA"/>
    <w:rsid w:val="2AAF54E7"/>
    <w:rsid w:val="2ABB5A92"/>
    <w:rsid w:val="2AC14138"/>
    <w:rsid w:val="2ACD595B"/>
    <w:rsid w:val="2ACE2333"/>
    <w:rsid w:val="2AD10253"/>
    <w:rsid w:val="2AD1561D"/>
    <w:rsid w:val="2AD562F3"/>
    <w:rsid w:val="2AD60098"/>
    <w:rsid w:val="2AD70E95"/>
    <w:rsid w:val="2AE63D65"/>
    <w:rsid w:val="2AF604EB"/>
    <w:rsid w:val="2AFE54CB"/>
    <w:rsid w:val="2B020837"/>
    <w:rsid w:val="2B097936"/>
    <w:rsid w:val="2B0B3DFC"/>
    <w:rsid w:val="2B0E6AE7"/>
    <w:rsid w:val="2B1B6C3C"/>
    <w:rsid w:val="2B1C0A93"/>
    <w:rsid w:val="2B1E2C33"/>
    <w:rsid w:val="2B237626"/>
    <w:rsid w:val="2B2564AF"/>
    <w:rsid w:val="2B2862D7"/>
    <w:rsid w:val="2B2A7A81"/>
    <w:rsid w:val="2B37732B"/>
    <w:rsid w:val="2B3B2AF8"/>
    <w:rsid w:val="2B3E3789"/>
    <w:rsid w:val="2B42260B"/>
    <w:rsid w:val="2B4A1A32"/>
    <w:rsid w:val="2B4E24A6"/>
    <w:rsid w:val="2B4F4DF3"/>
    <w:rsid w:val="2B671861"/>
    <w:rsid w:val="2B6936EE"/>
    <w:rsid w:val="2B6B2948"/>
    <w:rsid w:val="2B773C23"/>
    <w:rsid w:val="2B7C69B9"/>
    <w:rsid w:val="2B8128CF"/>
    <w:rsid w:val="2B822B44"/>
    <w:rsid w:val="2B8825F7"/>
    <w:rsid w:val="2B9178BA"/>
    <w:rsid w:val="2B936593"/>
    <w:rsid w:val="2B9B675E"/>
    <w:rsid w:val="2B9F4C75"/>
    <w:rsid w:val="2BA06FA4"/>
    <w:rsid w:val="2BAB509A"/>
    <w:rsid w:val="2BAF7A17"/>
    <w:rsid w:val="2BB0448D"/>
    <w:rsid w:val="2BBC66AD"/>
    <w:rsid w:val="2BBC727B"/>
    <w:rsid w:val="2BBD399F"/>
    <w:rsid w:val="2BC040F1"/>
    <w:rsid w:val="2BC3204C"/>
    <w:rsid w:val="2BC32D24"/>
    <w:rsid w:val="2BCE1645"/>
    <w:rsid w:val="2BCE43F4"/>
    <w:rsid w:val="2BD460CB"/>
    <w:rsid w:val="2BDB61F2"/>
    <w:rsid w:val="2BDD45A6"/>
    <w:rsid w:val="2BE45A54"/>
    <w:rsid w:val="2BE90921"/>
    <w:rsid w:val="2BF105A0"/>
    <w:rsid w:val="2BF86C7C"/>
    <w:rsid w:val="2C0B10D7"/>
    <w:rsid w:val="2C1815DA"/>
    <w:rsid w:val="2C2E1BF1"/>
    <w:rsid w:val="2C305D5B"/>
    <w:rsid w:val="2C31687F"/>
    <w:rsid w:val="2C4F30E3"/>
    <w:rsid w:val="2C5D567E"/>
    <w:rsid w:val="2C5E2B68"/>
    <w:rsid w:val="2C6302E6"/>
    <w:rsid w:val="2C681ED9"/>
    <w:rsid w:val="2C6A51A6"/>
    <w:rsid w:val="2C6F00D2"/>
    <w:rsid w:val="2C747DE9"/>
    <w:rsid w:val="2C792647"/>
    <w:rsid w:val="2C930799"/>
    <w:rsid w:val="2CA75D49"/>
    <w:rsid w:val="2CB03656"/>
    <w:rsid w:val="2CB1329F"/>
    <w:rsid w:val="2CB67F90"/>
    <w:rsid w:val="2CBA153E"/>
    <w:rsid w:val="2CC260D9"/>
    <w:rsid w:val="2CC61A09"/>
    <w:rsid w:val="2CD377EE"/>
    <w:rsid w:val="2CD5501E"/>
    <w:rsid w:val="2CD67F92"/>
    <w:rsid w:val="2CD82133"/>
    <w:rsid w:val="2CDB7340"/>
    <w:rsid w:val="2CE22CE3"/>
    <w:rsid w:val="2CE70042"/>
    <w:rsid w:val="2CEE4A05"/>
    <w:rsid w:val="2CEF21DE"/>
    <w:rsid w:val="2CFC4A2B"/>
    <w:rsid w:val="2CFF7A63"/>
    <w:rsid w:val="2D0408CE"/>
    <w:rsid w:val="2D056F0D"/>
    <w:rsid w:val="2D0D540D"/>
    <w:rsid w:val="2D135225"/>
    <w:rsid w:val="2D171C1B"/>
    <w:rsid w:val="2D2107D0"/>
    <w:rsid w:val="2D22020A"/>
    <w:rsid w:val="2D226883"/>
    <w:rsid w:val="2D235AAA"/>
    <w:rsid w:val="2D246F5E"/>
    <w:rsid w:val="2D286FDD"/>
    <w:rsid w:val="2D2A6646"/>
    <w:rsid w:val="2D2D65A9"/>
    <w:rsid w:val="2D2F3008"/>
    <w:rsid w:val="2D360BA6"/>
    <w:rsid w:val="2D3D7A8A"/>
    <w:rsid w:val="2D3E6FA9"/>
    <w:rsid w:val="2D4B09A6"/>
    <w:rsid w:val="2D4B6519"/>
    <w:rsid w:val="2D4D21D7"/>
    <w:rsid w:val="2D5279F1"/>
    <w:rsid w:val="2D593BF9"/>
    <w:rsid w:val="2D6C66AF"/>
    <w:rsid w:val="2D7358F6"/>
    <w:rsid w:val="2D75306F"/>
    <w:rsid w:val="2D781564"/>
    <w:rsid w:val="2D7D74DE"/>
    <w:rsid w:val="2DA34172"/>
    <w:rsid w:val="2DA756F2"/>
    <w:rsid w:val="2DAB22A4"/>
    <w:rsid w:val="2DAC33B6"/>
    <w:rsid w:val="2DAF1D46"/>
    <w:rsid w:val="2DB515C2"/>
    <w:rsid w:val="2DBE75C3"/>
    <w:rsid w:val="2DBF5B4B"/>
    <w:rsid w:val="2DC17EC5"/>
    <w:rsid w:val="2DC948C6"/>
    <w:rsid w:val="2DCC5040"/>
    <w:rsid w:val="2DD37EBB"/>
    <w:rsid w:val="2DDB321C"/>
    <w:rsid w:val="2DDB69E3"/>
    <w:rsid w:val="2DE04BB2"/>
    <w:rsid w:val="2DE438CF"/>
    <w:rsid w:val="2DE857E1"/>
    <w:rsid w:val="2DEC6948"/>
    <w:rsid w:val="2DEE699A"/>
    <w:rsid w:val="2DEF523D"/>
    <w:rsid w:val="2DFE10C1"/>
    <w:rsid w:val="2E0D37A1"/>
    <w:rsid w:val="2E1819E5"/>
    <w:rsid w:val="2E1B75DC"/>
    <w:rsid w:val="2E233DAE"/>
    <w:rsid w:val="2E235EEA"/>
    <w:rsid w:val="2E2E18F7"/>
    <w:rsid w:val="2E3319DD"/>
    <w:rsid w:val="2E352597"/>
    <w:rsid w:val="2E3B21FA"/>
    <w:rsid w:val="2E4924CD"/>
    <w:rsid w:val="2E4A5C7F"/>
    <w:rsid w:val="2E4B62AE"/>
    <w:rsid w:val="2E4F2F2D"/>
    <w:rsid w:val="2E4F79C0"/>
    <w:rsid w:val="2E5572E9"/>
    <w:rsid w:val="2E58510D"/>
    <w:rsid w:val="2E627C62"/>
    <w:rsid w:val="2E631CB4"/>
    <w:rsid w:val="2E655FF5"/>
    <w:rsid w:val="2E68536B"/>
    <w:rsid w:val="2E6F20A1"/>
    <w:rsid w:val="2E7A61FC"/>
    <w:rsid w:val="2E7C2E00"/>
    <w:rsid w:val="2E82083F"/>
    <w:rsid w:val="2E835A6B"/>
    <w:rsid w:val="2E8936E2"/>
    <w:rsid w:val="2E8C24A2"/>
    <w:rsid w:val="2E90671E"/>
    <w:rsid w:val="2EA0716D"/>
    <w:rsid w:val="2EA11D44"/>
    <w:rsid w:val="2EAC13B9"/>
    <w:rsid w:val="2EAF27B7"/>
    <w:rsid w:val="2EB01441"/>
    <w:rsid w:val="2EB237D1"/>
    <w:rsid w:val="2EB4205E"/>
    <w:rsid w:val="2EB50196"/>
    <w:rsid w:val="2EB963FD"/>
    <w:rsid w:val="2EBB0330"/>
    <w:rsid w:val="2EC120F0"/>
    <w:rsid w:val="2EC30A05"/>
    <w:rsid w:val="2ECC7D1D"/>
    <w:rsid w:val="2ED500AE"/>
    <w:rsid w:val="2EDD71A3"/>
    <w:rsid w:val="2EE24165"/>
    <w:rsid w:val="2EE24355"/>
    <w:rsid w:val="2EE450A7"/>
    <w:rsid w:val="2EEB2C0B"/>
    <w:rsid w:val="2EEF6493"/>
    <w:rsid w:val="2EF4669D"/>
    <w:rsid w:val="2EFB204D"/>
    <w:rsid w:val="2EFD3357"/>
    <w:rsid w:val="2F002AB3"/>
    <w:rsid w:val="2F0F125B"/>
    <w:rsid w:val="2F170806"/>
    <w:rsid w:val="2F200A5C"/>
    <w:rsid w:val="2F206BE2"/>
    <w:rsid w:val="2F21403D"/>
    <w:rsid w:val="2F2142B2"/>
    <w:rsid w:val="2F247543"/>
    <w:rsid w:val="2F2637C9"/>
    <w:rsid w:val="2F29697B"/>
    <w:rsid w:val="2F3549D4"/>
    <w:rsid w:val="2F3826A4"/>
    <w:rsid w:val="2F3A0CD4"/>
    <w:rsid w:val="2F3B3FB3"/>
    <w:rsid w:val="2F435BA1"/>
    <w:rsid w:val="2F455CE9"/>
    <w:rsid w:val="2F4739C6"/>
    <w:rsid w:val="2F4D2ACE"/>
    <w:rsid w:val="2F52431F"/>
    <w:rsid w:val="2F564A5D"/>
    <w:rsid w:val="2F570C5E"/>
    <w:rsid w:val="2F572668"/>
    <w:rsid w:val="2F58068E"/>
    <w:rsid w:val="2F586761"/>
    <w:rsid w:val="2F5D5055"/>
    <w:rsid w:val="2F627689"/>
    <w:rsid w:val="2F6911E1"/>
    <w:rsid w:val="2F6B3112"/>
    <w:rsid w:val="2F6C1D26"/>
    <w:rsid w:val="2F740257"/>
    <w:rsid w:val="2F74698A"/>
    <w:rsid w:val="2F771050"/>
    <w:rsid w:val="2F7D3166"/>
    <w:rsid w:val="2F825B40"/>
    <w:rsid w:val="2F874BF1"/>
    <w:rsid w:val="2F8B6291"/>
    <w:rsid w:val="2F8C006D"/>
    <w:rsid w:val="2F905E48"/>
    <w:rsid w:val="2F9265BC"/>
    <w:rsid w:val="2F93083D"/>
    <w:rsid w:val="2F932646"/>
    <w:rsid w:val="2F9C03F4"/>
    <w:rsid w:val="2F9F7734"/>
    <w:rsid w:val="2FA137C9"/>
    <w:rsid w:val="2FA219F2"/>
    <w:rsid w:val="2FAE025E"/>
    <w:rsid w:val="2FB05DE3"/>
    <w:rsid w:val="2FC37297"/>
    <w:rsid w:val="2FC41E08"/>
    <w:rsid w:val="2FC45B71"/>
    <w:rsid w:val="2FE03845"/>
    <w:rsid w:val="2FE132A4"/>
    <w:rsid w:val="2FE15CBA"/>
    <w:rsid w:val="2FE82135"/>
    <w:rsid w:val="2FE92969"/>
    <w:rsid w:val="2FEA3F59"/>
    <w:rsid w:val="2FF0595B"/>
    <w:rsid w:val="2FF92A15"/>
    <w:rsid w:val="30001E67"/>
    <w:rsid w:val="300165B8"/>
    <w:rsid w:val="300165C5"/>
    <w:rsid w:val="30043A13"/>
    <w:rsid w:val="3009139B"/>
    <w:rsid w:val="3014086A"/>
    <w:rsid w:val="301575F0"/>
    <w:rsid w:val="30196013"/>
    <w:rsid w:val="301F38C6"/>
    <w:rsid w:val="30206E53"/>
    <w:rsid w:val="30251730"/>
    <w:rsid w:val="302B5A72"/>
    <w:rsid w:val="302D422C"/>
    <w:rsid w:val="30471B0D"/>
    <w:rsid w:val="304B7D0F"/>
    <w:rsid w:val="304C2F6A"/>
    <w:rsid w:val="304E40F5"/>
    <w:rsid w:val="304E7003"/>
    <w:rsid w:val="305B7EC1"/>
    <w:rsid w:val="305C5D5D"/>
    <w:rsid w:val="306109A6"/>
    <w:rsid w:val="30695226"/>
    <w:rsid w:val="306D26FE"/>
    <w:rsid w:val="308060B0"/>
    <w:rsid w:val="30874D76"/>
    <w:rsid w:val="308A12B9"/>
    <w:rsid w:val="30A1538F"/>
    <w:rsid w:val="30A23D6D"/>
    <w:rsid w:val="30A6232C"/>
    <w:rsid w:val="30A725C4"/>
    <w:rsid w:val="30A75EBB"/>
    <w:rsid w:val="30AA1532"/>
    <w:rsid w:val="30AD0068"/>
    <w:rsid w:val="30B734A4"/>
    <w:rsid w:val="30C0687E"/>
    <w:rsid w:val="30CC0ABB"/>
    <w:rsid w:val="30D3122B"/>
    <w:rsid w:val="30D352C6"/>
    <w:rsid w:val="30DA03FF"/>
    <w:rsid w:val="30E019B8"/>
    <w:rsid w:val="30E726E0"/>
    <w:rsid w:val="30EB164A"/>
    <w:rsid w:val="30EF22E5"/>
    <w:rsid w:val="30FC2BF6"/>
    <w:rsid w:val="30FC2C3B"/>
    <w:rsid w:val="310839FB"/>
    <w:rsid w:val="310E31DA"/>
    <w:rsid w:val="31132938"/>
    <w:rsid w:val="311D3148"/>
    <w:rsid w:val="312254F5"/>
    <w:rsid w:val="312812D9"/>
    <w:rsid w:val="312B5A10"/>
    <w:rsid w:val="312E31D3"/>
    <w:rsid w:val="313048CE"/>
    <w:rsid w:val="313F4DD3"/>
    <w:rsid w:val="31455667"/>
    <w:rsid w:val="3147315A"/>
    <w:rsid w:val="314E45ED"/>
    <w:rsid w:val="3151292F"/>
    <w:rsid w:val="31590611"/>
    <w:rsid w:val="3159280C"/>
    <w:rsid w:val="31693120"/>
    <w:rsid w:val="316F3BAF"/>
    <w:rsid w:val="317256DB"/>
    <w:rsid w:val="317337E2"/>
    <w:rsid w:val="31775E70"/>
    <w:rsid w:val="317D6EA7"/>
    <w:rsid w:val="3180397B"/>
    <w:rsid w:val="3184730B"/>
    <w:rsid w:val="31894D84"/>
    <w:rsid w:val="318B3640"/>
    <w:rsid w:val="318E0197"/>
    <w:rsid w:val="319746B3"/>
    <w:rsid w:val="3198297F"/>
    <w:rsid w:val="31A07231"/>
    <w:rsid w:val="31AC6BFA"/>
    <w:rsid w:val="31AD2D5C"/>
    <w:rsid w:val="31B3348E"/>
    <w:rsid w:val="31BB250A"/>
    <w:rsid w:val="31C05793"/>
    <w:rsid w:val="31CB0901"/>
    <w:rsid w:val="31CD14F4"/>
    <w:rsid w:val="31CE073E"/>
    <w:rsid w:val="31D01AA3"/>
    <w:rsid w:val="31E5125A"/>
    <w:rsid w:val="31EE0795"/>
    <w:rsid w:val="31F04A6B"/>
    <w:rsid w:val="31FC22F1"/>
    <w:rsid w:val="32071112"/>
    <w:rsid w:val="320A6C63"/>
    <w:rsid w:val="320E36A6"/>
    <w:rsid w:val="320F011A"/>
    <w:rsid w:val="32134CAE"/>
    <w:rsid w:val="321D60EA"/>
    <w:rsid w:val="32216480"/>
    <w:rsid w:val="322249A2"/>
    <w:rsid w:val="322371CC"/>
    <w:rsid w:val="32252AB2"/>
    <w:rsid w:val="3228021C"/>
    <w:rsid w:val="32284315"/>
    <w:rsid w:val="32330655"/>
    <w:rsid w:val="32360592"/>
    <w:rsid w:val="32421808"/>
    <w:rsid w:val="32441A50"/>
    <w:rsid w:val="3244785C"/>
    <w:rsid w:val="3246469A"/>
    <w:rsid w:val="324A168C"/>
    <w:rsid w:val="324A579F"/>
    <w:rsid w:val="32557506"/>
    <w:rsid w:val="32617CB9"/>
    <w:rsid w:val="32626AAB"/>
    <w:rsid w:val="32641E98"/>
    <w:rsid w:val="326855DF"/>
    <w:rsid w:val="326A401D"/>
    <w:rsid w:val="326C25CC"/>
    <w:rsid w:val="32712C98"/>
    <w:rsid w:val="32717D2A"/>
    <w:rsid w:val="32722B9E"/>
    <w:rsid w:val="32786EF6"/>
    <w:rsid w:val="328A6C2A"/>
    <w:rsid w:val="328E671A"/>
    <w:rsid w:val="32980646"/>
    <w:rsid w:val="329C0970"/>
    <w:rsid w:val="32A30629"/>
    <w:rsid w:val="32A46E79"/>
    <w:rsid w:val="32AD17EB"/>
    <w:rsid w:val="32B2748B"/>
    <w:rsid w:val="32BA3D0F"/>
    <w:rsid w:val="32BA5BAE"/>
    <w:rsid w:val="32BD2B5B"/>
    <w:rsid w:val="32BF7833"/>
    <w:rsid w:val="32C45B58"/>
    <w:rsid w:val="32C45D7E"/>
    <w:rsid w:val="32CB3AAF"/>
    <w:rsid w:val="32CC5249"/>
    <w:rsid w:val="32CF1979"/>
    <w:rsid w:val="32D06E9A"/>
    <w:rsid w:val="32D0757E"/>
    <w:rsid w:val="32E2067B"/>
    <w:rsid w:val="32E926ED"/>
    <w:rsid w:val="32EF72A9"/>
    <w:rsid w:val="32F62498"/>
    <w:rsid w:val="32F825C0"/>
    <w:rsid w:val="32FA5384"/>
    <w:rsid w:val="32FC4D0C"/>
    <w:rsid w:val="32FD31D8"/>
    <w:rsid w:val="3300325E"/>
    <w:rsid w:val="3301043E"/>
    <w:rsid w:val="33081444"/>
    <w:rsid w:val="331352DB"/>
    <w:rsid w:val="331A1FBC"/>
    <w:rsid w:val="33386531"/>
    <w:rsid w:val="333A40FF"/>
    <w:rsid w:val="3349106C"/>
    <w:rsid w:val="334A0914"/>
    <w:rsid w:val="334E2C20"/>
    <w:rsid w:val="33501C21"/>
    <w:rsid w:val="33544D8E"/>
    <w:rsid w:val="335749B9"/>
    <w:rsid w:val="33576B0C"/>
    <w:rsid w:val="335A1B6D"/>
    <w:rsid w:val="335C2BBC"/>
    <w:rsid w:val="33615A2C"/>
    <w:rsid w:val="336233B3"/>
    <w:rsid w:val="33635384"/>
    <w:rsid w:val="337076CA"/>
    <w:rsid w:val="33724996"/>
    <w:rsid w:val="337306A3"/>
    <w:rsid w:val="33784789"/>
    <w:rsid w:val="337F2CC9"/>
    <w:rsid w:val="33831D76"/>
    <w:rsid w:val="33840ABE"/>
    <w:rsid w:val="338822BF"/>
    <w:rsid w:val="338A297C"/>
    <w:rsid w:val="338D7B7A"/>
    <w:rsid w:val="33912ACD"/>
    <w:rsid w:val="3397223F"/>
    <w:rsid w:val="3399384B"/>
    <w:rsid w:val="33AC4CD0"/>
    <w:rsid w:val="33B12DCB"/>
    <w:rsid w:val="33B14269"/>
    <w:rsid w:val="33B23DFD"/>
    <w:rsid w:val="33B70961"/>
    <w:rsid w:val="33C27F20"/>
    <w:rsid w:val="33CB70A2"/>
    <w:rsid w:val="33CD4196"/>
    <w:rsid w:val="33D13118"/>
    <w:rsid w:val="33D25809"/>
    <w:rsid w:val="33D4015C"/>
    <w:rsid w:val="33D86D85"/>
    <w:rsid w:val="33E232B6"/>
    <w:rsid w:val="33E42766"/>
    <w:rsid w:val="33EB6A95"/>
    <w:rsid w:val="33F01818"/>
    <w:rsid w:val="33F41511"/>
    <w:rsid w:val="33F564F8"/>
    <w:rsid w:val="33FD6268"/>
    <w:rsid w:val="34037BA8"/>
    <w:rsid w:val="340758B6"/>
    <w:rsid w:val="340D366E"/>
    <w:rsid w:val="340E1ED6"/>
    <w:rsid w:val="34137ADC"/>
    <w:rsid w:val="34164C19"/>
    <w:rsid w:val="34177423"/>
    <w:rsid w:val="341D436A"/>
    <w:rsid w:val="3424156D"/>
    <w:rsid w:val="342A3EF3"/>
    <w:rsid w:val="342A7221"/>
    <w:rsid w:val="342E56A6"/>
    <w:rsid w:val="342F52F3"/>
    <w:rsid w:val="34320033"/>
    <w:rsid w:val="34376568"/>
    <w:rsid w:val="343B24E9"/>
    <w:rsid w:val="34420160"/>
    <w:rsid w:val="34457276"/>
    <w:rsid w:val="34496DB3"/>
    <w:rsid w:val="344C5267"/>
    <w:rsid w:val="34513D3D"/>
    <w:rsid w:val="34517405"/>
    <w:rsid w:val="345310B1"/>
    <w:rsid w:val="34571AD8"/>
    <w:rsid w:val="34581D32"/>
    <w:rsid w:val="347D45A3"/>
    <w:rsid w:val="347F7FB0"/>
    <w:rsid w:val="3489386C"/>
    <w:rsid w:val="34896D8D"/>
    <w:rsid w:val="348C0A37"/>
    <w:rsid w:val="348E1FA7"/>
    <w:rsid w:val="348E47AF"/>
    <w:rsid w:val="349B1B0A"/>
    <w:rsid w:val="34A52952"/>
    <w:rsid w:val="34B636C5"/>
    <w:rsid w:val="34B833D3"/>
    <w:rsid w:val="34B94650"/>
    <w:rsid w:val="34BA6748"/>
    <w:rsid w:val="34CC6C4F"/>
    <w:rsid w:val="34D07280"/>
    <w:rsid w:val="34D36BF4"/>
    <w:rsid w:val="34D81857"/>
    <w:rsid w:val="34DB235E"/>
    <w:rsid w:val="34E160F8"/>
    <w:rsid w:val="34E661E4"/>
    <w:rsid w:val="34EB1C02"/>
    <w:rsid w:val="34EB33CF"/>
    <w:rsid w:val="34F33BB6"/>
    <w:rsid w:val="34F609B2"/>
    <w:rsid w:val="34F959AA"/>
    <w:rsid w:val="34FB1788"/>
    <w:rsid w:val="34FD5F55"/>
    <w:rsid w:val="350946BC"/>
    <w:rsid w:val="350B487C"/>
    <w:rsid w:val="350B691C"/>
    <w:rsid w:val="3510100E"/>
    <w:rsid w:val="35190E8A"/>
    <w:rsid w:val="351A24E7"/>
    <w:rsid w:val="351B643D"/>
    <w:rsid w:val="351C4C3D"/>
    <w:rsid w:val="351D1FD7"/>
    <w:rsid w:val="353D79CE"/>
    <w:rsid w:val="353D7F83"/>
    <w:rsid w:val="35422995"/>
    <w:rsid w:val="35450BBC"/>
    <w:rsid w:val="35471DA8"/>
    <w:rsid w:val="354752A8"/>
    <w:rsid w:val="35567B2C"/>
    <w:rsid w:val="355B48B8"/>
    <w:rsid w:val="35674467"/>
    <w:rsid w:val="356771F5"/>
    <w:rsid w:val="356F06A9"/>
    <w:rsid w:val="357165D8"/>
    <w:rsid w:val="357B78EB"/>
    <w:rsid w:val="358124C4"/>
    <w:rsid w:val="35820754"/>
    <w:rsid w:val="35900DC4"/>
    <w:rsid w:val="35996D0F"/>
    <w:rsid w:val="359A522C"/>
    <w:rsid w:val="359B1625"/>
    <w:rsid w:val="359B50E2"/>
    <w:rsid w:val="359C0ABF"/>
    <w:rsid w:val="359D14E2"/>
    <w:rsid w:val="359E704A"/>
    <w:rsid w:val="35B34A3B"/>
    <w:rsid w:val="35B847C7"/>
    <w:rsid w:val="35B92268"/>
    <w:rsid w:val="35BA64FE"/>
    <w:rsid w:val="35CF1523"/>
    <w:rsid w:val="35D677B5"/>
    <w:rsid w:val="35D81B0F"/>
    <w:rsid w:val="35DC3F07"/>
    <w:rsid w:val="35DF54CA"/>
    <w:rsid w:val="35DF61A8"/>
    <w:rsid w:val="35E91E03"/>
    <w:rsid w:val="35E941F7"/>
    <w:rsid w:val="35EE27B6"/>
    <w:rsid w:val="35F5440A"/>
    <w:rsid w:val="35F805D0"/>
    <w:rsid w:val="35FC24FA"/>
    <w:rsid w:val="35FE44DC"/>
    <w:rsid w:val="36001163"/>
    <w:rsid w:val="36095E0A"/>
    <w:rsid w:val="360A7964"/>
    <w:rsid w:val="360D405E"/>
    <w:rsid w:val="3614165E"/>
    <w:rsid w:val="361E7FDC"/>
    <w:rsid w:val="362866A6"/>
    <w:rsid w:val="362C7FEF"/>
    <w:rsid w:val="362D7FF1"/>
    <w:rsid w:val="36393C2A"/>
    <w:rsid w:val="363B51C2"/>
    <w:rsid w:val="363F29D4"/>
    <w:rsid w:val="36454ECC"/>
    <w:rsid w:val="36495FFD"/>
    <w:rsid w:val="364F504D"/>
    <w:rsid w:val="36556C06"/>
    <w:rsid w:val="36562CE0"/>
    <w:rsid w:val="36581343"/>
    <w:rsid w:val="365860EB"/>
    <w:rsid w:val="365C268B"/>
    <w:rsid w:val="36645C17"/>
    <w:rsid w:val="36660F13"/>
    <w:rsid w:val="36730100"/>
    <w:rsid w:val="36787822"/>
    <w:rsid w:val="367A7270"/>
    <w:rsid w:val="36887AAC"/>
    <w:rsid w:val="36891352"/>
    <w:rsid w:val="368B259B"/>
    <w:rsid w:val="369E4E56"/>
    <w:rsid w:val="36A140ED"/>
    <w:rsid w:val="36A61EE2"/>
    <w:rsid w:val="36A7336E"/>
    <w:rsid w:val="36AE285C"/>
    <w:rsid w:val="36AF609D"/>
    <w:rsid w:val="36AF6AFD"/>
    <w:rsid w:val="36B11694"/>
    <w:rsid w:val="36C07F18"/>
    <w:rsid w:val="36C3479A"/>
    <w:rsid w:val="36C560FA"/>
    <w:rsid w:val="36D755FC"/>
    <w:rsid w:val="36D957E1"/>
    <w:rsid w:val="36DA1380"/>
    <w:rsid w:val="36DF37FE"/>
    <w:rsid w:val="36E23620"/>
    <w:rsid w:val="36E363B4"/>
    <w:rsid w:val="36E44B5A"/>
    <w:rsid w:val="36ED18A2"/>
    <w:rsid w:val="36ED5E42"/>
    <w:rsid w:val="36FD45FB"/>
    <w:rsid w:val="37004AF0"/>
    <w:rsid w:val="3707064C"/>
    <w:rsid w:val="370F1646"/>
    <w:rsid w:val="3714787A"/>
    <w:rsid w:val="372468A4"/>
    <w:rsid w:val="37262769"/>
    <w:rsid w:val="37286ABB"/>
    <w:rsid w:val="372A4595"/>
    <w:rsid w:val="372D6274"/>
    <w:rsid w:val="372D7345"/>
    <w:rsid w:val="372E4C09"/>
    <w:rsid w:val="373A72D3"/>
    <w:rsid w:val="373E5442"/>
    <w:rsid w:val="374629B4"/>
    <w:rsid w:val="37476080"/>
    <w:rsid w:val="374C3AC2"/>
    <w:rsid w:val="374D1136"/>
    <w:rsid w:val="37555B9F"/>
    <w:rsid w:val="375C6220"/>
    <w:rsid w:val="375D78B0"/>
    <w:rsid w:val="376123D5"/>
    <w:rsid w:val="37620BD8"/>
    <w:rsid w:val="3764123D"/>
    <w:rsid w:val="3767038E"/>
    <w:rsid w:val="376D4C67"/>
    <w:rsid w:val="377331E0"/>
    <w:rsid w:val="3778465F"/>
    <w:rsid w:val="37801987"/>
    <w:rsid w:val="37822440"/>
    <w:rsid w:val="378C0D6D"/>
    <w:rsid w:val="379B4F53"/>
    <w:rsid w:val="379B6C15"/>
    <w:rsid w:val="379F528A"/>
    <w:rsid w:val="37A12F75"/>
    <w:rsid w:val="37AE2BDC"/>
    <w:rsid w:val="37AF33BA"/>
    <w:rsid w:val="37BC0890"/>
    <w:rsid w:val="37BD4267"/>
    <w:rsid w:val="37CB19CC"/>
    <w:rsid w:val="37CC3707"/>
    <w:rsid w:val="37CD618C"/>
    <w:rsid w:val="37D5151C"/>
    <w:rsid w:val="37D62558"/>
    <w:rsid w:val="37DE58AF"/>
    <w:rsid w:val="37DF716B"/>
    <w:rsid w:val="37EE5A1F"/>
    <w:rsid w:val="37F52764"/>
    <w:rsid w:val="37F70C0D"/>
    <w:rsid w:val="380C0576"/>
    <w:rsid w:val="380E140D"/>
    <w:rsid w:val="38111B2E"/>
    <w:rsid w:val="38136A86"/>
    <w:rsid w:val="381A6EA7"/>
    <w:rsid w:val="38211E7F"/>
    <w:rsid w:val="38256FF7"/>
    <w:rsid w:val="3826175F"/>
    <w:rsid w:val="382D7664"/>
    <w:rsid w:val="382F12EF"/>
    <w:rsid w:val="38316EB6"/>
    <w:rsid w:val="38377108"/>
    <w:rsid w:val="38383B2C"/>
    <w:rsid w:val="383A5095"/>
    <w:rsid w:val="383B4840"/>
    <w:rsid w:val="383C2774"/>
    <w:rsid w:val="383C41B7"/>
    <w:rsid w:val="384A3A26"/>
    <w:rsid w:val="385449A0"/>
    <w:rsid w:val="38571CD3"/>
    <w:rsid w:val="38592528"/>
    <w:rsid w:val="385B0E4C"/>
    <w:rsid w:val="385C0585"/>
    <w:rsid w:val="385E7CF9"/>
    <w:rsid w:val="38630109"/>
    <w:rsid w:val="386E7827"/>
    <w:rsid w:val="387243E8"/>
    <w:rsid w:val="38753E85"/>
    <w:rsid w:val="387C1F75"/>
    <w:rsid w:val="387D707F"/>
    <w:rsid w:val="387E4B3B"/>
    <w:rsid w:val="388065D0"/>
    <w:rsid w:val="38810DD4"/>
    <w:rsid w:val="3888167C"/>
    <w:rsid w:val="38911567"/>
    <w:rsid w:val="389A39AC"/>
    <w:rsid w:val="389B5F1B"/>
    <w:rsid w:val="38A150B3"/>
    <w:rsid w:val="38A2155C"/>
    <w:rsid w:val="38A3731E"/>
    <w:rsid w:val="38A415F6"/>
    <w:rsid w:val="38B025EF"/>
    <w:rsid w:val="38B40C46"/>
    <w:rsid w:val="38B46337"/>
    <w:rsid w:val="38B87DE2"/>
    <w:rsid w:val="38BB4F6F"/>
    <w:rsid w:val="38BC0534"/>
    <w:rsid w:val="38C371B9"/>
    <w:rsid w:val="38CA1127"/>
    <w:rsid w:val="38CB7C0F"/>
    <w:rsid w:val="38CF3174"/>
    <w:rsid w:val="38D04A42"/>
    <w:rsid w:val="38D16EEA"/>
    <w:rsid w:val="38E2331B"/>
    <w:rsid w:val="38F17A02"/>
    <w:rsid w:val="38F571A7"/>
    <w:rsid w:val="38F62FA5"/>
    <w:rsid w:val="38F76288"/>
    <w:rsid w:val="390151DB"/>
    <w:rsid w:val="390E45F2"/>
    <w:rsid w:val="39143ADE"/>
    <w:rsid w:val="391578A5"/>
    <w:rsid w:val="39234F2F"/>
    <w:rsid w:val="392830F2"/>
    <w:rsid w:val="392A4455"/>
    <w:rsid w:val="392A53F5"/>
    <w:rsid w:val="392D4029"/>
    <w:rsid w:val="392F4087"/>
    <w:rsid w:val="393D2872"/>
    <w:rsid w:val="3940488C"/>
    <w:rsid w:val="394223F1"/>
    <w:rsid w:val="394671CC"/>
    <w:rsid w:val="394766F3"/>
    <w:rsid w:val="394C2F4D"/>
    <w:rsid w:val="39506AF1"/>
    <w:rsid w:val="395B692B"/>
    <w:rsid w:val="395C2030"/>
    <w:rsid w:val="396F5A97"/>
    <w:rsid w:val="39705CC2"/>
    <w:rsid w:val="39732881"/>
    <w:rsid w:val="397642B8"/>
    <w:rsid w:val="39790D17"/>
    <w:rsid w:val="39796425"/>
    <w:rsid w:val="397A44A6"/>
    <w:rsid w:val="39985012"/>
    <w:rsid w:val="399F0BC6"/>
    <w:rsid w:val="39A36FA9"/>
    <w:rsid w:val="39A720E7"/>
    <w:rsid w:val="39A8410C"/>
    <w:rsid w:val="39BA7A3C"/>
    <w:rsid w:val="39C05609"/>
    <w:rsid w:val="39C746D4"/>
    <w:rsid w:val="39C77FEB"/>
    <w:rsid w:val="39C9110E"/>
    <w:rsid w:val="39CB30F4"/>
    <w:rsid w:val="39D51ECF"/>
    <w:rsid w:val="39DA2245"/>
    <w:rsid w:val="39DF4F74"/>
    <w:rsid w:val="39E35103"/>
    <w:rsid w:val="39EF23CD"/>
    <w:rsid w:val="39F14A6A"/>
    <w:rsid w:val="39F20B74"/>
    <w:rsid w:val="39F758F4"/>
    <w:rsid w:val="39FC02EA"/>
    <w:rsid w:val="39FF0DC4"/>
    <w:rsid w:val="3A08455E"/>
    <w:rsid w:val="3A1F3C13"/>
    <w:rsid w:val="3A21080B"/>
    <w:rsid w:val="3A241FF5"/>
    <w:rsid w:val="3A2627CE"/>
    <w:rsid w:val="3A271D04"/>
    <w:rsid w:val="3A296CB7"/>
    <w:rsid w:val="3A2F7625"/>
    <w:rsid w:val="3A30324D"/>
    <w:rsid w:val="3A36483E"/>
    <w:rsid w:val="3A3C6B16"/>
    <w:rsid w:val="3A4549C2"/>
    <w:rsid w:val="3A4818A4"/>
    <w:rsid w:val="3A49191C"/>
    <w:rsid w:val="3A493558"/>
    <w:rsid w:val="3A5B1378"/>
    <w:rsid w:val="3A627C77"/>
    <w:rsid w:val="3A642806"/>
    <w:rsid w:val="3A6F6933"/>
    <w:rsid w:val="3A7C6346"/>
    <w:rsid w:val="3A8158E7"/>
    <w:rsid w:val="3A8278C7"/>
    <w:rsid w:val="3A861834"/>
    <w:rsid w:val="3A8A5A06"/>
    <w:rsid w:val="3A8E1973"/>
    <w:rsid w:val="3A913600"/>
    <w:rsid w:val="3A946FC0"/>
    <w:rsid w:val="3A9C654E"/>
    <w:rsid w:val="3A9D10F3"/>
    <w:rsid w:val="3A9F6C2A"/>
    <w:rsid w:val="3AA16BAD"/>
    <w:rsid w:val="3AA44F7A"/>
    <w:rsid w:val="3AA84382"/>
    <w:rsid w:val="3AB75F2D"/>
    <w:rsid w:val="3AC459ED"/>
    <w:rsid w:val="3AC63F8A"/>
    <w:rsid w:val="3AC9222E"/>
    <w:rsid w:val="3AD36883"/>
    <w:rsid w:val="3AD669B7"/>
    <w:rsid w:val="3AE3291D"/>
    <w:rsid w:val="3AEE31F6"/>
    <w:rsid w:val="3AEF3928"/>
    <w:rsid w:val="3AF55C6D"/>
    <w:rsid w:val="3AF85078"/>
    <w:rsid w:val="3AF875F0"/>
    <w:rsid w:val="3B053FC8"/>
    <w:rsid w:val="3B09104B"/>
    <w:rsid w:val="3B114BB6"/>
    <w:rsid w:val="3B152620"/>
    <w:rsid w:val="3B1661C7"/>
    <w:rsid w:val="3B1F152E"/>
    <w:rsid w:val="3B230759"/>
    <w:rsid w:val="3B2D743F"/>
    <w:rsid w:val="3B314039"/>
    <w:rsid w:val="3B342415"/>
    <w:rsid w:val="3B375632"/>
    <w:rsid w:val="3B396A28"/>
    <w:rsid w:val="3B3E60A3"/>
    <w:rsid w:val="3B473ADC"/>
    <w:rsid w:val="3B570F53"/>
    <w:rsid w:val="3B63197B"/>
    <w:rsid w:val="3B6B655C"/>
    <w:rsid w:val="3B720B15"/>
    <w:rsid w:val="3B76174A"/>
    <w:rsid w:val="3B7B3099"/>
    <w:rsid w:val="3B7E3CA9"/>
    <w:rsid w:val="3B81506E"/>
    <w:rsid w:val="3B823E03"/>
    <w:rsid w:val="3B864F7B"/>
    <w:rsid w:val="3B92055D"/>
    <w:rsid w:val="3B9944BA"/>
    <w:rsid w:val="3B9D5C20"/>
    <w:rsid w:val="3BA523D5"/>
    <w:rsid w:val="3BB92F44"/>
    <w:rsid w:val="3BBE4D52"/>
    <w:rsid w:val="3BCB0097"/>
    <w:rsid w:val="3BCC3D9B"/>
    <w:rsid w:val="3BCD02B3"/>
    <w:rsid w:val="3BCF7300"/>
    <w:rsid w:val="3BDC2275"/>
    <w:rsid w:val="3BDF363E"/>
    <w:rsid w:val="3BE90BB3"/>
    <w:rsid w:val="3BE9787A"/>
    <w:rsid w:val="3BEE2FEE"/>
    <w:rsid w:val="3BF23664"/>
    <w:rsid w:val="3BF903EE"/>
    <w:rsid w:val="3BFF7F63"/>
    <w:rsid w:val="3C0C102E"/>
    <w:rsid w:val="3C0D1F5A"/>
    <w:rsid w:val="3C0D7B1F"/>
    <w:rsid w:val="3C0E31E9"/>
    <w:rsid w:val="3C120B04"/>
    <w:rsid w:val="3C1826E2"/>
    <w:rsid w:val="3C2451C4"/>
    <w:rsid w:val="3C2C01BB"/>
    <w:rsid w:val="3C2F4BB2"/>
    <w:rsid w:val="3C31076A"/>
    <w:rsid w:val="3C311EDF"/>
    <w:rsid w:val="3C333569"/>
    <w:rsid w:val="3C335C3C"/>
    <w:rsid w:val="3C3636DC"/>
    <w:rsid w:val="3C395948"/>
    <w:rsid w:val="3C4140AB"/>
    <w:rsid w:val="3C422DF6"/>
    <w:rsid w:val="3C4944FC"/>
    <w:rsid w:val="3C4A0572"/>
    <w:rsid w:val="3C5102CD"/>
    <w:rsid w:val="3C573826"/>
    <w:rsid w:val="3C5F01C9"/>
    <w:rsid w:val="3C641634"/>
    <w:rsid w:val="3C642326"/>
    <w:rsid w:val="3C672820"/>
    <w:rsid w:val="3C685486"/>
    <w:rsid w:val="3C6A5952"/>
    <w:rsid w:val="3C720B8B"/>
    <w:rsid w:val="3C722C08"/>
    <w:rsid w:val="3C740C78"/>
    <w:rsid w:val="3C7C3A87"/>
    <w:rsid w:val="3C7E34E7"/>
    <w:rsid w:val="3C88528A"/>
    <w:rsid w:val="3C885CC1"/>
    <w:rsid w:val="3C8B7826"/>
    <w:rsid w:val="3C8F71C2"/>
    <w:rsid w:val="3C91491E"/>
    <w:rsid w:val="3C955C92"/>
    <w:rsid w:val="3CA365A0"/>
    <w:rsid w:val="3CA80131"/>
    <w:rsid w:val="3CC16B19"/>
    <w:rsid w:val="3CCA69C8"/>
    <w:rsid w:val="3CCC02D4"/>
    <w:rsid w:val="3CD24202"/>
    <w:rsid w:val="3CD979A4"/>
    <w:rsid w:val="3CDC15A2"/>
    <w:rsid w:val="3CDE0CDA"/>
    <w:rsid w:val="3CF25AF7"/>
    <w:rsid w:val="3CF80ED8"/>
    <w:rsid w:val="3D0028DB"/>
    <w:rsid w:val="3D0124DC"/>
    <w:rsid w:val="3D016090"/>
    <w:rsid w:val="3D077F26"/>
    <w:rsid w:val="3D0B2988"/>
    <w:rsid w:val="3D13248E"/>
    <w:rsid w:val="3D185B3B"/>
    <w:rsid w:val="3D1A41BE"/>
    <w:rsid w:val="3D204412"/>
    <w:rsid w:val="3D2A7738"/>
    <w:rsid w:val="3D32078A"/>
    <w:rsid w:val="3D365477"/>
    <w:rsid w:val="3D371E56"/>
    <w:rsid w:val="3D3B749E"/>
    <w:rsid w:val="3D42053F"/>
    <w:rsid w:val="3D462C1E"/>
    <w:rsid w:val="3D48509C"/>
    <w:rsid w:val="3D4D2734"/>
    <w:rsid w:val="3D536596"/>
    <w:rsid w:val="3D537E3F"/>
    <w:rsid w:val="3D571E2B"/>
    <w:rsid w:val="3D6038C1"/>
    <w:rsid w:val="3D7374A7"/>
    <w:rsid w:val="3D795BC7"/>
    <w:rsid w:val="3D985773"/>
    <w:rsid w:val="3D9F7C90"/>
    <w:rsid w:val="3DA82F71"/>
    <w:rsid w:val="3DBA2475"/>
    <w:rsid w:val="3DBB0989"/>
    <w:rsid w:val="3DC50400"/>
    <w:rsid w:val="3DC924AE"/>
    <w:rsid w:val="3DEB1531"/>
    <w:rsid w:val="3DEF006A"/>
    <w:rsid w:val="3DF70E95"/>
    <w:rsid w:val="3DFA72B9"/>
    <w:rsid w:val="3DFE5698"/>
    <w:rsid w:val="3E036D96"/>
    <w:rsid w:val="3E052950"/>
    <w:rsid w:val="3E0D7E46"/>
    <w:rsid w:val="3E100311"/>
    <w:rsid w:val="3E131675"/>
    <w:rsid w:val="3E177BE5"/>
    <w:rsid w:val="3E184EB0"/>
    <w:rsid w:val="3E213F25"/>
    <w:rsid w:val="3E2B2404"/>
    <w:rsid w:val="3E2C6066"/>
    <w:rsid w:val="3E2E6248"/>
    <w:rsid w:val="3E3B1BA7"/>
    <w:rsid w:val="3E403B46"/>
    <w:rsid w:val="3E490DE4"/>
    <w:rsid w:val="3E491350"/>
    <w:rsid w:val="3E495293"/>
    <w:rsid w:val="3E4A5FA8"/>
    <w:rsid w:val="3E4F64A3"/>
    <w:rsid w:val="3E512B4F"/>
    <w:rsid w:val="3E536FAE"/>
    <w:rsid w:val="3E567311"/>
    <w:rsid w:val="3E5711FB"/>
    <w:rsid w:val="3E5B7EAB"/>
    <w:rsid w:val="3E5C3F2F"/>
    <w:rsid w:val="3E626FCA"/>
    <w:rsid w:val="3E630A5B"/>
    <w:rsid w:val="3E6753B1"/>
    <w:rsid w:val="3E712FCE"/>
    <w:rsid w:val="3E783420"/>
    <w:rsid w:val="3E7F621E"/>
    <w:rsid w:val="3E807FDD"/>
    <w:rsid w:val="3E891DEB"/>
    <w:rsid w:val="3E90412B"/>
    <w:rsid w:val="3E940451"/>
    <w:rsid w:val="3E940692"/>
    <w:rsid w:val="3E985FDE"/>
    <w:rsid w:val="3E9E232A"/>
    <w:rsid w:val="3E9E5888"/>
    <w:rsid w:val="3E9F2605"/>
    <w:rsid w:val="3EA475E2"/>
    <w:rsid w:val="3EA57B9B"/>
    <w:rsid w:val="3EA65ED0"/>
    <w:rsid w:val="3EB1143D"/>
    <w:rsid w:val="3EB25026"/>
    <w:rsid w:val="3EB45FDB"/>
    <w:rsid w:val="3EBE301E"/>
    <w:rsid w:val="3EC15386"/>
    <w:rsid w:val="3EC75CC9"/>
    <w:rsid w:val="3ED12088"/>
    <w:rsid w:val="3EDC60E0"/>
    <w:rsid w:val="3EDF340E"/>
    <w:rsid w:val="3EE11190"/>
    <w:rsid w:val="3EE443DF"/>
    <w:rsid w:val="3EE46579"/>
    <w:rsid w:val="3EE636B6"/>
    <w:rsid w:val="3EE90DCF"/>
    <w:rsid w:val="3EF139A0"/>
    <w:rsid w:val="3EFA0A67"/>
    <w:rsid w:val="3EFB0C93"/>
    <w:rsid w:val="3F013424"/>
    <w:rsid w:val="3F081D0B"/>
    <w:rsid w:val="3F086A71"/>
    <w:rsid w:val="3F0C53A8"/>
    <w:rsid w:val="3F1A058B"/>
    <w:rsid w:val="3F1F3C29"/>
    <w:rsid w:val="3F2629CF"/>
    <w:rsid w:val="3F26355F"/>
    <w:rsid w:val="3F27204A"/>
    <w:rsid w:val="3F33263F"/>
    <w:rsid w:val="3F3878FB"/>
    <w:rsid w:val="3F3F4A56"/>
    <w:rsid w:val="3F420B3E"/>
    <w:rsid w:val="3F421B42"/>
    <w:rsid w:val="3F43127F"/>
    <w:rsid w:val="3F450119"/>
    <w:rsid w:val="3F46121B"/>
    <w:rsid w:val="3F485ECA"/>
    <w:rsid w:val="3F4F04FA"/>
    <w:rsid w:val="3F514D57"/>
    <w:rsid w:val="3F544DEF"/>
    <w:rsid w:val="3F5E3E0D"/>
    <w:rsid w:val="3F640F14"/>
    <w:rsid w:val="3F65548C"/>
    <w:rsid w:val="3F726CEB"/>
    <w:rsid w:val="3F73116F"/>
    <w:rsid w:val="3F7655A9"/>
    <w:rsid w:val="3F773ABE"/>
    <w:rsid w:val="3F7A2035"/>
    <w:rsid w:val="3F7D1D47"/>
    <w:rsid w:val="3F861299"/>
    <w:rsid w:val="3F997492"/>
    <w:rsid w:val="3FA80349"/>
    <w:rsid w:val="3FAB0EE8"/>
    <w:rsid w:val="3FAE5CCD"/>
    <w:rsid w:val="3FB73384"/>
    <w:rsid w:val="3FB92095"/>
    <w:rsid w:val="3FC00EF1"/>
    <w:rsid w:val="3FC03C8B"/>
    <w:rsid w:val="3FC05505"/>
    <w:rsid w:val="3FC818EC"/>
    <w:rsid w:val="3FCD39F7"/>
    <w:rsid w:val="3FCF6A5E"/>
    <w:rsid w:val="3FD67BB4"/>
    <w:rsid w:val="3FD95024"/>
    <w:rsid w:val="3FE0667D"/>
    <w:rsid w:val="3FE130FD"/>
    <w:rsid w:val="3FED0981"/>
    <w:rsid w:val="3FF12D7A"/>
    <w:rsid w:val="3FF13678"/>
    <w:rsid w:val="3FF35E06"/>
    <w:rsid w:val="400118A7"/>
    <w:rsid w:val="40025261"/>
    <w:rsid w:val="400344F0"/>
    <w:rsid w:val="400C21A5"/>
    <w:rsid w:val="40154FA8"/>
    <w:rsid w:val="4019248D"/>
    <w:rsid w:val="4019772D"/>
    <w:rsid w:val="401E64C8"/>
    <w:rsid w:val="4020488B"/>
    <w:rsid w:val="40292BEF"/>
    <w:rsid w:val="402D0DAA"/>
    <w:rsid w:val="402F6024"/>
    <w:rsid w:val="403E4ECB"/>
    <w:rsid w:val="403E72C3"/>
    <w:rsid w:val="403F1335"/>
    <w:rsid w:val="4041239D"/>
    <w:rsid w:val="4048244A"/>
    <w:rsid w:val="40512E6A"/>
    <w:rsid w:val="40514BA2"/>
    <w:rsid w:val="40557CEF"/>
    <w:rsid w:val="405B759E"/>
    <w:rsid w:val="40611C35"/>
    <w:rsid w:val="406B0172"/>
    <w:rsid w:val="40736B04"/>
    <w:rsid w:val="407858C4"/>
    <w:rsid w:val="40851113"/>
    <w:rsid w:val="408A4D12"/>
    <w:rsid w:val="408D1DBF"/>
    <w:rsid w:val="40910601"/>
    <w:rsid w:val="40947489"/>
    <w:rsid w:val="409F17E2"/>
    <w:rsid w:val="40A269FF"/>
    <w:rsid w:val="40A411EE"/>
    <w:rsid w:val="40A71B9B"/>
    <w:rsid w:val="40A775E1"/>
    <w:rsid w:val="40AC1D88"/>
    <w:rsid w:val="40AC452B"/>
    <w:rsid w:val="40AD01A8"/>
    <w:rsid w:val="40B44BFE"/>
    <w:rsid w:val="40CE4F58"/>
    <w:rsid w:val="40D06F54"/>
    <w:rsid w:val="40DA0A2A"/>
    <w:rsid w:val="40E34CDB"/>
    <w:rsid w:val="40E36691"/>
    <w:rsid w:val="40EB0CF7"/>
    <w:rsid w:val="40EC3BDD"/>
    <w:rsid w:val="40FB141E"/>
    <w:rsid w:val="40FC461D"/>
    <w:rsid w:val="410652DF"/>
    <w:rsid w:val="41095AB5"/>
    <w:rsid w:val="410A4412"/>
    <w:rsid w:val="41145276"/>
    <w:rsid w:val="411A6F1C"/>
    <w:rsid w:val="411B27CE"/>
    <w:rsid w:val="411F325C"/>
    <w:rsid w:val="4123165B"/>
    <w:rsid w:val="412A0992"/>
    <w:rsid w:val="41336ED1"/>
    <w:rsid w:val="41440A81"/>
    <w:rsid w:val="41444F69"/>
    <w:rsid w:val="41493EF3"/>
    <w:rsid w:val="41495713"/>
    <w:rsid w:val="414C7ECC"/>
    <w:rsid w:val="414D583B"/>
    <w:rsid w:val="415748F5"/>
    <w:rsid w:val="41581099"/>
    <w:rsid w:val="415A12A5"/>
    <w:rsid w:val="415E596E"/>
    <w:rsid w:val="41636FC4"/>
    <w:rsid w:val="41683578"/>
    <w:rsid w:val="416D3DAE"/>
    <w:rsid w:val="417D275F"/>
    <w:rsid w:val="417D47C3"/>
    <w:rsid w:val="417E7B48"/>
    <w:rsid w:val="417E7CC0"/>
    <w:rsid w:val="41841953"/>
    <w:rsid w:val="41850CE8"/>
    <w:rsid w:val="41923405"/>
    <w:rsid w:val="41925918"/>
    <w:rsid w:val="4195768E"/>
    <w:rsid w:val="419D12BF"/>
    <w:rsid w:val="419F5427"/>
    <w:rsid w:val="41AD3642"/>
    <w:rsid w:val="41AD51C7"/>
    <w:rsid w:val="41AE4CE9"/>
    <w:rsid w:val="41B15E76"/>
    <w:rsid w:val="41B51C54"/>
    <w:rsid w:val="41B65F65"/>
    <w:rsid w:val="41BC476E"/>
    <w:rsid w:val="41C66C88"/>
    <w:rsid w:val="41C8016B"/>
    <w:rsid w:val="41CF55A6"/>
    <w:rsid w:val="41D037F3"/>
    <w:rsid w:val="41D07AD5"/>
    <w:rsid w:val="41DC2ED1"/>
    <w:rsid w:val="41E45992"/>
    <w:rsid w:val="41EB0412"/>
    <w:rsid w:val="41F02818"/>
    <w:rsid w:val="41F37D5B"/>
    <w:rsid w:val="41F66818"/>
    <w:rsid w:val="41F90BCB"/>
    <w:rsid w:val="41FC2EA8"/>
    <w:rsid w:val="42003B65"/>
    <w:rsid w:val="42031753"/>
    <w:rsid w:val="42033DF8"/>
    <w:rsid w:val="42091872"/>
    <w:rsid w:val="42105339"/>
    <w:rsid w:val="421107CE"/>
    <w:rsid w:val="422055B2"/>
    <w:rsid w:val="422229DB"/>
    <w:rsid w:val="422A1F7C"/>
    <w:rsid w:val="422A60D4"/>
    <w:rsid w:val="422D11F2"/>
    <w:rsid w:val="423537D9"/>
    <w:rsid w:val="42380323"/>
    <w:rsid w:val="423D5A66"/>
    <w:rsid w:val="423F19AE"/>
    <w:rsid w:val="424A0749"/>
    <w:rsid w:val="42527738"/>
    <w:rsid w:val="42560428"/>
    <w:rsid w:val="425B1A47"/>
    <w:rsid w:val="425E3535"/>
    <w:rsid w:val="42634422"/>
    <w:rsid w:val="426A14AF"/>
    <w:rsid w:val="427464A4"/>
    <w:rsid w:val="427B1C28"/>
    <w:rsid w:val="427C10A2"/>
    <w:rsid w:val="428A46D1"/>
    <w:rsid w:val="428E4DE1"/>
    <w:rsid w:val="428F11B2"/>
    <w:rsid w:val="428F5976"/>
    <w:rsid w:val="429328DA"/>
    <w:rsid w:val="42957CBE"/>
    <w:rsid w:val="42967613"/>
    <w:rsid w:val="42AB6FC7"/>
    <w:rsid w:val="42AE3BC2"/>
    <w:rsid w:val="42B46A89"/>
    <w:rsid w:val="42B917D7"/>
    <w:rsid w:val="42BA4735"/>
    <w:rsid w:val="42D62AB2"/>
    <w:rsid w:val="42DC130A"/>
    <w:rsid w:val="42E2490B"/>
    <w:rsid w:val="42E8791F"/>
    <w:rsid w:val="42E93E94"/>
    <w:rsid w:val="42F11A82"/>
    <w:rsid w:val="42F5279C"/>
    <w:rsid w:val="42F7651D"/>
    <w:rsid w:val="42FD6FE9"/>
    <w:rsid w:val="43075EFF"/>
    <w:rsid w:val="430A6162"/>
    <w:rsid w:val="43115DC9"/>
    <w:rsid w:val="43166E55"/>
    <w:rsid w:val="43171A27"/>
    <w:rsid w:val="43204003"/>
    <w:rsid w:val="432131AC"/>
    <w:rsid w:val="43235D19"/>
    <w:rsid w:val="4324204B"/>
    <w:rsid w:val="43253016"/>
    <w:rsid w:val="432575F5"/>
    <w:rsid w:val="432D2140"/>
    <w:rsid w:val="432E4F3D"/>
    <w:rsid w:val="43336CD6"/>
    <w:rsid w:val="43352C27"/>
    <w:rsid w:val="433E029D"/>
    <w:rsid w:val="433F136A"/>
    <w:rsid w:val="43400169"/>
    <w:rsid w:val="434446F4"/>
    <w:rsid w:val="434921D0"/>
    <w:rsid w:val="434B23E9"/>
    <w:rsid w:val="434F4D48"/>
    <w:rsid w:val="43584C66"/>
    <w:rsid w:val="435B032D"/>
    <w:rsid w:val="4361333E"/>
    <w:rsid w:val="43614553"/>
    <w:rsid w:val="43695A3D"/>
    <w:rsid w:val="437149B3"/>
    <w:rsid w:val="437F06A2"/>
    <w:rsid w:val="437F5D4E"/>
    <w:rsid w:val="438116C5"/>
    <w:rsid w:val="43815D07"/>
    <w:rsid w:val="438E382E"/>
    <w:rsid w:val="438F0917"/>
    <w:rsid w:val="438F5E4E"/>
    <w:rsid w:val="4390292A"/>
    <w:rsid w:val="43914133"/>
    <w:rsid w:val="43924D0C"/>
    <w:rsid w:val="439F3DFA"/>
    <w:rsid w:val="43A378E2"/>
    <w:rsid w:val="43A60564"/>
    <w:rsid w:val="43A613BB"/>
    <w:rsid w:val="43A72081"/>
    <w:rsid w:val="43B44BFC"/>
    <w:rsid w:val="43C07B6E"/>
    <w:rsid w:val="43C42A79"/>
    <w:rsid w:val="43D5531C"/>
    <w:rsid w:val="43D6170C"/>
    <w:rsid w:val="43DF1DFC"/>
    <w:rsid w:val="43E419FF"/>
    <w:rsid w:val="43E8135A"/>
    <w:rsid w:val="43EE4D1D"/>
    <w:rsid w:val="43FD508C"/>
    <w:rsid w:val="440B7CEA"/>
    <w:rsid w:val="44141723"/>
    <w:rsid w:val="441E415C"/>
    <w:rsid w:val="442B0142"/>
    <w:rsid w:val="442F13DF"/>
    <w:rsid w:val="44337121"/>
    <w:rsid w:val="443A3ED5"/>
    <w:rsid w:val="443F440F"/>
    <w:rsid w:val="444141EE"/>
    <w:rsid w:val="44433D9F"/>
    <w:rsid w:val="44434D35"/>
    <w:rsid w:val="44474F66"/>
    <w:rsid w:val="444E743A"/>
    <w:rsid w:val="44554496"/>
    <w:rsid w:val="445A4FE8"/>
    <w:rsid w:val="445E7BD5"/>
    <w:rsid w:val="44603692"/>
    <w:rsid w:val="4464750C"/>
    <w:rsid w:val="44740370"/>
    <w:rsid w:val="447A17CC"/>
    <w:rsid w:val="447F4CA3"/>
    <w:rsid w:val="44805861"/>
    <w:rsid w:val="44815E46"/>
    <w:rsid w:val="449714E1"/>
    <w:rsid w:val="44980F99"/>
    <w:rsid w:val="44984598"/>
    <w:rsid w:val="449B448F"/>
    <w:rsid w:val="44B31C25"/>
    <w:rsid w:val="44B75683"/>
    <w:rsid w:val="44C2433C"/>
    <w:rsid w:val="44C47142"/>
    <w:rsid w:val="44CE3DDA"/>
    <w:rsid w:val="44CE60AD"/>
    <w:rsid w:val="44D06651"/>
    <w:rsid w:val="44D36217"/>
    <w:rsid w:val="44DF5E5C"/>
    <w:rsid w:val="44EA0EE7"/>
    <w:rsid w:val="44F206DC"/>
    <w:rsid w:val="44FF15FA"/>
    <w:rsid w:val="45050848"/>
    <w:rsid w:val="45092D87"/>
    <w:rsid w:val="45131D9D"/>
    <w:rsid w:val="4513630E"/>
    <w:rsid w:val="45196207"/>
    <w:rsid w:val="451C5B9D"/>
    <w:rsid w:val="45217066"/>
    <w:rsid w:val="45296091"/>
    <w:rsid w:val="45392000"/>
    <w:rsid w:val="45421D24"/>
    <w:rsid w:val="45461A1C"/>
    <w:rsid w:val="454B2248"/>
    <w:rsid w:val="454D4E0C"/>
    <w:rsid w:val="454F7F8B"/>
    <w:rsid w:val="45556C73"/>
    <w:rsid w:val="45561622"/>
    <w:rsid w:val="455C6204"/>
    <w:rsid w:val="45621AE7"/>
    <w:rsid w:val="45674F69"/>
    <w:rsid w:val="45680DF3"/>
    <w:rsid w:val="456A2963"/>
    <w:rsid w:val="456D2E29"/>
    <w:rsid w:val="457313CB"/>
    <w:rsid w:val="4578485E"/>
    <w:rsid w:val="45813EBC"/>
    <w:rsid w:val="458253FD"/>
    <w:rsid w:val="4586293F"/>
    <w:rsid w:val="458A32E5"/>
    <w:rsid w:val="45915EA3"/>
    <w:rsid w:val="4593574F"/>
    <w:rsid w:val="45962794"/>
    <w:rsid w:val="4596297F"/>
    <w:rsid w:val="459A0C3A"/>
    <w:rsid w:val="459A42FF"/>
    <w:rsid w:val="459C4773"/>
    <w:rsid w:val="45A31E40"/>
    <w:rsid w:val="45AA5E00"/>
    <w:rsid w:val="45AF1235"/>
    <w:rsid w:val="45BF5175"/>
    <w:rsid w:val="45C3511F"/>
    <w:rsid w:val="45C90DE0"/>
    <w:rsid w:val="45C95C2E"/>
    <w:rsid w:val="45D619A2"/>
    <w:rsid w:val="45EC6BA8"/>
    <w:rsid w:val="45FA0734"/>
    <w:rsid w:val="45FF0577"/>
    <w:rsid w:val="4606725E"/>
    <w:rsid w:val="460B47BA"/>
    <w:rsid w:val="460B5D6D"/>
    <w:rsid w:val="460E5E0C"/>
    <w:rsid w:val="460F771A"/>
    <w:rsid w:val="46176A7A"/>
    <w:rsid w:val="461E6FEC"/>
    <w:rsid w:val="4628400B"/>
    <w:rsid w:val="46285A73"/>
    <w:rsid w:val="462F5BBC"/>
    <w:rsid w:val="4632335E"/>
    <w:rsid w:val="46327B38"/>
    <w:rsid w:val="46344AF4"/>
    <w:rsid w:val="46372786"/>
    <w:rsid w:val="46375861"/>
    <w:rsid w:val="464A5467"/>
    <w:rsid w:val="464C3CEB"/>
    <w:rsid w:val="464F441D"/>
    <w:rsid w:val="466724DC"/>
    <w:rsid w:val="466D0AAD"/>
    <w:rsid w:val="4680531C"/>
    <w:rsid w:val="4683107B"/>
    <w:rsid w:val="469E7A3F"/>
    <w:rsid w:val="46A35FC6"/>
    <w:rsid w:val="46AB1370"/>
    <w:rsid w:val="46AB43F6"/>
    <w:rsid w:val="46AB49B9"/>
    <w:rsid w:val="46AC31BB"/>
    <w:rsid w:val="46C15FF4"/>
    <w:rsid w:val="46C47653"/>
    <w:rsid w:val="46D341CF"/>
    <w:rsid w:val="46DC471D"/>
    <w:rsid w:val="46E11EF4"/>
    <w:rsid w:val="46E835E3"/>
    <w:rsid w:val="46EC2178"/>
    <w:rsid w:val="470240DC"/>
    <w:rsid w:val="470251C6"/>
    <w:rsid w:val="470326B1"/>
    <w:rsid w:val="470C4B77"/>
    <w:rsid w:val="47201392"/>
    <w:rsid w:val="47227D58"/>
    <w:rsid w:val="47252F1D"/>
    <w:rsid w:val="47267F41"/>
    <w:rsid w:val="473340EC"/>
    <w:rsid w:val="47337B2B"/>
    <w:rsid w:val="473B78CD"/>
    <w:rsid w:val="47442A60"/>
    <w:rsid w:val="4745072F"/>
    <w:rsid w:val="47466E1B"/>
    <w:rsid w:val="4748026C"/>
    <w:rsid w:val="47504A2B"/>
    <w:rsid w:val="47554E37"/>
    <w:rsid w:val="47580AD5"/>
    <w:rsid w:val="475A09DD"/>
    <w:rsid w:val="4764152B"/>
    <w:rsid w:val="476E121C"/>
    <w:rsid w:val="47715669"/>
    <w:rsid w:val="4773739E"/>
    <w:rsid w:val="47743AA3"/>
    <w:rsid w:val="47745304"/>
    <w:rsid w:val="47782C98"/>
    <w:rsid w:val="47797541"/>
    <w:rsid w:val="4788069D"/>
    <w:rsid w:val="478F5DC9"/>
    <w:rsid w:val="479174EA"/>
    <w:rsid w:val="479611BF"/>
    <w:rsid w:val="479B127C"/>
    <w:rsid w:val="47A13F33"/>
    <w:rsid w:val="47AB5160"/>
    <w:rsid w:val="47BC742D"/>
    <w:rsid w:val="47C521DB"/>
    <w:rsid w:val="47D200F1"/>
    <w:rsid w:val="47DF0CB0"/>
    <w:rsid w:val="47E4006B"/>
    <w:rsid w:val="47E64F49"/>
    <w:rsid w:val="47E9201F"/>
    <w:rsid w:val="47E96D07"/>
    <w:rsid w:val="47F11250"/>
    <w:rsid w:val="47FB2A53"/>
    <w:rsid w:val="480117F0"/>
    <w:rsid w:val="48011EC5"/>
    <w:rsid w:val="480A0C40"/>
    <w:rsid w:val="480A685F"/>
    <w:rsid w:val="48104836"/>
    <w:rsid w:val="481065F9"/>
    <w:rsid w:val="481475CD"/>
    <w:rsid w:val="48180AE3"/>
    <w:rsid w:val="481C407A"/>
    <w:rsid w:val="48216B7E"/>
    <w:rsid w:val="48221986"/>
    <w:rsid w:val="482237E5"/>
    <w:rsid w:val="48240365"/>
    <w:rsid w:val="482E0A8B"/>
    <w:rsid w:val="48384002"/>
    <w:rsid w:val="48387861"/>
    <w:rsid w:val="48517FF9"/>
    <w:rsid w:val="485E2E7D"/>
    <w:rsid w:val="48610F2C"/>
    <w:rsid w:val="486402B2"/>
    <w:rsid w:val="48652DAB"/>
    <w:rsid w:val="487B6098"/>
    <w:rsid w:val="488934AE"/>
    <w:rsid w:val="488D11DB"/>
    <w:rsid w:val="48957B48"/>
    <w:rsid w:val="48967E70"/>
    <w:rsid w:val="489D772D"/>
    <w:rsid w:val="489E687D"/>
    <w:rsid w:val="48A131B4"/>
    <w:rsid w:val="48B669D7"/>
    <w:rsid w:val="48B77EE6"/>
    <w:rsid w:val="48B84099"/>
    <w:rsid w:val="48B874FA"/>
    <w:rsid w:val="48BA1FAB"/>
    <w:rsid w:val="48BB1593"/>
    <w:rsid w:val="48C16BEB"/>
    <w:rsid w:val="48C433E9"/>
    <w:rsid w:val="48C7102C"/>
    <w:rsid w:val="48C91BA0"/>
    <w:rsid w:val="48CC7D43"/>
    <w:rsid w:val="48D535C2"/>
    <w:rsid w:val="48DF552F"/>
    <w:rsid w:val="48E171B2"/>
    <w:rsid w:val="48E868B4"/>
    <w:rsid w:val="48E918B2"/>
    <w:rsid w:val="48EB44E8"/>
    <w:rsid w:val="48EB621C"/>
    <w:rsid w:val="48EC3E19"/>
    <w:rsid w:val="48F40C95"/>
    <w:rsid w:val="48F56CCF"/>
    <w:rsid w:val="48F56F1E"/>
    <w:rsid w:val="48F6071D"/>
    <w:rsid w:val="48F805D1"/>
    <w:rsid w:val="48F81F5E"/>
    <w:rsid w:val="48FD5E65"/>
    <w:rsid w:val="4903180A"/>
    <w:rsid w:val="49067CAC"/>
    <w:rsid w:val="490E4E0A"/>
    <w:rsid w:val="490F61FB"/>
    <w:rsid w:val="49110800"/>
    <w:rsid w:val="49140BF2"/>
    <w:rsid w:val="49152F96"/>
    <w:rsid w:val="49160057"/>
    <w:rsid w:val="4919092E"/>
    <w:rsid w:val="49283288"/>
    <w:rsid w:val="49310D45"/>
    <w:rsid w:val="493722F2"/>
    <w:rsid w:val="493A5221"/>
    <w:rsid w:val="494038C1"/>
    <w:rsid w:val="49412C43"/>
    <w:rsid w:val="494279EA"/>
    <w:rsid w:val="49476168"/>
    <w:rsid w:val="494D2EC0"/>
    <w:rsid w:val="495C37E5"/>
    <w:rsid w:val="496A1B57"/>
    <w:rsid w:val="496F3F92"/>
    <w:rsid w:val="497D1ACF"/>
    <w:rsid w:val="49803E6B"/>
    <w:rsid w:val="49814D70"/>
    <w:rsid w:val="499156B1"/>
    <w:rsid w:val="49983C2A"/>
    <w:rsid w:val="49A72B16"/>
    <w:rsid w:val="49B4652C"/>
    <w:rsid w:val="49B704AF"/>
    <w:rsid w:val="49BA38CF"/>
    <w:rsid w:val="49BA58E1"/>
    <w:rsid w:val="49BF14E0"/>
    <w:rsid w:val="49C04287"/>
    <w:rsid w:val="49C10B40"/>
    <w:rsid w:val="49C14BCE"/>
    <w:rsid w:val="49C61969"/>
    <w:rsid w:val="49C83F6E"/>
    <w:rsid w:val="49C96DFC"/>
    <w:rsid w:val="49D1080B"/>
    <w:rsid w:val="49D353C0"/>
    <w:rsid w:val="49E204B4"/>
    <w:rsid w:val="49E30E2B"/>
    <w:rsid w:val="49F053C5"/>
    <w:rsid w:val="49F06EF8"/>
    <w:rsid w:val="49F73A65"/>
    <w:rsid w:val="49F97CC4"/>
    <w:rsid w:val="49FB34A6"/>
    <w:rsid w:val="4A026765"/>
    <w:rsid w:val="4A0D4263"/>
    <w:rsid w:val="4A131C8E"/>
    <w:rsid w:val="4A134962"/>
    <w:rsid w:val="4A14533E"/>
    <w:rsid w:val="4A1821A3"/>
    <w:rsid w:val="4A1825D6"/>
    <w:rsid w:val="4A280021"/>
    <w:rsid w:val="4A346F6A"/>
    <w:rsid w:val="4A3E2DC4"/>
    <w:rsid w:val="4A3F1E49"/>
    <w:rsid w:val="4A407311"/>
    <w:rsid w:val="4A4B0155"/>
    <w:rsid w:val="4A564D82"/>
    <w:rsid w:val="4A593086"/>
    <w:rsid w:val="4A5A24F6"/>
    <w:rsid w:val="4A5D6585"/>
    <w:rsid w:val="4A6771FC"/>
    <w:rsid w:val="4A6926B1"/>
    <w:rsid w:val="4A6C7464"/>
    <w:rsid w:val="4A6E7C76"/>
    <w:rsid w:val="4A7337A9"/>
    <w:rsid w:val="4A7460E6"/>
    <w:rsid w:val="4A8479B5"/>
    <w:rsid w:val="4A85529D"/>
    <w:rsid w:val="4A860A0E"/>
    <w:rsid w:val="4A8F02B0"/>
    <w:rsid w:val="4A8F152A"/>
    <w:rsid w:val="4A8F6E7A"/>
    <w:rsid w:val="4A912E00"/>
    <w:rsid w:val="4A91728F"/>
    <w:rsid w:val="4AA42B78"/>
    <w:rsid w:val="4AAF02A5"/>
    <w:rsid w:val="4AB12CCE"/>
    <w:rsid w:val="4AB566A3"/>
    <w:rsid w:val="4ACA29DD"/>
    <w:rsid w:val="4ACF468A"/>
    <w:rsid w:val="4AD25D50"/>
    <w:rsid w:val="4AE412F3"/>
    <w:rsid w:val="4AE616BD"/>
    <w:rsid w:val="4AF030E0"/>
    <w:rsid w:val="4AF375FB"/>
    <w:rsid w:val="4AF847F4"/>
    <w:rsid w:val="4AF90413"/>
    <w:rsid w:val="4AFE0BE5"/>
    <w:rsid w:val="4B021EE3"/>
    <w:rsid w:val="4B046362"/>
    <w:rsid w:val="4B0531A6"/>
    <w:rsid w:val="4B1067CA"/>
    <w:rsid w:val="4B13515A"/>
    <w:rsid w:val="4B146FA8"/>
    <w:rsid w:val="4B1F27B9"/>
    <w:rsid w:val="4B2143A2"/>
    <w:rsid w:val="4B250172"/>
    <w:rsid w:val="4B2575C9"/>
    <w:rsid w:val="4B2752B5"/>
    <w:rsid w:val="4B2801BF"/>
    <w:rsid w:val="4B2A6006"/>
    <w:rsid w:val="4B2F73B3"/>
    <w:rsid w:val="4B32775E"/>
    <w:rsid w:val="4B392DE8"/>
    <w:rsid w:val="4B3A1B2B"/>
    <w:rsid w:val="4B3A6E74"/>
    <w:rsid w:val="4B467349"/>
    <w:rsid w:val="4B4B6A7D"/>
    <w:rsid w:val="4B4F2856"/>
    <w:rsid w:val="4B4F6392"/>
    <w:rsid w:val="4B50680B"/>
    <w:rsid w:val="4B624395"/>
    <w:rsid w:val="4B6A0E47"/>
    <w:rsid w:val="4B6D280E"/>
    <w:rsid w:val="4B700C5B"/>
    <w:rsid w:val="4B71317B"/>
    <w:rsid w:val="4B7818BD"/>
    <w:rsid w:val="4B792E23"/>
    <w:rsid w:val="4B8336F0"/>
    <w:rsid w:val="4B923CCB"/>
    <w:rsid w:val="4B9E2CA5"/>
    <w:rsid w:val="4B9F3E62"/>
    <w:rsid w:val="4BA13783"/>
    <w:rsid w:val="4BA2780E"/>
    <w:rsid w:val="4BA34761"/>
    <w:rsid w:val="4BA34B8C"/>
    <w:rsid w:val="4BA7103F"/>
    <w:rsid w:val="4BAB1DC7"/>
    <w:rsid w:val="4BAB32FF"/>
    <w:rsid w:val="4BAB57EF"/>
    <w:rsid w:val="4BAC58CC"/>
    <w:rsid w:val="4BB01566"/>
    <w:rsid w:val="4BBC0852"/>
    <w:rsid w:val="4BC01A5B"/>
    <w:rsid w:val="4BC060C5"/>
    <w:rsid w:val="4BC54441"/>
    <w:rsid w:val="4BC61540"/>
    <w:rsid w:val="4BC6544D"/>
    <w:rsid w:val="4BCF755B"/>
    <w:rsid w:val="4BD109D3"/>
    <w:rsid w:val="4BD112F0"/>
    <w:rsid w:val="4BD238D1"/>
    <w:rsid w:val="4BD523CC"/>
    <w:rsid w:val="4BE6690B"/>
    <w:rsid w:val="4BF6205C"/>
    <w:rsid w:val="4BFA307B"/>
    <w:rsid w:val="4BFF59E8"/>
    <w:rsid w:val="4C020810"/>
    <w:rsid w:val="4C0314DF"/>
    <w:rsid w:val="4C07336D"/>
    <w:rsid w:val="4C0D0368"/>
    <w:rsid w:val="4C156C07"/>
    <w:rsid w:val="4C170845"/>
    <w:rsid w:val="4C222660"/>
    <w:rsid w:val="4C227D8A"/>
    <w:rsid w:val="4C241CEA"/>
    <w:rsid w:val="4C273A24"/>
    <w:rsid w:val="4C2C00F0"/>
    <w:rsid w:val="4C3171E4"/>
    <w:rsid w:val="4C3177E2"/>
    <w:rsid w:val="4C3C7916"/>
    <w:rsid w:val="4C3E2017"/>
    <w:rsid w:val="4C3E67F7"/>
    <w:rsid w:val="4C3F694F"/>
    <w:rsid w:val="4C3F713F"/>
    <w:rsid w:val="4C435FCE"/>
    <w:rsid w:val="4C446AB8"/>
    <w:rsid w:val="4C516F13"/>
    <w:rsid w:val="4C57785E"/>
    <w:rsid w:val="4C584E84"/>
    <w:rsid w:val="4C5A7377"/>
    <w:rsid w:val="4C6106AF"/>
    <w:rsid w:val="4C673ECA"/>
    <w:rsid w:val="4C692829"/>
    <w:rsid w:val="4C720F78"/>
    <w:rsid w:val="4C7230C1"/>
    <w:rsid w:val="4C7475DE"/>
    <w:rsid w:val="4C774374"/>
    <w:rsid w:val="4C7B2115"/>
    <w:rsid w:val="4C803ACB"/>
    <w:rsid w:val="4C896DE9"/>
    <w:rsid w:val="4C9C0731"/>
    <w:rsid w:val="4CA16F07"/>
    <w:rsid w:val="4CA25CA4"/>
    <w:rsid w:val="4CA414BC"/>
    <w:rsid w:val="4CA66572"/>
    <w:rsid w:val="4CAD24E2"/>
    <w:rsid w:val="4CBB2FD6"/>
    <w:rsid w:val="4CBC2621"/>
    <w:rsid w:val="4CC7742C"/>
    <w:rsid w:val="4CD60F91"/>
    <w:rsid w:val="4CE0771A"/>
    <w:rsid w:val="4CE65812"/>
    <w:rsid w:val="4CE86935"/>
    <w:rsid w:val="4CE86EF3"/>
    <w:rsid w:val="4CEA4357"/>
    <w:rsid w:val="4CF57AD6"/>
    <w:rsid w:val="4D007B15"/>
    <w:rsid w:val="4D0231E1"/>
    <w:rsid w:val="4D076613"/>
    <w:rsid w:val="4D096C71"/>
    <w:rsid w:val="4D0A6640"/>
    <w:rsid w:val="4D1D28B0"/>
    <w:rsid w:val="4D211478"/>
    <w:rsid w:val="4D246098"/>
    <w:rsid w:val="4D272D4D"/>
    <w:rsid w:val="4D2910C1"/>
    <w:rsid w:val="4D2C0E1C"/>
    <w:rsid w:val="4D2D4792"/>
    <w:rsid w:val="4D33137F"/>
    <w:rsid w:val="4D396BF3"/>
    <w:rsid w:val="4D3F62AF"/>
    <w:rsid w:val="4D402550"/>
    <w:rsid w:val="4D4A146A"/>
    <w:rsid w:val="4D502BFF"/>
    <w:rsid w:val="4D576BE8"/>
    <w:rsid w:val="4D590C04"/>
    <w:rsid w:val="4D5A127B"/>
    <w:rsid w:val="4D686666"/>
    <w:rsid w:val="4D7C3FA3"/>
    <w:rsid w:val="4D7F5FFF"/>
    <w:rsid w:val="4D8E3894"/>
    <w:rsid w:val="4D932778"/>
    <w:rsid w:val="4D9E199C"/>
    <w:rsid w:val="4D9F1412"/>
    <w:rsid w:val="4DA07D4F"/>
    <w:rsid w:val="4DA94D1C"/>
    <w:rsid w:val="4DBB1987"/>
    <w:rsid w:val="4DBB2CA9"/>
    <w:rsid w:val="4DC833F3"/>
    <w:rsid w:val="4DE10DD9"/>
    <w:rsid w:val="4DE12A07"/>
    <w:rsid w:val="4DE33EC7"/>
    <w:rsid w:val="4DE67713"/>
    <w:rsid w:val="4DE71389"/>
    <w:rsid w:val="4DF42D07"/>
    <w:rsid w:val="4E0D70DC"/>
    <w:rsid w:val="4E117CE5"/>
    <w:rsid w:val="4E134318"/>
    <w:rsid w:val="4E186F18"/>
    <w:rsid w:val="4E1919AA"/>
    <w:rsid w:val="4E2176BC"/>
    <w:rsid w:val="4E2C282C"/>
    <w:rsid w:val="4E2C621D"/>
    <w:rsid w:val="4E306B68"/>
    <w:rsid w:val="4E316FF0"/>
    <w:rsid w:val="4E343A1F"/>
    <w:rsid w:val="4E3B5550"/>
    <w:rsid w:val="4E43684E"/>
    <w:rsid w:val="4E4E1118"/>
    <w:rsid w:val="4E4E64B4"/>
    <w:rsid w:val="4E4E73EE"/>
    <w:rsid w:val="4E4F3A0E"/>
    <w:rsid w:val="4E670497"/>
    <w:rsid w:val="4E681940"/>
    <w:rsid w:val="4E691789"/>
    <w:rsid w:val="4E725E5B"/>
    <w:rsid w:val="4E7321A3"/>
    <w:rsid w:val="4E7431EF"/>
    <w:rsid w:val="4E78044F"/>
    <w:rsid w:val="4E782A10"/>
    <w:rsid w:val="4E7B4D14"/>
    <w:rsid w:val="4E7C2BFB"/>
    <w:rsid w:val="4E8942D4"/>
    <w:rsid w:val="4E89594C"/>
    <w:rsid w:val="4E8A1BC1"/>
    <w:rsid w:val="4E961D37"/>
    <w:rsid w:val="4E962AFB"/>
    <w:rsid w:val="4E97680D"/>
    <w:rsid w:val="4E984825"/>
    <w:rsid w:val="4E984971"/>
    <w:rsid w:val="4E991BAD"/>
    <w:rsid w:val="4EA33BE6"/>
    <w:rsid w:val="4EB67178"/>
    <w:rsid w:val="4EB73D78"/>
    <w:rsid w:val="4EBC56D5"/>
    <w:rsid w:val="4EC07818"/>
    <w:rsid w:val="4EC328DB"/>
    <w:rsid w:val="4EC557CB"/>
    <w:rsid w:val="4EC579F3"/>
    <w:rsid w:val="4ED077AC"/>
    <w:rsid w:val="4EE71C1F"/>
    <w:rsid w:val="4EE846A3"/>
    <w:rsid w:val="4EEE0514"/>
    <w:rsid w:val="4EF20FC2"/>
    <w:rsid w:val="4EF4233F"/>
    <w:rsid w:val="4EF53A4D"/>
    <w:rsid w:val="4F053748"/>
    <w:rsid w:val="4F145C36"/>
    <w:rsid w:val="4F216B4F"/>
    <w:rsid w:val="4F237E03"/>
    <w:rsid w:val="4F2515AD"/>
    <w:rsid w:val="4F3045C3"/>
    <w:rsid w:val="4F333B0B"/>
    <w:rsid w:val="4F397742"/>
    <w:rsid w:val="4F3A5808"/>
    <w:rsid w:val="4F3E2383"/>
    <w:rsid w:val="4F3E38D2"/>
    <w:rsid w:val="4F4114E9"/>
    <w:rsid w:val="4F44024E"/>
    <w:rsid w:val="4F51165E"/>
    <w:rsid w:val="4F5562C9"/>
    <w:rsid w:val="4F673ED7"/>
    <w:rsid w:val="4F6A42CE"/>
    <w:rsid w:val="4F6D0B8B"/>
    <w:rsid w:val="4F7472B9"/>
    <w:rsid w:val="4F7551A0"/>
    <w:rsid w:val="4F846A83"/>
    <w:rsid w:val="4F8576E6"/>
    <w:rsid w:val="4F885BD9"/>
    <w:rsid w:val="4F9B508F"/>
    <w:rsid w:val="4F9D18F3"/>
    <w:rsid w:val="4F9D5D96"/>
    <w:rsid w:val="4F9E0EF1"/>
    <w:rsid w:val="4FB04FBE"/>
    <w:rsid w:val="4FB67FFB"/>
    <w:rsid w:val="4FB7024C"/>
    <w:rsid w:val="4FBA0EFF"/>
    <w:rsid w:val="4FBD2EA6"/>
    <w:rsid w:val="4FC53B85"/>
    <w:rsid w:val="4FC6282D"/>
    <w:rsid w:val="4FC669AB"/>
    <w:rsid w:val="4FD401EA"/>
    <w:rsid w:val="4FDA63D2"/>
    <w:rsid w:val="4FDC0612"/>
    <w:rsid w:val="4FDF63AF"/>
    <w:rsid w:val="4FEC6792"/>
    <w:rsid w:val="4FF012A3"/>
    <w:rsid w:val="4FF012BC"/>
    <w:rsid w:val="4FF71C03"/>
    <w:rsid w:val="4FFD6A83"/>
    <w:rsid w:val="4FFF3C61"/>
    <w:rsid w:val="4FFF6735"/>
    <w:rsid w:val="5003793A"/>
    <w:rsid w:val="500C70F3"/>
    <w:rsid w:val="501D6C83"/>
    <w:rsid w:val="501F06F7"/>
    <w:rsid w:val="50205729"/>
    <w:rsid w:val="502A71D2"/>
    <w:rsid w:val="502E51AE"/>
    <w:rsid w:val="50345A90"/>
    <w:rsid w:val="503B1B0C"/>
    <w:rsid w:val="50415C08"/>
    <w:rsid w:val="504436EC"/>
    <w:rsid w:val="50446677"/>
    <w:rsid w:val="50451982"/>
    <w:rsid w:val="504A403B"/>
    <w:rsid w:val="505368A5"/>
    <w:rsid w:val="5075342E"/>
    <w:rsid w:val="50760AC1"/>
    <w:rsid w:val="50813F2A"/>
    <w:rsid w:val="508145C7"/>
    <w:rsid w:val="508A055E"/>
    <w:rsid w:val="508F1349"/>
    <w:rsid w:val="50901CB2"/>
    <w:rsid w:val="50916929"/>
    <w:rsid w:val="509428D3"/>
    <w:rsid w:val="509F429E"/>
    <w:rsid w:val="50A83F3E"/>
    <w:rsid w:val="50A93697"/>
    <w:rsid w:val="50B35F1A"/>
    <w:rsid w:val="50B379C3"/>
    <w:rsid w:val="50B621AA"/>
    <w:rsid w:val="50BA659B"/>
    <w:rsid w:val="50BE5461"/>
    <w:rsid w:val="50C31551"/>
    <w:rsid w:val="50C772E6"/>
    <w:rsid w:val="50DB103B"/>
    <w:rsid w:val="50E579F5"/>
    <w:rsid w:val="50EF68F9"/>
    <w:rsid w:val="50EF769D"/>
    <w:rsid w:val="50FB2F96"/>
    <w:rsid w:val="50FD1A36"/>
    <w:rsid w:val="51041D6D"/>
    <w:rsid w:val="511E2951"/>
    <w:rsid w:val="511E62DE"/>
    <w:rsid w:val="51224554"/>
    <w:rsid w:val="512A4B3B"/>
    <w:rsid w:val="51313A29"/>
    <w:rsid w:val="513828C7"/>
    <w:rsid w:val="51391837"/>
    <w:rsid w:val="513E0974"/>
    <w:rsid w:val="513F7723"/>
    <w:rsid w:val="5149031D"/>
    <w:rsid w:val="514A2A43"/>
    <w:rsid w:val="514B7B70"/>
    <w:rsid w:val="514E45F3"/>
    <w:rsid w:val="51535763"/>
    <w:rsid w:val="515C2F78"/>
    <w:rsid w:val="5163230F"/>
    <w:rsid w:val="51656440"/>
    <w:rsid w:val="516846B2"/>
    <w:rsid w:val="516B4240"/>
    <w:rsid w:val="51776826"/>
    <w:rsid w:val="517C72D0"/>
    <w:rsid w:val="517F5BE8"/>
    <w:rsid w:val="518F35F2"/>
    <w:rsid w:val="519308D7"/>
    <w:rsid w:val="51993261"/>
    <w:rsid w:val="51A056CA"/>
    <w:rsid w:val="51A35D51"/>
    <w:rsid w:val="51B611A7"/>
    <w:rsid w:val="51BC2B59"/>
    <w:rsid w:val="51BC67A5"/>
    <w:rsid w:val="51BC6DA4"/>
    <w:rsid w:val="51C12E46"/>
    <w:rsid w:val="51C163C8"/>
    <w:rsid w:val="51C34359"/>
    <w:rsid w:val="51C4760E"/>
    <w:rsid w:val="51C61EE0"/>
    <w:rsid w:val="51C81F8F"/>
    <w:rsid w:val="51CE73B7"/>
    <w:rsid w:val="51D9141A"/>
    <w:rsid w:val="51DC2E43"/>
    <w:rsid w:val="51DF3590"/>
    <w:rsid w:val="51E54455"/>
    <w:rsid w:val="51E63C07"/>
    <w:rsid w:val="51E7686D"/>
    <w:rsid w:val="51F246A6"/>
    <w:rsid w:val="51F57EC4"/>
    <w:rsid w:val="51FB51A1"/>
    <w:rsid w:val="51FC7205"/>
    <w:rsid w:val="520306D0"/>
    <w:rsid w:val="5207280D"/>
    <w:rsid w:val="520830CF"/>
    <w:rsid w:val="520E74B2"/>
    <w:rsid w:val="520F3297"/>
    <w:rsid w:val="52102850"/>
    <w:rsid w:val="521902F8"/>
    <w:rsid w:val="521E1446"/>
    <w:rsid w:val="522472BB"/>
    <w:rsid w:val="52257849"/>
    <w:rsid w:val="522E4BC3"/>
    <w:rsid w:val="5230323E"/>
    <w:rsid w:val="52304CA0"/>
    <w:rsid w:val="52325FBB"/>
    <w:rsid w:val="52332575"/>
    <w:rsid w:val="52351079"/>
    <w:rsid w:val="52365F96"/>
    <w:rsid w:val="52410056"/>
    <w:rsid w:val="524E27B3"/>
    <w:rsid w:val="524F7DE2"/>
    <w:rsid w:val="525A2AE0"/>
    <w:rsid w:val="525A7381"/>
    <w:rsid w:val="52635D64"/>
    <w:rsid w:val="52667A72"/>
    <w:rsid w:val="526C5AA4"/>
    <w:rsid w:val="5271761D"/>
    <w:rsid w:val="527308CC"/>
    <w:rsid w:val="5275569C"/>
    <w:rsid w:val="52772BEC"/>
    <w:rsid w:val="527A5F1B"/>
    <w:rsid w:val="528256DA"/>
    <w:rsid w:val="528709B7"/>
    <w:rsid w:val="52877CD1"/>
    <w:rsid w:val="528A1E41"/>
    <w:rsid w:val="528D46C1"/>
    <w:rsid w:val="528F1DC5"/>
    <w:rsid w:val="52974252"/>
    <w:rsid w:val="52A16AD5"/>
    <w:rsid w:val="52B62AF9"/>
    <w:rsid w:val="52BF3B59"/>
    <w:rsid w:val="52C41F1C"/>
    <w:rsid w:val="52C865BE"/>
    <w:rsid w:val="52CC7E07"/>
    <w:rsid w:val="52CD64DB"/>
    <w:rsid w:val="52D07E9D"/>
    <w:rsid w:val="52D23671"/>
    <w:rsid w:val="52D56A54"/>
    <w:rsid w:val="52D573B7"/>
    <w:rsid w:val="52DE3A33"/>
    <w:rsid w:val="52DE4C23"/>
    <w:rsid w:val="52E27532"/>
    <w:rsid w:val="52ED16F2"/>
    <w:rsid w:val="52F17FD6"/>
    <w:rsid w:val="52F80EA6"/>
    <w:rsid w:val="52FF0E89"/>
    <w:rsid w:val="530518BE"/>
    <w:rsid w:val="53060A78"/>
    <w:rsid w:val="53083527"/>
    <w:rsid w:val="530D6B4E"/>
    <w:rsid w:val="530E4236"/>
    <w:rsid w:val="53140E04"/>
    <w:rsid w:val="53166B83"/>
    <w:rsid w:val="532479C3"/>
    <w:rsid w:val="53413044"/>
    <w:rsid w:val="53423E6A"/>
    <w:rsid w:val="534327B1"/>
    <w:rsid w:val="53444058"/>
    <w:rsid w:val="534B236B"/>
    <w:rsid w:val="534B4A55"/>
    <w:rsid w:val="53504DA4"/>
    <w:rsid w:val="535853E1"/>
    <w:rsid w:val="535E769A"/>
    <w:rsid w:val="536246AF"/>
    <w:rsid w:val="53656BCB"/>
    <w:rsid w:val="536D1A74"/>
    <w:rsid w:val="537062F3"/>
    <w:rsid w:val="53747DED"/>
    <w:rsid w:val="537A66C3"/>
    <w:rsid w:val="537C41C3"/>
    <w:rsid w:val="537C694B"/>
    <w:rsid w:val="537D30EF"/>
    <w:rsid w:val="538605EE"/>
    <w:rsid w:val="538C4ED2"/>
    <w:rsid w:val="53902494"/>
    <w:rsid w:val="539474C1"/>
    <w:rsid w:val="53953BCC"/>
    <w:rsid w:val="53956BDB"/>
    <w:rsid w:val="53956F31"/>
    <w:rsid w:val="539E402F"/>
    <w:rsid w:val="53A5521A"/>
    <w:rsid w:val="53A7237C"/>
    <w:rsid w:val="53AF1A6F"/>
    <w:rsid w:val="53B2506D"/>
    <w:rsid w:val="53B3185F"/>
    <w:rsid w:val="53B525C8"/>
    <w:rsid w:val="53BD7BD0"/>
    <w:rsid w:val="53C15703"/>
    <w:rsid w:val="53C23BAE"/>
    <w:rsid w:val="53C60887"/>
    <w:rsid w:val="53E25DF9"/>
    <w:rsid w:val="53EF29A8"/>
    <w:rsid w:val="53F81250"/>
    <w:rsid w:val="53F9625A"/>
    <w:rsid w:val="53FB32FF"/>
    <w:rsid w:val="540F331B"/>
    <w:rsid w:val="54102FDB"/>
    <w:rsid w:val="54187E1A"/>
    <w:rsid w:val="541C4274"/>
    <w:rsid w:val="5429409D"/>
    <w:rsid w:val="542F71C4"/>
    <w:rsid w:val="54314957"/>
    <w:rsid w:val="5434058B"/>
    <w:rsid w:val="54372E90"/>
    <w:rsid w:val="54396685"/>
    <w:rsid w:val="54410EE8"/>
    <w:rsid w:val="544363F3"/>
    <w:rsid w:val="54484D93"/>
    <w:rsid w:val="544C1814"/>
    <w:rsid w:val="545903CB"/>
    <w:rsid w:val="545C6744"/>
    <w:rsid w:val="545C67E0"/>
    <w:rsid w:val="546721D9"/>
    <w:rsid w:val="546C1BBD"/>
    <w:rsid w:val="546E4792"/>
    <w:rsid w:val="5471064E"/>
    <w:rsid w:val="547279A2"/>
    <w:rsid w:val="54751C17"/>
    <w:rsid w:val="547701F2"/>
    <w:rsid w:val="54790B80"/>
    <w:rsid w:val="548109C5"/>
    <w:rsid w:val="548521A9"/>
    <w:rsid w:val="54941B6C"/>
    <w:rsid w:val="54944865"/>
    <w:rsid w:val="549B1E9C"/>
    <w:rsid w:val="549F4292"/>
    <w:rsid w:val="54A10472"/>
    <w:rsid w:val="54A1472F"/>
    <w:rsid w:val="54B44182"/>
    <w:rsid w:val="54BB2FA3"/>
    <w:rsid w:val="54C7062B"/>
    <w:rsid w:val="54D01F26"/>
    <w:rsid w:val="54D96381"/>
    <w:rsid w:val="54E0475B"/>
    <w:rsid w:val="54E30AF1"/>
    <w:rsid w:val="54E413E1"/>
    <w:rsid w:val="54EE14CD"/>
    <w:rsid w:val="54F1697C"/>
    <w:rsid w:val="54F4422B"/>
    <w:rsid w:val="5502103F"/>
    <w:rsid w:val="55021393"/>
    <w:rsid w:val="55074CDC"/>
    <w:rsid w:val="550B0D46"/>
    <w:rsid w:val="550D3076"/>
    <w:rsid w:val="55131CE1"/>
    <w:rsid w:val="5520354C"/>
    <w:rsid w:val="552B6CDE"/>
    <w:rsid w:val="552D6F21"/>
    <w:rsid w:val="55370A93"/>
    <w:rsid w:val="55374F15"/>
    <w:rsid w:val="5539664F"/>
    <w:rsid w:val="553E60E4"/>
    <w:rsid w:val="553F163F"/>
    <w:rsid w:val="55567C59"/>
    <w:rsid w:val="55633ECA"/>
    <w:rsid w:val="55674F99"/>
    <w:rsid w:val="55690168"/>
    <w:rsid w:val="556924FC"/>
    <w:rsid w:val="557248C3"/>
    <w:rsid w:val="55733B8F"/>
    <w:rsid w:val="557826B5"/>
    <w:rsid w:val="5578404D"/>
    <w:rsid w:val="557B3CC9"/>
    <w:rsid w:val="558060BF"/>
    <w:rsid w:val="55892AB3"/>
    <w:rsid w:val="559111A5"/>
    <w:rsid w:val="55926458"/>
    <w:rsid w:val="55983288"/>
    <w:rsid w:val="559A23FA"/>
    <w:rsid w:val="559A387B"/>
    <w:rsid w:val="55A22CA0"/>
    <w:rsid w:val="55A57753"/>
    <w:rsid w:val="55A77FB9"/>
    <w:rsid w:val="55AB73BC"/>
    <w:rsid w:val="55B32C60"/>
    <w:rsid w:val="55BE405C"/>
    <w:rsid w:val="55CB1298"/>
    <w:rsid w:val="55CF071D"/>
    <w:rsid w:val="55D82374"/>
    <w:rsid w:val="55D84DBC"/>
    <w:rsid w:val="55DD116A"/>
    <w:rsid w:val="55E00151"/>
    <w:rsid w:val="55E46D6F"/>
    <w:rsid w:val="55E74DF8"/>
    <w:rsid w:val="55F225CA"/>
    <w:rsid w:val="55F644BA"/>
    <w:rsid w:val="55FF044C"/>
    <w:rsid w:val="55FF6E63"/>
    <w:rsid w:val="56024BA5"/>
    <w:rsid w:val="56093B9F"/>
    <w:rsid w:val="560E4474"/>
    <w:rsid w:val="560F789A"/>
    <w:rsid w:val="56106886"/>
    <w:rsid w:val="5617263C"/>
    <w:rsid w:val="561C5C67"/>
    <w:rsid w:val="562044DA"/>
    <w:rsid w:val="562876A7"/>
    <w:rsid w:val="56296FB2"/>
    <w:rsid w:val="562C06DF"/>
    <w:rsid w:val="562D0D04"/>
    <w:rsid w:val="563414FC"/>
    <w:rsid w:val="5634507E"/>
    <w:rsid w:val="56351736"/>
    <w:rsid w:val="563666EF"/>
    <w:rsid w:val="563E023F"/>
    <w:rsid w:val="563F387A"/>
    <w:rsid w:val="564127C8"/>
    <w:rsid w:val="564524B5"/>
    <w:rsid w:val="564B2D13"/>
    <w:rsid w:val="56543E0D"/>
    <w:rsid w:val="56596E56"/>
    <w:rsid w:val="565A65A4"/>
    <w:rsid w:val="565F4BAE"/>
    <w:rsid w:val="56686265"/>
    <w:rsid w:val="567315FF"/>
    <w:rsid w:val="568302C8"/>
    <w:rsid w:val="568B3751"/>
    <w:rsid w:val="568F78C9"/>
    <w:rsid w:val="56945652"/>
    <w:rsid w:val="569C1F24"/>
    <w:rsid w:val="56A6507F"/>
    <w:rsid w:val="56A82E17"/>
    <w:rsid w:val="56A83A18"/>
    <w:rsid w:val="56AA4205"/>
    <w:rsid w:val="56AD7F51"/>
    <w:rsid w:val="56AE5661"/>
    <w:rsid w:val="56AF14A3"/>
    <w:rsid w:val="56B0218F"/>
    <w:rsid w:val="56B140DF"/>
    <w:rsid w:val="56B56377"/>
    <w:rsid w:val="56C15555"/>
    <w:rsid w:val="56D32721"/>
    <w:rsid w:val="56D96832"/>
    <w:rsid w:val="56E439DA"/>
    <w:rsid w:val="56E65094"/>
    <w:rsid w:val="56ED7603"/>
    <w:rsid w:val="56EF09F0"/>
    <w:rsid w:val="56F109B1"/>
    <w:rsid w:val="56F648D3"/>
    <w:rsid w:val="56F65F16"/>
    <w:rsid w:val="56FA2288"/>
    <w:rsid w:val="56FC52D0"/>
    <w:rsid w:val="56FD3E97"/>
    <w:rsid w:val="57042237"/>
    <w:rsid w:val="570968FB"/>
    <w:rsid w:val="570D1182"/>
    <w:rsid w:val="570E17B9"/>
    <w:rsid w:val="570F5687"/>
    <w:rsid w:val="57164CD1"/>
    <w:rsid w:val="571C3B1C"/>
    <w:rsid w:val="571C66F9"/>
    <w:rsid w:val="571E756E"/>
    <w:rsid w:val="57201787"/>
    <w:rsid w:val="57246B57"/>
    <w:rsid w:val="5726041F"/>
    <w:rsid w:val="572C755F"/>
    <w:rsid w:val="572D17AE"/>
    <w:rsid w:val="573917CE"/>
    <w:rsid w:val="57441A79"/>
    <w:rsid w:val="57465415"/>
    <w:rsid w:val="5749332A"/>
    <w:rsid w:val="574D4E3C"/>
    <w:rsid w:val="574F5BC8"/>
    <w:rsid w:val="5755669D"/>
    <w:rsid w:val="575650D4"/>
    <w:rsid w:val="575708BD"/>
    <w:rsid w:val="575D179B"/>
    <w:rsid w:val="575D5887"/>
    <w:rsid w:val="57620AB5"/>
    <w:rsid w:val="576A525C"/>
    <w:rsid w:val="57743881"/>
    <w:rsid w:val="57772D64"/>
    <w:rsid w:val="57773A0A"/>
    <w:rsid w:val="5779580D"/>
    <w:rsid w:val="577E2589"/>
    <w:rsid w:val="57847916"/>
    <w:rsid w:val="578651E7"/>
    <w:rsid w:val="578D79A9"/>
    <w:rsid w:val="57910721"/>
    <w:rsid w:val="579320F7"/>
    <w:rsid w:val="579704FF"/>
    <w:rsid w:val="57984BE4"/>
    <w:rsid w:val="579B3FC2"/>
    <w:rsid w:val="579C5358"/>
    <w:rsid w:val="57A26AE4"/>
    <w:rsid w:val="57AC62F4"/>
    <w:rsid w:val="57B029B0"/>
    <w:rsid w:val="57B953FB"/>
    <w:rsid w:val="57C50DDF"/>
    <w:rsid w:val="57CB721C"/>
    <w:rsid w:val="57D56DBD"/>
    <w:rsid w:val="57DB69ED"/>
    <w:rsid w:val="57E207EA"/>
    <w:rsid w:val="57E24C8E"/>
    <w:rsid w:val="57F34DA8"/>
    <w:rsid w:val="57F6194F"/>
    <w:rsid w:val="57FB5630"/>
    <w:rsid w:val="58083258"/>
    <w:rsid w:val="580B2E3A"/>
    <w:rsid w:val="580E675D"/>
    <w:rsid w:val="581C1E56"/>
    <w:rsid w:val="583507D1"/>
    <w:rsid w:val="583F4CAD"/>
    <w:rsid w:val="584506BF"/>
    <w:rsid w:val="585067C4"/>
    <w:rsid w:val="585602F9"/>
    <w:rsid w:val="585A18C5"/>
    <w:rsid w:val="585C07A5"/>
    <w:rsid w:val="5864573C"/>
    <w:rsid w:val="586631C9"/>
    <w:rsid w:val="58674100"/>
    <w:rsid w:val="586D09FC"/>
    <w:rsid w:val="586F1E49"/>
    <w:rsid w:val="588007FC"/>
    <w:rsid w:val="58884F0E"/>
    <w:rsid w:val="588F26F1"/>
    <w:rsid w:val="58964FF8"/>
    <w:rsid w:val="58A54BB1"/>
    <w:rsid w:val="58AB00C0"/>
    <w:rsid w:val="58AB66C1"/>
    <w:rsid w:val="58AD6FB2"/>
    <w:rsid w:val="58AF1BB5"/>
    <w:rsid w:val="58B14268"/>
    <w:rsid w:val="58B934C2"/>
    <w:rsid w:val="58BC198D"/>
    <w:rsid w:val="58BF0B2C"/>
    <w:rsid w:val="58C077E2"/>
    <w:rsid w:val="58C10EA8"/>
    <w:rsid w:val="58C223CA"/>
    <w:rsid w:val="58C31239"/>
    <w:rsid w:val="58CA7E81"/>
    <w:rsid w:val="58CB762F"/>
    <w:rsid w:val="58D1610A"/>
    <w:rsid w:val="58D16E1F"/>
    <w:rsid w:val="58D72416"/>
    <w:rsid w:val="58E1230C"/>
    <w:rsid w:val="58EC2AF9"/>
    <w:rsid w:val="58F03386"/>
    <w:rsid w:val="58F22007"/>
    <w:rsid w:val="59015B52"/>
    <w:rsid w:val="590A3412"/>
    <w:rsid w:val="59140E77"/>
    <w:rsid w:val="59224CD2"/>
    <w:rsid w:val="59290367"/>
    <w:rsid w:val="592E0C54"/>
    <w:rsid w:val="59323FAF"/>
    <w:rsid w:val="593D625A"/>
    <w:rsid w:val="593F141A"/>
    <w:rsid w:val="59435F09"/>
    <w:rsid w:val="5947124D"/>
    <w:rsid w:val="594C1011"/>
    <w:rsid w:val="59571F0C"/>
    <w:rsid w:val="595A00DB"/>
    <w:rsid w:val="595F3A75"/>
    <w:rsid w:val="59642610"/>
    <w:rsid w:val="59646BEA"/>
    <w:rsid w:val="59683059"/>
    <w:rsid w:val="5972326A"/>
    <w:rsid w:val="59724DBE"/>
    <w:rsid w:val="59750169"/>
    <w:rsid w:val="597E02BE"/>
    <w:rsid w:val="598042E9"/>
    <w:rsid w:val="59843D3A"/>
    <w:rsid w:val="598C3D87"/>
    <w:rsid w:val="59903FE1"/>
    <w:rsid w:val="5995049B"/>
    <w:rsid w:val="59954082"/>
    <w:rsid w:val="599600FE"/>
    <w:rsid w:val="59A373B6"/>
    <w:rsid w:val="59A37471"/>
    <w:rsid w:val="59A829AB"/>
    <w:rsid w:val="59AB24FB"/>
    <w:rsid w:val="59AC61D4"/>
    <w:rsid w:val="59B129F6"/>
    <w:rsid w:val="59B40A2F"/>
    <w:rsid w:val="59B672ED"/>
    <w:rsid w:val="59BC7B2E"/>
    <w:rsid w:val="59CC3706"/>
    <w:rsid w:val="59E0557C"/>
    <w:rsid w:val="59E13E9A"/>
    <w:rsid w:val="59EA555B"/>
    <w:rsid w:val="59F57A2E"/>
    <w:rsid w:val="5A011CA0"/>
    <w:rsid w:val="5A02158A"/>
    <w:rsid w:val="5A063490"/>
    <w:rsid w:val="5A066D65"/>
    <w:rsid w:val="5A071ED6"/>
    <w:rsid w:val="5A0C326B"/>
    <w:rsid w:val="5A101A0F"/>
    <w:rsid w:val="5A186882"/>
    <w:rsid w:val="5A1B5E91"/>
    <w:rsid w:val="5A1D0A87"/>
    <w:rsid w:val="5A1E2136"/>
    <w:rsid w:val="5A225816"/>
    <w:rsid w:val="5A263C40"/>
    <w:rsid w:val="5A2861A5"/>
    <w:rsid w:val="5A2A0227"/>
    <w:rsid w:val="5A363054"/>
    <w:rsid w:val="5A4130FB"/>
    <w:rsid w:val="5A4821F3"/>
    <w:rsid w:val="5A4A2267"/>
    <w:rsid w:val="5A535734"/>
    <w:rsid w:val="5A54155E"/>
    <w:rsid w:val="5A551748"/>
    <w:rsid w:val="5A5A103C"/>
    <w:rsid w:val="5A5B2A34"/>
    <w:rsid w:val="5A6262E2"/>
    <w:rsid w:val="5A64439F"/>
    <w:rsid w:val="5A671EA5"/>
    <w:rsid w:val="5A6D734E"/>
    <w:rsid w:val="5A6F66D3"/>
    <w:rsid w:val="5A7920A0"/>
    <w:rsid w:val="5A8063AC"/>
    <w:rsid w:val="5A831D7B"/>
    <w:rsid w:val="5A8402BE"/>
    <w:rsid w:val="5A8412FF"/>
    <w:rsid w:val="5A854537"/>
    <w:rsid w:val="5A874BDD"/>
    <w:rsid w:val="5A903309"/>
    <w:rsid w:val="5A977AAE"/>
    <w:rsid w:val="5A977D8E"/>
    <w:rsid w:val="5A9E7B30"/>
    <w:rsid w:val="5AA35513"/>
    <w:rsid w:val="5AA976A6"/>
    <w:rsid w:val="5AAC43CE"/>
    <w:rsid w:val="5AB82F3B"/>
    <w:rsid w:val="5AC317DA"/>
    <w:rsid w:val="5ACA3F54"/>
    <w:rsid w:val="5AD563E4"/>
    <w:rsid w:val="5ADC2C82"/>
    <w:rsid w:val="5ADF0C0A"/>
    <w:rsid w:val="5ADF1011"/>
    <w:rsid w:val="5AE6376B"/>
    <w:rsid w:val="5AF71264"/>
    <w:rsid w:val="5AF80B82"/>
    <w:rsid w:val="5AF94466"/>
    <w:rsid w:val="5AFF60B2"/>
    <w:rsid w:val="5B113596"/>
    <w:rsid w:val="5B181ED9"/>
    <w:rsid w:val="5B212628"/>
    <w:rsid w:val="5B246CDD"/>
    <w:rsid w:val="5B2555BE"/>
    <w:rsid w:val="5B2A1308"/>
    <w:rsid w:val="5B2C132F"/>
    <w:rsid w:val="5B305CE1"/>
    <w:rsid w:val="5B3445F8"/>
    <w:rsid w:val="5B406121"/>
    <w:rsid w:val="5B43687E"/>
    <w:rsid w:val="5B4640DC"/>
    <w:rsid w:val="5B476D3A"/>
    <w:rsid w:val="5B4B4754"/>
    <w:rsid w:val="5B56619E"/>
    <w:rsid w:val="5B584C8E"/>
    <w:rsid w:val="5B5E7F9B"/>
    <w:rsid w:val="5B5F5897"/>
    <w:rsid w:val="5B6226D4"/>
    <w:rsid w:val="5B636741"/>
    <w:rsid w:val="5B6C123D"/>
    <w:rsid w:val="5B6E14B9"/>
    <w:rsid w:val="5B737125"/>
    <w:rsid w:val="5B760EE9"/>
    <w:rsid w:val="5B765E18"/>
    <w:rsid w:val="5B8522D1"/>
    <w:rsid w:val="5B974F08"/>
    <w:rsid w:val="5B983776"/>
    <w:rsid w:val="5B9F61C1"/>
    <w:rsid w:val="5BA900D2"/>
    <w:rsid w:val="5BB05743"/>
    <w:rsid w:val="5BB25DC0"/>
    <w:rsid w:val="5BB9706F"/>
    <w:rsid w:val="5BBA276D"/>
    <w:rsid w:val="5BCB0339"/>
    <w:rsid w:val="5BCF578B"/>
    <w:rsid w:val="5BD24514"/>
    <w:rsid w:val="5BD86F1D"/>
    <w:rsid w:val="5BDB670C"/>
    <w:rsid w:val="5BE335E2"/>
    <w:rsid w:val="5BE90707"/>
    <w:rsid w:val="5C104C4B"/>
    <w:rsid w:val="5C1650EC"/>
    <w:rsid w:val="5C1D7EB6"/>
    <w:rsid w:val="5C2148B6"/>
    <w:rsid w:val="5C233F8C"/>
    <w:rsid w:val="5C322468"/>
    <w:rsid w:val="5C332FCC"/>
    <w:rsid w:val="5C3840A2"/>
    <w:rsid w:val="5C386399"/>
    <w:rsid w:val="5C3D1009"/>
    <w:rsid w:val="5C472BE7"/>
    <w:rsid w:val="5C473312"/>
    <w:rsid w:val="5C513E9B"/>
    <w:rsid w:val="5C52039C"/>
    <w:rsid w:val="5C5237DA"/>
    <w:rsid w:val="5C586A76"/>
    <w:rsid w:val="5C59122D"/>
    <w:rsid w:val="5C5C6CF4"/>
    <w:rsid w:val="5C5E7866"/>
    <w:rsid w:val="5C786814"/>
    <w:rsid w:val="5C7B5557"/>
    <w:rsid w:val="5C7C2D62"/>
    <w:rsid w:val="5C7C6AD7"/>
    <w:rsid w:val="5C7E2ED0"/>
    <w:rsid w:val="5C831A79"/>
    <w:rsid w:val="5C8A31FF"/>
    <w:rsid w:val="5C93263E"/>
    <w:rsid w:val="5C961280"/>
    <w:rsid w:val="5C9C63D4"/>
    <w:rsid w:val="5C9F0BDF"/>
    <w:rsid w:val="5CA55A75"/>
    <w:rsid w:val="5CAD6492"/>
    <w:rsid w:val="5CB16B28"/>
    <w:rsid w:val="5CCA4159"/>
    <w:rsid w:val="5CDD34AF"/>
    <w:rsid w:val="5CEA5494"/>
    <w:rsid w:val="5CF30176"/>
    <w:rsid w:val="5CF30C6D"/>
    <w:rsid w:val="5D0615C7"/>
    <w:rsid w:val="5D075CA3"/>
    <w:rsid w:val="5D0B0B46"/>
    <w:rsid w:val="5D117B41"/>
    <w:rsid w:val="5D1606AB"/>
    <w:rsid w:val="5D171AB2"/>
    <w:rsid w:val="5D180C37"/>
    <w:rsid w:val="5D1A0348"/>
    <w:rsid w:val="5D1D0AB2"/>
    <w:rsid w:val="5D212A69"/>
    <w:rsid w:val="5D223266"/>
    <w:rsid w:val="5D235B2D"/>
    <w:rsid w:val="5D267736"/>
    <w:rsid w:val="5D272194"/>
    <w:rsid w:val="5D285369"/>
    <w:rsid w:val="5D386D3F"/>
    <w:rsid w:val="5D391E12"/>
    <w:rsid w:val="5D425716"/>
    <w:rsid w:val="5D4741E3"/>
    <w:rsid w:val="5D4E44CD"/>
    <w:rsid w:val="5D5226A6"/>
    <w:rsid w:val="5D6E1157"/>
    <w:rsid w:val="5D70783D"/>
    <w:rsid w:val="5D806F26"/>
    <w:rsid w:val="5D837F18"/>
    <w:rsid w:val="5D877D93"/>
    <w:rsid w:val="5D897475"/>
    <w:rsid w:val="5D897FCB"/>
    <w:rsid w:val="5D931FB9"/>
    <w:rsid w:val="5DA070BE"/>
    <w:rsid w:val="5DA07490"/>
    <w:rsid w:val="5DA36F64"/>
    <w:rsid w:val="5DA43F14"/>
    <w:rsid w:val="5DA60C49"/>
    <w:rsid w:val="5DAF41EE"/>
    <w:rsid w:val="5DB266AB"/>
    <w:rsid w:val="5DB650F1"/>
    <w:rsid w:val="5DB730DF"/>
    <w:rsid w:val="5DC17817"/>
    <w:rsid w:val="5DC54D82"/>
    <w:rsid w:val="5DC73FC8"/>
    <w:rsid w:val="5DCC42C1"/>
    <w:rsid w:val="5DD170E1"/>
    <w:rsid w:val="5DE52DE2"/>
    <w:rsid w:val="5DE75739"/>
    <w:rsid w:val="5DE8148F"/>
    <w:rsid w:val="5DEC5427"/>
    <w:rsid w:val="5DFA18BB"/>
    <w:rsid w:val="5DFC0FA3"/>
    <w:rsid w:val="5DFC295F"/>
    <w:rsid w:val="5E0D5D08"/>
    <w:rsid w:val="5E107577"/>
    <w:rsid w:val="5E13795B"/>
    <w:rsid w:val="5E154310"/>
    <w:rsid w:val="5E154840"/>
    <w:rsid w:val="5E1E09C2"/>
    <w:rsid w:val="5E2A2A94"/>
    <w:rsid w:val="5E353798"/>
    <w:rsid w:val="5E383CAE"/>
    <w:rsid w:val="5E3F73D5"/>
    <w:rsid w:val="5E411BB2"/>
    <w:rsid w:val="5E4364F1"/>
    <w:rsid w:val="5E436D2B"/>
    <w:rsid w:val="5E4640C5"/>
    <w:rsid w:val="5E4A32C6"/>
    <w:rsid w:val="5E4F326B"/>
    <w:rsid w:val="5E502F62"/>
    <w:rsid w:val="5E543324"/>
    <w:rsid w:val="5E585C60"/>
    <w:rsid w:val="5E5E621A"/>
    <w:rsid w:val="5E672FBD"/>
    <w:rsid w:val="5E6A5B77"/>
    <w:rsid w:val="5E733294"/>
    <w:rsid w:val="5E7C0138"/>
    <w:rsid w:val="5E856373"/>
    <w:rsid w:val="5E8B5070"/>
    <w:rsid w:val="5E915FEC"/>
    <w:rsid w:val="5E993BCD"/>
    <w:rsid w:val="5E9945F8"/>
    <w:rsid w:val="5E9967AD"/>
    <w:rsid w:val="5E9E3142"/>
    <w:rsid w:val="5EA3461D"/>
    <w:rsid w:val="5EA5286D"/>
    <w:rsid w:val="5EA873A4"/>
    <w:rsid w:val="5EAA5DDA"/>
    <w:rsid w:val="5EAD1147"/>
    <w:rsid w:val="5EB50187"/>
    <w:rsid w:val="5EB72609"/>
    <w:rsid w:val="5EC213D4"/>
    <w:rsid w:val="5EC52F2B"/>
    <w:rsid w:val="5EC625EB"/>
    <w:rsid w:val="5ED34B30"/>
    <w:rsid w:val="5ED40199"/>
    <w:rsid w:val="5ED86960"/>
    <w:rsid w:val="5ED94E53"/>
    <w:rsid w:val="5EDB0B7B"/>
    <w:rsid w:val="5EDB3A89"/>
    <w:rsid w:val="5EDC7DB7"/>
    <w:rsid w:val="5EDE1996"/>
    <w:rsid w:val="5EDE767F"/>
    <w:rsid w:val="5EF40C4C"/>
    <w:rsid w:val="5EF4149C"/>
    <w:rsid w:val="5EFB6E8E"/>
    <w:rsid w:val="5EFC34FB"/>
    <w:rsid w:val="5EFE40F5"/>
    <w:rsid w:val="5F007028"/>
    <w:rsid w:val="5F0374E4"/>
    <w:rsid w:val="5F047AD9"/>
    <w:rsid w:val="5F296EAA"/>
    <w:rsid w:val="5F3776DB"/>
    <w:rsid w:val="5F380D4C"/>
    <w:rsid w:val="5F381AA8"/>
    <w:rsid w:val="5F3B70AB"/>
    <w:rsid w:val="5F3C1253"/>
    <w:rsid w:val="5F404F65"/>
    <w:rsid w:val="5F4178E1"/>
    <w:rsid w:val="5F42019B"/>
    <w:rsid w:val="5F424E0F"/>
    <w:rsid w:val="5F497420"/>
    <w:rsid w:val="5F4E0050"/>
    <w:rsid w:val="5F4F253B"/>
    <w:rsid w:val="5F5155D0"/>
    <w:rsid w:val="5F5307F0"/>
    <w:rsid w:val="5F5578C8"/>
    <w:rsid w:val="5F567403"/>
    <w:rsid w:val="5F5757E4"/>
    <w:rsid w:val="5F63323E"/>
    <w:rsid w:val="5F6437DC"/>
    <w:rsid w:val="5F6479E0"/>
    <w:rsid w:val="5F6E69A6"/>
    <w:rsid w:val="5F736FD8"/>
    <w:rsid w:val="5F7626F7"/>
    <w:rsid w:val="5F7F16A6"/>
    <w:rsid w:val="5F7F675C"/>
    <w:rsid w:val="5F7F69D4"/>
    <w:rsid w:val="5F8345E9"/>
    <w:rsid w:val="5F844420"/>
    <w:rsid w:val="5F87168D"/>
    <w:rsid w:val="5FA1111E"/>
    <w:rsid w:val="5FA763EF"/>
    <w:rsid w:val="5FA9472A"/>
    <w:rsid w:val="5FAF3E47"/>
    <w:rsid w:val="5FBD2CDA"/>
    <w:rsid w:val="5FBD3D3F"/>
    <w:rsid w:val="5FCD25EF"/>
    <w:rsid w:val="5FD10BA1"/>
    <w:rsid w:val="5FD53848"/>
    <w:rsid w:val="5FDA2652"/>
    <w:rsid w:val="5FDA77CD"/>
    <w:rsid w:val="5FDB4076"/>
    <w:rsid w:val="5FDB5120"/>
    <w:rsid w:val="5FDE7043"/>
    <w:rsid w:val="5FEF7F48"/>
    <w:rsid w:val="5FF26306"/>
    <w:rsid w:val="5FF40472"/>
    <w:rsid w:val="5FF838D2"/>
    <w:rsid w:val="5FFC6199"/>
    <w:rsid w:val="600A5C11"/>
    <w:rsid w:val="600B34AE"/>
    <w:rsid w:val="60121F45"/>
    <w:rsid w:val="60133223"/>
    <w:rsid w:val="601B5E19"/>
    <w:rsid w:val="60284AA0"/>
    <w:rsid w:val="602A631E"/>
    <w:rsid w:val="60400826"/>
    <w:rsid w:val="60431D44"/>
    <w:rsid w:val="6043275A"/>
    <w:rsid w:val="604723CB"/>
    <w:rsid w:val="604D0966"/>
    <w:rsid w:val="604E75A8"/>
    <w:rsid w:val="60541DD5"/>
    <w:rsid w:val="6055424F"/>
    <w:rsid w:val="605C610D"/>
    <w:rsid w:val="606A75CF"/>
    <w:rsid w:val="606B65FD"/>
    <w:rsid w:val="606E139E"/>
    <w:rsid w:val="606E730A"/>
    <w:rsid w:val="607520E6"/>
    <w:rsid w:val="607D68E4"/>
    <w:rsid w:val="607F3A74"/>
    <w:rsid w:val="60822995"/>
    <w:rsid w:val="60875354"/>
    <w:rsid w:val="60937186"/>
    <w:rsid w:val="60972F83"/>
    <w:rsid w:val="6098238E"/>
    <w:rsid w:val="609B3FCF"/>
    <w:rsid w:val="609C29B9"/>
    <w:rsid w:val="609C64D7"/>
    <w:rsid w:val="60A01969"/>
    <w:rsid w:val="60A03008"/>
    <w:rsid w:val="60A123E1"/>
    <w:rsid w:val="60A344C7"/>
    <w:rsid w:val="60A524F0"/>
    <w:rsid w:val="60A75032"/>
    <w:rsid w:val="60A7619D"/>
    <w:rsid w:val="60AF15C3"/>
    <w:rsid w:val="60B44CEE"/>
    <w:rsid w:val="60B46771"/>
    <w:rsid w:val="60B57F2A"/>
    <w:rsid w:val="60C36426"/>
    <w:rsid w:val="60DA5D16"/>
    <w:rsid w:val="60E06938"/>
    <w:rsid w:val="60E90278"/>
    <w:rsid w:val="60ED0BC9"/>
    <w:rsid w:val="60EF58B3"/>
    <w:rsid w:val="60FB2F3B"/>
    <w:rsid w:val="60FC5A41"/>
    <w:rsid w:val="610669D7"/>
    <w:rsid w:val="611029C3"/>
    <w:rsid w:val="6112272B"/>
    <w:rsid w:val="611931AA"/>
    <w:rsid w:val="611C0757"/>
    <w:rsid w:val="611E57EF"/>
    <w:rsid w:val="611F256E"/>
    <w:rsid w:val="612023D7"/>
    <w:rsid w:val="61241C21"/>
    <w:rsid w:val="612857F3"/>
    <w:rsid w:val="61292987"/>
    <w:rsid w:val="61336F11"/>
    <w:rsid w:val="6135114D"/>
    <w:rsid w:val="61380F5D"/>
    <w:rsid w:val="61384BB4"/>
    <w:rsid w:val="61391E57"/>
    <w:rsid w:val="613E3250"/>
    <w:rsid w:val="613F0C30"/>
    <w:rsid w:val="614421D8"/>
    <w:rsid w:val="614F7793"/>
    <w:rsid w:val="61553518"/>
    <w:rsid w:val="61565198"/>
    <w:rsid w:val="61602266"/>
    <w:rsid w:val="61660824"/>
    <w:rsid w:val="61665ACE"/>
    <w:rsid w:val="616D2415"/>
    <w:rsid w:val="616D748C"/>
    <w:rsid w:val="616E3EB9"/>
    <w:rsid w:val="617950D5"/>
    <w:rsid w:val="617A1671"/>
    <w:rsid w:val="617E0B4B"/>
    <w:rsid w:val="61920433"/>
    <w:rsid w:val="619326EF"/>
    <w:rsid w:val="61940B5E"/>
    <w:rsid w:val="619A6D8E"/>
    <w:rsid w:val="619B06CC"/>
    <w:rsid w:val="619D39D4"/>
    <w:rsid w:val="619E187C"/>
    <w:rsid w:val="61A15272"/>
    <w:rsid w:val="61B85E6A"/>
    <w:rsid w:val="61BA0DF3"/>
    <w:rsid w:val="61BB082D"/>
    <w:rsid w:val="61BB3864"/>
    <w:rsid w:val="61BC5EC7"/>
    <w:rsid w:val="61BC6D1C"/>
    <w:rsid w:val="61BD6ACF"/>
    <w:rsid w:val="61C77E8D"/>
    <w:rsid w:val="61CE473C"/>
    <w:rsid w:val="61D04B97"/>
    <w:rsid w:val="61D17522"/>
    <w:rsid w:val="61D634E9"/>
    <w:rsid w:val="61DA6967"/>
    <w:rsid w:val="61DB5613"/>
    <w:rsid w:val="61DB7C6C"/>
    <w:rsid w:val="61DD79FC"/>
    <w:rsid w:val="61E64ABE"/>
    <w:rsid w:val="61F564A8"/>
    <w:rsid w:val="61F61128"/>
    <w:rsid w:val="61FB0C3D"/>
    <w:rsid w:val="61FB5336"/>
    <w:rsid w:val="61FB6884"/>
    <w:rsid w:val="62043312"/>
    <w:rsid w:val="620537CF"/>
    <w:rsid w:val="62067DE2"/>
    <w:rsid w:val="62174211"/>
    <w:rsid w:val="622228A9"/>
    <w:rsid w:val="62352A19"/>
    <w:rsid w:val="623B7BB7"/>
    <w:rsid w:val="623E7F1A"/>
    <w:rsid w:val="62403C40"/>
    <w:rsid w:val="6249426A"/>
    <w:rsid w:val="6253291B"/>
    <w:rsid w:val="62534F3E"/>
    <w:rsid w:val="626161AE"/>
    <w:rsid w:val="626203F0"/>
    <w:rsid w:val="626B5CE9"/>
    <w:rsid w:val="6273461B"/>
    <w:rsid w:val="62823A62"/>
    <w:rsid w:val="62850696"/>
    <w:rsid w:val="62866BE0"/>
    <w:rsid w:val="628D30EF"/>
    <w:rsid w:val="628D68A1"/>
    <w:rsid w:val="628E1C9B"/>
    <w:rsid w:val="629339F6"/>
    <w:rsid w:val="62936C1B"/>
    <w:rsid w:val="629C3FBD"/>
    <w:rsid w:val="629D4D83"/>
    <w:rsid w:val="629D7907"/>
    <w:rsid w:val="62A05DE6"/>
    <w:rsid w:val="62A63105"/>
    <w:rsid w:val="62A81F5D"/>
    <w:rsid w:val="62A87F70"/>
    <w:rsid w:val="62B156C2"/>
    <w:rsid w:val="62B60305"/>
    <w:rsid w:val="62BC58F7"/>
    <w:rsid w:val="62C21BFD"/>
    <w:rsid w:val="62CE52EF"/>
    <w:rsid w:val="62D1479A"/>
    <w:rsid w:val="62D15D4D"/>
    <w:rsid w:val="62E51FF3"/>
    <w:rsid w:val="62E5610C"/>
    <w:rsid w:val="62E62580"/>
    <w:rsid w:val="62E75902"/>
    <w:rsid w:val="62E9052B"/>
    <w:rsid w:val="62F53AC8"/>
    <w:rsid w:val="62F860F1"/>
    <w:rsid w:val="63012DD0"/>
    <w:rsid w:val="63055021"/>
    <w:rsid w:val="63062353"/>
    <w:rsid w:val="630738BA"/>
    <w:rsid w:val="631519CF"/>
    <w:rsid w:val="631609E2"/>
    <w:rsid w:val="63182C38"/>
    <w:rsid w:val="6322272E"/>
    <w:rsid w:val="63263290"/>
    <w:rsid w:val="632D3772"/>
    <w:rsid w:val="632F7A1F"/>
    <w:rsid w:val="633526DB"/>
    <w:rsid w:val="633714D3"/>
    <w:rsid w:val="633F041C"/>
    <w:rsid w:val="6341496B"/>
    <w:rsid w:val="6350246A"/>
    <w:rsid w:val="635526A3"/>
    <w:rsid w:val="63566F23"/>
    <w:rsid w:val="63570CFE"/>
    <w:rsid w:val="635977F9"/>
    <w:rsid w:val="63615C19"/>
    <w:rsid w:val="63692534"/>
    <w:rsid w:val="63790D9B"/>
    <w:rsid w:val="638405B2"/>
    <w:rsid w:val="638B3F64"/>
    <w:rsid w:val="6392701B"/>
    <w:rsid w:val="63973A5D"/>
    <w:rsid w:val="6399081E"/>
    <w:rsid w:val="6399296A"/>
    <w:rsid w:val="63A017FC"/>
    <w:rsid w:val="63A252D2"/>
    <w:rsid w:val="63A42B2E"/>
    <w:rsid w:val="63A45B5A"/>
    <w:rsid w:val="63A64892"/>
    <w:rsid w:val="63A934A6"/>
    <w:rsid w:val="63AE24A1"/>
    <w:rsid w:val="63B33071"/>
    <w:rsid w:val="63B374DF"/>
    <w:rsid w:val="63B51A8E"/>
    <w:rsid w:val="63B902E3"/>
    <w:rsid w:val="63BA2EE7"/>
    <w:rsid w:val="63BB3A50"/>
    <w:rsid w:val="63C7285D"/>
    <w:rsid w:val="63D21C69"/>
    <w:rsid w:val="63D93849"/>
    <w:rsid w:val="63E309C9"/>
    <w:rsid w:val="63E53F33"/>
    <w:rsid w:val="63E774D4"/>
    <w:rsid w:val="63EA1336"/>
    <w:rsid w:val="63F113F9"/>
    <w:rsid w:val="63F62484"/>
    <w:rsid w:val="64026374"/>
    <w:rsid w:val="64052C3C"/>
    <w:rsid w:val="641746F2"/>
    <w:rsid w:val="6430235C"/>
    <w:rsid w:val="643822A7"/>
    <w:rsid w:val="643A7BF4"/>
    <w:rsid w:val="643D764D"/>
    <w:rsid w:val="643F67ED"/>
    <w:rsid w:val="6459048E"/>
    <w:rsid w:val="645F69B5"/>
    <w:rsid w:val="6461775A"/>
    <w:rsid w:val="6462028C"/>
    <w:rsid w:val="64637B8D"/>
    <w:rsid w:val="64641D02"/>
    <w:rsid w:val="646E5F17"/>
    <w:rsid w:val="64733235"/>
    <w:rsid w:val="647678D9"/>
    <w:rsid w:val="64773E8B"/>
    <w:rsid w:val="647A1404"/>
    <w:rsid w:val="64817BBB"/>
    <w:rsid w:val="64825B13"/>
    <w:rsid w:val="648E5E86"/>
    <w:rsid w:val="648F5856"/>
    <w:rsid w:val="64A11B74"/>
    <w:rsid w:val="64A136EB"/>
    <w:rsid w:val="64A61E65"/>
    <w:rsid w:val="64A7688D"/>
    <w:rsid w:val="64A90252"/>
    <w:rsid w:val="64B269B3"/>
    <w:rsid w:val="64B675FC"/>
    <w:rsid w:val="64D54E81"/>
    <w:rsid w:val="64DB1422"/>
    <w:rsid w:val="64E0374B"/>
    <w:rsid w:val="64E27CFB"/>
    <w:rsid w:val="64E42F71"/>
    <w:rsid w:val="64E82E80"/>
    <w:rsid w:val="64F3079F"/>
    <w:rsid w:val="64F53496"/>
    <w:rsid w:val="64F63F6D"/>
    <w:rsid w:val="64F970F2"/>
    <w:rsid w:val="64FB1877"/>
    <w:rsid w:val="64FF7738"/>
    <w:rsid w:val="65065FFE"/>
    <w:rsid w:val="650C5A96"/>
    <w:rsid w:val="651542FF"/>
    <w:rsid w:val="65187157"/>
    <w:rsid w:val="6519693E"/>
    <w:rsid w:val="651B6829"/>
    <w:rsid w:val="65296A38"/>
    <w:rsid w:val="653A655C"/>
    <w:rsid w:val="653B1FA0"/>
    <w:rsid w:val="653D41DA"/>
    <w:rsid w:val="6545060B"/>
    <w:rsid w:val="65464604"/>
    <w:rsid w:val="656B66B1"/>
    <w:rsid w:val="656C70BB"/>
    <w:rsid w:val="656E6FBD"/>
    <w:rsid w:val="65712386"/>
    <w:rsid w:val="657E0829"/>
    <w:rsid w:val="657E0F7E"/>
    <w:rsid w:val="65862F7B"/>
    <w:rsid w:val="658E536B"/>
    <w:rsid w:val="65941CDF"/>
    <w:rsid w:val="65975F64"/>
    <w:rsid w:val="659B1FA4"/>
    <w:rsid w:val="659D0CE0"/>
    <w:rsid w:val="659D46FE"/>
    <w:rsid w:val="65A94CBC"/>
    <w:rsid w:val="65B3448C"/>
    <w:rsid w:val="65B64127"/>
    <w:rsid w:val="65BA2E48"/>
    <w:rsid w:val="65C2749E"/>
    <w:rsid w:val="65C343E8"/>
    <w:rsid w:val="65CC6B05"/>
    <w:rsid w:val="65D513CC"/>
    <w:rsid w:val="65DB1217"/>
    <w:rsid w:val="65DD09D2"/>
    <w:rsid w:val="65E24B3A"/>
    <w:rsid w:val="65E47E23"/>
    <w:rsid w:val="65E87914"/>
    <w:rsid w:val="65EB18D7"/>
    <w:rsid w:val="65EC2B68"/>
    <w:rsid w:val="65F003EF"/>
    <w:rsid w:val="65F01902"/>
    <w:rsid w:val="65F2153C"/>
    <w:rsid w:val="65F434E3"/>
    <w:rsid w:val="65FC4C4B"/>
    <w:rsid w:val="65FE3DF8"/>
    <w:rsid w:val="6604742D"/>
    <w:rsid w:val="660C13EE"/>
    <w:rsid w:val="660E7375"/>
    <w:rsid w:val="660F4720"/>
    <w:rsid w:val="66130B5A"/>
    <w:rsid w:val="66142C60"/>
    <w:rsid w:val="661A3CC3"/>
    <w:rsid w:val="66221C95"/>
    <w:rsid w:val="662F11D0"/>
    <w:rsid w:val="66350740"/>
    <w:rsid w:val="66353396"/>
    <w:rsid w:val="6638556B"/>
    <w:rsid w:val="663924BF"/>
    <w:rsid w:val="663C62B8"/>
    <w:rsid w:val="663E49E9"/>
    <w:rsid w:val="664371D5"/>
    <w:rsid w:val="665379B4"/>
    <w:rsid w:val="66585D15"/>
    <w:rsid w:val="66597AD2"/>
    <w:rsid w:val="666B6F5E"/>
    <w:rsid w:val="666F7012"/>
    <w:rsid w:val="66721A39"/>
    <w:rsid w:val="667276F9"/>
    <w:rsid w:val="6675447C"/>
    <w:rsid w:val="667911DE"/>
    <w:rsid w:val="667E46F7"/>
    <w:rsid w:val="667E6455"/>
    <w:rsid w:val="667F2783"/>
    <w:rsid w:val="66836371"/>
    <w:rsid w:val="66871409"/>
    <w:rsid w:val="66885971"/>
    <w:rsid w:val="668C3DF7"/>
    <w:rsid w:val="66923659"/>
    <w:rsid w:val="669704DA"/>
    <w:rsid w:val="669811B3"/>
    <w:rsid w:val="669B0CD5"/>
    <w:rsid w:val="66A333A0"/>
    <w:rsid w:val="66A61D32"/>
    <w:rsid w:val="66B00994"/>
    <w:rsid w:val="66B05B54"/>
    <w:rsid w:val="66B4739A"/>
    <w:rsid w:val="66B85C86"/>
    <w:rsid w:val="66B86633"/>
    <w:rsid w:val="66BA4B43"/>
    <w:rsid w:val="66C452A1"/>
    <w:rsid w:val="66C47D44"/>
    <w:rsid w:val="66D06B14"/>
    <w:rsid w:val="66D33358"/>
    <w:rsid w:val="66F07F4F"/>
    <w:rsid w:val="66F52C4A"/>
    <w:rsid w:val="66F5619E"/>
    <w:rsid w:val="67012D8E"/>
    <w:rsid w:val="670A3F93"/>
    <w:rsid w:val="671045D7"/>
    <w:rsid w:val="67177459"/>
    <w:rsid w:val="672D01B0"/>
    <w:rsid w:val="672F61E3"/>
    <w:rsid w:val="6731529F"/>
    <w:rsid w:val="673436C1"/>
    <w:rsid w:val="673927D9"/>
    <w:rsid w:val="6739324D"/>
    <w:rsid w:val="674A23D4"/>
    <w:rsid w:val="674C3ED2"/>
    <w:rsid w:val="674E4629"/>
    <w:rsid w:val="675200EC"/>
    <w:rsid w:val="6756299C"/>
    <w:rsid w:val="67581DCE"/>
    <w:rsid w:val="676E51F8"/>
    <w:rsid w:val="67745EE5"/>
    <w:rsid w:val="67831E38"/>
    <w:rsid w:val="67836697"/>
    <w:rsid w:val="6784531D"/>
    <w:rsid w:val="678D31FE"/>
    <w:rsid w:val="67973799"/>
    <w:rsid w:val="679F4257"/>
    <w:rsid w:val="679F4657"/>
    <w:rsid w:val="67A81998"/>
    <w:rsid w:val="67A839E7"/>
    <w:rsid w:val="67AA6120"/>
    <w:rsid w:val="67AF053E"/>
    <w:rsid w:val="67B06231"/>
    <w:rsid w:val="67B35BE4"/>
    <w:rsid w:val="67B424A8"/>
    <w:rsid w:val="67BC221B"/>
    <w:rsid w:val="67C63D78"/>
    <w:rsid w:val="67D22629"/>
    <w:rsid w:val="67DB2BFF"/>
    <w:rsid w:val="67E22128"/>
    <w:rsid w:val="67E57A1F"/>
    <w:rsid w:val="67E75256"/>
    <w:rsid w:val="67E759A9"/>
    <w:rsid w:val="67F54A69"/>
    <w:rsid w:val="6803648C"/>
    <w:rsid w:val="68050437"/>
    <w:rsid w:val="68091E76"/>
    <w:rsid w:val="68250A3B"/>
    <w:rsid w:val="68264723"/>
    <w:rsid w:val="68264756"/>
    <w:rsid w:val="68361325"/>
    <w:rsid w:val="683F348E"/>
    <w:rsid w:val="68421E52"/>
    <w:rsid w:val="684340CE"/>
    <w:rsid w:val="68555B92"/>
    <w:rsid w:val="685F7F7E"/>
    <w:rsid w:val="68600EFE"/>
    <w:rsid w:val="686343E6"/>
    <w:rsid w:val="686B51E0"/>
    <w:rsid w:val="687270C1"/>
    <w:rsid w:val="687428E3"/>
    <w:rsid w:val="687523CC"/>
    <w:rsid w:val="688A540D"/>
    <w:rsid w:val="68906504"/>
    <w:rsid w:val="68953657"/>
    <w:rsid w:val="689541A5"/>
    <w:rsid w:val="689D6255"/>
    <w:rsid w:val="68AE296E"/>
    <w:rsid w:val="68B3092E"/>
    <w:rsid w:val="68B51AD6"/>
    <w:rsid w:val="68B75E9E"/>
    <w:rsid w:val="68B7648F"/>
    <w:rsid w:val="68B86F87"/>
    <w:rsid w:val="68BE1452"/>
    <w:rsid w:val="68CF19F3"/>
    <w:rsid w:val="68D0468F"/>
    <w:rsid w:val="68D21D70"/>
    <w:rsid w:val="68D75BEC"/>
    <w:rsid w:val="68DA720A"/>
    <w:rsid w:val="68DB7720"/>
    <w:rsid w:val="68E74568"/>
    <w:rsid w:val="68EC4E79"/>
    <w:rsid w:val="68EE4EF6"/>
    <w:rsid w:val="68F3377A"/>
    <w:rsid w:val="68F46AF9"/>
    <w:rsid w:val="68F8253A"/>
    <w:rsid w:val="69014BBB"/>
    <w:rsid w:val="69035E41"/>
    <w:rsid w:val="69054F3E"/>
    <w:rsid w:val="690B1545"/>
    <w:rsid w:val="691837CF"/>
    <w:rsid w:val="691F08CC"/>
    <w:rsid w:val="6934678C"/>
    <w:rsid w:val="69396307"/>
    <w:rsid w:val="69445657"/>
    <w:rsid w:val="694A5A3C"/>
    <w:rsid w:val="694C4A7A"/>
    <w:rsid w:val="695017CA"/>
    <w:rsid w:val="69501D61"/>
    <w:rsid w:val="69527A38"/>
    <w:rsid w:val="695A33B4"/>
    <w:rsid w:val="695A7671"/>
    <w:rsid w:val="69643755"/>
    <w:rsid w:val="69693688"/>
    <w:rsid w:val="696937C8"/>
    <w:rsid w:val="696C085C"/>
    <w:rsid w:val="696D54E5"/>
    <w:rsid w:val="696F4C47"/>
    <w:rsid w:val="6970145F"/>
    <w:rsid w:val="697225E4"/>
    <w:rsid w:val="69847451"/>
    <w:rsid w:val="69875310"/>
    <w:rsid w:val="69894835"/>
    <w:rsid w:val="698A1F39"/>
    <w:rsid w:val="699456C0"/>
    <w:rsid w:val="699477EC"/>
    <w:rsid w:val="699548D1"/>
    <w:rsid w:val="699876D2"/>
    <w:rsid w:val="699C5463"/>
    <w:rsid w:val="699F0AEF"/>
    <w:rsid w:val="69A335D5"/>
    <w:rsid w:val="69A779ED"/>
    <w:rsid w:val="69AE0B74"/>
    <w:rsid w:val="69B045B6"/>
    <w:rsid w:val="69B83AA1"/>
    <w:rsid w:val="69C43A34"/>
    <w:rsid w:val="69C67358"/>
    <w:rsid w:val="69C719CD"/>
    <w:rsid w:val="69D15D37"/>
    <w:rsid w:val="69DB16EA"/>
    <w:rsid w:val="69DF78A4"/>
    <w:rsid w:val="69E72733"/>
    <w:rsid w:val="69EF255F"/>
    <w:rsid w:val="69F36F0D"/>
    <w:rsid w:val="69F43DC6"/>
    <w:rsid w:val="69FF0432"/>
    <w:rsid w:val="69FF4825"/>
    <w:rsid w:val="6A0310D1"/>
    <w:rsid w:val="6A03194F"/>
    <w:rsid w:val="6A0D25F5"/>
    <w:rsid w:val="6A0E716C"/>
    <w:rsid w:val="6A1F017A"/>
    <w:rsid w:val="6A204F5C"/>
    <w:rsid w:val="6A2A10C4"/>
    <w:rsid w:val="6A2B1B79"/>
    <w:rsid w:val="6A2B2B4A"/>
    <w:rsid w:val="6A2F530B"/>
    <w:rsid w:val="6A386990"/>
    <w:rsid w:val="6A3E4BD4"/>
    <w:rsid w:val="6A52613C"/>
    <w:rsid w:val="6A535578"/>
    <w:rsid w:val="6A572CE8"/>
    <w:rsid w:val="6A585EF3"/>
    <w:rsid w:val="6A5A0898"/>
    <w:rsid w:val="6A5C2083"/>
    <w:rsid w:val="6A654C47"/>
    <w:rsid w:val="6A7757F6"/>
    <w:rsid w:val="6A7E38A4"/>
    <w:rsid w:val="6A833AC7"/>
    <w:rsid w:val="6A8D0247"/>
    <w:rsid w:val="6A9149C9"/>
    <w:rsid w:val="6A9232AC"/>
    <w:rsid w:val="6A9256FB"/>
    <w:rsid w:val="6A9A1F1D"/>
    <w:rsid w:val="6A9F5E5A"/>
    <w:rsid w:val="6AA562C1"/>
    <w:rsid w:val="6AAB0575"/>
    <w:rsid w:val="6AAB0660"/>
    <w:rsid w:val="6AAF437C"/>
    <w:rsid w:val="6AB02B1C"/>
    <w:rsid w:val="6AB26E61"/>
    <w:rsid w:val="6AB33D5E"/>
    <w:rsid w:val="6AB6007C"/>
    <w:rsid w:val="6AB93F5E"/>
    <w:rsid w:val="6ABA6C8B"/>
    <w:rsid w:val="6ABD151F"/>
    <w:rsid w:val="6AC64717"/>
    <w:rsid w:val="6ACD2C46"/>
    <w:rsid w:val="6ACE5D72"/>
    <w:rsid w:val="6AD10640"/>
    <w:rsid w:val="6AD459F9"/>
    <w:rsid w:val="6ADC6157"/>
    <w:rsid w:val="6ADE4784"/>
    <w:rsid w:val="6AE00180"/>
    <w:rsid w:val="6AE12D53"/>
    <w:rsid w:val="6AE14186"/>
    <w:rsid w:val="6AE173AB"/>
    <w:rsid w:val="6AE64046"/>
    <w:rsid w:val="6AE71BB0"/>
    <w:rsid w:val="6AE92051"/>
    <w:rsid w:val="6AF52F15"/>
    <w:rsid w:val="6AFC79BD"/>
    <w:rsid w:val="6B0306BE"/>
    <w:rsid w:val="6B0C788F"/>
    <w:rsid w:val="6B0D1F0C"/>
    <w:rsid w:val="6B10322C"/>
    <w:rsid w:val="6B15563C"/>
    <w:rsid w:val="6B192EC5"/>
    <w:rsid w:val="6B227BF7"/>
    <w:rsid w:val="6B270312"/>
    <w:rsid w:val="6B2D5A48"/>
    <w:rsid w:val="6B357FB0"/>
    <w:rsid w:val="6B395428"/>
    <w:rsid w:val="6B3C69E0"/>
    <w:rsid w:val="6B416E32"/>
    <w:rsid w:val="6B4D1FC7"/>
    <w:rsid w:val="6B4F2DF4"/>
    <w:rsid w:val="6B512DDA"/>
    <w:rsid w:val="6B524E25"/>
    <w:rsid w:val="6B5D4694"/>
    <w:rsid w:val="6B765603"/>
    <w:rsid w:val="6B795934"/>
    <w:rsid w:val="6B8F791B"/>
    <w:rsid w:val="6B910701"/>
    <w:rsid w:val="6B9827E5"/>
    <w:rsid w:val="6BA061BC"/>
    <w:rsid w:val="6BA06CFB"/>
    <w:rsid w:val="6BB027B3"/>
    <w:rsid w:val="6BB70E70"/>
    <w:rsid w:val="6BBB1626"/>
    <w:rsid w:val="6BC4164E"/>
    <w:rsid w:val="6BCA28D9"/>
    <w:rsid w:val="6BCA3DF0"/>
    <w:rsid w:val="6BD364C2"/>
    <w:rsid w:val="6BD504D3"/>
    <w:rsid w:val="6BD71CDA"/>
    <w:rsid w:val="6BDC46BD"/>
    <w:rsid w:val="6BDD183F"/>
    <w:rsid w:val="6BDD26E2"/>
    <w:rsid w:val="6BDF66C4"/>
    <w:rsid w:val="6BE02DF8"/>
    <w:rsid w:val="6BEC4FD0"/>
    <w:rsid w:val="6BEF6A4D"/>
    <w:rsid w:val="6BF064D7"/>
    <w:rsid w:val="6BF20309"/>
    <w:rsid w:val="6BF261A5"/>
    <w:rsid w:val="6C0B3D2F"/>
    <w:rsid w:val="6C103115"/>
    <w:rsid w:val="6C257AD2"/>
    <w:rsid w:val="6C2F687B"/>
    <w:rsid w:val="6C3311BD"/>
    <w:rsid w:val="6C3D5EC5"/>
    <w:rsid w:val="6C3F64D5"/>
    <w:rsid w:val="6C4C04D0"/>
    <w:rsid w:val="6C4D7940"/>
    <w:rsid w:val="6C517F32"/>
    <w:rsid w:val="6C5972E5"/>
    <w:rsid w:val="6C5C6379"/>
    <w:rsid w:val="6C662892"/>
    <w:rsid w:val="6C6B097E"/>
    <w:rsid w:val="6C6D5741"/>
    <w:rsid w:val="6C6E183C"/>
    <w:rsid w:val="6C6E7D09"/>
    <w:rsid w:val="6C737452"/>
    <w:rsid w:val="6C7F3972"/>
    <w:rsid w:val="6C7F5935"/>
    <w:rsid w:val="6C812F91"/>
    <w:rsid w:val="6C93096F"/>
    <w:rsid w:val="6C947BF6"/>
    <w:rsid w:val="6C967C41"/>
    <w:rsid w:val="6C986E01"/>
    <w:rsid w:val="6C9C5E7A"/>
    <w:rsid w:val="6CA1561F"/>
    <w:rsid w:val="6CA17491"/>
    <w:rsid w:val="6CA53208"/>
    <w:rsid w:val="6CA5764B"/>
    <w:rsid w:val="6CC058FB"/>
    <w:rsid w:val="6CD159BE"/>
    <w:rsid w:val="6CD37822"/>
    <w:rsid w:val="6CDD2F12"/>
    <w:rsid w:val="6CDD3626"/>
    <w:rsid w:val="6CE82E98"/>
    <w:rsid w:val="6CF16701"/>
    <w:rsid w:val="6CF6765B"/>
    <w:rsid w:val="6D095F13"/>
    <w:rsid w:val="6D143417"/>
    <w:rsid w:val="6D15675C"/>
    <w:rsid w:val="6D1A327F"/>
    <w:rsid w:val="6D322004"/>
    <w:rsid w:val="6D387617"/>
    <w:rsid w:val="6D490505"/>
    <w:rsid w:val="6D4C6D94"/>
    <w:rsid w:val="6D4E4C86"/>
    <w:rsid w:val="6D557468"/>
    <w:rsid w:val="6D650324"/>
    <w:rsid w:val="6D6C3102"/>
    <w:rsid w:val="6D71559A"/>
    <w:rsid w:val="6D7C25AD"/>
    <w:rsid w:val="6D8016C4"/>
    <w:rsid w:val="6D805458"/>
    <w:rsid w:val="6D822D14"/>
    <w:rsid w:val="6D837E49"/>
    <w:rsid w:val="6D8F7CB5"/>
    <w:rsid w:val="6D965D52"/>
    <w:rsid w:val="6DA0580B"/>
    <w:rsid w:val="6DAF3B53"/>
    <w:rsid w:val="6DB11175"/>
    <w:rsid w:val="6DBE078A"/>
    <w:rsid w:val="6DBF7D57"/>
    <w:rsid w:val="6DC33829"/>
    <w:rsid w:val="6DC5024C"/>
    <w:rsid w:val="6DC764B9"/>
    <w:rsid w:val="6DCC5AFE"/>
    <w:rsid w:val="6DD44888"/>
    <w:rsid w:val="6DDB4580"/>
    <w:rsid w:val="6DDB632E"/>
    <w:rsid w:val="6DDF3E32"/>
    <w:rsid w:val="6DE4139C"/>
    <w:rsid w:val="6DE739C8"/>
    <w:rsid w:val="6DE873C4"/>
    <w:rsid w:val="6DF1369C"/>
    <w:rsid w:val="6DF20B60"/>
    <w:rsid w:val="6DF52321"/>
    <w:rsid w:val="6E01741A"/>
    <w:rsid w:val="6E052BCC"/>
    <w:rsid w:val="6E09562A"/>
    <w:rsid w:val="6E0B367A"/>
    <w:rsid w:val="6E1C3511"/>
    <w:rsid w:val="6E222164"/>
    <w:rsid w:val="6E222A62"/>
    <w:rsid w:val="6E2323B0"/>
    <w:rsid w:val="6E2406F8"/>
    <w:rsid w:val="6E312183"/>
    <w:rsid w:val="6E321B30"/>
    <w:rsid w:val="6E3229AF"/>
    <w:rsid w:val="6E5034D8"/>
    <w:rsid w:val="6E5159ED"/>
    <w:rsid w:val="6E532EAE"/>
    <w:rsid w:val="6E616C35"/>
    <w:rsid w:val="6E632072"/>
    <w:rsid w:val="6E6566CE"/>
    <w:rsid w:val="6E675661"/>
    <w:rsid w:val="6E6B2869"/>
    <w:rsid w:val="6E6E2025"/>
    <w:rsid w:val="6E701BA1"/>
    <w:rsid w:val="6E74281A"/>
    <w:rsid w:val="6E743097"/>
    <w:rsid w:val="6E7526A3"/>
    <w:rsid w:val="6E837CE9"/>
    <w:rsid w:val="6E871DE3"/>
    <w:rsid w:val="6E890EF9"/>
    <w:rsid w:val="6E8B5354"/>
    <w:rsid w:val="6E9359C3"/>
    <w:rsid w:val="6E9F2D61"/>
    <w:rsid w:val="6EAA43AD"/>
    <w:rsid w:val="6EAC1208"/>
    <w:rsid w:val="6EAF1AC9"/>
    <w:rsid w:val="6EAF5C26"/>
    <w:rsid w:val="6EB00B85"/>
    <w:rsid w:val="6EB22C65"/>
    <w:rsid w:val="6EBF3DD9"/>
    <w:rsid w:val="6EC56C46"/>
    <w:rsid w:val="6ECB65EB"/>
    <w:rsid w:val="6ED8765D"/>
    <w:rsid w:val="6EDB5CED"/>
    <w:rsid w:val="6EDD74A1"/>
    <w:rsid w:val="6EDE48A4"/>
    <w:rsid w:val="6EEB7156"/>
    <w:rsid w:val="6EF12B77"/>
    <w:rsid w:val="6EF70BC7"/>
    <w:rsid w:val="6EFA289E"/>
    <w:rsid w:val="6EFC0496"/>
    <w:rsid w:val="6F0022BD"/>
    <w:rsid w:val="6F045D2E"/>
    <w:rsid w:val="6F10106E"/>
    <w:rsid w:val="6F1B086F"/>
    <w:rsid w:val="6F212F57"/>
    <w:rsid w:val="6F230A3B"/>
    <w:rsid w:val="6F26531A"/>
    <w:rsid w:val="6F2F695D"/>
    <w:rsid w:val="6F315BA3"/>
    <w:rsid w:val="6F360EB5"/>
    <w:rsid w:val="6F3D2EB3"/>
    <w:rsid w:val="6F425B76"/>
    <w:rsid w:val="6F4A4871"/>
    <w:rsid w:val="6F566E5B"/>
    <w:rsid w:val="6F5D2C2D"/>
    <w:rsid w:val="6F5E3BD1"/>
    <w:rsid w:val="6F6516F3"/>
    <w:rsid w:val="6F671DA0"/>
    <w:rsid w:val="6F714D27"/>
    <w:rsid w:val="6F794F08"/>
    <w:rsid w:val="6F7B3FB9"/>
    <w:rsid w:val="6F7E1338"/>
    <w:rsid w:val="6F805440"/>
    <w:rsid w:val="6F815003"/>
    <w:rsid w:val="6F87454A"/>
    <w:rsid w:val="6F8C7562"/>
    <w:rsid w:val="6F993D7A"/>
    <w:rsid w:val="6F9E14BE"/>
    <w:rsid w:val="6FA46D57"/>
    <w:rsid w:val="6FA52086"/>
    <w:rsid w:val="6FAE43C7"/>
    <w:rsid w:val="6FAE6FD6"/>
    <w:rsid w:val="6FB441B7"/>
    <w:rsid w:val="6FB708D1"/>
    <w:rsid w:val="6FB82DF0"/>
    <w:rsid w:val="6FC053E4"/>
    <w:rsid w:val="6FC36B76"/>
    <w:rsid w:val="6FC96C7A"/>
    <w:rsid w:val="6FD1192A"/>
    <w:rsid w:val="6FD81C81"/>
    <w:rsid w:val="6FE47008"/>
    <w:rsid w:val="6FE76AA7"/>
    <w:rsid w:val="6FFB3A24"/>
    <w:rsid w:val="6FFF5BE2"/>
    <w:rsid w:val="700353F8"/>
    <w:rsid w:val="700B6F6A"/>
    <w:rsid w:val="700C65F0"/>
    <w:rsid w:val="70101D98"/>
    <w:rsid w:val="70124445"/>
    <w:rsid w:val="701971E1"/>
    <w:rsid w:val="701E08DD"/>
    <w:rsid w:val="70293611"/>
    <w:rsid w:val="702B59A5"/>
    <w:rsid w:val="70323507"/>
    <w:rsid w:val="7034017A"/>
    <w:rsid w:val="70340A76"/>
    <w:rsid w:val="7039670F"/>
    <w:rsid w:val="703B6D92"/>
    <w:rsid w:val="703C23C6"/>
    <w:rsid w:val="703D5393"/>
    <w:rsid w:val="7049103C"/>
    <w:rsid w:val="704D4170"/>
    <w:rsid w:val="704E4F2D"/>
    <w:rsid w:val="705E15CB"/>
    <w:rsid w:val="705E673A"/>
    <w:rsid w:val="70667E9D"/>
    <w:rsid w:val="706F3E17"/>
    <w:rsid w:val="707931B3"/>
    <w:rsid w:val="707A263B"/>
    <w:rsid w:val="707B2DD9"/>
    <w:rsid w:val="7087774D"/>
    <w:rsid w:val="708A4345"/>
    <w:rsid w:val="708A49A6"/>
    <w:rsid w:val="70A6241A"/>
    <w:rsid w:val="70AA7970"/>
    <w:rsid w:val="70B60D2C"/>
    <w:rsid w:val="70CC5871"/>
    <w:rsid w:val="70D52D70"/>
    <w:rsid w:val="70D94A29"/>
    <w:rsid w:val="70DB058B"/>
    <w:rsid w:val="70DC5D3C"/>
    <w:rsid w:val="70DF10C9"/>
    <w:rsid w:val="70F74943"/>
    <w:rsid w:val="70FE0AA4"/>
    <w:rsid w:val="7110675A"/>
    <w:rsid w:val="711202F2"/>
    <w:rsid w:val="711969F6"/>
    <w:rsid w:val="71271FD6"/>
    <w:rsid w:val="712B484D"/>
    <w:rsid w:val="713A5BD8"/>
    <w:rsid w:val="7145308A"/>
    <w:rsid w:val="71463FA0"/>
    <w:rsid w:val="71475807"/>
    <w:rsid w:val="7150038C"/>
    <w:rsid w:val="71564493"/>
    <w:rsid w:val="715E4405"/>
    <w:rsid w:val="7160352C"/>
    <w:rsid w:val="716166E4"/>
    <w:rsid w:val="71682CE2"/>
    <w:rsid w:val="716910AD"/>
    <w:rsid w:val="716B5684"/>
    <w:rsid w:val="7171496E"/>
    <w:rsid w:val="717F2FF1"/>
    <w:rsid w:val="717F4621"/>
    <w:rsid w:val="71813981"/>
    <w:rsid w:val="71824559"/>
    <w:rsid w:val="71876421"/>
    <w:rsid w:val="7190488C"/>
    <w:rsid w:val="719763C1"/>
    <w:rsid w:val="71AA7A10"/>
    <w:rsid w:val="71AF474A"/>
    <w:rsid w:val="71B0505E"/>
    <w:rsid w:val="71B05742"/>
    <w:rsid w:val="71B154D1"/>
    <w:rsid w:val="71B7463E"/>
    <w:rsid w:val="71BA3CA2"/>
    <w:rsid w:val="71C55C09"/>
    <w:rsid w:val="71C57464"/>
    <w:rsid w:val="71C801AC"/>
    <w:rsid w:val="71CE6746"/>
    <w:rsid w:val="71D10718"/>
    <w:rsid w:val="71DD5FD7"/>
    <w:rsid w:val="71EE4C47"/>
    <w:rsid w:val="71F24B41"/>
    <w:rsid w:val="71FD29D5"/>
    <w:rsid w:val="71FF5B31"/>
    <w:rsid w:val="720753ED"/>
    <w:rsid w:val="720A114A"/>
    <w:rsid w:val="72185743"/>
    <w:rsid w:val="721A4208"/>
    <w:rsid w:val="72212765"/>
    <w:rsid w:val="722C2A2B"/>
    <w:rsid w:val="72332E93"/>
    <w:rsid w:val="72353514"/>
    <w:rsid w:val="723A241E"/>
    <w:rsid w:val="72421F01"/>
    <w:rsid w:val="72431997"/>
    <w:rsid w:val="724D1107"/>
    <w:rsid w:val="725324C2"/>
    <w:rsid w:val="7258416A"/>
    <w:rsid w:val="725E1ED9"/>
    <w:rsid w:val="72635703"/>
    <w:rsid w:val="72671B3E"/>
    <w:rsid w:val="72685C56"/>
    <w:rsid w:val="72691595"/>
    <w:rsid w:val="727464FF"/>
    <w:rsid w:val="7275116B"/>
    <w:rsid w:val="727521BA"/>
    <w:rsid w:val="72847C23"/>
    <w:rsid w:val="728A4658"/>
    <w:rsid w:val="728C3FF7"/>
    <w:rsid w:val="728E3854"/>
    <w:rsid w:val="72932669"/>
    <w:rsid w:val="72A77324"/>
    <w:rsid w:val="72AD097C"/>
    <w:rsid w:val="72B60761"/>
    <w:rsid w:val="72B8292C"/>
    <w:rsid w:val="72BE7342"/>
    <w:rsid w:val="72BF265D"/>
    <w:rsid w:val="72C1331D"/>
    <w:rsid w:val="72CC3FB4"/>
    <w:rsid w:val="72D027B4"/>
    <w:rsid w:val="72D10108"/>
    <w:rsid w:val="72D3008E"/>
    <w:rsid w:val="72D341E1"/>
    <w:rsid w:val="72DB1BDA"/>
    <w:rsid w:val="72E810A9"/>
    <w:rsid w:val="72E946C6"/>
    <w:rsid w:val="72EB4EF5"/>
    <w:rsid w:val="72EE23A5"/>
    <w:rsid w:val="72F17E54"/>
    <w:rsid w:val="72F94F07"/>
    <w:rsid w:val="72FF004B"/>
    <w:rsid w:val="73002B4A"/>
    <w:rsid w:val="73041A30"/>
    <w:rsid w:val="73085335"/>
    <w:rsid w:val="73225C7A"/>
    <w:rsid w:val="73243F55"/>
    <w:rsid w:val="73257351"/>
    <w:rsid w:val="73306F6C"/>
    <w:rsid w:val="7337589F"/>
    <w:rsid w:val="73380D80"/>
    <w:rsid w:val="733B2A56"/>
    <w:rsid w:val="734357EA"/>
    <w:rsid w:val="73480340"/>
    <w:rsid w:val="734873FD"/>
    <w:rsid w:val="73487BBA"/>
    <w:rsid w:val="734939BC"/>
    <w:rsid w:val="734E64C0"/>
    <w:rsid w:val="73532ACA"/>
    <w:rsid w:val="7358234B"/>
    <w:rsid w:val="73645854"/>
    <w:rsid w:val="736C4BBB"/>
    <w:rsid w:val="736E5323"/>
    <w:rsid w:val="73754AE7"/>
    <w:rsid w:val="73773AD5"/>
    <w:rsid w:val="737A5BF2"/>
    <w:rsid w:val="738C71DC"/>
    <w:rsid w:val="738D53C5"/>
    <w:rsid w:val="73A50389"/>
    <w:rsid w:val="73A6730C"/>
    <w:rsid w:val="73A868AC"/>
    <w:rsid w:val="73AB5CD8"/>
    <w:rsid w:val="73AD5CF9"/>
    <w:rsid w:val="73AF6DAD"/>
    <w:rsid w:val="73B503E9"/>
    <w:rsid w:val="73B94F56"/>
    <w:rsid w:val="73B9586A"/>
    <w:rsid w:val="73BF216A"/>
    <w:rsid w:val="73C043F9"/>
    <w:rsid w:val="73CA1A4F"/>
    <w:rsid w:val="73DB460F"/>
    <w:rsid w:val="73E41DA0"/>
    <w:rsid w:val="73E5056C"/>
    <w:rsid w:val="73EB686F"/>
    <w:rsid w:val="73EE31D0"/>
    <w:rsid w:val="73F85799"/>
    <w:rsid w:val="73FC02E5"/>
    <w:rsid w:val="740018F2"/>
    <w:rsid w:val="7407611E"/>
    <w:rsid w:val="740A5F5D"/>
    <w:rsid w:val="74152268"/>
    <w:rsid w:val="74165DD5"/>
    <w:rsid w:val="741B7106"/>
    <w:rsid w:val="741D2E7E"/>
    <w:rsid w:val="742D5B94"/>
    <w:rsid w:val="742E0EF1"/>
    <w:rsid w:val="743E0CE9"/>
    <w:rsid w:val="744659F8"/>
    <w:rsid w:val="744D719A"/>
    <w:rsid w:val="745011EF"/>
    <w:rsid w:val="7450324C"/>
    <w:rsid w:val="74600D1E"/>
    <w:rsid w:val="74617B54"/>
    <w:rsid w:val="746607EB"/>
    <w:rsid w:val="7469274D"/>
    <w:rsid w:val="74694DCB"/>
    <w:rsid w:val="74752ADC"/>
    <w:rsid w:val="74835824"/>
    <w:rsid w:val="748A520F"/>
    <w:rsid w:val="748B24F6"/>
    <w:rsid w:val="748D2F76"/>
    <w:rsid w:val="748D4D09"/>
    <w:rsid w:val="74960341"/>
    <w:rsid w:val="74A24942"/>
    <w:rsid w:val="74B12BC9"/>
    <w:rsid w:val="74B73F2E"/>
    <w:rsid w:val="74B9480F"/>
    <w:rsid w:val="74B97A40"/>
    <w:rsid w:val="74CF51B4"/>
    <w:rsid w:val="74D62E2A"/>
    <w:rsid w:val="74DD00C9"/>
    <w:rsid w:val="74E14CE6"/>
    <w:rsid w:val="74F907AE"/>
    <w:rsid w:val="74FE3FF3"/>
    <w:rsid w:val="75070FC5"/>
    <w:rsid w:val="750822FF"/>
    <w:rsid w:val="750F49C7"/>
    <w:rsid w:val="7510064F"/>
    <w:rsid w:val="75145563"/>
    <w:rsid w:val="751D2A0A"/>
    <w:rsid w:val="752948F3"/>
    <w:rsid w:val="75361388"/>
    <w:rsid w:val="753A4CDB"/>
    <w:rsid w:val="753B72B1"/>
    <w:rsid w:val="753D1E39"/>
    <w:rsid w:val="753F0F2E"/>
    <w:rsid w:val="753F43A6"/>
    <w:rsid w:val="75406BCB"/>
    <w:rsid w:val="7542675B"/>
    <w:rsid w:val="754348D3"/>
    <w:rsid w:val="754B46BC"/>
    <w:rsid w:val="75502DDF"/>
    <w:rsid w:val="755D0FB0"/>
    <w:rsid w:val="755F6FA4"/>
    <w:rsid w:val="75612737"/>
    <w:rsid w:val="756F149C"/>
    <w:rsid w:val="75731438"/>
    <w:rsid w:val="757C5EA0"/>
    <w:rsid w:val="757D6E87"/>
    <w:rsid w:val="758306C1"/>
    <w:rsid w:val="758E7F4B"/>
    <w:rsid w:val="75921035"/>
    <w:rsid w:val="75923943"/>
    <w:rsid w:val="75993311"/>
    <w:rsid w:val="759A405B"/>
    <w:rsid w:val="759B6E5E"/>
    <w:rsid w:val="759F30E3"/>
    <w:rsid w:val="75A52AE1"/>
    <w:rsid w:val="75AB281A"/>
    <w:rsid w:val="75AB2CE0"/>
    <w:rsid w:val="75AE200F"/>
    <w:rsid w:val="75AF6792"/>
    <w:rsid w:val="75B03F87"/>
    <w:rsid w:val="75BA5F45"/>
    <w:rsid w:val="75C0577E"/>
    <w:rsid w:val="75C62C1B"/>
    <w:rsid w:val="75CA20AA"/>
    <w:rsid w:val="75CD5603"/>
    <w:rsid w:val="75CD5E65"/>
    <w:rsid w:val="75D37EB4"/>
    <w:rsid w:val="75DC4E4E"/>
    <w:rsid w:val="75DF0EBA"/>
    <w:rsid w:val="75E37409"/>
    <w:rsid w:val="75E76E60"/>
    <w:rsid w:val="75E840CF"/>
    <w:rsid w:val="75E9497A"/>
    <w:rsid w:val="75EE3DE9"/>
    <w:rsid w:val="75EF708E"/>
    <w:rsid w:val="75F12252"/>
    <w:rsid w:val="75F87907"/>
    <w:rsid w:val="75F92B35"/>
    <w:rsid w:val="76013A8C"/>
    <w:rsid w:val="7606583F"/>
    <w:rsid w:val="760C5360"/>
    <w:rsid w:val="7612331F"/>
    <w:rsid w:val="761245C7"/>
    <w:rsid w:val="76144115"/>
    <w:rsid w:val="76155DFB"/>
    <w:rsid w:val="76182424"/>
    <w:rsid w:val="761C0595"/>
    <w:rsid w:val="761D1FD6"/>
    <w:rsid w:val="762D01A4"/>
    <w:rsid w:val="763D7808"/>
    <w:rsid w:val="763F764C"/>
    <w:rsid w:val="764171F3"/>
    <w:rsid w:val="7657262E"/>
    <w:rsid w:val="765D5ADB"/>
    <w:rsid w:val="76642C4E"/>
    <w:rsid w:val="766B70F0"/>
    <w:rsid w:val="766F4106"/>
    <w:rsid w:val="767074AE"/>
    <w:rsid w:val="7672732D"/>
    <w:rsid w:val="767353FC"/>
    <w:rsid w:val="76757EEE"/>
    <w:rsid w:val="767B4BA8"/>
    <w:rsid w:val="767C7BD2"/>
    <w:rsid w:val="767F20B9"/>
    <w:rsid w:val="768002AF"/>
    <w:rsid w:val="76862D87"/>
    <w:rsid w:val="76867411"/>
    <w:rsid w:val="768E301E"/>
    <w:rsid w:val="769833A6"/>
    <w:rsid w:val="76983579"/>
    <w:rsid w:val="76AA2387"/>
    <w:rsid w:val="76B05AAE"/>
    <w:rsid w:val="76B904ED"/>
    <w:rsid w:val="76BD73F0"/>
    <w:rsid w:val="76C43FE0"/>
    <w:rsid w:val="76C60A4B"/>
    <w:rsid w:val="76D51599"/>
    <w:rsid w:val="76D53DA3"/>
    <w:rsid w:val="76DD7F68"/>
    <w:rsid w:val="76DE7F3C"/>
    <w:rsid w:val="76DF06AC"/>
    <w:rsid w:val="76E8512C"/>
    <w:rsid w:val="76F6245B"/>
    <w:rsid w:val="76F63B70"/>
    <w:rsid w:val="76FE6937"/>
    <w:rsid w:val="77062A42"/>
    <w:rsid w:val="770F0CBA"/>
    <w:rsid w:val="77185996"/>
    <w:rsid w:val="77307C1A"/>
    <w:rsid w:val="773504DF"/>
    <w:rsid w:val="77360407"/>
    <w:rsid w:val="77371CE1"/>
    <w:rsid w:val="77396EC3"/>
    <w:rsid w:val="77417511"/>
    <w:rsid w:val="77465EDF"/>
    <w:rsid w:val="77497F62"/>
    <w:rsid w:val="774A4B86"/>
    <w:rsid w:val="774D0359"/>
    <w:rsid w:val="77504C08"/>
    <w:rsid w:val="775F113F"/>
    <w:rsid w:val="77625C8A"/>
    <w:rsid w:val="77692950"/>
    <w:rsid w:val="776A1DED"/>
    <w:rsid w:val="777B5C3F"/>
    <w:rsid w:val="777C610E"/>
    <w:rsid w:val="778547E6"/>
    <w:rsid w:val="77892900"/>
    <w:rsid w:val="778B6D15"/>
    <w:rsid w:val="7792058C"/>
    <w:rsid w:val="77921744"/>
    <w:rsid w:val="77967594"/>
    <w:rsid w:val="779A4C08"/>
    <w:rsid w:val="779C4B7D"/>
    <w:rsid w:val="77A02803"/>
    <w:rsid w:val="77A13495"/>
    <w:rsid w:val="77A61C12"/>
    <w:rsid w:val="77AA5CF6"/>
    <w:rsid w:val="77C026D2"/>
    <w:rsid w:val="77D06D79"/>
    <w:rsid w:val="77D84856"/>
    <w:rsid w:val="77DC4DFE"/>
    <w:rsid w:val="77E66914"/>
    <w:rsid w:val="77FA205E"/>
    <w:rsid w:val="77FB6D57"/>
    <w:rsid w:val="77FF5C6D"/>
    <w:rsid w:val="780654C9"/>
    <w:rsid w:val="78071006"/>
    <w:rsid w:val="780822B8"/>
    <w:rsid w:val="780C70CC"/>
    <w:rsid w:val="78140659"/>
    <w:rsid w:val="781B3883"/>
    <w:rsid w:val="781F18B1"/>
    <w:rsid w:val="781F615A"/>
    <w:rsid w:val="78217277"/>
    <w:rsid w:val="783469E8"/>
    <w:rsid w:val="784113AE"/>
    <w:rsid w:val="7843026D"/>
    <w:rsid w:val="78474AA4"/>
    <w:rsid w:val="78474CF0"/>
    <w:rsid w:val="78475F0F"/>
    <w:rsid w:val="784A17B9"/>
    <w:rsid w:val="78541CFA"/>
    <w:rsid w:val="785D2D53"/>
    <w:rsid w:val="785F5B4E"/>
    <w:rsid w:val="786448B8"/>
    <w:rsid w:val="786B1968"/>
    <w:rsid w:val="786C7C03"/>
    <w:rsid w:val="787640E0"/>
    <w:rsid w:val="787C09B4"/>
    <w:rsid w:val="787F1F9A"/>
    <w:rsid w:val="7882263E"/>
    <w:rsid w:val="78847DF0"/>
    <w:rsid w:val="788A3F5E"/>
    <w:rsid w:val="789B739E"/>
    <w:rsid w:val="789C22EE"/>
    <w:rsid w:val="789D1D08"/>
    <w:rsid w:val="78A30118"/>
    <w:rsid w:val="78AA507B"/>
    <w:rsid w:val="78B538D6"/>
    <w:rsid w:val="78B60E74"/>
    <w:rsid w:val="78BB4E05"/>
    <w:rsid w:val="78C23FF4"/>
    <w:rsid w:val="78C31E32"/>
    <w:rsid w:val="78C87131"/>
    <w:rsid w:val="78C96064"/>
    <w:rsid w:val="78CD48D3"/>
    <w:rsid w:val="78D12F30"/>
    <w:rsid w:val="78D53544"/>
    <w:rsid w:val="78DF4426"/>
    <w:rsid w:val="78EE2893"/>
    <w:rsid w:val="78EF207D"/>
    <w:rsid w:val="78F75557"/>
    <w:rsid w:val="79000D64"/>
    <w:rsid w:val="790C6B53"/>
    <w:rsid w:val="79101A72"/>
    <w:rsid w:val="791C338B"/>
    <w:rsid w:val="791D359B"/>
    <w:rsid w:val="79295AF4"/>
    <w:rsid w:val="79333E02"/>
    <w:rsid w:val="79443E97"/>
    <w:rsid w:val="79475917"/>
    <w:rsid w:val="79477DD7"/>
    <w:rsid w:val="79490307"/>
    <w:rsid w:val="794E169F"/>
    <w:rsid w:val="79557157"/>
    <w:rsid w:val="795D1806"/>
    <w:rsid w:val="795D6215"/>
    <w:rsid w:val="79607369"/>
    <w:rsid w:val="796E67E1"/>
    <w:rsid w:val="797C4859"/>
    <w:rsid w:val="79807949"/>
    <w:rsid w:val="7987049F"/>
    <w:rsid w:val="798F205B"/>
    <w:rsid w:val="7993435B"/>
    <w:rsid w:val="79A708D8"/>
    <w:rsid w:val="79BE1F5C"/>
    <w:rsid w:val="79C1402B"/>
    <w:rsid w:val="79C70918"/>
    <w:rsid w:val="79D35AC0"/>
    <w:rsid w:val="79DA2DBD"/>
    <w:rsid w:val="79DC0C72"/>
    <w:rsid w:val="79DF5429"/>
    <w:rsid w:val="79E17065"/>
    <w:rsid w:val="79E45726"/>
    <w:rsid w:val="79EF435C"/>
    <w:rsid w:val="79F17661"/>
    <w:rsid w:val="79F715FE"/>
    <w:rsid w:val="79FC457E"/>
    <w:rsid w:val="7A001FA2"/>
    <w:rsid w:val="7A010B37"/>
    <w:rsid w:val="7A0E5FCE"/>
    <w:rsid w:val="7A1106CF"/>
    <w:rsid w:val="7A122F34"/>
    <w:rsid w:val="7A153620"/>
    <w:rsid w:val="7A172FAA"/>
    <w:rsid w:val="7A1A043C"/>
    <w:rsid w:val="7A1F3ED7"/>
    <w:rsid w:val="7A231B5B"/>
    <w:rsid w:val="7A2528D9"/>
    <w:rsid w:val="7A26586C"/>
    <w:rsid w:val="7A2E61D0"/>
    <w:rsid w:val="7A2F428A"/>
    <w:rsid w:val="7A32134D"/>
    <w:rsid w:val="7A342BA2"/>
    <w:rsid w:val="7A364D66"/>
    <w:rsid w:val="7A414293"/>
    <w:rsid w:val="7A420297"/>
    <w:rsid w:val="7A49191A"/>
    <w:rsid w:val="7A4A1825"/>
    <w:rsid w:val="7A4E4644"/>
    <w:rsid w:val="7A554231"/>
    <w:rsid w:val="7A5C690A"/>
    <w:rsid w:val="7A693221"/>
    <w:rsid w:val="7A812789"/>
    <w:rsid w:val="7A841668"/>
    <w:rsid w:val="7A8C32BD"/>
    <w:rsid w:val="7A8D418E"/>
    <w:rsid w:val="7A8F5017"/>
    <w:rsid w:val="7A933BB6"/>
    <w:rsid w:val="7A997E53"/>
    <w:rsid w:val="7A9D14DC"/>
    <w:rsid w:val="7AA25CE2"/>
    <w:rsid w:val="7AA35FF4"/>
    <w:rsid w:val="7AAB1405"/>
    <w:rsid w:val="7AB03669"/>
    <w:rsid w:val="7AB14A87"/>
    <w:rsid w:val="7AB4796D"/>
    <w:rsid w:val="7AB90823"/>
    <w:rsid w:val="7ABD397C"/>
    <w:rsid w:val="7ABE32DF"/>
    <w:rsid w:val="7AC32807"/>
    <w:rsid w:val="7ACB41FD"/>
    <w:rsid w:val="7ACD00CD"/>
    <w:rsid w:val="7AD54757"/>
    <w:rsid w:val="7ADB58FD"/>
    <w:rsid w:val="7AE53BB1"/>
    <w:rsid w:val="7AEB4686"/>
    <w:rsid w:val="7B0F6249"/>
    <w:rsid w:val="7B104161"/>
    <w:rsid w:val="7B104C96"/>
    <w:rsid w:val="7B167A21"/>
    <w:rsid w:val="7B1975E6"/>
    <w:rsid w:val="7B1F78B3"/>
    <w:rsid w:val="7B292E7C"/>
    <w:rsid w:val="7B360837"/>
    <w:rsid w:val="7B450F0D"/>
    <w:rsid w:val="7B481FEF"/>
    <w:rsid w:val="7B585252"/>
    <w:rsid w:val="7B5D69B0"/>
    <w:rsid w:val="7B5E2180"/>
    <w:rsid w:val="7B61014D"/>
    <w:rsid w:val="7B6451DA"/>
    <w:rsid w:val="7B6A4A95"/>
    <w:rsid w:val="7B6B5252"/>
    <w:rsid w:val="7B6B5882"/>
    <w:rsid w:val="7B703C65"/>
    <w:rsid w:val="7B7D3EED"/>
    <w:rsid w:val="7B841933"/>
    <w:rsid w:val="7B8A76FE"/>
    <w:rsid w:val="7B8D0AB9"/>
    <w:rsid w:val="7B9B4F67"/>
    <w:rsid w:val="7BB178C8"/>
    <w:rsid w:val="7BB86EAB"/>
    <w:rsid w:val="7BBA2092"/>
    <w:rsid w:val="7BCA1E27"/>
    <w:rsid w:val="7BCF0701"/>
    <w:rsid w:val="7BD27FE6"/>
    <w:rsid w:val="7BE266EE"/>
    <w:rsid w:val="7BE9578E"/>
    <w:rsid w:val="7BF04735"/>
    <w:rsid w:val="7BF92C36"/>
    <w:rsid w:val="7C0673CB"/>
    <w:rsid w:val="7C0B3F04"/>
    <w:rsid w:val="7C0F60C1"/>
    <w:rsid w:val="7C10151B"/>
    <w:rsid w:val="7C1059A0"/>
    <w:rsid w:val="7C112C77"/>
    <w:rsid w:val="7C2B3E25"/>
    <w:rsid w:val="7C3200DA"/>
    <w:rsid w:val="7C33164A"/>
    <w:rsid w:val="7C3931AE"/>
    <w:rsid w:val="7C3B3F95"/>
    <w:rsid w:val="7C4941DB"/>
    <w:rsid w:val="7C570B9F"/>
    <w:rsid w:val="7C5B6D85"/>
    <w:rsid w:val="7C6072CD"/>
    <w:rsid w:val="7C6158D2"/>
    <w:rsid w:val="7C645576"/>
    <w:rsid w:val="7C6478EB"/>
    <w:rsid w:val="7C7B466F"/>
    <w:rsid w:val="7C84158F"/>
    <w:rsid w:val="7C8645F1"/>
    <w:rsid w:val="7C865830"/>
    <w:rsid w:val="7C8A7B34"/>
    <w:rsid w:val="7C8F0D2A"/>
    <w:rsid w:val="7C967288"/>
    <w:rsid w:val="7C9858B3"/>
    <w:rsid w:val="7C9C46F6"/>
    <w:rsid w:val="7C9C5C7D"/>
    <w:rsid w:val="7CA0185C"/>
    <w:rsid w:val="7CA46E82"/>
    <w:rsid w:val="7CAF1A9E"/>
    <w:rsid w:val="7CB53556"/>
    <w:rsid w:val="7CB9777E"/>
    <w:rsid w:val="7CC958B3"/>
    <w:rsid w:val="7CD6521B"/>
    <w:rsid w:val="7CDD7B09"/>
    <w:rsid w:val="7CE53E9F"/>
    <w:rsid w:val="7CE9125C"/>
    <w:rsid w:val="7CED11E6"/>
    <w:rsid w:val="7CEF602B"/>
    <w:rsid w:val="7CF25A8D"/>
    <w:rsid w:val="7CF65A5F"/>
    <w:rsid w:val="7D084433"/>
    <w:rsid w:val="7D150698"/>
    <w:rsid w:val="7D1A4E6C"/>
    <w:rsid w:val="7D1C5D5F"/>
    <w:rsid w:val="7D2109C3"/>
    <w:rsid w:val="7D225D18"/>
    <w:rsid w:val="7D246D1F"/>
    <w:rsid w:val="7D251A83"/>
    <w:rsid w:val="7D27550B"/>
    <w:rsid w:val="7D28479B"/>
    <w:rsid w:val="7D294F2C"/>
    <w:rsid w:val="7D2C3EB8"/>
    <w:rsid w:val="7D306EF0"/>
    <w:rsid w:val="7D356BD2"/>
    <w:rsid w:val="7D3827B6"/>
    <w:rsid w:val="7D3D4246"/>
    <w:rsid w:val="7D4B4365"/>
    <w:rsid w:val="7D5F5A7F"/>
    <w:rsid w:val="7D6140F7"/>
    <w:rsid w:val="7D626F1A"/>
    <w:rsid w:val="7D6B3726"/>
    <w:rsid w:val="7D6E38E5"/>
    <w:rsid w:val="7D7916AA"/>
    <w:rsid w:val="7D7C6613"/>
    <w:rsid w:val="7D811781"/>
    <w:rsid w:val="7D9C573E"/>
    <w:rsid w:val="7D9F1868"/>
    <w:rsid w:val="7D9F4D83"/>
    <w:rsid w:val="7DA37DB4"/>
    <w:rsid w:val="7DA42327"/>
    <w:rsid w:val="7DA8522E"/>
    <w:rsid w:val="7DAC1149"/>
    <w:rsid w:val="7DB54128"/>
    <w:rsid w:val="7DC720AD"/>
    <w:rsid w:val="7DCB72B9"/>
    <w:rsid w:val="7DD308F9"/>
    <w:rsid w:val="7DD32B47"/>
    <w:rsid w:val="7DD706F6"/>
    <w:rsid w:val="7DDA4461"/>
    <w:rsid w:val="7DE25FE7"/>
    <w:rsid w:val="7DE36997"/>
    <w:rsid w:val="7DE43BA2"/>
    <w:rsid w:val="7DE452AB"/>
    <w:rsid w:val="7DEC142F"/>
    <w:rsid w:val="7DEC7907"/>
    <w:rsid w:val="7DED0ADA"/>
    <w:rsid w:val="7DF13618"/>
    <w:rsid w:val="7DF26A78"/>
    <w:rsid w:val="7DF52776"/>
    <w:rsid w:val="7DFC5680"/>
    <w:rsid w:val="7DFC74B7"/>
    <w:rsid w:val="7DFD6251"/>
    <w:rsid w:val="7E046E5D"/>
    <w:rsid w:val="7E0A34B4"/>
    <w:rsid w:val="7E0B2D79"/>
    <w:rsid w:val="7E0D7CEB"/>
    <w:rsid w:val="7E12009E"/>
    <w:rsid w:val="7E131227"/>
    <w:rsid w:val="7E15008C"/>
    <w:rsid w:val="7E1556B2"/>
    <w:rsid w:val="7E175442"/>
    <w:rsid w:val="7E1E3D4A"/>
    <w:rsid w:val="7E20037D"/>
    <w:rsid w:val="7E261F19"/>
    <w:rsid w:val="7E2B4867"/>
    <w:rsid w:val="7E2F4658"/>
    <w:rsid w:val="7E333A34"/>
    <w:rsid w:val="7E3E6C40"/>
    <w:rsid w:val="7E48012E"/>
    <w:rsid w:val="7E502367"/>
    <w:rsid w:val="7E591E8C"/>
    <w:rsid w:val="7E5D0F66"/>
    <w:rsid w:val="7E6436D9"/>
    <w:rsid w:val="7E645D1F"/>
    <w:rsid w:val="7E66496E"/>
    <w:rsid w:val="7E6712B9"/>
    <w:rsid w:val="7E6818D0"/>
    <w:rsid w:val="7E6B746E"/>
    <w:rsid w:val="7E6C5AF4"/>
    <w:rsid w:val="7E714749"/>
    <w:rsid w:val="7E722019"/>
    <w:rsid w:val="7E736D77"/>
    <w:rsid w:val="7E851755"/>
    <w:rsid w:val="7E8F71DD"/>
    <w:rsid w:val="7E9006F1"/>
    <w:rsid w:val="7EA475EB"/>
    <w:rsid w:val="7EA50F1F"/>
    <w:rsid w:val="7EA61839"/>
    <w:rsid w:val="7EAC2109"/>
    <w:rsid w:val="7EB423A0"/>
    <w:rsid w:val="7EC42623"/>
    <w:rsid w:val="7EC42E50"/>
    <w:rsid w:val="7EC761DE"/>
    <w:rsid w:val="7EC7671E"/>
    <w:rsid w:val="7EC9775F"/>
    <w:rsid w:val="7ED12F69"/>
    <w:rsid w:val="7ED86ABB"/>
    <w:rsid w:val="7EDD7FCC"/>
    <w:rsid w:val="7EE8763B"/>
    <w:rsid w:val="7EEB692F"/>
    <w:rsid w:val="7EEC7C14"/>
    <w:rsid w:val="7EF2690C"/>
    <w:rsid w:val="7EF41353"/>
    <w:rsid w:val="7EF67910"/>
    <w:rsid w:val="7EFD6526"/>
    <w:rsid w:val="7F023750"/>
    <w:rsid w:val="7F032E80"/>
    <w:rsid w:val="7F0744C6"/>
    <w:rsid w:val="7F0A59FF"/>
    <w:rsid w:val="7F1629A1"/>
    <w:rsid w:val="7F180E39"/>
    <w:rsid w:val="7F1D43A7"/>
    <w:rsid w:val="7F25708B"/>
    <w:rsid w:val="7F257C12"/>
    <w:rsid w:val="7F2B7D50"/>
    <w:rsid w:val="7F2C0419"/>
    <w:rsid w:val="7F2C65EC"/>
    <w:rsid w:val="7F2F5774"/>
    <w:rsid w:val="7F3D27A1"/>
    <w:rsid w:val="7F3E14BF"/>
    <w:rsid w:val="7F4A6AF1"/>
    <w:rsid w:val="7F4D38DF"/>
    <w:rsid w:val="7F4F161C"/>
    <w:rsid w:val="7F50650B"/>
    <w:rsid w:val="7F583739"/>
    <w:rsid w:val="7F5B5D33"/>
    <w:rsid w:val="7F665E45"/>
    <w:rsid w:val="7F694F03"/>
    <w:rsid w:val="7F7C5289"/>
    <w:rsid w:val="7F846D22"/>
    <w:rsid w:val="7F850111"/>
    <w:rsid w:val="7F8830BD"/>
    <w:rsid w:val="7F8B1F0B"/>
    <w:rsid w:val="7F8E7E48"/>
    <w:rsid w:val="7F970D61"/>
    <w:rsid w:val="7F986B3B"/>
    <w:rsid w:val="7F9B559F"/>
    <w:rsid w:val="7FA749A7"/>
    <w:rsid w:val="7FA94B27"/>
    <w:rsid w:val="7FB02BC9"/>
    <w:rsid w:val="7FB1700B"/>
    <w:rsid w:val="7FB4708E"/>
    <w:rsid w:val="7FB816ED"/>
    <w:rsid w:val="7FBB7145"/>
    <w:rsid w:val="7FBF7EF1"/>
    <w:rsid w:val="7FC40F73"/>
    <w:rsid w:val="7FD02C91"/>
    <w:rsid w:val="7FDB7EC5"/>
    <w:rsid w:val="7FE717B3"/>
    <w:rsid w:val="7FEB3640"/>
    <w:rsid w:val="7FF60A2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qFormat="1" w:unhideWhenUsed="0" w:uiPriority="99" w:semiHidden="0" w:name="Date"/>
    <w:lsdException w:qFormat="1" w:unhideWhenUsed="0" w:uiPriority="0" w:semiHidden="0"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name="FollowedHyperlink"/>
    <w:lsdException w:qFormat="1" w:unhideWhenUsed="0" w:uiPriority="99" w:semiHidden="0" w:name="Strong"/>
    <w:lsdException w:qFormat="1" w:unhideWhenUsed="0" w:uiPriority="99"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qFormat="1" w:unhideWhenUsed="0" w:uiPriority="99" w:name="HTML Acronym"/>
    <w:lsdException w:uiPriority="99" w:name="HTML Address" w:locked="1"/>
    <w:lsdException w:qFormat="1" w:unhideWhenUsed="0" w:uiPriority="99" w:name="HTML Cite"/>
    <w:lsdException w:qFormat="1" w:unhideWhenUsed="0" w:uiPriority="99" w:name="HTML Code"/>
    <w:lsdException w:qFormat="1" w:unhideWhenUsed="0" w:uiPriority="99" w:name="HTML Definition"/>
    <w:lsdException w:qFormat="1" w:unhideWhenUsed="0" w:uiPriority="99" w:name="HTML Keyboard"/>
    <w:lsdException w:uiPriority="99" w:name="HTML Preformatted" w:locked="1"/>
    <w:lsdException w:qFormat="1" w:unhideWhenUsed="0" w:uiPriority="99" w:name="HTML Sample"/>
    <w:lsdException w:qFormat="1" w:unhideWhenUsed="0" w:uiPriority="99" w:name="HTML Typewriter"/>
    <w:lsdException w:qFormat="1" w:unhideWhenUsed="0" w:uiPriority="99" w:name="HTML Variable"/>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6"/>
    <w:qFormat/>
    <w:uiPriority w:val="99"/>
    <w:pPr>
      <w:keepNext/>
      <w:keepLines/>
      <w:spacing w:before="340" w:after="330" w:line="578" w:lineRule="auto"/>
      <w:outlineLvl w:val="0"/>
    </w:pPr>
    <w:rPr>
      <w:b/>
      <w:bCs/>
      <w:kern w:val="44"/>
      <w:sz w:val="44"/>
      <w:szCs w:val="44"/>
    </w:rPr>
  </w:style>
  <w:style w:type="paragraph" w:styleId="4">
    <w:name w:val="heading 2"/>
    <w:basedOn w:val="1"/>
    <w:next w:val="5"/>
    <w:link w:val="47"/>
    <w:qFormat/>
    <w:uiPriority w:val="99"/>
    <w:pPr>
      <w:keepNext/>
      <w:keepLines/>
      <w:outlineLvl w:val="1"/>
    </w:pPr>
    <w:rPr>
      <w:rFonts w:ascii="Cambria" w:hAnsi="Cambria"/>
      <w:b/>
      <w:bCs/>
      <w:sz w:val="30"/>
      <w:szCs w:val="32"/>
    </w:rPr>
  </w:style>
  <w:style w:type="paragraph" w:styleId="6">
    <w:name w:val="heading 3"/>
    <w:basedOn w:val="1"/>
    <w:next w:val="1"/>
    <w:link w:val="48"/>
    <w:qFormat/>
    <w:uiPriority w:val="99"/>
    <w:pPr>
      <w:keepNext/>
      <w:keepLines/>
      <w:spacing w:before="260" w:after="260" w:line="416" w:lineRule="auto"/>
      <w:outlineLvl w:val="2"/>
    </w:pPr>
    <w:rPr>
      <w:b/>
      <w:bCs/>
      <w:sz w:val="32"/>
      <w:szCs w:val="32"/>
    </w:rPr>
  </w:style>
  <w:style w:type="paragraph" w:styleId="7">
    <w:name w:val="heading 4"/>
    <w:basedOn w:val="1"/>
    <w:next w:val="1"/>
    <w:link w:val="49"/>
    <w:qFormat/>
    <w:uiPriority w:val="99"/>
    <w:pPr>
      <w:keepNext/>
      <w:keepLines/>
      <w:spacing w:before="280" w:after="290" w:line="376" w:lineRule="auto"/>
      <w:outlineLvl w:val="3"/>
    </w:pPr>
    <w:rPr>
      <w:rFonts w:ascii="Cambria" w:hAnsi="Cambria"/>
      <w:b/>
      <w:bCs/>
      <w:sz w:val="28"/>
      <w:szCs w:val="28"/>
    </w:rPr>
  </w:style>
  <w:style w:type="paragraph" w:styleId="8">
    <w:name w:val="heading 5"/>
    <w:basedOn w:val="1"/>
    <w:next w:val="1"/>
    <w:link w:val="50"/>
    <w:qFormat/>
    <w:uiPriority w:val="99"/>
    <w:pPr>
      <w:keepNext/>
      <w:keepLines/>
      <w:spacing w:before="280" w:after="290" w:line="376" w:lineRule="auto"/>
      <w:outlineLvl w:val="4"/>
    </w:pPr>
    <w:rPr>
      <w:b/>
      <w:bCs/>
      <w:sz w:val="28"/>
      <w:szCs w:val="28"/>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99"/>
    <w:pPr>
      <w:widowControl/>
      <w:autoSpaceDE w:val="0"/>
      <w:autoSpaceDN w:val="0"/>
      <w:adjustRightInd w:val="0"/>
      <w:spacing w:line="400" w:lineRule="exact"/>
      <w:jc w:val="left"/>
    </w:pPr>
    <w:rPr>
      <w:b/>
      <w:bCs/>
      <w:caps/>
      <w:kern w:val="0"/>
      <w:sz w:val="28"/>
      <w:lang w:val="zh-CN"/>
    </w:rPr>
  </w:style>
  <w:style w:type="paragraph" w:styleId="5">
    <w:name w:val="Normal Indent"/>
    <w:basedOn w:val="1"/>
    <w:link w:val="87"/>
    <w:qFormat/>
    <w:uiPriority w:val="99"/>
    <w:pPr>
      <w:adjustRightInd w:val="0"/>
      <w:spacing w:line="315" w:lineRule="atLeast"/>
      <w:ind w:firstLine="420"/>
      <w:jc w:val="left"/>
    </w:pPr>
    <w:rPr>
      <w:rFonts w:ascii="宋体"/>
      <w:kern w:val="0"/>
      <w:sz w:val="24"/>
      <w:szCs w:val="20"/>
    </w:rPr>
  </w:style>
  <w:style w:type="paragraph" w:styleId="9">
    <w:name w:val="toc 7"/>
    <w:basedOn w:val="1"/>
    <w:next w:val="1"/>
    <w:autoRedefine/>
    <w:qFormat/>
    <w:uiPriority w:val="99"/>
    <w:pPr>
      <w:ind w:left="2520" w:leftChars="1200"/>
    </w:pPr>
    <w:rPr>
      <w:rFonts w:ascii="Calibri" w:hAnsi="Calibri"/>
      <w:szCs w:val="22"/>
    </w:rPr>
  </w:style>
  <w:style w:type="paragraph" w:styleId="10">
    <w:name w:val="Body Text"/>
    <w:basedOn w:val="1"/>
    <w:link w:val="51"/>
    <w:qFormat/>
    <w:uiPriority w:val="99"/>
    <w:pPr>
      <w:spacing w:line="240" w:lineRule="atLeast"/>
    </w:pPr>
    <w:rPr>
      <w:b/>
      <w:sz w:val="30"/>
      <w:szCs w:val="20"/>
    </w:rPr>
  </w:style>
  <w:style w:type="paragraph" w:styleId="11">
    <w:name w:val="toc 5"/>
    <w:basedOn w:val="1"/>
    <w:next w:val="1"/>
    <w:autoRedefine/>
    <w:qFormat/>
    <w:uiPriority w:val="99"/>
    <w:pPr>
      <w:ind w:left="1680" w:leftChars="800"/>
    </w:pPr>
    <w:rPr>
      <w:rFonts w:ascii="Calibri" w:hAnsi="Calibri"/>
      <w:szCs w:val="22"/>
    </w:rPr>
  </w:style>
  <w:style w:type="paragraph" w:styleId="12">
    <w:name w:val="toc 3"/>
    <w:basedOn w:val="1"/>
    <w:next w:val="1"/>
    <w:qFormat/>
    <w:uiPriority w:val="99"/>
    <w:pPr>
      <w:ind w:left="840" w:leftChars="400"/>
    </w:pPr>
  </w:style>
  <w:style w:type="paragraph" w:styleId="13">
    <w:name w:val="Plain Text"/>
    <w:basedOn w:val="1"/>
    <w:link w:val="52"/>
    <w:autoRedefine/>
    <w:qFormat/>
    <w:uiPriority w:val="99"/>
    <w:rPr>
      <w:rFonts w:ascii="宋体" w:hAnsi="Courier New"/>
      <w:szCs w:val="21"/>
    </w:rPr>
  </w:style>
  <w:style w:type="paragraph" w:styleId="14">
    <w:name w:val="toc 8"/>
    <w:basedOn w:val="1"/>
    <w:next w:val="1"/>
    <w:autoRedefine/>
    <w:qFormat/>
    <w:uiPriority w:val="99"/>
    <w:pPr>
      <w:ind w:left="2940" w:leftChars="1400"/>
    </w:pPr>
    <w:rPr>
      <w:rFonts w:ascii="Calibri" w:hAnsi="Calibri"/>
      <w:szCs w:val="22"/>
    </w:rPr>
  </w:style>
  <w:style w:type="paragraph" w:styleId="15">
    <w:name w:val="Date"/>
    <w:basedOn w:val="1"/>
    <w:next w:val="1"/>
    <w:link w:val="53"/>
    <w:autoRedefine/>
    <w:qFormat/>
    <w:uiPriority w:val="99"/>
    <w:rPr>
      <w:b/>
      <w:sz w:val="24"/>
      <w:szCs w:val="20"/>
    </w:rPr>
  </w:style>
  <w:style w:type="paragraph" w:styleId="16">
    <w:name w:val="Body Text Indent 2"/>
    <w:basedOn w:val="1"/>
    <w:link w:val="54"/>
    <w:autoRedefine/>
    <w:semiHidden/>
    <w:qFormat/>
    <w:uiPriority w:val="99"/>
    <w:pPr>
      <w:spacing w:after="120" w:line="480" w:lineRule="auto"/>
      <w:ind w:left="420" w:leftChars="200"/>
    </w:pPr>
  </w:style>
  <w:style w:type="paragraph" w:styleId="17">
    <w:name w:val="Balloon Text"/>
    <w:basedOn w:val="1"/>
    <w:link w:val="55"/>
    <w:semiHidden/>
    <w:qFormat/>
    <w:uiPriority w:val="99"/>
    <w:rPr>
      <w:sz w:val="18"/>
      <w:szCs w:val="18"/>
    </w:rPr>
  </w:style>
  <w:style w:type="paragraph" w:styleId="18">
    <w:name w:val="footer"/>
    <w:basedOn w:val="1"/>
    <w:link w:val="56"/>
    <w:autoRedefine/>
    <w:qFormat/>
    <w:uiPriority w:val="99"/>
    <w:pPr>
      <w:tabs>
        <w:tab w:val="center" w:pos="4153"/>
        <w:tab w:val="right" w:pos="8306"/>
      </w:tabs>
      <w:snapToGrid w:val="0"/>
      <w:jc w:val="left"/>
    </w:pPr>
    <w:rPr>
      <w:sz w:val="18"/>
      <w:szCs w:val="18"/>
    </w:rPr>
  </w:style>
  <w:style w:type="paragraph" w:styleId="19">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0">
    <w:name w:val="toc 4"/>
    <w:basedOn w:val="1"/>
    <w:next w:val="1"/>
    <w:autoRedefine/>
    <w:qFormat/>
    <w:uiPriority w:val="99"/>
    <w:pPr>
      <w:ind w:left="1260" w:leftChars="600"/>
    </w:pPr>
    <w:rPr>
      <w:rFonts w:ascii="Calibri" w:hAnsi="Calibri"/>
      <w:szCs w:val="22"/>
    </w:rPr>
  </w:style>
  <w:style w:type="paragraph" w:styleId="21">
    <w:name w:val="Subtitle"/>
    <w:basedOn w:val="1"/>
    <w:next w:val="1"/>
    <w:link w:val="58"/>
    <w:autoRedefine/>
    <w:qFormat/>
    <w:uiPriority w:val="99"/>
    <w:pPr>
      <w:spacing w:before="240" w:after="60" w:line="312" w:lineRule="auto"/>
      <w:jc w:val="center"/>
      <w:outlineLvl w:val="1"/>
    </w:pPr>
    <w:rPr>
      <w:rFonts w:ascii="Cambria" w:hAnsi="Cambria"/>
      <w:b/>
      <w:bCs/>
      <w:kern w:val="28"/>
      <w:sz w:val="32"/>
      <w:szCs w:val="32"/>
    </w:rPr>
  </w:style>
  <w:style w:type="paragraph" w:styleId="22">
    <w:name w:val="List"/>
    <w:basedOn w:val="1"/>
    <w:autoRedefine/>
    <w:qFormat/>
    <w:uiPriority w:val="99"/>
    <w:pPr>
      <w:ind w:left="420" w:hanging="420"/>
    </w:pPr>
    <w:rPr>
      <w:rFonts w:ascii="Arial" w:hAnsi="Arial" w:eastAsia="楷体_GB2312"/>
      <w:sz w:val="28"/>
      <w:szCs w:val="20"/>
    </w:rPr>
  </w:style>
  <w:style w:type="paragraph" w:styleId="23">
    <w:name w:val="toc 6"/>
    <w:basedOn w:val="1"/>
    <w:next w:val="1"/>
    <w:autoRedefine/>
    <w:qFormat/>
    <w:uiPriority w:val="99"/>
    <w:pPr>
      <w:ind w:left="2100" w:leftChars="1000"/>
    </w:pPr>
    <w:rPr>
      <w:rFonts w:ascii="Calibri" w:hAnsi="Calibri"/>
      <w:szCs w:val="22"/>
    </w:rPr>
  </w:style>
  <w:style w:type="paragraph" w:styleId="24">
    <w:name w:val="Body Text Indent 3"/>
    <w:basedOn w:val="1"/>
    <w:link w:val="59"/>
    <w:autoRedefine/>
    <w:qFormat/>
    <w:uiPriority w:val="99"/>
    <w:pPr>
      <w:ind w:firstLine="570"/>
      <w:outlineLvl w:val="0"/>
    </w:pPr>
    <w:rPr>
      <w:rFonts w:ascii="宋体"/>
      <w:sz w:val="28"/>
      <w:szCs w:val="20"/>
    </w:rPr>
  </w:style>
  <w:style w:type="paragraph" w:styleId="25">
    <w:name w:val="toc 2"/>
    <w:basedOn w:val="1"/>
    <w:next w:val="1"/>
    <w:qFormat/>
    <w:uiPriority w:val="99"/>
    <w:pPr>
      <w:ind w:left="420" w:leftChars="200"/>
    </w:pPr>
  </w:style>
  <w:style w:type="paragraph" w:styleId="26">
    <w:name w:val="toc 9"/>
    <w:basedOn w:val="1"/>
    <w:next w:val="1"/>
    <w:qFormat/>
    <w:uiPriority w:val="99"/>
    <w:pPr>
      <w:ind w:left="3360" w:leftChars="1600"/>
    </w:pPr>
    <w:rPr>
      <w:rFonts w:ascii="Calibri" w:hAnsi="Calibri"/>
      <w:szCs w:val="22"/>
    </w:rPr>
  </w:style>
  <w:style w:type="paragraph" w:styleId="27">
    <w:name w:val="Normal (Web)"/>
    <w:basedOn w:val="1"/>
    <w:autoRedefine/>
    <w:qFormat/>
    <w:uiPriority w:val="99"/>
    <w:pPr>
      <w:spacing w:beforeAutospacing="1" w:afterAutospacing="1"/>
      <w:jc w:val="left"/>
    </w:pPr>
    <w:rPr>
      <w:kern w:val="0"/>
      <w:sz w:val="24"/>
    </w:rPr>
  </w:style>
  <w:style w:type="paragraph" w:styleId="28">
    <w:name w:val="Title"/>
    <w:basedOn w:val="1"/>
    <w:next w:val="1"/>
    <w:link w:val="60"/>
    <w:qFormat/>
    <w:uiPriority w:val="99"/>
    <w:pPr>
      <w:widowControl/>
      <w:spacing w:before="240" w:after="60"/>
      <w:jc w:val="center"/>
      <w:outlineLvl w:val="0"/>
    </w:pPr>
    <w:rPr>
      <w:rFonts w:ascii="Arial" w:hAnsi="Arial" w:cs="Arial"/>
      <w:b/>
      <w:bCs/>
      <w:kern w:val="0"/>
      <w:sz w:val="44"/>
      <w:szCs w:val="32"/>
    </w:rPr>
  </w:style>
  <w:style w:type="paragraph" w:styleId="29">
    <w:name w:val="Body Text First Indent"/>
    <w:basedOn w:val="10"/>
    <w:qFormat/>
    <w:locked/>
    <w:uiPriority w:val="0"/>
    <w:pPr>
      <w:ind w:firstLine="420" w:firstLineChars="100"/>
    </w:pPr>
  </w:style>
  <w:style w:type="table" w:styleId="31">
    <w:name w:val="Table Grid"/>
    <w:basedOn w:val="30"/>
    <w:autoRedefine/>
    <w:qFormat/>
    <w:uiPriority w:val="99"/>
    <w:rPr>
      <w:rFonts w:cs="Arial"/>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3">
    <w:name w:val="Strong"/>
    <w:basedOn w:val="32"/>
    <w:qFormat/>
    <w:uiPriority w:val="99"/>
    <w:rPr>
      <w:rFonts w:cs="Times New Roman"/>
      <w:b/>
    </w:rPr>
  </w:style>
  <w:style w:type="character" w:styleId="34">
    <w:name w:val="page number"/>
    <w:basedOn w:val="32"/>
    <w:qFormat/>
    <w:uiPriority w:val="99"/>
    <w:rPr>
      <w:rFonts w:cs="Times New Roman"/>
    </w:rPr>
  </w:style>
  <w:style w:type="character" w:styleId="35">
    <w:name w:val="FollowedHyperlink"/>
    <w:basedOn w:val="32"/>
    <w:semiHidden/>
    <w:qFormat/>
    <w:uiPriority w:val="99"/>
    <w:rPr>
      <w:rFonts w:cs="Times New Roman"/>
      <w:color w:val="800080"/>
      <w:u w:val="none"/>
    </w:rPr>
  </w:style>
  <w:style w:type="character" w:styleId="36">
    <w:name w:val="Emphasis"/>
    <w:basedOn w:val="32"/>
    <w:qFormat/>
    <w:uiPriority w:val="99"/>
    <w:rPr>
      <w:rFonts w:cs="Times New Roman"/>
      <w:b/>
    </w:rPr>
  </w:style>
  <w:style w:type="character" w:styleId="37">
    <w:name w:val="HTML Definition"/>
    <w:basedOn w:val="32"/>
    <w:semiHidden/>
    <w:qFormat/>
    <w:uiPriority w:val="99"/>
    <w:rPr>
      <w:rFonts w:cs="Times New Roman"/>
    </w:rPr>
  </w:style>
  <w:style w:type="character" w:styleId="38">
    <w:name w:val="HTML Typewriter"/>
    <w:basedOn w:val="32"/>
    <w:semiHidden/>
    <w:qFormat/>
    <w:uiPriority w:val="99"/>
    <w:rPr>
      <w:rFonts w:ascii="monospace" w:hAnsi="monospace" w:cs="monospace"/>
      <w:sz w:val="20"/>
    </w:rPr>
  </w:style>
  <w:style w:type="character" w:styleId="39">
    <w:name w:val="HTML Acronym"/>
    <w:basedOn w:val="32"/>
    <w:semiHidden/>
    <w:qFormat/>
    <w:uiPriority w:val="99"/>
    <w:rPr>
      <w:rFonts w:cs="Times New Roman"/>
    </w:rPr>
  </w:style>
  <w:style w:type="character" w:styleId="40">
    <w:name w:val="HTML Variable"/>
    <w:basedOn w:val="32"/>
    <w:semiHidden/>
    <w:qFormat/>
    <w:uiPriority w:val="99"/>
    <w:rPr>
      <w:rFonts w:cs="Times New Roman"/>
    </w:rPr>
  </w:style>
  <w:style w:type="character" w:styleId="41">
    <w:name w:val="Hyperlink"/>
    <w:basedOn w:val="32"/>
    <w:autoRedefine/>
    <w:qFormat/>
    <w:uiPriority w:val="99"/>
    <w:rPr>
      <w:rFonts w:cs="Times New Roman"/>
      <w:color w:val="0000FF"/>
      <w:u w:val="none"/>
    </w:rPr>
  </w:style>
  <w:style w:type="character" w:styleId="42">
    <w:name w:val="HTML Code"/>
    <w:basedOn w:val="32"/>
    <w:autoRedefine/>
    <w:semiHidden/>
    <w:qFormat/>
    <w:uiPriority w:val="99"/>
    <w:rPr>
      <w:rFonts w:ascii="monospace" w:hAnsi="monospace" w:cs="monospace"/>
      <w:sz w:val="20"/>
    </w:rPr>
  </w:style>
  <w:style w:type="character" w:styleId="43">
    <w:name w:val="HTML Cite"/>
    <w:basedOn w:val="32"/>
    <w:semiHidden/>
    <w:qFormat/>
    <w:uiPriority w:val="99"/>
    <w:rPr>
      <w:rFonts w:cs="Times New Roman"/>
    </w:rPr>
  </w:style>
  <w:style w:type="character" w:styleId="44">
    <w:name w:val="HTML Keyboard"/>
    <w:basedOn w:val="32"/>
    <w:autoRedefine/>
    <w:semiHidden/>
    <w:qFormat/>
    <w:uiPriority w:val="99"/>
    <w:rPr>
      <w:rFonts w:ascii="monospace" w:hAnsi="monospace" w:cs="monospace"/>
      <w:sz w:val="20"/>
    </w:rPr>
  </w:style>
  <w:style w:type="character" w:styleId="45">
    <w:name w:val="HTML Sample"/>
    <w:basedOn w:val="32"/>
    <w:semiHidden/>
    <w:qFormat/>
    <w:uiPriority w:val="99"/>
    <w:rPr>
      <w:rFonts w:ascii="monospace" w:hAnsi="monospace" w:cs="monospace"/>
    </w:rPr>
  </w:style>
  <w:style w:type="character" w:customStyle="1" w:styleId="46">
    <w:name w:val="标题 1 Char"/>
    <w:basedOn w:val="32"/>
    <w:link w:val="3"/>
    <w:autoRedefine/>
    <w:qFormat/>
    <w:locked/>
    <w:uiPriority w:val="99"/>
    <w:rPr>
      <w:rFonts w:ascii="Times New Roman" w:hAnsi="Times New Roman" w:eastAsia="宋体" w:cs="Times New Roman"/>
      <w:b/>
      <w:bCs/>
      <w:kern w:val="44"/>
      <w:sz w:val="44"/>
      <w:szCs w:val="44"/>
    </w:rPr>
  </w:style>
  <w:style w:type="character" w:customStyle="1" w:styleId="47">
    <w:name w:val="标题 2 Char"/>
    <w:basedOn w:val="32"/>
    <w:link w:val="4"/>
    <w:autoRedefine/>
    <w:qFormat/>
    <w:locked/>
    <w:uiPriority w:val="99"/>
    <w:rPr>
      <w:rFonts w:ascii="Cambria" w:hAnsi="Cambria" w:eastAsia="宋体" w:cs="Times New Roman"/>
      <w:b/>
      <w:bCs/>
      <w:sz w:val="32"/>
      <w:szCs w:val="32"/>
    </w:rPr>
  </w:style>
  <w:style w:type="character" w:customStyle="1" w:styleId="48">
    <w:name w:val="标题 3 Char"/>
    <w:basedOn w:val="32"/>
    <w:link w:val="6"/>
    <w:autoRedefine/>
    <w:qFormat/>
    <w:locked/>
    <w:uiPriority w:val="99"/>
    <w:rPr>
      <w:rFonts w:ascii="Times New Roman" w:hAnsi="Times New Roman" w:eastAsia="宋体" w:cs="Times New Roman"/>
      <w:b/>
      <w:bCs/>
      <w:sz w:val="32"/>
      <w:szCs w:val="32"/>
    </w:rPr>
  </w:style>
  <w:style w:type="character" w:customStyle="1" w:styleId="49">
    <w:name w:val="标题 4 Char"/>
    <w:basedOn w:val="32"/>
    <w:link w:val="7"/>
    <w:semiHidden/>
    <w:qFormat/>
    <w:locked/>
    <w:uiPriority w:val="99"/>
    <w:rPr>
      <w:rFonts w:ascii="Cambria" w:hAnsi="Cambria" w:eastAsia="宋体" w:cs="Times New Roman"/>
      <w:b/>
      <w:bCs/>
      <w:sz w:val="28"/>
      <w:szCs w:val="28"/>
    </w:rPr>
  </w:style>
  <w:style w:type="character" w:customStyle="1" w:styleId="50">
    <w:name w:val="标题 5 Char"/>
    <w:basedOn w:val="32"/>
    <w:link w:val="8"/>
    <w:semiHidden/>
    <w:qFormat/>
    <w:locked/>
    <w:uiPriority w:val="99"/>
    <w:rPr>
      <w:rFonts w:ascii="Times New Roman" w:hAnsi="Times New Roman" w:eastAsia="宋体" w:cs="Times New Roman"/>
      <w:b/>
      <w:bCs/>
      <w:sz w:val="28"/>
      <w:szCs w:val="28"/>
    </w:rPr>
  </w:style>
  <w:style w:type="character" w:customStyle="1" w:styleId="51">
    <w:name w:val="正文文本 Char1"/>
    <w:basedOn w:val="32"/>
    <w:link w:val="10"/>
    <w:autoRedefine/>
    <w:qFormat/>
    <w:locked/>
    <w:uiPriority w:val="99"/>
    <w:rPr>
      <w:rFonts w:ascii="Times New Roman" w:hAnsi="Times New Roman" w:eastAsia="宋体" w:cs="Times New Roman"/>
      <w:b/>
      <w:sz w:val="20"/>
      <w:szCs w:val="20"/>
    </w:rPr>
  </w:style>
  <w:style w:type="character" w:customStyle="1" w:styleId="52">
    <w:name w:val="纯文本 Char"/>
    <w:basedOn w:val="32"/>
    <w:link w:val="13"/>
    <w:autoRedefine/>
    <w:qFormat/>
    <w:locked/>
    <w:uiPriority w:val="99"/>
    <w:rPr>
      <w:rFonts w:ascii="宋体" w:hAnsi="Courier New" w:eastAsia="宋体" w:cs="Times New Roman"/>
      <w:sz w:val="21"/>
      <w:szCs w:val="21"/>
    </w:rPr>
  </w:style>
  <w:style w:type="character" w:customStyle="1" w:styleId="53">
    <w:name w:val="日期 Char1"/>
    <w:basedOn w:val="32"/>
    <w:link w:val="15"/>
    <w:autoRedefine/>
    <w:qFormat/>
    <w:locked/>
    <w:uiPriority w:val="99"/>
    <w:rPr>
      <w:rFonts w:ascii="Times New Roman" w:hAnsi="Times New Roman" w:eastAsia="宋体" w:cs="Times New Roman"/>
      <w:b/>
      <w:sz w:val="20"/>
      <w:szCs w:val="20"/>
    </w:rPr>
  </w:style>
  <w:style w:type="character" w:customStyle="1" w:styleId="54">
    <w:name w:val="正文文本缩进 2 Char"/>
    <w:basedOn w:val="32"/>
    <w:link w:val="16"/>
    <w:semiHidden/>
    <w:qFormat/>
    <w:locked/>
    <w:uiPriority w:val="99"/>
    <w:rPr>
      <w:rFonts w:ascii="Times New Roman" w:hAnsi="Times New Roman" w:eastAsia="宋体" w:cs="Times New Roman"/>
      <w:sz w:val="24"/>
      <w:szCs w:val="24"/>
    </w:rPr>
  </w:style>
  <w:style w:type="character" w:customStyle="1" w:styleId="55">
    <w:name w:val="批注框文本 Char"/>
    <w:basedOn w:val="32"/>
    <w:link w:val="17"/>
    <w:semiHidden/>
    <w:qFormat/>
    <w:locked/>
    <w:uiPriority w:val="99"/>
    <w:rPr>
      <w:rFonts w:ascii="Times New Roman" w:hAnsi="Times New Roman" w:eastAsia="宋体" w:cs="Times New Roman"/>
      <w:sz w:val="18"/>
      <w:szCs w:val="18"/>
    </w:rPr>
  </w:style>
  <w:style w:type="character" w:customStyle="1" w:styleId="56">
    <w:name w:val="页脚 Char"/>
    <w:basedOn w:val="32"/>
    <w:link w:val="18"/>
    <w:autoRedefine/>
    <w:qFormat/>
    <w:locked/>
    <w:uiPriority w:val="99"/>
    <w:rPr>
      <w:rFonts w:ascii="Times New Roman" w:hAnsi="Times New Roman" w:eastAsia="宋体" w:cs="Times New Roman"/>
      <w:sz w:val="18"/>
      <w:szCs w:val="18"/>
    </w:rPr>
  </w:style>
  <w:style w:type="character" w:customStyle="1" w:styleId="57">
    <w:name w:val="页眉 Char"/>
    <w:basedOn w:val="32"/>
    <w:link w:val="19"/>
    <w:autoRedefine/>
    <w:qFormat/>
    <w:locked/>
    <w:uiPriority w:val="99"/>
    <w:rPr>
      <w:rFonts w:ascii="Times New Roman" w:hAnsi="Times New Roman" w:eastAsia="宋体" w:cs="Times New Roman"/>
      <w:sz w:val="18"/>
      <w:szCs w:val="18"/>
    </w:rPr>
  </w:style>
  <w:style w:type="character" w:customStyle="1" w:styleId="58">
    <w:name w:val="副标题 Char"/>
    <w:basedOn w:val="32"/>
    <w:link w:val="21"/>
    <w:qFormat/>
    <w:locked/>
    <w:uiPriority w:val="99"/>
    <w:rPr>
      <w:rFonts w:ascii="Cambria" w:hAnsi="Cambria" w:eastAsia="宋体" w:cs="Times New Roman"/>
      <w:b/>
      <w:bCs/>
      <w:kern w:val="28"/>
      <w:sz w:val="32"/>
      <w:szCs w:val="32"/>
    </w:rPr>
  </w:style>
  <w:style w:type="character" w:customStyle="1" w:styleId="59">
    <w:name w:val="正文文本缩进 3 Char"/>
    <w:basedOn w:val="32"/>
    <w:link w:val="24"/>
    <w:autoRedefine/>
    <w:semiHidden/>
    <w:qFormat/>
    <w:locked/>
    <w:uiPriority w:val="99"/>
    <w:rPr>
      <w:rFonts w:cs="Times New Roman"/>
      <w:sz w:val="16"/>
      <w:szCs w:val="16"/>
    </w:rPr>
  </w:style>
  <w:style w:type="character" w:customStyle="1" w:styleId="60">
    <w:name w:val="标题 Char1"/>
    <w:basedOn w:val="32"/>
    <w:link w:val="28"/>
    <w:qFormat/>
    <w:locked/>
    <w:uiPriority w:val="99"/>
    <w:rPr>
      <w:rFonts w:ascii="Arial" w:hAnsi="Arial" w:eastAsia="宋体" w:cs="Arial"/>
      <w:b/>
      <w:bCs/>
      <w:kern w:val="0"/>
      <w:sz w:val="32"/>
      <w:szCs w:val="32"/>
    </w:rPr>
  </w:style>
  <w:style w:type="character" w:customStyle="1" w:styleId="61">
    <w:name w:val="正文文本 Char"/>
    <w:basedOn w:val="32"/>
    <w:autoRedefine/>
    <w:qFormat/>
    <w:uiPriority w:val="99"/>
    <w:rPr>
      <w:rFonts w:ascii="Times New Roman" w:hAnsi="Times New Roman" w:eastAsia="宋体" w:cs="Times New Roman"/>
      <w:sz w:val="24"/>
      <w:szCs w:val="24"/>
    </w:rPr>
  </w:style>
  <w:style w:type="character" w:customStyle="1" w:styleId="62">
    <w:name w:val="日期 Char"/>
    <w:basedOn w:val="32"/>
    <w:autoRedefine/>
    <w:qFormat/>
    <w:uiPriority w:val="99"/>
    <w:rPr>
      <w:rFonts w:ascii="Times New Roman" w:hAnsi="Times New Roman" w:eastAsia="宋体" w:cs="Times New Roman"/>
      <w:sz w:val="24"/>
      <w:szCs w:val="24"/>
    </w:rPr>
  </w:style>
  <w:style w:type="character" w:customStyle="1" w:styleId="63">
    <w:name w:val="标题 Char"/>
    <w:basedOn w:val="32"/>
    <w:autoRedefine/>
    <w:qFormat/>
    <w:uiPriority w:val="99"/>
    <w:rPr>
      <w:rFonts w:ascii="Cambria" w:hAnsi="Cambria" w:eastAsia="宋体" w:cs="Times New Roman"/>
      <w:b/>
      <w:bCs/>
      <w:sz w:val="32"/>
      <w:szCs w:val="32"/>
    </w:rPr>
  </w:style>
  <w:style w:type="paragraph" w:customStyle="1" w:styleId="64">
    <w:name w:val="p16"/>
    <w:basedOn w:val="1"/>
    <w:autoRedefine/>
    <w:qFormat/>
    <w:uiPriority w:val="99"/>
    <w:pPr>
      <w:widowControl/>
    </w:pPr>
    <w:rPr>
      <w:rFonts w:ascii="宋体" w:hAnsi="宋体" w:cs="宋体"/>
      <w:kern w:val="0"/>
      <w:szCs w:val="21"/>
    </w:rPr>
  </w:style>
  <w:style w:type="paragraph" w:customStyle="1" w:styleId="65">
    <w:name w:val="p15"/>
    <w:basedOn w:val="1"/>
    <w:autoRedefine/>
    <w:qFormat/>
    <w:uiPriority w:val="99"/>
    <w:pPr>
      <w:widowControl/>
    </w:pPr>
    <w:rPr>
      <w:rFonts w:ascii="宋体" w:hAnsi="宋体" w:cs="宋体"/>
      <w:kern w:val="0"/>
      <w:szCs w:val="21"/>
    </w:rPr>
  </w:style>
  <w:style w:type="paragraph" w:customStyle="1" w:styleId="66">
    <w:name w:val="p17"/>
    <w:basedOn w:val="1"/>
    <w:qFormat/>
    <w:uiPriority w:val="99"/>
    <w:pPr>
      <w:widowControl/>
    </w:pPr>
    <w:rPr>
      <w:kern w:val="0"/>
      <w:szCs w:val="21"/>
    </w:rPr>
  </w:style>
  <w:style w:type="paragraph" w:customStyle="1" w:styleId="67">
    <w:name w:val="p0"/>
    <w:basedOn w:val="1"/>
    <w:qFormat/>
    <w:uiPriority w:val="99"/>
    <w:pPr>
      <w:widowControl/>
    </w:pPr>
  </w:style>
  <w:style w:type="paragraph" w:customStyle="1" w:styleId="68">
    <w:name w:val="正文 New New New New"/>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9">
    <w:name w:val="列出段落1"/>
    <w:basedOn w:val="1"/>
    <w:qFormat/>
    <w:uiPriority w:val="99"/>
    <w:pPr>
      <w:ind w:firstLine="420" w:firstLineChars="200"/>
    </w:pPr>
    <w:rPr>
      <w:rFonts w:ascii="Calibri" w:hAnsi="Calibri"/>
      <w:szCs w:val="22"/>
    </w:rPr>
  </w:style>
  <w:style w:type="character" w:customStyle="1" w:styleId="70">
    <w:name w:val="Footer Char1"/>
    <w:autoRedefine/>
    <w:semiHidden/>
    <w:qFormat/>
    <w:locked/>
    <w:uiPriority w:val="99"/>
    <w:rPr>
      <w:kern w:val="2"/>
      <w:sz w:val="18"/>
    </w:rPr>
  </w:style>
  <w:style w:type="character" w:customStyle="1" w:styleId="71">
    <w:name w:val="Header Char1"/>
    <w:autoRedefine/>
    <w:semiHidden/>
    <w:qFormat/>
    <w:locked/>
    <w:uiPriority w:val="99"/>
    <w:rPr>
      <w:kern w:val="2"/>
      <w:sz w:val="18"/>
    </w:rPr>
  </w:style>
  <w:style w:type="character" w:customStyle="1" w:styleId="72">
    <w:name w:val="Plain Text Char1"/>
    <w:autoRedefine/>
    <w:semiHidden/>
    <w:qFormat/>
    <w:locked/>
    <w:uiPriority w:val="99"/>
    <w:rPr>
      <w:rFonts w:ascii="宋体" w:hAnsi="Courier New"/>
      <w:kern w:val="2"/>
      <w:sz w:val="21"/>
    </w:rPr>
  </w:style>
  <w:style w:type="character" w:customStyle="1" w:styleId="73">
    <w:name w:val="ca-01"/>
    <w:autoRedefine/>
    <w:qFormat/>
    <w:uiPriority w:val="99"/>
    <w:rPr>
      <w:rFonts w:ascii="宋体" w:hAnsi="宋体" w:eastAsia="宋体"/>
      <w:sz w:val="21"/>
    </w:rPr>
  </w:style>
  <w:style w:type="paragraph" w:styleId="74">
    <w:name w:val="List Paragraph"/>
    <w:basedOn w:val="1"/>
    <w:qFormat/>
    <w:uiPriority w:val="99"/>
    <w:pPr>
      <w:ind w:firstLine="420" w:firstLineChars="200"/>
    </w:pPr>
    <w:rPr>
      <w:rFonts w:ascii="Calibri" w:hAnsi="Calibri"/>
      <w:szCs w:val="22"/>
    </w:rPr>
  </w:style>
  <w:style w:type="paragraph" w:customStyle="1" w:styleId="75">
    <w:name w:val="_Style 2"/>
    <w:basedOn w:val="1"/>
    <w:autoRedefine/>
    <w:qFormat/>
    <w:uiPriority w:val="99"/>
    <w:pPr>
      <w:ind w:firstLine="420" w:firstLineChars="200"/>
    </w:pPr>
    <w:rPr>
      <w:szCs w:val="20"/>
    </w:rPr>
  </w:style>
  <w:style w:type="paragraph" w:customStyle="1" w:styleId="76">
    <w:name w:val="列出段落2"/>
    <w:basedOn w:val="1"/>
    <w:qFormat/>
    <w:uiPriority w:val="99"/>
    <w:pPr>
      <w:ind w:firstLine="420" w:firstLineChars="200"/>
    </w:pPr>
    <w:rPr>
      <w:rFonts w:ascii="Calibri" w:hAnsi="Calibri"/>
      <w:szCs w:val="22"/>
    </w:rPr>
  </w:style>
  <w:style w:type="character" w:customStyle="1" w:styleId="77">
    <w:name w:val="font41"/>
    <w:basedOn w:val="32"/>
    <w:qFormat/>
    <w:uiPriority w:val="99"/>
    <w:rPr>
      <w:rFonts w:ascii="宋体" w:hAnsi="宋体" w:eastAsia="宋体" w:cs="宋体"/>
      <w:b/>
      <w:color w:val="000000"/>
      <w:sz w:val="24"/>
      <w:szCs w:val="24"/>
      <w:u w:val="none"/>
    </w:rPr>
  </w:style>
  <w:style w:type="character" w:customStyle="1" w:styleId="78">
    <w:name w:val="font21"/>
    <w:basedOn w:val="32"/>
    <w:autoRedefine/>
    <w:qFormat/>
    <w:uiPriority w:val="99"/>
    <w:rPr>
      <w:rFonts w:ascii="宋体" w:hAnsi="宋体" w:eastAsia="宋体" w:cs="宋体"/>
      <w:color w:val="000000"/>
      <w:sz w:val="21"/>
      <w:szCs w:val="21"/>
      <w:u w:val="none"/>
    </w:rPr>
  </w:style>
  <w:style w:type="character" w:customStyle="1" w:styleId="79">
    <w:name w:val="font81"/>
    <w:basedOn w:val="32"/>
    <w:qFormat/>
    <w:uiPriority w:val="99"/>
    <w:rPr>
      <w:rFonts w:ascii="Times New Roman" w:hAnsi="Times New Roman" w:cs="Times New Roman"/>
      <w:color w:val="000000"/>
      <w:sz w:val="21"/>
      <w:szCs w:val="21"/>
      <w:u w:val="none"/>
    </w:rPr>
  </w:style>
  <w:style w:type="character" w:customStyle="1" w:styleId="80">
    <w:name w:val="font11"/>
    <w:basedOn w:val="32"/>
    <w:qFormat/>
    <w:uiPriority w:val="99"/>
    <w:rPr>
      <w:rFonts w:ascii="宋体" w:hAnsi="宋体" w:eastAsia="宋体" w:cs="宋体"/>
      <w:b/>
      <w:color w:val="000000"/>
      <w:sz w:val="21"/>
      <w:szCs w:val="21"/>
      <w:u w:val="none"/>
    </w:rPr>
  </w:style>
  <w:style w:type="character" w:customStyle="1" w:styleId="81">
    <w:name w:val="font91"/>
    <w:basedOn w:val="32"/>
    <w:autoRedefine/>
    <w:qFormat/>
    <w:uiPriority w:val="99"/>
    <w:rPr>
      <w:rFonts w:ascii="Calibri" w:hAnsi="Calibri" w:cs="Calibri"/>
      <w:color w:val="000000"/>
      <w:sz w:val="21"/>
      <w:szCs w:val="21"/>
      <w:u w:val="none"/>
    </w:rPr>
  </w:style>
  <w:style w:type="character" w:customStyle="1" w:styleId="82">
    <w:name w:val="font31"/>
    <w:basedOn w:val="32"/>
    <w:autoRedefine/>
    <w:qFormat/>
    <w:uiPriority w:val="99"/>
    <w:rPr>
      <w:rFonts w:ascii="宋体" w:hAnsi="宋体" w:eastAsia="宋体" w:cs="宋体"/>
      <w:color w:val="000000"/>
      <w:sz w:val="21"/>
      <w:szCs w:val="21"/>
      <w:u w:val="none"/>
    </w:rPr>
  </w:style>
  <w:style w:type="character" w:customStyle="1" w:styleId="83">
    <w:name w:val="font71"/>
    <w:basedOn w:val="32"/>
    <w:autoRedefine/>
    <w:qFormat/>
    <w:uiPriority w:val="99"/>
    <w:rPr>
      <w:rFonts w:ascii="Times New Roman" w:hAnsi="Times New Roman" w:cs="Times New Roman"/>
      <w:color w:val="000000"/>
      <w:sz w:val="21"/>
      <w:szCs w:val="21"/>
      <w:u w:val="none"/>
    </w:rPr>
  </w:style>
  <w:style w:type="paragraph" w:customStyle="1" w:styleId="84">
    <w:name w:val="样式 标题 2 + Times New Roman 四号 非加粗 段前: 5 磅 段后: 0 磅 行距: 固定值 20..."/>
    <w:basedOn w:val="4"/>
    <w:qFormat/>
    <w:uiPriority w:val="99"/>
    <w:pPr>
      <w:spacing w:before="100" w:line="400" w:lineRule="exact"/>
    </w:pPr>
    <w:rPr>
      <w:rFonts w:ascii="Times New Roman" w:hAnsi="Times New Roman" w:eastAsia="黑体" w:cs="宋体"/>
      <w:b w:val="0"/>
      <w:bCs w:val="0"/>
      <w:sz w:val="28"/>
      <w:szCs w:val="20"/>
    </w:rPr>
  </w:style>
  <w:style w:type="paragraph" w:customStyle="1" w:styleId="85">
    <w:name w:val="样式 标题 3 + (中文) 黑体 小四 非加粗 段前: 7.8 磅 段后: 0 磅 行距: 固定值 20 磅"/>
    <w:basedOn w:val="6"/>
    <w:qFormat/>
    <w:uiPriority w:val="99"/>
    <w:pPr>
      <w:tabs>
        <w:tab w:val="left" w:pos="720"/>
      </w:tabs>
      <w:spacing w:before="0" w:after="0" w:line="400" w:lineRule="exact"/>
    </w:pPr>
    <w:rPr>
      <w:rFonts w:eastAsia="黑体" w:cs="宋体"/>
      <w:b w:val="0"/>
      <w:bCs w:val="0"/>
      <w:sz w:val="24"/>
      <w:szCs w:val="20"/>
    </w:rPr>
  </w:style>
  <w:style w:type="paragraph" w:customStyle="1" w:styleId="86">
    <w:name w:val="表格"/>
    <w:basedOn w:val="1"/>
    <w:qFormat/>
    <w:uiPriority w:val="99"/>
    <w:pPr>
      <w:jc w:val="center"/>
    </w:pPr>
    <w:rPr>
      <w:rFonts w:cs="仿宋"/>
      <w:szCs w:val="30"/>
    </w:rPr>
  </w:style>
  <w:style w:type="character" w:customStyle="1" w:styleId="87">
    <w:name w:val="正文缩进 Char"/>
    <w:link w:val="5"/>
    <w:qFormat/>
    <w:locked/>
    <w:uiPriority w:val="99"/>
    <w:rPr>
      <w:rFonts w:ascii="宋体" w:hAnsi="Times New Roman" w:eastAsia="宋体"/>
      <w:kern w:val="0"/>
      <w:sz w:val="24"/>
    </w:rPr>
  </w:style>
  <w:style w:type="paragraph" w:customStyle="1" w:styleId="88">
    <w:name w:val="È¡ÀÊ¡ÎÄ¡À¾"/>
    <w:basedOn w:val="1"/>
    <w:qFormat/>
    <w:uiPriority w:val="99"/>
    <w:pPr>
      <w:widowControl/>
      <w:overflowPunct w:val="0"/>
      <w:autoSpaceDE w:val="0"/>
      <w:autoSpaceDN w:val="0"/>
      <w:adjustRightInd w:val="0"/>
      <w:jc w:val="left"/>
      <w:textAlignment w:val="baseline"/>
    </w:pPr>
    <w:rPr>
      <w:kern w:val="0"/>
      <w:sz w:val="24"/>
      <w:szCs w:val="20"/>
    </w:rPr>
  </w:style>
  <w:style w:type="character" w:customStyle="1" w:styleId="89">
    <w:name w:val="param-name"/>
    <w:basedOn w:val="32"/>
    <w:qFormat/>
    <w:uiPriority w:val="99"/>
    <w:rPr>
      <w:rFonts w:cs="Times New Roman"/>
    </w:rPr>
  </w:style>
  <w:style w:type="paragraph" w:customStyle="1" w:styleId="90">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character" w:customStyle="1" w:styleId="91">
    <w:name w:val="font01"/>
    <w:basedOn w:val="32"/>
    <w:autoRedefine/>
    <w:qFormat/>
    <w:uiPriority w:val="99"/>
    <w:rPr>
      <w:rFonts w:ascii="Arial" w:hAnsi="Arial" w:cs="Arial"/>
      <w:color w:val="000000"/>
      <w:sz w:val="22"/>
      <w:szCs w:val="22"/>
      <w:u w:val="none"/>
    </w:rPr>
  </w:style>
  <w:style w:type="paragraph" w:customStyle="1" w:styleId="92">
    <w:name w:val="样式3"/>
    <w:basedOn w:val="13"/>
    <w:qFormat/>
    <w:uiPriority w:val="99"/>
    <w:pPr>
      <w:spacing w:line="240" w:lineRule="atLeast"/>
      <w:outlineLvl w:val="0"/>
    </w:pPr>
    <w:rPr>
      <w:rFonts w:cs="宋体"/>
      <w:sz w:val="28"/>
      <w:szCs w:val="28"/>
    </w:rPr>
  </w:style>
  <w:style w:type="paragraph" w:customStyle="1" w:styleId="93">
    <w:name w:val="Table Paragraph"/>
    <w:basedOn w:val="1"/>
    <w:autoRedefine/>
    <w:qFormat/>
    <w:uiPriority w:val="99"/>
  </w:style>
  <w:style w:type="character" w:customStyle="1" w:styleId="94">
    <w:name w:val="font141"/>
    <w:basedOn w:val="32"/>
    <w:qFormat/>
    <w:uiPriority w:val="0"/>
    <w:rPr>
      <w:rFonts w:hint="eastAsia" w:ascii="宋体" w:hAnsi="宋体" w:eastAsia="宋体" w:cs="宋体"/>
      <w:color w:val="000000"/>
      <w:sz w:val="16"/>
      <w:szCs w:val="16"/>
      <w:u w:val="none"/>
    </w:rPr>
  </w:style>
  <w:style w:type="character" w:customStyle="1" w:styleId="95">
    <w:name w:val="font101"/>
    <w:basedOn w:val="32"/>
    <w:autoRedefine/>
    <w:qFormat/>
    <w:uiPriority w:val="0"/>
    <w:rPr>
      <w:rFonts w:hint="default" w:ascii="Symbol" w:hAnsi="Symbol" w:cs="Symbol"/>
      <w:color w:val="000000"/>
      <w:sz w:val="16"/>
      <w:szCs w:val="16"/>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wimxt.com</Company>
  <Pages>54</Pages>
  <Words>3935</Words>
  <Characters>4446</Characters>
  <Lines>66</Lines>
  <Paragraphs>81</Paragraphs>
  <TotalTime>148</TotalTime>
  <ScaleCrop>false</ScaleCrop>
  <LinksUpToDate>false</LinksUpToDate>
  <CharactersWithSpaces>4503</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2019-06-27T09:11:00Z</dcterms:created>
  <dc:creator>xb21cn</dc:creator>
  <cp:lastModifiedBy>Admin</cp:lastModifiedBy>
  <cp:lastPrinted>2020-09-01T03:30:00Z</cp:lastPrinted>
  <dcterms:modified xsi:type="dcterms:W3CDTF">2025-03-31T02:32:50Z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C28F311420BB4B7E8A9C3402180F5614</vt:lpwstr>
  </property>
  <property fmtid="{D5CDD505-2E9C-101B-9397-08002B2CF9AE}" pid="4" name="KSOTemplateDocerSaveRecord">
    <vt:lpwstr>eyJoZGlkIjoiNzQxMTVjZjBjMjQ5NDQzM2M0ZGVhOGFkNDdhZjgzZDAiLCJ1c2VySWQiOiIyNzYzMjk1NzkifQ==</vt:lpwstr>
  </property>
</Properties>
</file>