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88CE5">
      <w:pPr>
        <w:jc w:val="center"/>
        <w:rPr>
          <w:rFonts w:hint="eastAsia"/>
          <w:b/>
          <w:color w:val="000000"/>
          <w:kern w:val="0"/>
          <w:sz w:val="44"/>
          <w:szCs w:val="44"/>
          <w:highlight w:val="none"/>
        </w:rPr>
      </w:pPr>
      <w:bookmarkStart w:id="0" w:name="_Toc21816"/>
      <w:bookmarkStart w:id="1" w:name="_Hlk193877988"/>
      <w:r>
        <w:rPr>
          <w:rFonts w:hint="eastAsia"/>
          <w:b/>
          <w:color w:val="000000"/>
          <w:kern w:val="0"/>
          <w:sz w:val="44"/>
          <w:szCs w:val="44"/>
          <w:highlight w:val="none"/>
        </w:rPr>
        <w:t>自治区第六人民医院信息系统（HIS、EMR、集成平台等）升级改造建设项目</w:t>
      </w:r>
    </w:p>
    <w:p w14:paraId="1EA21798">
      <w:pPr>
        <w:jc w:val="center"/>
        <w:rPr>
          <w:rFonts w:hint="eastAsia"/>
          <w:b/>
          <w:color w:val="000000"/>
          <w:kern w:val="0"/>
          <w:sz w:val="52"/>
          <w:szCs w:val="44"/>
          <w:highlight w:val="none"/>
        </w:rPr>
      </w:pPr>
    </w:p>
    <w:p w14:paraId="4B6FD2FF">
      <w:pPr>
        <w:jc w:val="center"/>
        <w:rPr>
          <w:rFonts w:hint="eastAsia"/>
          <w:b/>
          <w:color w:val="000000"/>
          <w:sz w:val="30"/>
          <w:szCs w:val="30"/>
          <w:highlight w:val="none"/>
        </w:rPr>
      </w:pPr>
      <w:r>
        <w:rPr>
          <w:b/>
          <w:color w:val="000000"/>
          <w:sz w:val="84"/>
          <w:szCs w:val="84"/>
          <w:highlight w:val="none"/>
        </w:rPr>
        <w:t>招标文件</w:t>
      </w:r>
    </w:p>
    <w:p w14:paraId="1BFE63FF">
      <w:pPr>
        <w:ind w:firstLine="904" w:firstLineChars="300"/>
        <w:rPr>
          <w:rFonts w:hint="eastAsia"/>
          <w:b/>
          <w:color w:val="000000"/>
          <w:sz w:val="30"/>
          <w:szCs w:val="30"/>
          <w:highlight w:val="none"/>
        </w:rPr>
      </w:pPr>
      <w:r>
        <w:rPr>
          <w:b/>
          <w:color w:val="000000"/>
          <w:sz w:val="30"/>
          <w:szCs w:val="30"/>
          <w:highlight w:val="none"/>
        </w:rPr>
        <w:t xml:space="preserve">                    </w:t>
      </w:r>
    </w:p>
    <w:p w14:paraId="094EDB92">
      <w:pPr>
        <w:ind w:firstLine="904" w:firstLineChars="300"/>
        <w:rPr>
          <w:rFonts w:hint="eastAsia"/>
          <w:b/>
          <w:color w:val="000000"/>
          <w:sz w:val="30"/>
          <w:szCs w:val="30"/>
          <w:highlight w:val="none"/>
        </w:rPr>
      </w:pPr>
    </w:p>
    <w:p w14:paraId="314A30C7">
      <w:pPr>
        <w:jc w:val="center"/>
        <w:rPr>
          <w:rFonts w:hint="eastAsia"/>
          <w:color w:val="000000"/>
          <w:highlight w:val="none"/>
        </w:rPr>
      </w:pPr>
      <w:r>
        <w:rPr>
          <w:color w:val="000000"/>
          <w:highlight w:val="none"/>
        </w:rPr>
        <w:drawing>
          <wp:inline distT="0" distB="0" distL="0" distR="0">
            <wp:extent cx="2771775" cy="3057525"/>
            <wp:effectExtent l="0" t="0" r="9525" b="9525"/>
            <wp:docPr id="9400289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28995" name="图片 1"/>
                    <pic:cNvPicPr>
                      <a:picLocks noChangeAspect="1" noChangeArrowheads="1"/>
                    </pic:cNvPicPr>
                  </pic:nvPicPr>
                  <pic:blipFill>
                    <a:blip r:embed="rId19">
                      <a:lum contrast="20000"/>
                      <a:extLst>
                        <a:ext uri="{28A0092B-C50C-407E-A947-70E740481C1C}">
                          <a14:useLocalDpi xmlns:a14="http://schemas.microsoft.com/office/drawing/2010/main" val="0"/>
                        </a:ext>
                      </a:extLst>
                    </a:blip>
                    <a:srcRect/>
                    <a:stretch>
                      <a:fillRect/>
                    </a:stretch>
                  </pic:blipFill>
                  <pic:spPr>
                    <a:xfrm>
                      <a:off x="0" y="0"/>
                      <a:ext cx="2771775" cy="3057525"/>
                    </a:xfrm>
                    <a:prstGeom prst="rect">
                      <a:avLst/>
                    </a:prstGeom>
                    <a:noFill/>
                    <a:ln>
                      <a:noFill/>
                    </a:ln>
                  </pic:spPr>
                </pic:pic>
              </a:graphicData>
            </a:graphic>
          </wp:inline>
        </w:drawing>
      </w:r>
    </w:p>
    <w:p w14:paraId="063E19BD">
      <w:pPr>
        <w:jc w:val="center"/>
        <w:rPr>
          <w:rFonts w:hint="eastAsia"/>
          <w:color w:val="000000"/>
          <w:highlight w:val="none"/>
        </w:rPr>
      </w:pPr>
    </w:p>
    <w:p w14:paraId="176E1A2A">
      <w:pPr>
        <w:jc w:val="center"/>
        <w:rPr>
          <w:rFonts w:hint="eastAsia"/>
          <w:b/>
          <w:color w:val="000000"/>
          <w:highlight w:val="none"/>
        </w:rPr>
      </w:pPr>
    </w:p>
    <w:p w14:paraId="75EE8111">
      <w:pPr>
        <w:pStyle w:val="24"/>
        <w:adjustRightInd w:val="0"/>
        <w:snapToGrid w:val="0"/>
        <w:spacing w:line="360" w:lineRule="auto"/>
        <w:ind w:firstLine="1120" w:firstLineChars="400"/>
        <w:rPr>
          <w:rFonts w:hint="eastAsia" w:hAnsi="宋体"/>
          <w:color w:val="000000"/>
          <w:sz w:val="28"/>
          <w:szCs w:val="28"/>
          <w:highlight w:val="none"/>
        </w:rPr>
      </w:pPr>
    </w:p>
    <w:p w14:paraId="59DA51C6">
      <w:pPr>
        <w:pStyle w:val="24"/>
        <w:adjustRightInd w:val="0"/>
        <w:snapToGrid w:val="0"/>
        <w:spacing w:line="360" w:lineRule="auto"/>
        <w:rPr>
          <w:rFonts w:hint="eastAsia" w:hAnsi="宋体"/>
          <w:color w:val="000000"/>
          <w:sz w:val="28"/>
          <w:szCs w:val="28"/>
          <w:highlight w:val="none"/>
        </w:rPr>
      </w:pPr>
      <w:r>
        <w:rPr>
          <w:rFonts w:hint="eastAsia" w:hAnsi="宋体"/>
          <w:color w:val="000000"/>
          <w:sz w:val="28"/>
          <w:szCs w:val="28"/>
          <w:highlight w:val="none"/>
        </w:rPr>
        <w:t>采   购</w:t>
      </w:r>
      <w:r>
        <w:rPr>
          <w:rFonts w:hAnsi="宋体"/>
          <w:color w:val="000000"/>
          <w:sz w:val="28"/>
          <w:szCs w:val="28"/>
          <w:highlight w:val="none"/>
        </w:rPr>
        <w:t xml:space="preserve">   人：</w:t>
      </w:r>
      <w:r>
        <w:rPr>
          <w:rFonts w:hint="eastAsia" w:hAnsi="宋体"/>
          <w:color w:val="000000"/>
          <w:sz w:val="28"/>
          <w:szCs w:val="28"/>
          <w:highlight w:val="none"/>
        </w:rPr>
        <w:t>新疆维吾尔自治区第六人民医院</w:t>
      </w:r>
    </w:p>
    <w:p w14:paraId="278008A6">
      <w:pPr>
        <w:pStyle w:val="24"/>
        <w:adjustRightInd w:val="0"/>
        <w:snapToGrid w:val="0"/>
        <w:spacing w:line="360" w:lineRule="auto"/>
        <w:rPr>
          <w:rFonts w:hint="eastAsia" w:hAnsi="宋体"/>
          <w:color w:val="000000"/>
          <w:sz w:val="28"/>
          <w:szCs w:val="28"/>
          <w:highlight w:val="none"/>
        </w:rPr>
      </w:pPr>
      <w:r>
        <w:rPr>
          <w:rFonts w:hAnsi="宋体"/>
          <w:color w:val="000000"/>
          <w:sz w:val="28"/>
          <w:szCs w:val="28"/>
          <w:highlight w:val="none"/>
        </w:rPr>
        <w:t>招标代理机构：</w:t>
      </w:r>
      <w:r>
        <w:rPr>
          <w:rFonts w:hint="eastAsia" w:hAnsi="宋体"/>
          <w:color w:val="000000"/>
          <w:sz w:val="28"/>
          <w:szCs w:val="28"/>
          <w:highlight w:val="none"/>
        </w:rPr>
        <w:t>华采招标集团有限公司</w:t>
      </w:r>
    </w:p>
    <w:p w14:paraId="75D89B79">
      <w:pPr>
        <w:pStyle w:val="24"/>
        <w:adjustRightInd w:val="0"/>
        <w:snapToGrid w:val="0"/>
        <w:spacing w:line="360" w:lineRule="auto"/>
        <w:rPr>
          <w:rFonts w:hint="eastAsia" w:hAnsi="宋体"/>
          <w:color w:val="000000"/>
          <w:sz w:val="28"/>
          <w:szCs w:val="28"/>
          <w:highlight w:val="none"/>
        </w:rPr>
      </w:pPr>
      <w:r>
        <w:rPr>
          <w:rFonts w:hint="eastAsia" w:hAnsi="宋体"/>
          <w:color w:val="000000"/>
          <w:sz w:val="28"/>
          <w:szCs w:val="28"/>
          <w:highlight w:val="none"/>
        </w:rPr>
        <w:t xml:space="preserve">采 购 </w:t>
      </w:r>
      <w:r>
        <w:rPr>
          <w:rFonts w:hAnsi="宋体"/>
          <w:color w:val="000000"/>
          <w:sz w:val="28"/>
          <w:szCs w:val="28"/>
          <w:highlight w:val="none"/>
        </w:rPr>
        <w:t>内</w:t>
      </w:r>
      <w:r>
        <w:rPr>
          <w:rFonts w:hint="eastAsia" w:hAnsi="宋体"/>
          <w:color w:val="000000"/>
          <w:sz w:val="28"/>
          <w:szCs w:val="28"/>
          <w:highlight w:val="none"/>
        </w:rPr>
        <w:t xml:space="preserve"> </w:t>
      </w:r>
      <w:r>
        <w:rPr>
          <w:rFonts w:hAnsi="宋体"/>
          <w:color w:val="000000"/>
          <w:sz w:val="28"/>
          <w:szCs w:val="28"/>
          <w:highlight w:val="none"/>
        </w:rPr>
        <w:t>容：</w:t>
      </w:r>
      <w:r>
        <w:rPr>
          <w:rFonts w:hint="eastAsia" w:hAnsi="宋体"/>
          <w:color w:val="000000"/>
          <w:sz w:val="28"/>
          <w:szCs w:val="28"/>
          <w:highlight w:val="none"/>
        </w:rPr>
        <w:t>信息系统（HIS、EMR、集成平台等）升级改造</w:t>
      </w:r>
    </w:p>
    <w:p w14:paraId="64C0D978">
      <w:pPr>
        <w:pStyle w:val="24"/>
        <w:adjustRightInd w:val="0"/>
        <w:snapToGrid w:val="0"/>
        <w:spacing w:line="360" w:lineRule="auto"/>
        <w:rPr>
          <w:rFonts w:hint="default" w:hAnsi="宋体" w:eastAsia="宋体"/>
          <w:color w:val="000000"/>
          <w:sz w:val="28"/>
          <w:szCs w:val="28"/>
          <w:highlight w:val="none"/>
          <w:lang w:val="en-US" w:eastAsia="zh-CN"/>
        </w:rPr>
      </w:pPr>
      <w:r>
        <w:rPr>
          <w:rFonts w:hAnsi="宋体"/>
          <w:color w:val="000000"/>
          <w:sz w:val="28"/>
          <w:szCs w:val="28"/>
          <w:highlight w:val="none"/>
        </w:rPr>
        <w:t>项 目 编 号：</w:t>
      </w:r>
      <w:r>
        <w:rPr>
          <w:rFonts w:hint="eastAsia" w:hAnsi="宋体"/>
          <w:color w:val="000000"/>
          <w:sz w:val="28"/>
          <w:szCs w:val="28"/>
          <w:highlight w:val="none"/>
        </w:rPr>
        <w:t>HCZB-2025-ZB</w:t>
      </w:r>
      <w:r>
        <w:rPr>
          <w:rFonts w:hint="eastAsia" w:hAnsi="宋体"/>
          <w:color w:val="000000"/>
          <w:sz w:val="28"/>
          <w:szCs w:val="28"/>
          <w:highlight w:val="none"/>
          <w:lang w:val="en-US" w:eastAsia="zh-CN"/>
        </w:rPr>
        <w:t>0367</w:t>
      </w:r>
    </w:p>
    <w:p w14:paraId="28C15CBB">
      <w:pPr>
        <w:pStyle w:val="24"/>
        <w:adjustRightInd w:val="0"/>
        <w:snapToGrid w:val="0"/>
        <w:spacing w:line="360" w:lineRule="auto"/>
        <w:jc w:val="center"/>
        <w:rPr>
          <w:rFonts w:hint="eastAsia" w:hAnsi="宋体"/>
          <w:color w:val="000000"/>
          <w:sz w:val="28"/>
          <w:szCs w:val="28"/>
          <w:highlight w:val="none"/>
        </w:rPr>
      </w:pPr>
      <w:r>
        <w:rPr>
          <w:rFonts w:hint="eastAsia"/>
          <w:sz w:val="36"/>
          <w:szCs w:val="36"/>
          <w:highlight w:val="none"/>
        </w:rPr>
        <w:t>目录</w:t>
      </w:r>
    </w:p>
    <w:p w14:paraId="1D0F4C26">
      <w:pPr>
        <w:pStyle w:val="24"/>
        <w:adjustRightInd w:val="0"/>
        <w:snapToGrid w:val="0"/>
        <w:spacing w:line="360" w:lineRule="auto"/>
        <w:rPr>
          <w:rFonts w:hint="eastAsia" w:hAnsi="宋体"/>
          <w:b/>
          <w:szCs w:val="24"/>
          <w:highlight w:val="none"/>
        </w:rPr>
      </w:pPr>
    </w:p>
    <w:p w14:paraId="6EE91BF4">
      <w:pPr>
        <w:pStyle w:val="117"/>
        <w:tabs>
          <w:tab w:val="right" w:leader="hyphen" w:pos="8834"/>
        </w:tabs>
        <w:ind w:firstLine="482"/>
        <w:rPr>
          <w:b/>
          <w:bCs/>
          <w:caps/>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"_Toc38878755" </w:instrText>
      </w:r>
      <w:r>
        <w:rPr>
          <w:highlight w:val="none"/>
        </w:rPr>
        <w:fldChar w:fldCharType="separate"/>
      </w:r>
      <w:r>
        <w:rPr>
          <w:rStyle w:val="53"/>
          <w:rFonts w:hint="eastAsia" w:ascii="宋体" w:hAnsi="宋体"/>
          <w:highlight w:val="none"/>
        </w:rPr>
        <w:t>第一章</w:t>
      </w:r>
      <w:r>
        <w:rPr>
          <w:rStyle w:val="53"/>
          <w:rFonts w:ascii="宋体" w:hAnsi="宋体"/>
          <w:highlight w:val="none"/>
        </w:rPr>
        <w:t xml:space="preserve">  </w:t>
      </w:r>
      <w:r>
        <w:rPr>
          <w:rStyle w:val="53"/>
          <w:rFonts w:hint="eastAsia" w:ascii="宋体" w:hAnsi="宋体"/>
          <w:highlight w:val="none"/>
        </w:rPr>
        <w:t>招标公告</w:t>
      </w:r>
      <w:r>
        <w:rPr>
          <w:highlight w:val="none"/>
        </w:rPr>
        <w:tab/>
      </w:r>
      <w:r>
        <w:rPr>
          <w:highlight w:val="none"/>
        </w:rPr>
        <w:fldChar w:fldCharType="begin"/>
      </w:r>
      <w:r>
        <w:rPr>
          <w:highlight w:val="none"/>
        </w:rPr>
        <w:instrText xml:space="preserve"> PAGEREF _Toc38878755 \h </w:instrText>
      </w:r>
      <w:r>
        <w:rPr>
          <w:highlight w:val="none"/>
        </w:rPr>
        <w:fldChar w:fldCharType="separate"/>
      </w:r>
      <w:r>
        <w:rPr>
          <w:highlight w:val="none"/>
        </w:rPr>
        <w:t>3</w:t>
      </w:r>
      <w:r>
        <w:rPr>
          <w:highlight w:val="none"/>
        </w:rPr>
        <w:fldChar w:fldCharType="end"/>
      </w:r>
      <w:r>
        <w:rPr>
          <w:highlight w:val="none"/>
        </w:rPr>
        <w:fldChar w:fldCharType="end"/>
      </w:r>
    </w:p>
    <w:p w14:paraId="7FE24AC9">
      <w:pPr>
        <w:pStyle w:val="117"/>
        <w:tabs>
          <w:tab w:val="right" w:leader="hyphen" w:pos="8834"/>
        </w:tabs>
        <w:rPr>
          <w:b/>
          <w:bCs/>
          <w:caps/>
          <w:highlight w:val="none"/>
        </w:rPr>
      </w:pPr>
      <w:r>
        <w:rPr>
          <w:highlight w:val="none"/>
        </w:rPr>
        <w:fldChar w:fldCharType="begin"/>
      </w:r>
      <w:r>
        <w:rPr>
          <w:highlight w:val="none"/>
        </w:rPr>
        <w:instrText xml:space="preserve"> HYPERLINK \l "_Toc38878756" </w:instrText>
      </w:r>
      <w:r>
        <w:rPr>
          <w:highlight w:val="none"/>
        </w:rPr>
        <w:fldChar w:fldCharType="separate"/>
      </w:r>
      <w:r>
        <w:rPr>
          <w:rStyle w:val="53"/>
          <w:rFonts w:hint="eastAsia" w:ascii="宋体" w:hAnsi="宋体"/>
          <w:highlight w:val="none"/>
        </w:rPr>
        <w:t>第二章</w:t>
      </w:r>
      <w:r>
        <w:rPr>
          <w:rStyle w:val="53"/>
          <w:rFonts w:ascii="宋体" w:hAnsi="宋体"/>
          <w:highlight w:val="none"/>
        </w:rPr>
        <w:t xml:space="preserve"> </w:t>
      </w:r>
      <w:r>
        <w:rPr>
          <w:rStyle w:val="53"/>
          <w:rFonts w:hint="eastAsia" w:ascii="宋体" w:hAnsi="宋体"/>
          <w:highlight w:val="none"/>
        </w:rPr>
        <w:t>投标须知</w:t>
      </w:r>
      <w:r>
        <w:rPr>
          <w:highlight w:val="none"/>
        </w:rPr>
        <w:tab/>
      </w:r>
      <w:r>
        <w:rPr>
          <w:highlight w:val="none"/>
        </w:rPr>
        <w:fldChar w:fldCharType="begin"/>
      </w:r>
      <w:r>
        <w:rPr>
          <w:highlight w:val="none"/>
        </w:rPr>
        <w:instrText xml:space="preserve"> PAGEREF _Toc38878756 \h </w:instrText>
      </w:r>
      <w:r>
        <w:rPr>
          <w:highlight w:val="none"/>
        </w:rPr>
        <w:fldChar w:fldCharType="separate"/>
      </w:r>
      <w:r>
        <w:rPr>
          <w:highlight w:val="none"/>
        </w:rPr>
        <w:t>6</w:t>
      </w:r>
      <w:r>
        <w:rPr>
          <w:highlight w:val="none"/>
        </w:rPr>
        <w:fldChar w:fldCharType="end"/>
      </w:r>
      <w:r>
        <w:rPr>
          <w:highlight w:val="none"/>
        </w:rPr>
        <w:fldChar w:fldCharType="end"/>
      </w:r>
    </w:p>
    <w:p w14:paraId="275BF7A2">
      <w:pPr>
        <w:pStyle w:val="117"/>
        <w:tabs>
          <w:tab w:val="right" w:leader="hyphen" w:pos="8834"/>
        </w:tabs>
        <w:rPr>
          <w:smallCaps/>
          <w:highlight w:val="none"/>
        </w:rPr>
      </w:pPr>
      <w:r>
        <w:rPr>
          <w:highlight w:val="none"/>
        </w:rPr>
        <w:fldChar w:fldCharType="begin"/>
      </w:r>
      <w:r>
        <w:rPr>
          <w:highlight w:val="none"/>
        </w:rPr>
        <w:instrText xml:space="preserve"> HYPERLINK \l "_Toc38878757" </w:instrText>
      </w:r>
      <w:r>
        <w:rPr>
          <w:highlight w:val="none"/>
        </w:rPr>
        <w:fldChar w:fldCharType="separate"/>
      </w:r>
      <w:r>
        <w:rPr>
          <w:rStyle w:val="53"/>
          <w:rFonts w:hint="eastAsia" w:ascii="宋体" w:hAnsi="宋体"/>
          <w:highlight w:val="none"/>
        </w:rPr>
        <w:t>投标须知前附表</w:t>
      </w:r>
      <w:r>
        <w:rPr>
          <w:highlight w:val="none"/>
        </w:rPr>
        <w:tab/>
      </w:r>
      <w:r>
        <w:rPr>
          <w:highlight w:val="none"/>
        </w:rPr>
        <w:fldChar w:fldCharType="begin"/>
      </w:r>
      <w:r>
        <w:rPr>
          <w:highlight w:val="none"/>
        </w:rPr>
        <w:instrText xml:space="preserve"> PAGEREF _Toc38878757 \h </w:instrText>
      </w:r>
      <w:r>
        <w:rPr>
          <w:highlight w:val="none"/>
        </w:rPr>
        <w:fldChar w:fldCharType="separate"/>
      </w:r>
      <w:r>
        <w:rPr>
          <w:highlight w:val="none"/>
        </w:rPr>
        <w:t>6</w:t>
      </w:r>
      <w:r>
        <w:rPr>
          <w:highlight w:val="none"/>
        </w:rPr>
        <w:fldChar w:fldCharType="end"/>
      </w:r>
      <w:r>
        <w:rPr>
          <w:highlight w:val="none"/>
        </w:rPr>
        <w:fldChar w:fldCharType="end"/>
      </w:r>
    </w:p>
    <w:p w14:paraId="0E37CA03">
      <w:pPr>
        <w:pStyle w:val="117"/>
        <w:tabs>
          <w:tab w:val="right" w:leader="hyphen" w:pos="8834"/>
        </w:tabs>
        <w:rPr>
          <w:smallCaps/>
          <w:highlight w:val="none"/>
        </w:rPr>
      </w:pPr>
      <w:r>
        <w:rPr>
          <w:highlight w:val="none"/>
        </w:rPr>
        <w:fldChar w:fldCharType="begin"/>
      </w:r>
      <w:r>
        <w:rPr>
          <w:highlight w:val="none"/>
        </w:rPr>
        <w:instrText xml:space="preserve"> HYPERLINK \l "_Toc38878758" </w:instrText>
      </w:r>
      <w:r>
        <w:rPr>
          <w:highlight w:val="none"/>
        </w:rPr>
        <w:fldChar w:fldCharType="separate"/>
      </w:r>
      <w:r>
        <w:rPr>
          <w:rStyle w:val="53"/>
          <w:rFonts w:hint="eastAsia" w:ascii="宋体" w:hAnsi="宋体"/>
          <w:highlight w:val="none"/>
        </w:rPr>
        <w:t>投标须知正文</w:t>
      </w:r>
      <w:r>
        <w:rPr>
          <w:highlight w:val="none"/>
        </w:rPr>
        <w:tab/>
      </w:r>
      <w:r>
        <w:rPr>
          <w:highlight w:val="none"/>
        </w:rPr>
        <w:fldChar w:fldCharType="begin"/>
      </w:r>
      <w:r>
        <w:rPr>
          <w:highlight w:val="none"/>
        </w:rPr>
        <w:instrText xml:space="preserve"> PAGEREF _Toc38878758 \h </w:instrText>
      </w:r>
      <w:r>
        <w:rPr>
          <w:highlight w:val="none"/>
        </w:rPr>
        <w:fldChar w:fldCharType="separate"/>
      </w:r>
      <w:r>
        <w:rPr>
          <w:highlight w:val="none"/>
        </w:rPr>
        <w:t>13</w:t>
      </w:r>
      <w:r>
        <w:rPr>
          <w:highlight w:val="none"/>
        </w:rPr>
        <w:fldChar w:fldCharType="end"/>
      </w:r>
      <w:r>
        <w:rPr>
          <w:highlight w:val="none"/>
        </w:rPr>
        <w:fldChar w:fldCharType="end"/>
      </w:r>
    </w:p>
    <w:p w14:paraId="0D4D857F">
      <w:pPr>
        <w:pStyle w:val="117"/>
        <w:tabs>
          <w:tab w:val="right" w:leader="hyphen" w:pos="8834"/>
        </w:tabs>
        <w:rPr>
          <w:smallCaps/>
          <w:highlight w:val="none"/>
        </w:rPr>
      </w:pPr>
      <w:r>
        <w:rPr>
          <w:highlight w:val="none"/>
        </w:rPr>
        <w:fldChar w:fldCharType="begin"/>
      </w:r>
      <w:r>
        <w:rPr>
          <w:highlight w:val="none"/>
        </w:rPr>
        <w:instrText xml:space="preserve"> HYPERLINK \l "_Toc38878759" </w:instrText>
      </w:r>
      <w:r>
        <w:rPr>
          <w:highlight w:val="none"/>
        </w:rPr>
        <w:fldChar w:fldCharType="separate"/>
      </w:r>
      <w:r>
        <w:rPr>
          <w:rStyle w:val="53"/>
          <w:rFonts w:hint="eastAsia" w:ascii="宋体" w:hAnsi="宋体"/>
          <w:highlight w:val="none"/>
        </w:rPr>
        <w:t>一、总则</w:t>
      </w:r>
      <w:r>
        <w:rPr>
          <w:highlight w:val="none"/>
        </w:rPr>
        <w:tab/>
      </w:r>
      <w:r>
        <w:rPr>
          <w:highlight w:val="none"/>
        </w:rPr>
        <w:fldChar w:fldCharType="begin"/>
      </w:r>
      <w:r>
        <w:rPr>
          <w:highlight w:val="none"/>
        </w:rPr>
        <w:instrText xml:space="preserve"> PAGEREF _Toc38878759 \h </w:instrText>
      </w:r>
      <w:r>
        <w:rPr>
          <w:highlight w:val="none"/>
        </w:rPr>
        <w:fldChar w:fldCharType="separate"/>
      </w:r>
      <w:r>
        <w:rPr>
          <w:highlight w:val="none"/>
        </w:rPr>
        <w:t>13</w:t>
      </w:r>
      <w:r>
        <w:rPr>
          <w:highlight w:val="none"/>
        </w:rPr>
        <w:fldChar w:fldCharType="end"/>
      </w:r>
      <w:r>
        <w:rPr>
          <w:highlight w:val="none"/>
        </w:rPr>
        <w:fldChar w:fldCharType="end"/>
      </w:r>
    </w:p>
    <w:p w14:paraId="720719A6">
      <w:pPr>
        <w:pStyle w:val="117"/>
        <w:tabs>
          <w:tab w:val="right" w:leader="hyphen" w:pos="8834"/>
        </w:tabs>
        <w:rPr>
          <w:smallCaps/>
          <w:highlight w:val="none"/>
        </w:rPr>
      </w:pPr>
      <w:r>
        <w:rPr>
          <w:highlight w:val="none"/>
        </w:rPr>
        <w:fldChar w:fldCharType="begin"/>
      </w:r>
      <w:r>
        <w:rPr>
          <w:highlight w:val="none"/>
        </w:rPr>
        <w:instrText xml:space="preserve"> HYPERLINK \l "_Toc38878760" </w:instrText>
      </w:r>
      <w:r>
        <w:rPr>
          <w:highlight w:val="none"/>
        </w:rPr>
        <w:fldChar w:fldCharType="separate"/>
      </w:r>
      <w:r>
        <w:rPr>
          <w:rStyle w:val="53"/>
          <w:rFonts w:hint="eastAsia" w:ascii="宋体" w:hAnsi="宋体"/>
          <w:highlight w:val="none"/>
        </w:rPr>
        <w:t>二、招标文件</w:t>
      </w:r>
      <w:r>
        <w:rPr>
          <w:highlight w:val="none"/>
        </w:rPr>
        <w:tab/>
      </w:r>
      <w:r>
        <w:rPr>
          <w:highlight w:val="none"/>
        </w:rPr>
        <w:fldChar w:fldCharType="begin"/>
      </w:r>
      <w:r>
        <w:rPr>
          <w:highlight w:val="none"/>
        </w:rPr>
        <w:instrText xml:space="preserve"> PAGEREF _Toc38878760 \h </w:instrText>
      </w:r>
      <w:r>
        <w:rPr>
          <w:highlight w:val="none"/>
        </w:rPr>
        <w:fldChar w:fldCharType="separate"/>
      </w:r>
      <w:r>
        <w:rPr>
          <w:highlight w:val="none"/>
        </w:rPr>
        <w:t>16</w:t>
      </w:r>
      <w:r>
        <w:rPr>
          <w:highlight w:val="none"/>
        </w:rPr>
        <w:fldChar w:fldCharType="end"/>
      </w:r>
      <w:r>
        <w:rPr>
          <w:highlight w:val="none"/>
        </w:rPr>
        <w:fldChar w:fldCharType="end"/>
      </w:r>
    </w:p>
    <w:p w14:paraId="156FDE35">
      <w:pPr>
        <w:pStyle w:val="117"/>
        <w:tabs>
          <w:tab w:val="right" w:leader="hyphen" w:pos="8834"/>
        </w:tabs>
        <w:rPr>
          <w:smallCaps/>
          <w:highlight w:val="none"/>
        </w:rPr>
      </w:pPr>
      <w:r>
        <w:rPr>
          <w:highlight w:val="none"/>
        </w:rPr>
        <w:fldChar w:fldCharType="begin"/>
      </w:r>
      <w:r>
        <w:rPr>
          <w:highlight w:val="none"/>
        </w:rPr>
        <w:instrText xml:space="preserve"> HYPERLINK \l "_Toc38878761" </w:instrText>
      </w:r>
      <w:r>
        <w:rPr>
          <w:highlight w:val="none"/>
        </w:rPr>
        <w:fldChar w:fldCharType="separate"/>
      </w:r>
      <w:r>
        <w:rPr>
          <w:rStyle w:val="53"/>
          <w:rFonts w:hint="eastAsia" w:ascii="宋体" w:hAnsi="宋体"/>
          <w:highlight w:val="none"/>
        </w:rPr>
        <w:t>三、投标文件</w:t>
      </w:r>
      <w:r>
        <w:rPr>
          <w:highlight w:val="none"/>
        </w:rPr>
        <w:tab/>
      </w:r>
      <w:r>
        <w:rPr>
          <w:highlight w:val="none"/>
        </w:rPr>
        <w:fldChar w:fldCharType="begin"/>
      </w:r>
      <w:r>
        <w:rPr>
          <w:highlight w:val="none"/>
        </w:rPr>
        <w:instrText xml:space="preserve"> PAGEREF _Toc38878761 \h </w:instrText>
      </w:r>
      <w:r>
        <w:rPr>
          <w:highlight w:val="none"/>
        </w:rPr>
        <w:fldChar w:fldCharType="separate"/>
      </w:r>
      <w:r>
        <w:rPr>
          <w:highlight w:val="none"/>
        </w:rPr>
        <w:t>17</w:t>
      </w:r>
      <w:r>
        <w:rPr>
          <w:highlight w:val="none"/>
        </w:rPr>
        <w:fldChar w:fldCharType="end"/>
      </w:r>
      <w:r>
        <w:rPr>
          <w:highlight w:val="none"/>
        </w:rPr>
        <w:fldChar w:fldCharType="end"/>
      </w:r>
    </w:p>
    <w:p w14:paraId="7FAC561D">
      <w:pPr>
        <w:pStyle w:val="117"/>
        <w:tabs>
          <w:tab w:val="right" w:leader="hyphen" w:pos="8834"/>
        </w:tabs>
        <w:rPr>
          <w:smallCaps/>
          <w:highlight w:val="none"/>
        </w:rPr>
      </w:pPr>
      <w:r>
        <w:rPr>
          <w:highlight w:val="none"/>
        </w:rPr>
        <w:fldChar w:fldCharType="begin"/>
      </w:r>
      <w:r>
        <w:rPr>
          <w:highlight w:val="none"/>
        </w:rPr>
        <w:instrText xml:space="preserve"> HYPERLINK \l "_Toc38878762" </w:instrText>
      </w:r>
      <w:r>
        <w:rPr>
          <w:highlight w:val="none"/>
        </w:rPr>
        <w:fldChar w:fldCharType="separate"/>
      </w:r>
      <w:r>
        <w:rPr>
          <w:rStyle w:val="53"/>
          <w:rFonts w:hint="eastAsia" w:ascii="宋体" w:hAnsi="宋体"/>
          <w:highlight w:val="none"/>
        </w:rPr>
        <w:t>四、投标文件的递交</w:t>
      </w:r>
      <w:r>
        <w:rPr>
          <w:highlight w:val="none"/>
        </w:rPr>
        <w:tab/>
      </w:r>
      <w:r>
        <w:rPr>
          <w:highlight w:val="none"/>
        </w:rPr>
        <w:fldChar w:fldCharType="begin"/>
      </w:r>
      <w:r>
        <w:rPr>
          <w:highlight w:val="none"/>
        </w:rPr>
        <w:instrText xml:space="preserve"> PAGEREF _Toc38878762 \h </w:instrText>
      </w:r>
      <w:r>
        <w:rPr>
          <w:highlight w:val="none"/>
        </w:rPr>
        <w:fldChar w:fldCharType="separate"/>
      </w:r>
      <w:r>
        <w:rPr>
          <w:highlight w:val="none"/>
        </w:rPr>
        <w:t>20</w:t>
      </w:r>
      <w:r>
        <w:rPr>
          <w:highlight w:val="none"/>
        </w:rPr>
        <w:fldChar w:fldCharType="end"/>
      </w:r>
      <w:r>
        <w:rPr>
          <w:highlight w:val="none"/>
        </w:rPr>
        <w:fldChar w:fldCharType="end"/>
      </w:r>
    </w:p>
    <w:p w14:paraId="1170A5F3">
      <w:pPr>
        <w:pStyle w:val="117"/>
        <w:tabs>
          <w:tab w:val="right" w:leader="hyphen" w:pos="8834"/>
        </w:tabs>
        <w:rPr>
          <w:smallCaps/>
          <w:highlight w:val="none"/>
        </w:rPr>
      </w:pPr>
      <w:r>
        <w:rPr>
          <w:highlight w:val="none"/>
        </w:rPr>
        <w:fldChar w:fldCharType="begin"/>
      </w:r>
      <w:r>
        <w:rPr>
          <w:highlight w:val="none"/>
        </w:rPr>
        <w:instrText xml:space="preserve"> HYPERLINK \l "_Toc38878763" </w:instrText>
      </w:r>
      <w:r>
        <w:rPr>
          <w:highlight w:val="none"/>
        </w:rPr>
        <w:fldChar w:fldCharType="separate"/>
      </w:r>
      <w:r>
        <w:rPr>
          <w:rStyle w:val="53"/>
          <w:rFonts w:hint="eastAsia" w:ascii="宋体" w:hAnsi="宋体"/>
          <w:highlight w:val="none"/>
        </w:rPr>
        <w:t>五、开标和评标</w:t>
      </w:r>
      <w:r>
        <w:rPr>
          <w:highlight w:val="none"/>
        </w:rPr>
        <w:tab/>
      </w:r>
      <w:r>
        <w:rPr>
          <w:highlight w:val="none"/>
        </w:rPr>
        <w:fldChar w:fldCharType="begin"/>
      </w:r>
      <w:r>
        <w:rPr>
          <w:highlight w:val="none"/>
        </w:rPr>
        <w:instrText xml:space="preserve"> PAGEREF _Toc38878763 \h </w:instrText>
      </w:r>
      <w:r>
        <w:rPr>
          <w:highlight w:val="none"/>
        </w:rPr>
        <w:fldChar w:fldCharType="separate"/>
      </w:r>
      <w:r>
        <w:rPr>
          <w:highlight w:val="none"/>
        </w:rPr>
        <w:t>20</w:t>
      </w:r>
      <w:r>
        <w:rPr>
          <w:highlight w:val="none"/>
        </w:rPr>
        <w:fldChar w:fldCharType="end"/>
      </w:r>
      <w:r>
        <w:rPr>
          <w:highlight w:val="none"/>
        </w:rPr>
        <w:fldChar w:fldCharType="end"/>
      </w:r>
    </w:p>
    <w:p w14:paraId="299B283B">
      <w:pPr>
        <w:pStyle w:val="117"/>
        <w:tabs>
          <w:tab w:val="right" w:leader="hyphen" w:pos="8834"/>
        </w:tabs>
        <w:rPr>
          <w:smallCaps/>
          <w:highlight w:val="none"/>
        </w:rPr>
      </w:pPr>
      <w:r>
        <w:rPr>
          <w:highlight w:val="none"/>
        </w:rPr>
        <w:fldChar w:fldCharType="begin"/>
      </w:r>
      <w:r>
        <w:rPr>
          <w:highlight w:val="none"/>
        </w:rPr>
        <w:instrText xml:space="preserve"> HYPERLINK \l "_Toc38878764" </w:instrText>
      </w:r>
      <w:r>
        <w:rPr>
          <w:highlight w:val="none"/>
        </w:rPr>
        <w:fldChar w:fldCharType="separate"/>
      </w:r>
      <w:r>
        <w:rPr>
          <w:rStyle w:val="53"/>
          <w:rFonts w:hint="eastAsia" w:ascii="宋体" w:hAnsi="宋体"/>
          <w:highlight w:val="none"/>
        </w:rPr>
        <w:t>六、中标结果信息公布与授予合同</w:t>
      </w:r>
      <w:r>
        <w:rPr>
          <w:highlight w:val="none"/>
        </w:rPr>
        <w:tab/>
      </w:r>
      <w:r>
        <w:rPr>
          <w:highlight w:val="none"/>
        </w:rPr>
        <w:fldChar w:fldCharType="begin"/>
      </w:r>
      <w:r>
        <w:rPr>
          <w:highlight w:val="none"/>
        </w:rPr>
        <w:instrText xml:space="preserve"> PAGEREF _Toc38878764 \h </w:instrText>
      </w:r>
      <w:r>
        <w:rPr>
          <w:highlight w:val="none"/>
        </w:rPr>
        <w:fldChar w:fldCharType="separate"/>
      </w:r>
      <w:r>
        <w:rPr>
          <w:highlight w:val="none"/>
        </w:rPr>
        <w:t>22</w:t>
      </w:r>
      <w:r>
        <w:rPr>
          <w:highlight w:val="none"/>
        </w:rPr>
        <w:fldChar w:fldCharType="end"/>
      </w:r>
      <w:r>
        <w:rPr>
          <w:highlight w:val="none"/>
        </w:rPr>
        <w:fldChar w:fldCharType="end"/>
      </w:r>
    </w:p>
    <w:p w14:paraId="406327D1">
      <w:pPr>
        <w:pStyle w:val="117"/>
        <w:tabs>
          <w:tab w:val="right" w:leader="hyphen" w:pos="8834"/>
        </w:tabs>
        <w:rPr>
          <w:smallCaps/>
          <w:highlight w:val="none"/>
        </w:rPr>
      </w:pPr>
      <w:r>
        <w:rPr>
          <w:highlight w:val="none"/>
        </w:rPr>
        <w:fldChar w:fldCharType="begin"/>
      </w:r>
      <w:r>
        <w:rPr>
          <w:highlight w:val="none"/>
        </w:rPr>
        <w:instrText xml:space="preserve"> HYPERLINK \l "_Toc38878765" </w:instrText>
      </w:r>
      <w:r>
        <w:rPr>
          <w:highlight w:val="none"/>
        </w:rPr>
        <w:fldChar w:fldCharType="separate"/>
      </w:r>
      <w:r>
        <w:rPr>
          <w:rStyle w:val="53"/>
          <w:rFonts w:hint="eastAsia" w:ascii="宋体" w:hAnsi="宋体"/>
          <w:highlight w:val="none"/>
        </w:rPr>
        <w:t>七、其他规定</w:t>
      </w:r>
      <w:r>
        <w:rPr>
          <w:highlight w:val="none"/>
        </w:rPr>
        <w:tab/>
      </w:r>
      <w:r>
        <w:rPr>
          <w:highlight w:val="none"/>
        </w:rPr>
        <w:fldChar w:fldCharType="begin"/>
      </w:r>
      <w:r>
        <w:rPr>
          <w:highlight w:val="none"/>
        </w:rPr>
        <w:instrText xml:space="preserve"> PAGEREF _Toc38878765 \h </w:instrText>
      </w:r>
      <w:r>
        <w:rPr>
          <w:highlight w:val="none"/>
        </w:rPr>
        <w:fldChar w:fldCharType="separate"/>
      </w:r>
      <w:r>
        <w:rPr>
          <w:highlight w:val="none"/>
        </w:rPr>
        <w:t>23</w:t>
      </w:r>
      <w:r>
        <w:rPr>
          <w:highlight w:val="none"/>
        </w:rPr>
        <w:fldChar w:fldCharType="end"/>
      </w:r>
      <w:r>
        <w:rPr>
          <w:highlight w:val="none"/>
        </w:rPr>
        <w:fldChar w:fldCharType="end"/>
      </w:r>
    </w:p>
    <w:p w14:paraId="36FB423C">
      <w:pPr>
        <w:pStyle w:val="117"/>
        <w:tabs>
          <w:tab w:val="right" w:leader="hyphen" w:pos="8834"/>
        </w:tabs>
        <w:rPr>
          <w:b/>
          <w:bCs/>
          <w:caps/>
          <w:highlight w:val="none"/>
        </w:rPr>
      </w:pPr>
      <w:r>
        <w:rPr>
          <w:highlight w:val="none"/>
        </w:rPr>
        <w:fldChar w:fldCharType="begin"/>
      </w:r>
      <w:r>
        <w:rPr>
          <w:highlight w:val="none"/>
        </w:rPr>
        <w:instrText xml:space="preserve"> HYPERLINK \l "_Toc38878766" </w:instrText>
      </w:r>
      <w:r>
        <w:rPr>
          <w:highlight w:val="none"/>
        </w:rPr>
        <w:fldChar w:fldCharType="separate"/>
      </w:r>
      <w:r>
        <w:rPr>
          <w:rStyle w:val="53"/>
          <w:rFonts w:hint="eastAsia" w:ascii="宋体" w:hAnsi="宋体"/>
          <w:highlight w:val="none"/>
        </w:rPr>
        <w:t>第三章</w:t>
      </w:r>
      <w:r>
        <w:rPr>
          <w:rStyle w:val="53"/>
          <w:rFonts w:ascii="宋体" w:hAnsi="宋体"/>
          <w:highlight w:val="none"/>
        </w:rPr>
        <w:t xml:space="preserve"> </w:t>
      </w:r>
      <w:r>
        <w:rPr>
          <w:rStyle w:val="53"/>
          <w:rFonts w:hint="eastAsia" w:ascii="宋体" w:hAnsi="宋体"/>
          <w:highlight w:val="none"/>
        </w:rPr>
        <w:t>评标方法及标准</w:t>
      </w:r>
      <w:bookmarkStart w:id="2" w:name="_Hlt103612534"/>
      <w:bookmarkStart w:id="3" w:name="_Hlt103612535"/>
      <w:r>
        <w:rPr>
          <w:highlight w:val="none"/>
        </w:rPr>
        <w:tab/>
      </w:r>
      <w:bookmarkEnd w:id="2"/>
      <w:bookmarkEnd w:id="3"/>
      <w:r>
        <w:rPr>
          <w:highlight w:val="none"/>
        </w:rPr>
        <w:fldChar w:fldCharType="begin"/>
      </w:r>
      <w:r>
        <w:rPr>
          <w:highlight w:val="none"/>
        </w:rPr>
        <w:instrText xml:space="preserve"> PAGEREF _Toc38878766 \h </w:instrText>
      </w:r>
      <w:r>
        <w:rPr>
          <w:highlight w:val="none"/>
        </w:rPr>
        <w:fldChar w:fldCharType="separate"/>
      </w:r>
      <w:r>
        <w:rPr>
          <w:highlight w:val="none"/>
        </w:rPr>
        <w:t>26</w:t>
      </w:r>
      <w:r>
        <w:rPr>
          <w:highlight w:val="none"/>
        </w:rPr>
        <w:fldChar w:fldCharType="end"/>
      </w:r>
      <w:r>
        <w:rPr>
          <w:highlight w:val="none"/>
        </w:rPr>
        <w:fldChar w:fldCharType="end"/>
      </w:r>
    </w:p>
    <w:p w14:paraId="6028D24F">
      <w:pPr>
        <w:pStyle w:val="117"/>
        <w:tabs>
          <w:tab w:val="right" w:leader="hyphen" w:pos="8834"/>
        </w:tabs>
        <w:rPr>
          <w:smallCaps/>
          <w:highlight w:val="none"/>
        </w:rPr>
      </w:pPr>
      <w:r>
        <w:rPr>
          <w:highlight w:val="none"/>
        </w:rPr>
        <w:fldChar w:fldCharType="begin"/>
      </w:r>
      <w:r>
        <w:rPr>
          <w:highlight w:val="none"/>
        </w:rPr>
        <w:instrText xml:space="preserve"> HYPERLINK \l "_Toc38878767" </w:instrText>
      </w:r>
      <w:r>
        <w:rPr>
          <w:highlight w:val="none"/>
        </w:rPr>
        <w:fldChar w:fldCharType="separate"/>
      </w:r>
      <w:r>
        <w:rPr>
          <w:rStyle w:val="53"/>
          <w:rFonts w:hint="eastAsia" w:ascii="宋体" w:hAnsi="宋体"/>
          <w:highlight w:val="none"/>
        </w:rPr>
        <w:t>一、总则</w:t>
      </w:r>
      <w:bookmarkStart w:id="4" w:name="_Hlt70354517"/>
      <w:bookmarkStart w:id="5" w:name="_Hlt70354516"/>
      <w:r>
        <w:rPr>
          <w:highlight w:val="none"/>
        </w:rPr>
        <w:tab/>
      </w:r>
      <w:bookmarkEnd w:id="4"/>
      <w:bookmarkEnd w:id="5"/>
      <w:r>
        <w:rPr>
          <w:highlight w:val="none"/>
        </w:rPr>
        <w:fldChar w:fldCharType="begin"/>
      </w:r>
      <w:r>
        <w:rPr>
          <w:highlight w:val="none"/>
        </w:rPr>
        <w:instrText xml:space="preserve"> PAGEREF _Toc38878767 \h </w:instrText>
      </w:r>
      <w:r>
        <w:rPr>
          <w:highlight w:val="none"/>
        </w:rPr>
        <w:fldChar w:fldCharType="separate"/>
      </w:r>
      <w:r>
        <w:rPr>
          <w:highlight w:val="none"/>
        </w:rPr>
        <w:t>26</w:t>
      </w:r>
      <w:r>
        <w:rPr>
          <w:highlight w:val="none"/>
        </w:rPr>
        <w:fldChar w:fldCharType="end"/>
      </w:r>
      <w:r>
        <w:rPr>
          <w:highlight w:val="none"/>
        </w:rPr>
        <w:fldChar w:fldCharType="end"/>
      </w:r>
    </w:p>
    <w:p w14:paraId="19190ABA">
      <w:pPr>
        <w:pStyle w:val="117"/>
        <w:tabs>
          <w:tab w:val="right" w:leader="hyphen" w:pos="8834"/>
        </w:tabs>
        <w:rPr>
          <w:smallCaps/>
          <w:highlight w:val="none"/>
        </w:rPr>
      </w:pPr>
      <w:r>
        <w:rPr>
          <w:highlight w:val="none"/>
        </w:rPr>
        <w:fldChar w:fldCharType="begin"/>
      </w:r>
      <w:r>
        <w:rPr>
          <w:highlight w:val="none"/>
        </w:rPr>
        <w:instrText xml:space="preserve"> HYPERLINK \l "_Toc38878768" </w:instrText>
      </w:r>
      <w:r>
        <w:rPr>
          <w:highlight w:val="none"/>
        </w:rPr>
        <w:fldChar w:fldCharType="separate"/>
      </w:r>
      <w:r>
        <w:rPr>
          <w:rStyle w:val="53"/>
          <w:rFonts w:hint="eastAsia" w:ascii="宋体" w:hAnsi="宋体"/>
          <w:kern w:val="0"/>
          <w:highlight w:val="none"/>
        </w:rPr>
        <w:t>二、评标程序</w:t>
      </w:r>
      <w:bookmarkStart w:id="6" w:name="_Hlt86161465"/>
      <w:bookmarkStart w:id="7" w:name="_Hlt70351751"/>
      <w:bookmarkStart w:id="8" w:name="_Hlt106211261"/>
      <w:bookmarkStart w:id="9" w:name="_Hlt106211260"/>
      <w:bookmarkStart w:id="10" w:name="_Hlt86161466"/>
      <w:bookmarkStart w:id="11" w:name="_Hlt70351750"/>
      <w:r>
        <w:rPr>
          <w:highlight w:val="none"/>
        </w:rPr>
        <w:tab/>
      </w:r>
      <w:bookmarkEnd w:id="6"/>
      <w:bookmarkEnd w:id="7"/>
      <w:bookmarkEnd w:id="8"/>
      <w:bookmarkEnd w:id="9"/>
      <w:bookmarkEnd w:id="10"/>
      <w:bookmarkEnd w:id="11"/>
      <w:bookmarkStart w:id="12" w:name="_Hlt179912535"/>
      <w:bookmarkStart w:id="13" w:name="_Hlt179912536"/>
      <w:r>
        <w:rPr>
          <w:highlight w:val="none"/>
        </w:rPr>
        <w:fldChar w:fldCharType="begin"/>
      </w:r>
      <w:r>
        <w:rPr>
          <w:highlight w:val="none"/>
        </w:rPr>
        <w:instrText xml:space="preserve"> PAGEREF _Toc38878768 \h </w:instrText>
      </w:r>
      <w:r>
        <w:rPr>
          <w:highlight w:val="none"/>
        </w:rPr>
        <w:fldChar w:fldCharType="separate"/>
      </w:r>
      <w:r>
        <w:rPr>
          <w:highlight w:val="none"/>
        </w:rPr>
        <w:t>26</w:t>
      </w:r>
      <w:r>
        <w:rPr>
          <w:highlight w:val="none"/>
        </w:rPr>
        <w:fldChar w:fldCharType="end"/>
      </w:r>
      <w:bookmarkEnd w:id="12"/>
      <w:bookmarkEnd w:id="13"/>
      <w:r>
        <w:rPr>
          <w:highlight w:val="none"/>
        </w:rPr>
        <w:fldChar w:fldCharType="end"/>
      </w:r>
    </w:p>
    <w:p w14:paraId="70BD35DE">
      <w:pPr>
        <w:pStyle w:val="117"/>
        <w:tabs>
          <w:tab w:val="right" w:leader="hyphen" w:pos="8834"/>
        </w:tabs>
        <w:rPr>
          <w:b/>
          <w:bCs/>
          <w:caps/>
          <w:highlight w:val="none"/>
        </w:rPr>
      </w:pPr>
      <w:r>
        <w:rPr>
          <w:highlight w:val="none"/>
        </w:rPr>
        <w:fldChar w:fldCharType="begin"/>
      </w:r>
      <w:r>
        <w:rPr>
          <w:highlight w:val="none"/>
        </w:rPr>
        <w:instrText xml:space="preserve"> HYPERLINK \l "_Toc38878769" </w:instrText>
      </w:r>
      <w:r>
        <w:rPr>
          <w:highlight w:val="none"/>
        </w:rPr>
        <w:fldChar w:fldCharType="separate"/>
      </w:r>
      <w:r>
        <w:rPr>
          <w:rStyle w:val="53"/>
          <w:rFonts w:hint="eastAsia" w:ascii="宋体" w:hAnsi="宋体"/>
          <w:highlight w:val="none"/>
        </w:rPr>
        <w:t>第四章</w:t>
      </w:r>
      <w:r>
        <w:rPr>
          <w:rStyle w:val="53"/>
          <w:rFonts w:ascii="宋体" w:hAnsi="宋体"/>
          <w:highlight w:val="none"/>
        </w:rPr>
        <w:t xml:space="preserve">  </w:t>
      </w:r>
      <w:r>
        <w:rPr>
          <w:rStyle w:val="53"/>
          <w:rFonts w:hint="eastAsia" w:ascii="宋体" w:hAnsi="宋体"/>
          <w:highlight w:val="none"/>
        </w:rPr>
        <w:t>采购合同格式</w:t>
      </w:r>
      <w:bookmarkStart w:id="14" w:name="_Hlt142068081"/>
      <w:bookmarkStart w:id="15" w:name="_Hlt142068080"/>
      <w:r>
        <w:rPr>
          <w:highlight w:val="none"/>
        </w:rPr>
        <w:tab/>
      </w:r>
      <w:bookmarkEnd w:id="14"/>
      <w:bookmarkEnd w:id="15"/>
      <w:r>
        <w:rPr>
          <w:highlight w:val="none"/>
        </w:rPr>
        <w:fldChar w:fldCharType="begin"/>
      </w:r>
      <w:r>
        <w:rPr>
          <w:highlight w:val="none"/>
        </w:rPr>
        <w:instrText xml:space="preserve"> PAGEREF _Toc38878769 \h </w:instrText>
      </w:r>
      <w:r>
        <w:rPr>
          <w:highlight w:val="none"/>
        </w:rPr>
        <w:fldChar w:fldCharType="separate"/>
      </w:r>
      <w:r>
        <w:rPr>
          <w:highlight w:val="none"/>
        </w:rPr>
        <w:t>36</w:t>
      </w:r>
      <w:r>
        <w:rPr>
          <w:highlight w:val="none"/>
        </w:rPr>
        <w:fldChar w:fldCharType="end"/>
      </w:r>
      <w:r>
        <w:rPr>
          <w:highlight w:val="none"/>
        </w:rPr>
        <w:fldChar w:fldCharType="end"/>
      </w:r>
    </w:p>
    <w:p w14:paraId="25C87D9C">
      <w:pPr>
        <w:pStyle w:val="117"/>
        <w:tabs>
          <w:tab w:val="right" w:leader="hyphen" w:pos="8834"/>
        </w:tabs>
        <w:rPr>
          <w:b/>
          <w:bCs/>
          <w:caps/>
          <w:highlight w:val="none"/>
        </w:rPr>
      </w:pPr>
      <w:r>
        <w:rPr>
          <w:highlight w:val="none"/>
        </w:rPr>
        <w:fldChar w:fldCharType="begin"/>
      </w:r>
      <w:r>
        <w:rPr>
          <w:highlight w:val="none"/>
        </w:rPr>
        <w:instrText xml:space="preserve"> HYPERLINK \l "_Toc38878799" </w:instrText>
      </w:r>
      <w:r>
        <w:rPr>
          <w:highlight w:val="none"/>
        </w:rPr>
        <w:fldChar w:fldCharType="separate"/>
      </w:r>
      <w:r>
        <w:rPr>
          <w:rStyle w:val="53"/>
          <w:rFonts w:hint="eastAsia" w:ascii="宋体" w:hAnsi="宋体"/>
          <w:highlight w:val="none"/>
        </w:rPr>
        <w:t>第五章</w:t>
      </w:r>
      <w:r>
        <w:rPr>
          <w:rStyle w:val="53"/>
          <w:rFonts w:ascii="宋体" w:hAnsi="宋体"/>
          <w:highlight w:val="none"/>
        </w:rPr>
        <w:t xml:space="preserve"> </w:t>
      </w:r>
      <w:r>
        <w:rPr>
          <w:rStyle w:val="53"/>
          <w:rFonts w:hint="eastAsia" w:ascii="宋体" w:hAnsi="宋体"/>
          <w:highlight w:val="none"/>
        </w:rPr>
        <w:t>采购需求</w:t>
      </w:r>
      <w:bookmarkStart w:id="16" w:name="_Hlt70334362"/>
      <w:bookmarkStart w:id="17" w:name="_Hlt162621144"/>
      <w:bookmarkStart w:id="18" w:name="_Hlt162621145"/>
      <w:bookmarkStart w:id="19" w:name="_Hlt70334361"/>
      <w:bookmarkStart w:id="20" w:name="_Hlt103869845"/>
      <w:bookmarkStart w:id="21" w:name="_Hlt103869844"/>
      <w:r>
        <w:rPr>
          <w:highlight w:val="none"/>
        </w:rPr>
        <w:tab/>
      </w:r>
      <w:bookmarkEnd w:id="16"/>
      <w:bookmarkEnd w:id="17"/>
      <w:bookmarkEnd w:id="18"/>
      <w:bookmarkEnd w:id="19"/>
      <w:bookmarkEnd w:id="20"/>
      <w:bookmarkEnd w:id="21"/>
      <w:r>
        <w:rPr>
          <w:highlight w:val="none"/>
        </w:rPr>
        <w:fldChar w:fldCharType="begin"/>
      </w:r>
      <w:r>
        <w:rPr>
          <w:highlight w:val="none"/>
        </w:rPr>
        <w:instrText xml:space="preserve"> PAGEREF _Toc38878799 \h </w:instrText>
      </w:r>
      <w:r>
        <w:rPr>
          <w:highlight w:val="none"/>
        </w:rPr>
        <w:fldChar w:fldCharType="separate"/>
      </w:r>
      <w:r>
        <w:rPr>
          <w:highlight w:val="none"/>
        </w:rPr>
        <w:t>40</w:t>
      </w:r>
      <w:r>
        <w:rPr>
          <w:highlight w:val="none"/>
        </w:rPr>
        <w:fldChar w:fldCharType="end"/>
      </w:r>
      <w:r>
        <w:rPr>
          <w:highlight w:val="none"/>
        </w:rPr>
        <w:fldChar w:fldCharType="end"/>
      </w:r>
    </w:p>
    <w:p w14:paraId="17879C2C">
      <w:pPr>
        <w:pStyle w:val="117"/>
        <w:tabs>
          <w:tab w:val="right" w:leader="hyphen" w:pos="8834"/>
        </w:tabs>
        <w:rPr>
          <w:b/>
          <w:bCs/>
          <w:caps/>
          <w:highlight w:val="none"/>
        </w:rPr>
      </w:pPr>
      <w:r>
        <w:rPr>
          <w:highlight w:val="none"/>
        </w:rPr>
        <w:fldChar w:fldCharType="begin"/>
      </w:r>
      <w:r>
        <w:rPr>
          <w:highlight w:val="none"/>
        </w:rPr>
        <w:instrText xml:space="preserve"> HYPERLINK \l "_Toc38878800" </w:instrText>
      </w:r>
      <w:r>
        <w:rPr>
          <w:highlight w:val="none"/>
        </w:rPr>
        <w:fldChar w:fldCharType="separate"/>
      </w:r>
      <w:r>
        <w:rPr>
          <w:rStyle w:val="53"/>
          <w:rFonts w:hint="eastAsia" w:ascii="宋体" w:hAnsi="宋体"/>
          <w:highlight w:val="none"/>
        </w:rPr>
        <w:t>第六章</w:t>
      </w:r>
      <w:r>
        <w:rPr>
          <w:rStyle w:val="53"/>
          <w:rFonts w:ascii="宋体" w:hAnsi="宋体"/>
          <w:highlight w:val="none"/>
        </w:rPr>
        <w:t xml:space="preserve"> </w:t>
      </w:r>
      <w:r>
        <w:rPr>
          <w:rStyle w:val="53"/>
          <w:rFonts w:hint="eastAsia" w:ascii="宋体" w:hAnsi="宋体"/>
          <w:highlight w:val="none"/>
        </w:rPr>
        <w:t>投标文件格式</w:t>
      </w:r>
      <w:bookmarkStart w:id="22" w:name="_Hlt192512444"/>
      <w:bookmarkStart w:id="23" w:name="_Hlt192512443"/>
      <w:r>
        <w:rPr>
          <w:highlight w:val="none"/>
        </w:rPr>
        <w:tab/>
      </w:r>
      <w:bookmarkEnd w:id="22"/>
      <w:bookmarkEnd w:id="23"/>
      <w:r>
        <w:rPr>
          <w:highlight w:val="none"/>
        </w:rPr>
        <w:fldChar w:fldCharType="begin"/>
      </w:r>
      <w:r>
        <w:rPr>
          <w:highlight w:val="none"/>
        </w:rPr>
        <w:instrText xml:space="preserve"> PAGEREF _Toc38878800 \h </w:instrText>
      </w:r>
      <w:r>
        <w:rPr>
          <w:highlight w:val="none"/>
        </w:rPr>
        <w:fldChar w:fldCharType="separate"/>
      </w:r>
      <w:r>
        <w:rPr>
          <w:highlight w:val="none"/>
        </w:rPr>
        <w:t>181</w:t>
      </w:r>
      <w:r>
        <w:rPr>
          <w:highlight w:val="none"/>
        </w:rPr>
        <w:fldChar w:fldCharType="end"/>
      </w:r>
      <w:r>
        <w:rPr>
          <w:highlight w:val="none"/>
        </w:rPr>
        <w:fldChar w:fldCharType="end"/>
      </w:r>
    </w:p>
    <w:p w14:paraId="487EF6EF">
      <w:pPr>
        <w:pStyle w:val="117"/>
        <w:tabs>
          <w:tab w:val="right" w:leader="hyphen" w:pos="8834"/>
        </w:tabs>
        <w:rPr>
          <w:smallCaps/>
          <w:highlight w:val="none"/>
        </w:rPr>
      </w:pPr>
      <w:r>
        <w:rPr>
          <w:highlight w:val="none"/>
        </w:rPr>
        <w:fldChar w:fldCharType="begin"/>
      </w:r>
      <w:r>
        <w:rPr>
          <w:highlight w:val="none"/>
        </w:rPr>
        <w:instrText xml:space="preserve"> HYPERLINK \l "_Toc38878801" </w:instrText>
      </w:r>
      <w:r>
        <w:rPr>
          <w:highlight w:val="none"/>
        </w:rPr>
        <w:fldChar w:fldCharType="separate"/>
      </w:r>
      <w:r>
        <w:rPr>
          <w:rStyle w:val="53"/>
          <w:rFonts w:hint="eastAsia" w:ascii="宋体" w:hAnsi="宋体"/>
          <w:highlight w:val="none"/>
        </w:rPr>
        <w:t>一、资格性自查表</w:t>
      </w:r>
      <w:r>
        <w:rPr>
          <w:highlight w:val="none"/>
        </w:rPr>
        <w:tab/>
      </w:r>
      <w:r>
        <w:rPr>
          <w:highlight w:val="none"/>
        </w:rPr>
        <w:fldChar w:fldCharType="begin"/>
      </w:r>
      <w:r>
        <w:rPr>
          <w:highlight w:val="none"/>
        </w:rPr>
        <w:instrText xml:space="preserve"> PAGEREF _Toc38878801 \h </w:instrText>
      </w:r>
      <w:r>
        <w:rPr>
          <w:highlight w:val="none"/>
        </w:rPr>
        <w:fldChar w:fldCharType="separate"/>
      </w:r>
      <w:r>
        <w:rPr>
          <w:highlight w:val="none"/>
        </w:rPr>
        <w:t>184</w:t>
      </w:r>
      <w:r>
        <w:rPr>
          <w:highlight w:val="none"/>
        </w:rPr>
        <w:fldChar w:fldCharType="end"/>
      </w:r>
      <w:r>
        <w:rPr>
          <w:highlight w:val="none"/>
        </w:rPr>
        <w:fldChar w:fldCharType="end"/>
      </w:r>
    </w:p>
    <w:p w14:paraId="49D41C72">
      <w:pPr>
        <w:pStyle w:val="117"/>
        <w:tabs>
          <w:tab w:val="right" w:leader="hyphen" w:pos="8834"/>
        </w:tabs>
        <w:rPr>
          <w:smallCaps/>
          <w:highlight w:val="none"/>
        </w:rPr>
      </w:pPr>
      <w:r>
        <w:rPr>
          <w:highlight w:val="none"/>
        </w:rPr>
        <w:fldChar w:fldCharType="begin"/>
      </w:r>
      <w:r>
        <w:rPr>
          <w:highlight w:val="none"/>
        </w:rPr>
        <w:instrText xml:space="preserve"> HYPERLINK \l "_Toc38878802" </w:instrText>
      </w:r>
      <w:r>
        <w:rPr>
          <w:highlight w:val="none"/>
        </w:rPr>
        <w:fldChar w:fldCharType="separate"/>
      </w:r>
      <w:r>
        <w:rPr>
          <w:rStyle w:val="53"/>
          <w:rFonts w:hint="eastAsia" w:ascii="宋体" w:hAnsi="宋体"/>
          <w:highlight w:val="none"/>
        </w:rPr>
        <w:t>二、投标函</w:t>
      </w:r>
      <w:r>
        <w:rPr>
          <w:highlight w:val="none"/>
        </w:rPr>
        <w:tab/>
      </w:r>
      <w:r>
        <w:rPr>
          <w:highlight w:val="none"/>
        </w:rPr>
        <w:fldChar w:fldCharType="begin"/>
      </w:r>
      <w:r>
        <w:rPr>
          <w:highlight w:val="none"/>
        </w:rPr>
        <w:instrText xml:space="preserve"> PAGEREF _Toc38878802 \h </w:instrText>
      </w:r>
      <w:r>
        <w:rPr>
          <w:highlight w:val="none"/>
        </w:rPr>
        <w:fldChar w:fldCharType="separate"/>
      </w:r>
      <w:r>
        <w:rPr>
          <w:highlight w:val="none"/>
        </w:rPr>
        <w:t>185</w:t>
      </w:r>
      <w:r>
        <w:rPr>
          <w:highlight w:val="none"/>
        </w:rPr>
        <w:fldChar w:fldCharType="end"/>
      </w:r>
      <w:r>
        <w:rPr>
          <w:highlight w:val="none"/>
        </w:rPr>
        <w:fldChar w:fldCharType="end"/>
      </w:r>
    </w:p>
    <w:p w14:paraId="69541149">
      <w:pPr>
        <w:pStyle w:val="117"/>
        <w:tabs>
          <w:tab w:val="right" w:leader="hyphen" w:pos="8834"/>
        </w:tabs>
        <w:rPr>
          <w:smallCaps/>
          <w:highlight w:val="none"/>
        </w:rPr>
      </w:pPr>
      <w:r>
        <w:rPr>
          <w:highlight w:val="none"/>
        </w:rPr>
        <w:fldChar w:fldCharType="begin"/>
      </w:r>
      <w:r>
        <w:rPr>
          <w:highlight w:val="none"/>
        </w:rPr>
        <w:instrText xml:space="preserve"> HYPERLINK \l "_Toc38878803" </w:instrText>
      </w:r>
      <w:r>
        <w:rPr>
          <w:highlight w:val="none"/>
        </w:rPr>
        <w:fldChar w:fldCharType="separate"/>
      </w:r>
      <w:r>
        <w:rPr>
          <w:rStyle w:val="53"/>
          <w:rFonts w:hint="eastAsia" w:ascii="宋体" w:hAnsi="宋体"/>
          <w:highlight w:val="none"/>
        </w:rPr>
        <w:t>三、报价一览表及投标报价明细表</w:t>
      </w:r>
      <w:r>
        <w:rPr>
          <w:highlight w:val="none"/>
        </w:rPr>
        <w:tab/>
      </w:r>
      <w:r>
        <w:rPr>
          <w:highlight w:val="none"/>
        </w:rPr>
        <w:fldChar w:fldCharType="begin"/>
      </w:r>
      <w:r>
        <w:rPr>
          <w:highlight w:val="none"/>
        </w:rPr>
        <w:instrText xml:space="preserve"> PAGEREF _Toc38878803 \h </w:instrText>
      </w:r>
      <w:r>
        <w:rPr>
          <w:highlight w:val="none"/>
        </w:rPr>
        <w:fldChar w:fldCharType="separate"/>
      </w:r>
      <w:r>
        <w:rPr>
          <w:highlight w:val="none"/>
        </w:rPr>
        <w:t>189</w:t>
      </w:r>
      <w:r>
        <w:rPr>
          <w:highlight w:val="none"/>
        </w:rPr>
        <w:fldChar w:fldCharType="end"/>
      </w:r>
      <w:r>
        <w:rPr>
          <w:highlight w:val="none"/>
        </w:rPr>
        <w:fldChar w:fldCharType="end"/>
      </w:r>
    </w:p>
    <w:p w14:paraId="59280F7C">
      <w:pPr>
        <w:pStyle w:val="117"/>
        <w:tabs>
          <w:tab w:val="right" w:leader="hyphen" w:pos="8834"/>
        </w:tabs>
        <w:rPr>
          <w:smallCaps/>
          <w:highlight w:val="none"/>
        </w:rPr>
      </w:pPr>
      <w:r>
        <w:rPr>
          <w:highlight w:val="none"/>
        </w:rPr>
        <w:fldChar w:fldCharType="begin"/>
      </w:r>
      <w:r>
        <w:rPr>
          <w:highlight w:val="none"/>
        </w:rPr>
        <w:instrText xml:space="preserve"> HYPERLINK \l "_Toc38878804" </w:instrText>
      </w:r>
      <w:r>
        <w:rPr>
          <w:highlight w:val="none"/>
        </w:rPr>
        <w:fldChar w:fldCharType="separate"/>
      </w:r>
      <w:r>
        <w:rPr>
          <w:rStyle w:val="53"/>
          <w:rFonts w:hint="eastAsia" w:ascii="宋体" w:hAnsi="宋体"/>
          <w:highlight w:val="none"/>
        </w:rPr>
        <w:t>四、投标人基本情况</w:t>
      </w:r>
      <w:bookmarkStart w:id="24" w:name="_Hlt192512549"/>
      <w:r>
        <w:rPr>
          <w:highlight w:val="none"/>
        </w:rPr>
        <w:tab/>
      </w:r>
      <w:bookmarkEnd w:id="24"/>
      <w:r>
        <w:rPr>
          <w:highlight w:val="none"/>
        </w:rPr>
        <w:fldChar w:fldCharType="begin"/>
      </w:r>
      <w:r>
        <w:rPr>
          <w:highlight w:val="none"/>
        </w:rPr>
        <w:instrText xml:space="preserve"> PAGEREF _Toc38878804 \h </w:instrText>
      </w:r>
      <w:r>
        <w:rPr>
          <w:highlight w:val="none"/>
        </w:rPr>
        <w:fldChar w:fldCharType="separate"/>
      </w:r>
      <w:r>
        <w:rPr>
          <w:highlight w:val="none"/>
        </w:rPr>
        <w:t>200</w:t>
      </w:r>
      <w:r>
        <w:rPr>
          <w:highlight w:val="none"/>
        </w:rPr>
        <w:fldChar w:fldCharType="end"/>
      </w:r>
      <w:r>
        <w:rPr>
          <w:highlight w:val="none"/>
        </w:rPr>
        <w:fldChar w:fldCharType="end"/>
      </w:r>
    </w:p>
    <w:p w14:paraId="70E6EC73">
      <w:pPr>
        <w:pStyle w:val="117"/>
        <w:tabs>
          <w:tab w:val="right" w:leader="hyphen" w:pos="8834"/>
        </w:tabs>
        <w:rPr>
          <w:smallCaps/>
          <w:highlight w:val="none"/>
        </w:rPr>
      </w:pPr>
      <w:r>
        <w:rPr>
          <w:highlight w:val="none"/>
        </w:rPr>
        <w:fldChar w:fldCharType="begin"/>
      </w:r>
      <w:r>
        <w:rPr>
          <w:highlight w:val="none"/>
        </w:rPr>
        <w:instrText xml:space="preserve"> HYPERLINK \l "_Toc38878805" </w:instrText>
      </w:r>
      <w:r>
        <w:rPr>
          <w:highlight w:val="none"/>
        </w:rPr>
        <w:fldChar w:fldCharType="separate"/>
      </w:r>
      <w:r>
        <w:rPr>
          <w:rStyle w:val="53"/>
          <w:rFonts w:hint="eastAsia" w:ascii="宋体" w:hAnsi="宋体"/>
          <w:highlight w:val="none"/>
        </w:rPr>
        <w:t>五、投标人的资格审查材料</w:t>
      </w:r>
      <w:r>
        <w:rPr>
          <w:highlight w:val="none"/>
        </w:rPr>
        <w:tab/>
      </w:r>
      <w:r>
        <w:rPr>
          <w:highlight w:val="none"/>
        </w:rPr>
        <w:fldChar w:fldCharType="begin"/>
      </w:r>
      <w:r>
        <w:rPr>
          <w:highlight w:val="none"/>
        </w:rPr>
        <w:instrText xml:space="preserve"> PAGEREF _Toc38878805 \h </w:instrText>
      </w:r>
      <w:r>
        <w:rPr>
          <w:highlight w:val="none"/>
        </w:rPr>
        <w:fldChar w:fldCharType="separate"/>
      </w:r>
      <w:r>
        <w:rPr>
          <w:highlight w:val="none"/>
        </w:rPr>
        <w:t>205</w:t>
      </w:r>
      <w:r>
        <w:rPr>
          <w:highlight w:val="none"/>
        </w:rPr>
        <w:fldChar w:fldCharType="end"/>
      </w:r>
      <w:r>
        <w:rPr>
          <w:highlight w:val="none"/>
        </w:rPr>
        <w:fldChar w:fldCharType="end"/>
      </w:r>
    </w:p>
    <w:p w14:paraId="6609E0E6">
      <w:pPr>
        <w:pStyle w:val="117"/>
        <w:tabs>
          <w:tab w:val="right" w:leader="hyphen" w:pos="8834"/>
        </w:tabs>
        <w:rPr>
          <w:smallCaps/>
          <w:highlight w:val="none"/>
        </w:rPr>
      </w:pPr>
      <w:r>
        <w:rPr>
          <w:highlight w:val="none"/>
        </w:rPr>
        <w:fldChar w:fldCharType="begin"/>
      </w:r>
      <w:r>
        <w:rPr>
          <w:highlight w:val="none"/>
        </w:rPr>
        <w:instrText xml:space="preserve"> HYPERLINK \l "_Toc38878806" </w:instrText>
      </w:r>
      <w:r>
        <w:rPr>
          <w:highlight w:val="none"/>
        </w:rPr>
        <w:fldChar w:fldCharType="separate"/>
      </w:r>
      <w:r>
        <w:rPr>
          <w:rStyle w:val="53"/>
          <w:rFonts w:hint="eastAsia" w:ascii="宋体" w:hAnsi="宋体"/>
          <w:highlight w:val="none"/>
        </w:rPr>
        <w:t>六、货物说明</w:t>
      </w:r>
      <w:r>
        <w:rPr>
          <w:highlight w:val="none"/>
        </w:rPr>
        <w:tab/>
      </w:r>
      <w:r>
        <w:rPr>
          <w:highlight w:val="none"/>
        </w:rPr>
        <w:fldChar w:fldCharType="begin"/>
      </w:r>
      <w:r>
        <w:rPr>
          <w:highlight w:val="none"/>
        </w:rPr>
        <w:instrText xml:space="preserve"> PAGEREF _Toc38878806 \h </w:instrText>
      </w:r>
      <w:r>
        <w:rPr>
          <w:highlight w:val="none"/>
        </w:rPr>
        <w:fldChar w:fldCharType="separate"/>
      </w:r>
      <w:r>
        <w:rPr>
          <w:highlight w:val="none"/>
        </w:rPr>
        <w:t>209</w:t>
      </w:r>
      <w:r>
        <w:rPr>
          <w:highlight w:val="none"/>
        </w:rPr>
        <w:fldChar w:fldCharType="end"/>
      </w:r>
      <w:r>
        <w:rPr>
          <w:highlight w:val="none"/>
        </w:rPr>
        <w:fldChar w:fldCharType="end"/>
      </w:r>
    </w:p>
    <w:p w14:paraId="2405D1C4">
      <w:pPr>
        <w:pStyle w:val="117"/>
        <w:tabs>
          <w:tab w:val="right" w:leader="hyphen" w:pos="8834"/>
        </w:tabs>
        <w:rPr>
          <w:smallCaps/>
          <w:highlight w:val="none"/>
        </w:rPr>
      </w:pPr>
      <w:r>
        <w:rPr>
          <w:highlight w:val="none"/>
        </w:rPr>
        <w:fldChar w:fldCharType="begin"/>
      </w:r>
      <w:r>
        <w:rPr>
          <w:highlight w:val="none"/>
        </w:rPr>
        <w:instrText xml:space="preserve"> HYPERLINK \l "_Toc38878807" </w:instrText>
      </w:r>
      <w:r>
        <w:rPr>
          <w:highlight w:val="none"/>
        </w:rPr>
        <w:fldChar w:fldCharType="separate"/>
      </w:r>
      <w:r>
        <w:rPr>
          <w:rStyle w:val="53"/>
          <w:rFonts w:hint="eastAsia" w:ascii="宋体" w:hAnsi="宋体"/>
          <w:highlight w:val="none"/>
        </w:rPr>
        <w:t>七、实施方案</w:t>
      </w:r>
      <w:r>
        <w:rPr>
          <w:highlight w:val="none"/>
        </w:rPr>
        <w:tab/>
      </w:r>
      <w:r>
        <w:rPr>
          <w:highlight w:val="none"/>
        </w:rPr>
        <w:fldChar w:fldCharType="begin"/>
      </w:r>
      <w:r>
        <w:rPr>
          <w:highlight w:val="none"/>
        </w:rPr>
        <w:instrText xml:space="preserve"> PAGEREF _Toc38878807 \h </w:instrText>
      </w:r>
      <w:r>
        <w:rPr>
          <w:highlight w:val="none"/>
        </w:rPr>
        <w:fldChar w:fldCharType="separate"/>
      </w:r>
      <w:r>
        <w:rPr>
          <w:highlight w:val="none"/>
        </w:rPr>
        <w:t>214</w:t>
      </w:r>
      <w:r>
        <w:rPr>
          <w:highlight w:val="none"/>
        </w:rPr>
        <w:fldChar w:fldCharType="end"/>
      </w:r>
      <w:r>
        <w:rPr>
          <w:highlight w:val="none"/>
        </w:rPr>
        <w:fldChar w:fldCharType="end"/>
      </w:r>
    </w:p>
    <w:p w14:paraId="0E4D097F">
      <w:pPr>
        <w:pStyle w:val="117"/>
        <w:tabs>
          <w:tab w:val="right" w:leader="hyphen" w:pos="8834"/>
        </w:tabs>
        <w:rPr>
          <w:smallCaps/>
          <w:highlight w:val="none"/>
        </w:rPr>
      </w:pPr>
      <w:r>
        <w:rPr>
          <w:highlight w:val="none"/>
        </w:rPr>
        <w:fldChar w:fldCharType="begin"/>
      </w:r>
      <w:r>
        <w:rPr>
          <w:highlight w:val="none"/>
        </w:rPr>
        <w:instrText xml:space="preserve"> HYPERLINK \l "_Toc38878808" </w:instrText>
      </w:r>
      <w:r>
        <w:rPr>
          <w:highlight w:val="none"/>
        </w:rPr>
        <w:fldChar w:fldCharType="separate"/>
      </w:r>
      <w:r>
        <w:rPr>
          <w:rStyle w:val="53"/>
          <w:rFonts w:hint="eastAsia" w:ascii="宋体" w:hAnsi="宋体"/>
          <w:highlight w:val="none"/>
        </w:rPr>
        <w:t>八、投标人认为需要提供的其它资料</w:t>
      </w:r>
      <w:r>
        <w:rPr>
          <w:highlight w:val="none"/>
        </w:rPr>
        <w:tab/>
      </w:r>
      <w:r>
        <w:rPr>
          <w:highlight w:val="none"/>
        </w:rPr>
        <w:fldChar w:fldCharType="begin"/>
      </w:r>
      <w:r>
        <w:rPr>
          <w:highlight w:val="none"/>
        </w:rPr>
        <w:instrText xml:space="preserve"> PAGEREF _Toc38878808 \h </w:instrText>
      </w:r>
      <w:r>
        <w:rPr>
          <w:highlight w:val="none"/>
        </w:rPr>
        <w:fldChar w:fldCharType="separate"/>
      </w:r>
      <w:r>
        <w:rPr>
          <w:highlight w:val="none"/>
        </w:rPr>
        <w:t>216</w:t>
      </w:r>
      <w:r>
        <w:rPr>
          <w:highlight w:val="none"/>
        </w:rPr>
        <w:fldChar w:fldCharType="end"/>
      </w:r>
      <w:r>
        <w:rPr>
          <w:highlight w:val="none"/>
        </w:rPr>
        <w:fldChar w:fldCharType="end"/>
      </w:r>
    </w:p>
    <w:p w14:paraId="3C7216F1">
      <w:pPr>
        <w:pStyle w:val="117"/>
        <w:spacing w:line="400" w:lineRule="exact"/>
        <w:ind w:firstLine="482"/>
        <w:rPr>
          <w:rFonts w:hint="eastAsia" w:ascii="宋体" w:hAnsi="宋体"/>
          <w:b/>
          <w:sz w:val="24"/>
          <w:highlight w:val="none"/>
        </w:rPr>
      </w:pPr>
      <w:r>
        <w:rPr>
          <w:rFonts w:ascii="宋体" w:hAnsi="宋体"/>
          <w:b/>
          <w:sz w:val="24"/>
          <w:szCs w:val="24"/>
          <w:highlight w:val="none"/>
        </w:rPr>
        <w:fldChar w:fldCharType="end"/>
      </w:r>
    </w:p>
    <w:p w14:paraId="7FE6F22A">
      <w:pPr>
        <w:spacing w:line="360" w:lineRule="exact"/>
        <w:jc w:val="center"/>
        <w:outlineLvl w:val="0"/>
        <w:rPr>
          <w:rFonts w:hint="eastAsia"/>
          <w:b/>
          <w:sz w:val="32"/>
          <w:szCs w:val="32"/>
          <w:highlight w:val="none"/>
        </w:rPr>
      </w:pPr>
      <w:bookmarkStart w:id="25" w:name="_Toc419219491"/>
      <w:bookmarkStart w:id="26" w:name="_Toc420948005"/>
      <w:bookmarkStart w:id="27" w:name="_Toc419219410"/>
      <w:bookmarkStart w:id="28" w:name="_Toc419219645"/>
    </w:p>
    <w:p w14:paraId="4451560F">
      <w:pPr>
        <w:spacing w:line="360" w:lineRule="exact"/>
        <w:jc w:val="center"/>
        <w:outlineLvl w:val="0"/>
        <w:rPr>
          <w:rFonts w:hint="eastAsia"/>
          <w:b/>
          <w:sz w:val="32"/>
          <w:szCs w:val="32"/>
          <w:highlight w:val="none"/>
        </w:rPr>
        <w:sectPr>
          <w:headerReference r:id="rId6" w:type="first"/>
          <w:headerReference r:id="rId5" w:type="default"/>
          <w:footerReference r:id="rId7" w:type="default"/>
          <w:footerReference r:id="rId8" w:type="even"/>
          <w:pgSz w:w="11906" w:h="16838"/>
          <w:pgMar w:top="1474" w:right="1531" w:bottom="1474" w:left="1531" w:header="851" w:footer="992" w:gutter="0"/>
          <w:cols w:space="720" w:num="1"/>
          <w:titlePg/>
          <w:docGrid w:type="lines" w:linePitch="312" w:charSpace="0"/>
        </w:sectPr>
      </w:pPr>
    </w:p>
    <w:p w14:paraId="491E432A">
      <w:pPr>
        <w:pStyle w:val="2"/>
        <w:numPr>
          <w:ilvl w:val="0"/>
          <w:numId w:val="0"/>
        </w:numPr>
        <w:ind w:left="420" w:hanging="420"/>
        <w:rPr>
          <w:rFonts w:hint="eastAsia" w:ascii="宋体" w:hAnsi="宋体"/>
          <w:highlight w:val="none"/>
        </w:rPr>
      </w:pPr>
      <w:bookmarkStart w:id="29" w:name="_Toc38878755"/>
      <w:r>
        <w:rPr>
          <w:rFonts w:hint="eastAsia" w:ascii="宋体" w:hAnsi="宋体"/>
          <w:highlight w:val="none"/>
        </w:rPr>
        <w:t>第一</w:t>
      </w:r>
      <w:r>
        <w:rPr>
          <w:rFonts w:ascii="宋体" w:hAnsi="宋体"/>
          <w:highlight w:val="none"/>
        </w:rPr>
        <w:t xml:space="preserve">章  </w:t>
      </w:r>
      <w:r>
        <w:rPr>
          <w:rFonts w:hint="eastAsia" w:ascii="宋体" w:hAnsi="宋体"/>
          <w:highlight w:val="none"/>
        </w:rPr>
        <w:t>招标公告</w:t>
      </w:r>
      <w:bookmarkEnd w:id="25"/>
      <w:bookmarkEnd w:id="26"/>
      <w:bookmarkEnd w:id="27"/>
      <w:bookmarkEnd w:id="28"/>
      <w:bookmarkEnd w:id="29"/>
    </w:p>
    <w:p w14:paraId="29038DB5">
      <w:pPr>
        <w:rPr>
          <w:rFonts w:hint="eastAsia"/>
          <w:kern w:val="0"/>
          <w:szCs w:val="21"/>
          <w:highlight w:val="none"/>
        </w:rPr>
      </w:pPr>
      <w:bookmarkStart w:id="30" w:name="_Toc420948006"/>
      <w:r>
        <w:rPr>
          <w:rFonts w:hint="eastAsia"/>
          <w:kern w:val="0"/>
          <w:szCs w:val="21"/>
          <w:highlight w:val="none"/>
        </w:rPr>
        <w:t>项目概况</w:t>
      </w:r>
    </w:p>
    <w:p w14:paraId="08601E5E">
      <w:pPr>
        <w:ind w:firstLine="480" w:firstLineChars="200"/>
        <w:rPr>
          <w:rFonts w:hint="eastAsia"/>
          <w:kern w:val="0"/>
          <w:szCs w:val="21"/>
          <w:highlight w:val="none"/>
        </w:rPr>
      </w:pPr>
      <w:r>
        <w:rPr>
          <w:rFonts w:hint="eastAsia"/>
          <w:kern w:val="0"/>
          <w:szCs w:val="21"/>
          <w:highlight w:val="none"/>
        </w:rPr>
        <w:t>自治区第六人民医院信息系统（HIS、EMR、集成平台等）升级改造建设项目的潜在投标人应在政采云平台线上获取招标文件，并于</w:t>
      </w:r>
      <w:r>
        <w:rPr>
          <w:rFonts w:hint="eastAsia" w:ascii="宋体" w:hAnsi="宋体"/>
          <w:kern w:val="0"/>
          <w:szCs w:val="21"/>
          <w:highlight w:val="none"/>
        </w:rPr>
        <w:t>2025年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ascii="宋体" w:hAnsi="宋体"/>
          <w:kern w:val="0"/>
          <w:szCs w:val="21"/>
          <w:highlight w:val="none"/>
        </w:rPr>
        <w:t xml:space="preserve"> </w:t>
      </w:r>
      <w:r>
        <w:rPr>
          <w:rFonts w:hint="eastAsia" w:ascii="宋体" w:hAnsi="宋体"/>
          <w:kern w:val="0"/>
          <w:szCs w:val="21"/>
          <w:highlight w:val="none"/>
          <w:lang w:val="en-US" w:eastAsia="zh-CN"/>
        </w:rPr>
        <w:t>28</w:t>
      </w:r>
      <w:r>
        <w:rPr>
          <w:rFonts w:hint="eastAsia" w:ascii="宋体" w:hAnsi="宋体"/>
          <w:kern w:val="0"/>
          <w:szCs w:val="21"/>
          <w:highlight w:val="none"/>
        </w:rPr>
        <w:t>日</w:t>
      </w:r>
      <w:r>
        <w:rPr>
          <w:rFonts w:ascii="宋体" w:hAnsi="宋体"/>
          <w:kern w:val="0"/>
          <w:szCs w:val="21"/>
          <w:highlight w:val="none"/>
        </w:rPr>
        <w:t xml:space="preserve"> </w:t>
      </w:r>
      <w:r>
        <w:rPr>
          <w:rFonts w:hint="eastAsia" w:ascii="宋体" w:hAnsi="宋体"/>
          <w:kern w:val="0"/>
          <w:szCs w:val="21"/>
          <w:highlight w:val="none"/>
          <w:lang w:val="en-US" w:eastAsia="zh-CN"/>
        </w:rPr>
        <w:t>11</w:t>
      </w:r>
      <w:r>
        <w:rPr>
          <w:rFonts w:hint="eastAsia" w:ascii="宋体" w:hAnsi="宋体"/>
          <w:kern w:val="0"/>
          <w:szCs w:val="21"/>
          <w:highlight w:val="none"/>
        </w:rPr>
        <w:t>:00（北京时间）</w:t>
      </w:r>
      <w:r>
        <w:rPr>
          <w:rFonts w:hint="eastAsia"/>
          <w:kern w:val="0"/>
          <w:szCs w:val="21"/>
          <w:highlight w:val="none"/>
        </w:rPr>
        <w:t>前递交投标文件。</w:t>
      </w:r>
    </w:p>
    <w:p w14:paraId="6A79A5CE">
      <w:pPr>
        <w:rPr>
          <w:rFonts w:hint="eastAsia"/>
          <w:color w:val="000000"/>
          <w:kern w:val="0"/>
          <w:szCs w:val="21"/>
          <w:highlight w:val="none"/>
        </w:rPr>
      </w:pPr>
      <w:r>
        <w:rPr>
          <w:rFonts w:hint="eastAsia"/>
          <w:color w:val="000000"/>
          <w:kern w:val="0"/>
          <w:szCs w:val="21"/>
          <w:highlight w:val="none"/>
        </w:rPr>
        <w:t>一、项目基本情况</w:t>
      </w:r>
    </w:p>
    <w:p w14:paraId="57DACFBD">
      <w:pPr>
        <w:rPr>
          <w:rFonts w:hint="eastAsia"/>
          <w:color w:val="000000"/>
          <w:kern w:val="0"/>
          <w:szCs w:val="21"/>
          <w:highlight w:val="none"/>
        </w:rPr>
      </w:pPr>
      <w:r>
        <w:rPr>
          <w:rFonts w:hint="eastAsia"/>
          <w:color w:val="000000"/>
          <w:kern w:val="0"/>
          <w:szCs w:val="21"/>
          <w:highlight w:val="none"/>
        </w:rPr>
        <w:t>项目编号：HCZB-2025-ZB0367</w:t>
      </w:r>
    </w:p>
    <w:p w14:paraId="006061D3">
      <w:pPr>
        <w:rPr>
          <w:rFonts w:hint="eastAsia"/>
          <w:color w:val="000000"/>
          <w:kern w:val="0"/>
          <w:szCs w:val="21"/>
          <w:highlight w:val="none"/>
        </w:rPr>
      </w:pPr>
      <w:r>
        <w:rPr>
          <w:rFonts w:hint="eastAsia"/>
          <w:color w:val="000000"/>
          <w:kern w:val="0"/>
          <w:szCs w:val="21"/>
          <w:highlight w:val="none"/>
        </w:rPr>
        <w:t>项目名称：自治区第六人民医院信息系统（</w:t>
      </w:r>
      <w:r>
        <w:rPr>
          <w:rFonts w:hint="eastAsia"/>
          <w:color w:val="000000"/>
          <w:kern w:val="0"/>
          <w:szCs w:val="21"/>
          <w:highlight w:val="none"/>
        </w:rPr>
        <w:t>HIS、EMR、集成平台等）升级改造建设项目</w:t>
      </w:r>
    </w:p>
    <w:p w14:paraId="0C959F2B">
      <w:pPr>
        <w:rPr>
          <w:rFonts w:hint="eastAsia"/>
          <w:color w:val="000000"/>
          <w:kern w:val="0"/>
          <w:szCs w:val="21"/>
          <w:highlight w:val="none"/>
        </w:rPr>
      </w:pPr>
      <w:r>
        <w:rPr>
          <w:rFonts w:hint="eastAsia"/>
          <w:color w:val="000000"/>
          <w:kern w:val="0"/>
          <w:szCs w:val="21"/>
          <w:highlight w:val="none"/>
        </w:rPr>
        <w:t>采购方式：公开招标</w:t>
      </w:r>
    </w:p>
    <w:p w14:paraId="6307DAFC">
      <w:pPr>
        <w:rPr>
          <w:rFonts w:hint="default" w:eastAsia="宋体"/>
          <w:color w:val="auto"/>
          <w:kern w:val="0"/>
          <w:szCs w:val="21"/>
          <w:highlight w:val="none"/>
          <w:lang w:val="en-US" w:eastAsia="zh-CN"/>
        </w:rPr>
      </w:pPr>
      <w:r>
        <w:rPr>
          <w:rFonts w:hint="eastAsia"/>
          <w:color w:val="000000"/>
          <w:kern w:val="0"/>
          <w:szCs w:val="21"/>
          <w:highlight w:val="none"/>
        </w:rPr>
        <w:t>预算金额（元）</w:t>
      </w:r>
      <w:r>
        <w:rPr>
          <w:rFonts w:hint="eastAsia"/>
          <w:color w:val="auto"/>
          <w:kern w:val="0"/>
          <w:szCs w:val="21"/>
          <w:highlight w:val="none"/>
        </w:rPr>
        <w:t>：</w:t>
      </w:r>
      <w:r>
        <w:rPr>
          <w:rFonts w:hint="eastAsia"/>
          <w:color w:val="auto"/>
          <w:kern w:val="0"/>
          <w:szCs w:val="21"/>
          <w:highlight w:val="none"/>
          <w:lang w:val="en-US" w:eastAsia="zh-CN"/>
        </w:rPr>
        <w:t>13960000</w:t>
      </w:r>
    </w:p>
    <w:p w14:paraId="3F68DDC3">
      <w:pPr>
        <w:rPr>
          <w:rFonts w:hint="eastAsia"/>
          <w:color w:val="auto"/>
          <w:kern w:val="0"/>
          <w:szCs w:val="21"/>
          <w:highlight w:val="none"/>
        </w:rPr>
      </w:pPr>
      <w:r>
        <w:rPr>
          <w:rFonts w:hint="eastAsia"/>
          <w:color w:val="auto"/>
          <w:kern w:val="0"/>
          <w:szCs w:val="21"/>
          <w:highlight w:val="none"/>
        </w:rPr>
        <w:t>最高限价（元）：</w:t>
      </w:r>
    </w:p>
    <w:p w14:paraId="351065CC">
      <w:pPr>
        <w:rPr>
          <w:rFonts w:hint="eastAsia"/>
          <w:color w:val="auto"/>
          <w:kern w:val="0"/>
          <w:szCs w:val="21"/>
          <w:highlight w:val="none"/>
        </w:rPr>
      </w:pPr>
      <w:r>
        <w:rPr>
          <w:rFonts w:hint="eastAsia"/>
          <w:color w:val="auto"/>
          <w:kern w:val="0"/>
          <w:szCs w:val="21"/>
          <w:highlight w:val="none"/>
        </w:rPr>
        <w:t>采购需求：</w:t>
      </w:r>
    </w:p>
    <w:p w14:paraId="511E026C">
      <w:pPr>
        <w:rPr>
          <w:rFonts w:hint="eastAsia"/>
          <w:color w:val="auto"/>
          <w:kern w:val="0"/>
          <w:szCs w:val="21"/>
          <w:highlight w:val="none"/>
        </w:rPr>
      </w:pPr>
      <w:r>
        <w:rPr>
          <w:rFonts w:hint="eastAsia"/>
          <w:color w:val="auto"/>
          <w:kern w:val="0"/>
          <w:szCs w:val="21"/>
          <w:highlight w:val="none"/>
        </w:rPr>
        <w:t xml:space="preserve">   标项名称: 自治区第六人民医院信息系统（HIS、EMR、集成平台等）升级改造建设项目</w:t>
      </w:r>
    </w:p>
    <w:p w14:paraId="074FD5BC">
      <w:pPr>
        <w:rPr>
          <w:rFonts w:hint="eastAsia"/>
          <w:color w:val="auto"/>
          <w:kern w:val="0"/>
          <w:szCs w:val="21"/>
          <w:highlight w:val="none"/>
        </w:rPr>
      </w:pPr>
      <w:r>
        <w:rPr>
          <w:rFonts w:hint="eastAsia"/>
          <w:color w:val="auto"/>
          <w:kern w:val="0"/>
          <w:szCs w:val="21"/>
          <w:highlight w:val="none"/>
        </w:rPr>
        <w:t xml:space="preserve">   数量:</w:t>
      </w:r>
      <w:r>
        <w:rPr>
          <w:color w:val="auto"/>
          <w:kern w:val="0"/>
          <w:szCs w:val="21"/>
          <w:highlight w:val="none"/>
        </w:rPr>
        <w:t>1</w:t>
      </w:r>
    </w:p>
    <w:p w14:paraId="1CC74160">
      <w:pPr>
        <w:rPr>
          <w:rFonts w:hint="eastAsia"/>
          <w:color w:val="auto"/>
          <w:kern w:val="0"/>
          <w:szCs w:val="21"/>
          <w:highlight w:val="none"/>
        </w:rPr>
      </w:pPr>
      <w:r>
        <w:rPr>
          <w:rFonts w:hint="eastAsia"/>
          <w:color w:val="auto"/>
          <w:kern w:val="0"/>
          <w:szCs w:val="21"/>
          <w:highlight w:val="none"/>
        </w:rPr>
        <w:t xml:space="preserve">   预算金额（元）:</w:t>
      </w:r>
      <w:r>
        <w:rPr>
          <w:color w:val="auto"/>
          <w:kern w:val="0"/>
          <w:szCs w:val="21"/>
          <w:highlight w:val="none"/>
        </w:rPr>
        <w:t xml:space="preserve"> </w:t>
      </w:r>
      <w:r>
        <w:rPr>
          <w:rFonts w:hint="eastAsia"/>
          <w:color w:val="auto"/>
          <w:kern w:val="0"/>
          <w:szCs w:val="21"/>
          <w:highlight w:val="none"/>
          <w:lang w:val="en-US" w:eastAsia="zh-CN"/>
        </w:rPr>
        <w:t>13960000</w:t>
      </w:r>
    </w:p>
    <w:p w14:paraId="2323BC92">
      <w:pPr>
        <w:rPr>
          <w:rFonts w:hint="eastAsia"/>
          <w:color w:val="auto"/>
          <w:kern w:val="0"/>
          <w:szCs w:val="21"/>
          <w:highlight w:val="none"/>
        </w:rPr>
      </w:pPr>
      <w:r>
        <w:rPr>
          <w:rFonts w:hint="eastAsia"/>
          <w:color w:val="auto"/>
          <w:kern w:val="0"/>
          <w:szCs w:val="21"/>
          <w:highlight w:val="none"/>
        </w:rPr>
        <w:t xml:space="preserve">   简要规格描述或项目基本概况介绍、用途：详见采购文件</w:t>
      </w:r>
    </w:p>
    <w:p w14:paraId="2D05E576">
      <w:pPr>
        <w:rPr>
          <w:rFonts w:hint="eastAsia"/>
          <w:color w:val="auto"/>
          <w:kern w:val="0"/>
          <w:szCs w:val="21"/>
          <w:highlight w:val="none"/>
        </w:rPr>
      </w:pPr>
      <w:r>
        <w:rPr>
          <w:rFonts w:hint="eastAsia"/>
          <w:color w:val="auto"/>
          <w:kern w:val="0"/>
          <w:szCs w:val="21"/>
          <w:highlight w:val="none"/>
        </w:rPr>
        <w:t xml:space="preserve">   备注：</w:t>
      </w:r>
    </w:p>
    <w:p w14:paraId="5640B117">
      <w:pPr>
        <w:rPr>
          <w:rFonts w:hint="eastAsia"/>
          <w:color w:val="auto"/>
          <w:kern w:val="0"/>
          <w:szCs w:val="21"/>
          <w:highlight w:val="none"/>
        </w:rPr>
      </w:pPr>
      <w:r>
        <w:rPr>
          <w:rFonts w:hint="eastAsia"/>
          <w:color w:val="auto"/>
          <w:kern w:val="0"/>
          <w:szCs w:val="21"/>
          <w:highlight w:val="none"/>
        </w:rPr>
        <w:t>合同履约期限：</w:t>
      </w:r>
      <w:r>
        <w:rPr>
          <w:color w:val="auto"/>
          <w:kern w:val="0"/>
          <w:szCs w:val="21"/>
          <w:highlight w:val="none"/>
        </w:rPr>
        <w:t>270</w:t>
      </w:r>
      <w:r>
        <w:rPr>
          <w:rFonts w:hint="eastAsia"/>
          <w:color w:val="auto"/>
          <w:kern w:val="0"/>
          <w:szCs w:val="21"/>
          <w:highlight w:val="none"/>
        </w:rPr>
        <w:t>日历日</w:t>
      </w:r>
    </w:p>
    <w:p w14:paraId="0AD6954D">
      <w:pPr>
        <w:rPr>
          <w:rFonts w:hint="eastAsia"/>
          <w:color w:val="000000"/>
          <w:kern w:val="0"/>
          <w:szCs w:val="21"/>
          <w:highlight w:val="none"/>
        </w:rPr>
      </w:pPr>
      <w:r>
        <w:rPr>
          <w:rFonts w:hint="eastAsia"/>
          <w:color w:val="000000"/>
          <w:kern w:val="0"/>
          <w:szCs w:val="21"/>
          <w:highlight w:val="none"/>
        </w:rPr>
        <w:t>本项目（否）接受联合体投标。</w:t>
      </w:r>
    </w:p>
    <w:p w14:paraId="652A6B8F">
      <w:pPr>
        <w:rPr>
          <w:rFonts w:hint="eastAsia"/>
          <w:color w:val="000000"/>
          <w:kern w:val="0"/>
          <w:szCs w:val="21"/>
          <w:highlight w:val="none"/>
        </w:rPr>
      </w:pPr>
      <w:r>
        <w:rPr>
          <w:rFonts w:hint="eastAsia"/>
          <w:color w:val="000000"/>
          <w:kern w:val="0"/>
          <w:szCs w:val="21"/>
          <w:highlight w:val="none"/>
        </w:rPr>
        <w:t>二、申请人的资格要求：</w:t>
      </w:r>
    </w:p>
    <w:p w14:paraId="276D3CD2">
      <w:pPr>
        <w:ind w:firstLine="480" w:firstLineChars="200"/>
        <w:rPr>
          <w:rFonts w:hint="eastAsia"/>
          <w:kern w:val="0"/>
          <w:szCs w:val="21"/>
          <w:highlight w:val="none"/>
        </w:rPr>
      </w:pPr>
      <w:r>
        <w:rPr>
          <w:rFonts w:hint="eastAsia"/>
          <w:kern w:val="0"/>
          <w:szCs w:val="21"/>
          <w:highlight w:val="none"/>
        </w:rPr>
        <w:t>1.满足《中华人民共和国政府采购法》第二十二条规定；</w:t>
      </w:r>
    </w:p>
    <w:p w14:paraId="24C2FF09">
      <w:pPr>
        <w:ind w:firstLine="480" w:firstLineChars="200"/>
        <w:rPr>
          <w:rFonts w:hint="eastAsia"/>
          <w:kern w:val="0"/>
          <w:szCs w:val="21"/>
          <w:highlight w:val="none"/>
        </w:rPr>
      </w:pPr>
      <w:r>
        <w:rPr>
          <w:rFonts w:hint="eastAsia"/>
          <w:kern w:val="0"/>
          <w:szCs w:val="21"/>
          <w:highlight w:val="none"/>
        </w:rPr>
        <w:t>2.落实政府采购政策需满足的资格要求：无</w:t>
      </w:r>
    </w:p>
    <w:p w14:paraId="67BEBF54">
      <w:pPr>
        <w:ind w:firstLine="480" w:firstLineChars="200"/>
        <w:rPr>
          <w:rFonts w:hint="eastAsia"/>
          <w:kern w:val="0"/>
          <w:szCs w:val="21"/>
          <w:highlight w:val="none"/>
        </w:rPr>
      </w:pPr>
      <w:r>
        <w:rPr>
          <w:rFonts w:hint="eastAsia"/>
          <w:kern w:val="0"/>
          <w:szCs w:val="21"/>
          <w:highlight w:val="none"/>
        </w:rPr>
        <w:t>3.本项目的特定资格要求：无</w:t>
      </w:r>
    </w:p>
    <w:p w14:paraId="1BBEE929">
      <w:pPr>
        <w:rPr>
          <w:rFonts w:hint="eastAsia"/>
          <w:color w:val="000000"/>
          <w:kern w:val="0"/>
          <w:szCs w:val="21"/>
          <w:highlight w:val="none"/>
        </w:rPr>
      </w:pPr>
      <w:r>
        <w:rPr>
          <w:rFonts w:hint="eastAsia"/>
          <w:color w:val="000000"/>
          <w:kern w:val="0"/>
          <w:szCs w:val="21"/>
          <w:highlight w:val="none"/>
        </w:rPr>
        <w:t>三、获取招标文件</w:t>
      </w:r>
    </w:p>
    <w:p w14:paraId="0603961A">
      <w:pPr>
        <w:ind w:firstLine="480" w:firstLineChars="200"/>
        <w:rPr>
          <w:rFonts w:hint="eastAsia"/>
          <w:kern w:val="0"/>
          <w:szCs w:val="21"/>
          <w:highlight w:val="none"/>
        </w:rPr>
      </w:pPr>
      <w:r>
        <w:rPr>
          <w:rFonts w:hint="eastAsia"/>
          <w:kern w:val="0"/>
          <w:szCs w:val="21"/>
          <w:highlight w:val="none"/>
        </w:rPr>
        <w:t>时间：</w:t>
      </w:r>
      <w:r>
        <w:rPr>
          <w:rFonts w:hint="eastAsia" w:ascii="宋体" w:hAnsi="宋体"/>
          <w:kern w:val="0"/>
          <w:szCs w:val="21"/>
          <w:highlight w:val="none"/>
        </w:rPr>
        <w:t>2025年</w:t>
      </w:r>
      <w:r>
        <w:rPr>
          <w:rFonts w:hint="eastAsia" w:ascii="宋体" w:hAnsi="宋体"/>
          <w:kern w:val="0"/>
          <w:szCs w:val="21"/>
          <w:highlight w:val="none"/>
          <w:lang w:val="en-US" w:eastAsia="zh-CN"/>
        </w:rPr>
        <w:t>4</w:t>
      </w:r>
      <w:r>
        <w:rPr>
          <w:rFonts w:hint="eastAsia" w:ascii="宋体" w:hAnsi="宋体"/>
          <w:kern w:val="0"/>
          <w:szCs w:val="21"/>
          <w:highlight w:val="none"/>
        </w:rPr>
        <w:t xml:space="preserve">月 </w:t>
      </w:r>
      <w:r>
        <w:rPr>
          <w:rFonts w:hint="eastAsia" w:ascii="宋体" w:hAnsi="宋体"/>
          <w:kern w:val="0"/>
          <w:szCs w:val="21"/>
          <w:highlight w:val="none"/>
          <w:lang w:val="en-US" w:eastAsia="zh-CN"/>
        </w:rPr>
        <w:t>7</w:t>
      </w:r>
      <w:r>
        <w:rPr>
          <w:rFonts w:hint="eastAsia" w:ascii="宋体" w:hAnsi="宋体"/>
          <w:kern w:val="0"/>
          <w:szCs w:val="21"/>
          <w:highlight w:val="none"/>
        </w:rPr>
        <w:t xml:space="preserve">日至2025年 </w:t>
      </w:r>
      <w:r>
        <w:rPr>
          <w:rFonts w:hint="eastAsia" w:ascii="宋体" w:hAnsi="宋体"/>
          <w:kern w:val="0"/>
          <w:szCs w:val="21"/>
          <w:highlight w:val="none"/>
          <w:lang w:val="en-US" w:eastAsia="zh-CN"/>
        </w:rPr>
        <w:t>4</w:t>
      </w:r>
      <w:r>
        <w:rPr>
          <w:rFonts w:hint="eastAsia" w:ascii="宋体" w:hAnsi="宋体"/>
          <w:kern w:val="0"/>
          <w:szCs w:val="21"/>
          <w:highlight w:val="none"/>
        </w:rPr>
        <w:t xml:space="preserve">月 </w:t>
      </w:r>
      <w:r>
        <w:rPr>
          <w:rFonts w:hint="eastAsia" w:ascii="宋体" w:hAnsi="宋体"/>
          <w:kern w:val="0"/>
          <w:szCs w:val="21"/>
          <w:highlight w:val="none"/>
          <w:lang w:val="en-US" w:eastAsia="zh-CN"/>
        </w:rPr>
        <w:t>14</w:t>
      </w:r>
      <w:r>
        <w:rPr>
          <w:rFonts w:hint="eastAsia" w:ascii="宋体" w:hAnsi="宋体"/>
          <w:kern w:val="0"/>
          <w:szCs w:val="21"/>
          <w:highlight w:val="none"/>
        </w:rPr>
        <w:t>日</w:t>
      </w:r>
      <w:r>
        <w:rPr>
          <w:rFonts w:hint="eastAsia"/>
          <w:kern w:val="0"/>
          <w:szCs w:val="21"/>
          <w:highlight w:val="none"/>
        </w:rPr>
        <w:t>，每天上午00:00至12:00，下午12:00至23:59（北京时间，法定节假日除外）</w:t>
      </w:r>
    </w:p>
    <w:p w14:paraId="52A20C81">
      <w:pPr>
        <w:ind w:firstLine="480" w:firstLineChars="200"/>
        <w:rPr>
          <w:rFonts w:hint="eastAsia"/>
          <w:kern w:val="0"/>
          <w:szCs w:val="21"/>
          <w:highlight w:val="none"/>
        </w:rPr>
      </w:pPr>
      <w:r>
        <w:rPr>
          <w:rFonts w:hint="eastAsia"/>
          <w:kern w:val="0"/>
          <w:szCs w:val="21"/>
          <w:highlight w:val="none"/>
        </w:rPr>
        <w:t>地点：政采云平台获取</w:t>
      </w:r>
    </w:p>
    <w:p w14:paraId="2DC69F62">
      <w:pPr>
        <w:ind w:firstLine="480" w:firstLineChars="200"/>
        <w:rPr>
          <w:rFonts w:hint="eastAsia"/>
          <w:kern w:val="0"/>
          <w:szCs w:val="21"/>
          <w:highlight w:val="none"/>
        </w:rPr>
      </w:pPr>
      <w:r>
        <w:rPr>
          <w:rFonts w:hint="eastAsia"/>
          <w:kern w:val="0"/>
          <w:szCs w:val="21"/>
          <w:highlight w:val="none"/>
        </w:rPr>
        <w:t>方式：供应商登录政采云平台https://www.zcygov.cn/在线申请获取采购文件（进入“项目采购”应用，在获取采购文件菜单中选择项目，申请获取采购文件）</w:t>
      </w:r>
    </w:p>
    <w:p w14:paraId="37DD495F">
      <w:pPr>
        <w:ind w:firstLine="480" w:firstLineChars="200"/>
        <w:rPr>
          <w:rFonts w:hint="eastAsia"/>
          <w:kern w:val="0"/>
          <w:szCs w:val="21"/>
          <w:highlight w:val="none"/>
        </w:rPr>
      </w:pPr>
      <w:r>
        <w:rPr>
          <w:rFonts w:hint="eastAsia"/>
          <w:kern w:val="0"/>
          <w:szCs w:val="21"/>
          <w:highlight w:val="none"/>
        </w:rPr>
        <w:t>售价（元）：</w:t>
      </w:r>
      <w:r>
        <w:rPr>
          <w:kern w:val="0"/>
          <w:szCs w:val="21"/>
          <w:highlight w:val="none"/>
        </w:rPr>
        <w:t>0</w:t>
      </w:r>
    </w:p>
    <w:p w14:paraId="3F548206">
      <w:pPr>
        <w:rPr>
          <w:rFonts w:hint="eastAsia"/>
          <w:color w:val="000000"/>
          <w:kern w:val="0"/>
          <w:szCs w:val="21"/>
          <w:highlight w:val="none"/>
        </w:rPr>
      </w:pPr>
      <w:r>
        <w:rPr>
          <w:rFonts w:hint="eastAsia"/>
          <w:color w:val="000000"/>
          <w:kern w:val="0"/>
          <w:szCs w:val="21"/>
          <w:highlight w:val="none"/>
        </w:rPr>
        <w:t>四、提交投标文件截止时间、开标时间和地点</w:t>
      </w:r>
    </w:p>
    <w:p w14:paraId="280D0915">
      <w:pPr>
        <w:ind w:firstLine="480" w:firstLineChars="200"/>
        <w:rPr>
          <w:rFonts w:hint="eastAsia"/>
          <w:color w:val="000000"/>
          <w:kern w:val="0"/>
          <w:szCs w:val="21"/>
          <w:highlight w:val="none"/>
        </w:rPr>
      </w:pPr>
      <w:r>
        <w:rPr>
          <w:rFonts w:hint="eastAsia"/>
          <w:color w:val="000000"/>
          <w:kern w:val="0"/>
          <w:szCs w:val="21"/>
          <w:highlight w:val="none"/>
        </w:rPr>
        <w:t>提交投标文件截止时间：</w:t>
      </w:r>
      <w:r>
        <w:rPr>
          <w:rFonts w:hint="eastAsia" w:ascii="宋体" w:hAnsi="宋体"/>
          <w:kern w:val="0"/>
          <w:szCs w:val="21"/>
          <w:highlight w:val="none"/>
        </w:rPr>
        <w:t>2025年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ascii="宋体" w:hAnsi="宋体"/>
          <w:kern w:val="0"/>
          <w:szCs w:val="21"/>
          <w:highlight w:val="none"/>
        </w:rPr>
        <w:t xml:space="preserve"> </w:t>
      </w:r>
      <w:r>
        <w:rPr>
          <w:rFonts w:hint="eastAsia" w:ascii="宋体" w:hAnsi="宋体"/>
          <w:kern w:val="0"/>
          <w:szCs w:val="21"/>
          <w:highlight w:val="none"/>
          <w:lang w:val="en-US" w:eastAsia="zh-CN"/>
        </w:rPr>
        <w:t>28</w:t>
      </w:r>
      <w:r>
        <w:rPr>
          <w:rFonts w:hint="eastAsia" w:ascii="宋体" w:hAnsi="宋体"/>
          <w:kern w:val="0"/>
          <w:szCs w:val="21"/>
          <w:highlight w:val="none"/>
        </w:rPr>
        <w:t>日</w:t>
      </w:r>
      <w:r>
        <w:rPr>
          <w:rFonts w:ascii="宋体" w:hAnsi="宋体"/>
          <w:kern w:val="0"/>
          <w:szCs w:val="21"/>
          <w:highlight w:val="none"/>
        </w:rPr>
        <w:t xml:space="preserve"> </w:t>
      </w:r>
      <w:r>
        <w:rPr>
          <w:rFonts w:hint="eastAsia" w:ascii="宋体" w:hAnsi="宋体"/>
          <w:kern w:val="0"/>
          <w:szCs w:val="21"/>
          <w:highlight w:val="none"/>
          <w:lang w:val="en-US" w:eastAsia="zh-CN"/>
        </w:rPr>
        <w:t>11</w:t>
      </w:r>
      <w:r>
        <w:rPr>
          <w:rFonts w:hint="eastAsia" w:ascii="宋体" w:hAnsi="宋体"/>
          <w:kern w:val="0"/>
          <w:szCs w:val="21"/>
          <w:highlight w:val="none"/>
        </w:rPr>
        <w:t>:00（北京时间）</w:t>
      </w:r>
    </w:p>
    <w:p w14:paraId="1722297F">
      <w:pPr>
        <w:ind w:firstLine="480" w:firstLineChars="200"/>
        <w:rPr>
          <w:rFonts w:hint="eastAsia"/>
          <w:color w:val="000000"/>
          <w:kern w:val="0"/>
          <w:szCs w:val="21"/>
          <w:highlight w:val="none"/>
        </w:rPr>
      </w:pPr>
      <w:r>
        <w:rPr>
          <w:rFonts w:hint="eastAsia"/>
          <w:color w:val="000000"/>
          <w:kern w:val="0"/>
          <w:szCs w:val="21"/>
          <w:highlight w:val="none"/>
        </w:rPr>
        <w:t>投标地点：请登录政采云投标客户端投标</w:t>
      </w:r>
    </w:p>
    <w:p w14:paraId="149EAFD3">
      <w:pPr>
        <w:ind w:firstLine="480" w:firstLineChars="200"/>
        <w:rPr>
          <w:rFonts w:hint="eastAsia"/>
          <w:color w:val="000000"/>
          <w:kern w:val="0"/>
          <w:szCs w:val="21"/>
          <w:highlight w:val="none"/>
        </w:rPr>
      </w:pPr>
      <w:r>
        <w:rPr>
          <w:rFonts w:hint="eastAsia"/>
          <w:color w:val="000000"/>
          <w:kern w:val="0"/>
          <w:szCs w:val="21"/>
          <w:highlight w:val="none"/>
        </w:rPr>
        <w:t>开标时间：</w:t>
      </w:r>
      <w:r>
        <w:rPr>
          <w:rFonts w:hint="eastAsia" w:ascii="宋体" w:hAnsi="宋体"/>
          <w:kern w:val="0"/>
          <w:szCs w:val="21"/>
          <w:highlight w:val="none"/>
        </w:rPr>
        <w:t>2025年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ascii="宋体" w:hAnsi="宋体"/>
          <w:kern w:val="0"/>
          <w:szCs w:val="21"/>
          <w:highlight w:val="none"/>
        </w:rPr>
        <w:t xml:space="preserve"> </w:t>
      </w:r>
      <w:r>
        <w:rPr>
          <w:rFonts w:hint="eastAsia" w:ascii="宋体" w:hAnsi="宋体"/>
          <w:kern w:val="0"/>
          <w:szCs w:val="21"/>
          <w:highlight w:val="none"/>
          <w:lang w:val="en-US" w:eastAsia="zh-CN"/>
        </w:rPr>
        <w:t>28</w:t>
      </w:r>
      <w:r>
        <w:rPr>
          <w:rFonts w:hint="eastAsia" w:ascii="宋体" w:hAnsi="宋体"/>
          <w:kern w:val="0"/>
          <w:szCs w:val="21"/>
          <w:highlight w:val="none"/>
        </w:rPr>
        <w:t>日</w:t>
      </w:r>
      <w:r>
        <w:rPr>
          <w:rFonts w:ascii="宋体" w:hAnsi="宋体"/>
          <w:kern w:val="0"/>
          <w:szCs w:val="21"/>
          <w:highlight w:val="none"/>
        </w:rPr>
        <w:t xml:space="preserve"> </w:t>
      </w:r>
      <w:r>
        <w:rPr>
          <w:rFonts w:hint="eastAsia" w:ascii="宋体" w:hAnsi="宋体"/>
          <w:kern w:val="0"/>
          <w:szCs w:val="21"/>
          <w:highlight w:val="none"/>
          <w:lang w:val="en-US" w:eastAsia="zh-CN"/>
        </w:rPr>
        <w:t>11</w:t>
      </w:r>
      <w:r>
        <w:rPr>
          <w:rFonts w:hint="eastAsia" w:ascii="宋体" w:hAnsi="宋体"/>
          <w:kern w:val="0"/>
          <w:szCs w:val="21"/>
          <w:highlight w:val="none"/>
        </w:rPr>
        <w:t>:00（北京时间）</w:t>
      </w:r>
    </w:p>
    <w:p w14:paraId="26CBFE75">
      <w:pPr>
        <w:ind w:firstLine="480" w:firstLineChars="200"/>
        <w:rPr>
          <w:rFonts w:hint="eastAsia"/>
          <w:color w:val="000000"/>
          <w:kern w:val="0"/>
          <w:szCs w:val="21"/>
          <w:highlight w:val="none"/>
        </w:rPr>
      </w:pPr>
      <w:r>
        <w:rPr>
          <w:rFonts w:hint="eastAsia"/>
          <w:color w:val="000000"/>
          <w:kern w:val="0"/>
          <w:szCs w:val="21"/>
          <w:highlight w:val="none"/>
        </w:rPr>
        <w:t>开标地点：政采云平台（https://www.zcygov.cn/）</w:t>
      </w:r>
    </w:p>
    <w:p w14:paraId="7AED88F2">
      <w:pPr>
        <w:rPr>
          <w:rFonts w:hint="eastAsia"/>
          <w:color w:val="000000"/>
          <w:kern w:val="0"/>
          <w:szCs w:val="21"/>
          <w:highlight w:val="none"/>
        </w:rPr>
      </w:pPr>
      <w:r>
        <w:rPr>
          <w:rFonts w:hint="eastAsia"/>
          <w:color w:val="000000"/>
          <w:kern w:val="0"/>
          <w:szCs w:val="21"/>
          <w:highlight w:val="none"/>
        </w:rPr>
        <w:t>五、公告期限</w:t>
      </w:r>
    </w:p>
    <w:p w14:paraId="05AB9FD5">
      <w:pPr>
        <w:ind w:firstLine="480" w:firstLineChars="200"/>
        <w:rPr>
          <w:rFonts w:hint="eastAsia"/>
          <w:color w:val="000000"/>
          <w:kern w:val="0"/>
          <w:szCs w:val="21"/>
          <w:highlight w:val="none"/>
        </w:rPr>
      </w:pPr>
      <w:r>
        <w:rPr>
          <w:rFonts w:hint="eastAsia"/>
          <w:color w:val="000000"/>
          <w:kern w:val="0"/>
          <w:szCs w:val="21"/>
          <w:highlight w:val="none"/>
        </w:rPr>
        <w:t>自本公告发布之日起5个工作日。</w:t>
      </w:r>
    </w:p>
    <w:p w14:paraId="241F61DB">
      <w:pPr>
        <w:rPr>
          <w:rFonts w:hint="eastAsia"/>
          <w:color w:val="000000"/>
          <w:kern w:val="0"/>
          <w:szCs w:val="21"/>
          <w:highlight w:val="none"/>
        </w:rPr>
      </w:pPr>
      <w:r>
        <w:rPr>
          <w:rFonts w:hint="eastAsia"/>
          <w:color w:val="000000"/>
          <w:kern w:val="0"/>
          <w:szCs w:val="21"/>
          <w:highlight w:val="none"/>
        </w:rPr>
        <w:t>六、其他补充事宜</w:t>
      </w:r>
    </w:p>
    <w:p w14:paraId="62F9E03B">
      <w:pPr>
        <w:ind w:firstLine="480" w:firstLineChars="200"/>
        <w:rPr>
          <w:rFonts w:hint="eastAsia"/>
          <w:kern w:val="0"/>
          <w:szCs w:val="21"/>
          <w:highlight w:val="none"/>
        </w:rPr>
      </w:pPr>
      <w:r>
        <w:rPr>
          <w:rFonts w:hint="eastAsia"/>
          <w:kern w:val="0"/>
          <w:szCs w:val="21"/>
          <w:highlight w:val="none"/>
        </w:rPr>
        <w:t>1、本项目实行网上投标，采用电子投标文件。</w:t>
      </w:r>
    </w:p>
    <w:p w14:paraId="271C10D3">
      <w:pPr>
        <w:ind w:firstLine="480" w:firstLineChars="200"/>
        <w:rPr>
          <w:rFonts w:hint="eastAsia"/>
          <w:kern w:val="0"/>
          <w:szCs w:val="21"/>
          <w:highlight w:val="none"/>
        </w:rPr>
      </w:pPr>
      <w:r>
        <w:rPr>
          <w:rFonts w:hint="eastAsia"/>
          <w:kern w:val="0"/>
          <w:szCs w:val="21"/>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ABE3CE0">
      <w:pPr>
        <w:ind w:firstLine="480" w:firstLineChars="200"/>
        <w:rPr>
          <w:rFonts w:hint="eastAsia"/>
          <w:color w:val="000000"/>
          <w:kern w:val="0"/>
          <w:szCs w:val="21"/>
          <w:highlight w:val="none"/>
        </w:rPr>
      </w:pPr>
      <w:r>
        <w:rPr>
          <w:rFonts w:hint="eastAsia"/>
          <w:kern w:val="0"/>
          <w:szCs w:val="21"/>
          <w:highlight w:val="none"/>
        </w:rPr>
        <w:t>3、供应商将政采云电子交易客户端下载、安装完成后，可通过账号密码或CA登录客户端进行投标文件的制作。在使用政采云投标客户端时，建议使用WIN7及以上操作系统。</w:t>
      </w:r>
    </w:p>
    <w:p w14:paraId="6F324F7D">
      <w:pPr>
        <w:ind w:firstLine="480" w:firstLineChars="200"/>
        <w:rPr>
          <w:rFonts w:hint="eastAsia"/>
          <w:color w:val="000000"/>
          <w:kern w:val="0"/>
          <w:szCs w:val="21"/>
          <w:highlight w:val="none"/>
        </w:rPr>
      </w:pPr>
      <w:r>
        <w:rPr>
          <w:rFonts w:hint="eastAsia"/>
          <w:color w:val="000000"/>
          <w:kern w:val="0"/>
          <w:szCs w:val="21"/>
          <w:highlight w:val="none"/>
        </w:rPr>
        <w:t>特别提示：</w:t>
      </w:r>
    </w:p>
    <w:p w14:paraId="782060D3">
      <w:pPr>
        <w:ind w:firstLine="480" w:firstLineChars="200"/>
        <w:rPr>
          <w:rFonts w:hint="eastAsia"/>
          <w:color w:val="000000"/>
          <w:kern w:val="0"/>
          <w:szCs w:val="21"/>
          <w:highlight w:val="none"/>
        </w:rPr>
      </w:pPr>
      <w:r>
        <w:rPr>
          <w:rFonts w:hint="eastAsia"/>
          <w:color w:val="000000"/>
          <w:kern w:val="0"/>
          <w:szCs w:val="21"/>
          <w:highlight w:val="none"/>
        </w:rPr>
        <w:t>1、采购限额标准以上，200万元以下的货物和服务采购项目、400万元以下的工程采购项目，适宜由中小企业提供的，采购人应当专门面向中小企业采购。</w:t>
      </w:r>
    </w:p>
    <w:p w14:paraId="0D2F6695">
      <w:pPr>
        <w:ind w:firstLine="480" w:firstLineChars="200"/>
        <w:rPr>
          <w:rFonts w:hint="eastAsia"/>
          <w:color w:val="000000"/>
          <w:kern w:val="0"/>
          <w:szCs w:val="21"/>
          <w:highlight w:val="none"/>
        </w:rPr>
      </w:pPr>
      <w:r>
        <w:rPr>
          <w:rFonts w:hint="eastAsia"/>
          <w:color w:val="000000"/>
          <w:kern w:val="0"/>
          <w:szCs w:val="21"/>
          <w:highlight w:val="none"/>
        </w:rPr>
        <w:t>2、超过200万元的货物和服务采购项目，预留该部分采购项目预算总额的30%以上专门面向中小企业采购，其中预留给小微企业的比例不低于60%。</w:t>
      </w:r>
    </w:p>
    <w:p w14:paraId="6E7F1334">
      <w:pPr>
        <w:ind w:firstLine="480" w:firstLineChars="200"/>
        <w:rPr>
          <w:rFonts w:hint="eastAsia"/>
          <w:color w:val="000000"/>
          <w:kern w:val="0"/>
          <w:szCs w:val="21"/>
          <w:highlight w:val="none"/>
        </w:rPr>
      </w:pPr>
      <w:r>
        <w:rPr>
          <w:rFonts w:hint="eastAsia"/>
          <w:color w:val="000000"/>
          <w:kern w:val="0"/>
          <w:szCs w:val="21"/>
          <w:highlight w:val="none"/>
        </w:rPr>
        <w:t>3、超过400万元的工程采购项目中适宜由中小企业提供的，预留该部分采购项目预算总额的40%以上专门面向中小企业采购，其中预留给小微企业的比例不低于60%。</w:t>
      </w:r>
    </w:p>
    <w:p w14:paraId="1C10B11F">
      <w:pPr>
        <w:ind w:firstLine="480" w:firstLineChars="200"/>
        <w:rPr>
          <w:rFonts w:hint="eastAsia"/>
          <w:color w:val="000000"/>
          <w:kern w:val="0"/>
          <w:szCs w:val="21"/>
          <w:highlight w:val="none"/>
        </w:rPr>
      </w:pPr>
      <w:r>
        <w:rPr>
          <w:rFonts w:hint="eastAsia"/>
          <w:color w:val="000000"/>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67B639">
      <w:pPr>
        <w:ind w:firstLine="480" w:firstLineChars="200"/>
        <w:rPr>
          <w:rFonts w:hint="eastAsia"/>
          <w:color w:val="000000"/>
          <w:kern w:val="0"/>
          <w:szCs w:val="21"/>
          <w:highlight w:val="none"/>
        </w:rPr>
      </w:pPr>
      <w:r>
        <w:rPr>
          <w:rFonts w:hint="eastAsia"/>
          <w:color w:val="000000"/>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0C678E1">
      <w:pPr>
        <w:rPr>
          <w:rFonts w:hint="eastAsia"/>
          <w:color w:val="000000"/>
          <w:kern w:val="0"/>
          <w:szCs w:val="21"/>
          <w:highlight w:val="none"/>
        </w:rPr>
      </w:pPr>
      <w:r>
        <w:rPr>
          <w:rFonts w:hint="eastAsia"/>
          <w:color w:val="000000"/>
          <w:kern w:val="0"/>
          <w:szCs w:val="21"/>
          <w:highlight w:val="none"/>
        </w:rPr>
        <w:t>七、对本次采购提出询问，请按以下方式联系</w:t>
      </w:r>
    </w:p>
    <w:p w14:paraId="09183738">
      <w:pPr>
        <w:rPr>
          <w:rFonts w:hint="eastAsia"/>
          <w:color w:val="000000"/>
          <w:kern w:val="0"/>
          <w:szCs w:val="21"/>
          <w:highlight w:val="none"/>
        </w:rPr>
      </w:pPr>
      <w:r>
        <w:rPr>
          <w:rFonts w:hint="eastAsia"/>
          <w:color w:val="000000"/>
          <w:kern w:val="0"/>
          <w:szCs w:val="21"/>
          <w:highlight w:val="none"/>
        </w:rPr>
        <w:t>1.采购人信息</w:t>
      </w:r>
    </w:p>
    <w:p w14:paraId="010B0CFB">
      <w:pPr>
        <w:rPr>
          <w:rFonts w:hint="eastAsia"/>
          <w:color w:val="000000"/>
          <w:kern w:val="0"/>
          <w:szCs w:val="21"/>
          <w:highlight w:val="none"/>
        </w:rPr>
      </w:pPr>
      <w:r>
        <w:rPr>
          <w:rFonts w:hint="eastAsia"/>
          <w:color w:val="000000"/>
          <w:kern w:val="0"/>
          <w:szCs w:val="21"/>
          <w:highlight w:val="none"/>
        </w:rPr>
        <w:t>名 称：新疆维吾尔自治区第六人民医院</w:t>
      </w:r>
    </w:p>
    <w:p w14:paraId="1FFD9E0D">
      <w:pPr>
        <w:rPr>
          <w:rFonts w:hint="eastAsia"/>
          <w:kern w:val="0"/>
          <w:szCs w:val="21"/>
          <w:highlight w:val="none"/>
        </w:rPr>
      </w:pPr>
      <w:r>
        <w:rPr>
          <w:rFonts w:hint="eastAsia"/>
          <w:kern w:val="0"/>
          <w:szCs w:val="21"/>
          <w:highlight w:val="none"/>
        </w:rPr>
        <w:t>地 址：乌鲁木齐市新市区喀什东路北一巷100号</w:t>
      </w:r>
    </w:p>
    <w:p w14:paraId="5FA51A49">
      <w:pPr>
        <w:rPr>
          <w:rFonts w:hint="eastAsia"/>
          <w:color w:val="FF0000"/>
          <w:kern w:val="0"/>
          <w:szCs w:val="21"/>
          <w:highlight w:val="none"/>
        </w:rPr>
      </w:pPr>
      <w:r>
        <w:rPr>
          <w:rFonts w:hint="eastAsia"/>
          <w:kern w:val="0"/>
          <w:szCs w:val="21"/>
          <w:highlight w:val="none"/>
        </w:rPr>
        <w:t>联系方式：0991-7511128</w:t>
      </w:r>
    </w:p>
    <w:p w14:paraId="5BEE4563">
      <w:pPr>
        <w:rPr>
          <w:rFonts w:hint="eastAsia"/>
          <w:color w:val="000000"/>
          <w:kern w:val="0"/>
          <w:szCs w:val="21"/>
          <w:highlight w:val="none"/>
        </w:rPr>
      </w:pPr>
      <w:r>
        <w:rPr>
          <w:rFonts w:hint="eastAsia"/>
          <w:color w:val="000000"/>
          <w:kern w:val="0"/>
          <w:szCs w:val="21"/>
          <w:highlight w:val="none"/>
        </w:rPr>
        <w:t>2.采购代理机构信息</w:t>
      </w:r>
    </w:p>
    <w:p w14:paraId="5EE8C779">
      <w:pPr>
        <w:rPr>
          <w:rFonts w:hint="eastAsia"/>
          <w:color w:val="000000"/>
          <w:kern w:val="0"/>
          <w:szCs w:val="21"/>
          <w:highlight w:val="none"/>
        </w:rPr>
      </w:pPr>
      <w:r>
        <w:rPr>
          <w:rFonts w:hint="eastAsia"/>
          <w:color w:val="000000"/>
          <w:kern w:val="0"/>
          <w:szCs w:val="21"/>
          <w:highlight w:val="none"/>
        </w:rPr>
        <w:t>名 称：华采招标集团有限公司</w:t>
      </w:r>
    </w:p>
    <w:p w14:paraId="23394500">
      <w:pPr>
        <w:rPr>
          <w:rFonts w:hint="eastAsia"/>
          <w:color w:val="000000"/>
          <w:kern w:val="0"/>
          <w:szCs w:val="21"/>
          <w:highlight w:val="none"/>
        </w:rPr>
      </w:pPr>
      <w:r>
        <w:rPr>
          <w:rFonts w:hint="eastAsia"/>
          <w:color w:val="000000"/>
          <w:kern w:val="0"/>
          <w:szCs w:val="21"/>
          <w:highlight w:val="none"/>
        </w:rPr>
        <w:t>地 址：</w:t>
      </w:r>
      <w:r>
        <w:rPr>
          <w:rFonts w:hint="eastAsia"/>
          <w:kern w:val="0"/>
          <w:szCs w:val="21"/>
          <w:highlight w:val="none"/>
        </w:rPr>
        <w:t>新疆乌鲁木齐市沙依巴克区奇台路658号德汇万达广场E2栋902室</w:t>
      </w:r>
    </w:p>
    <w:p w14:paraId="6718D4E2">
      <w:pPr>
        <w:rPr>
          <w:rFonts w:hint="eastAsia"/>
          <w:color w:val="000000"/>
          <w:kern w:val="0"/>
          <w:szCs w:val="21"/>
          <w:highlight w:val="none"/>
        </w:rPr>
      </w:pPr>
      <w:r>
        <w:rPr>
          <w:rFonts w:hint="eastAsia"/>
          <w:color w:val="000000"/>
          <w:kern w:val="0"/>
          <w:szCs w:val="21"/>
          <w:highlight w:val="none"/>
        </w:rPr>
        <w:t>3.项目联系方式</w:t>
      </w:r>
    </w:p>
    <w:p w14:paraId="3EABD1AC">
      <w:pPr>
        <w:rPr>
          <w:rFonts w:hint="eastAsia"/>
          <w:color w:val="000000"/>
          <w:kern w:val="0"/>
          <w:szCs w:val="21"/>
          <w:highlight w:val="none"/>
        </w:rPr>
      </w:pPr>
      <w:r>
        <w:rPr>
          <w:rFonts w:hint="eastAsia"/>
          <w:color w:val="000000"/>
          <w:kern w:val="0"/>
          <w:szCs w:val="21"/>
          <w:highlight w:val="none"/>
        </w:rPr>
        <w:t>项目联系人：何凌云</w:t>
      </w:r>
    </w:p>
    <w:p w14:paraId="609778B7">
      <w:pPr>
        <w:rPr>
          <w:rFonts w:hint="eastAsia"/>
          <w:kern w:val="0"/>
          <w:szCs w:val="21"/>
          <w:highlight w:val="none"/>
        </w:rPr>
      </w:pPr>
      <w:r>
        <w:rPr>
          <w:rFonts w:hint="eastAsia"/>
          <w:color w:val="000000"/>
          <w:kern w:val="0"/>
          <w:szCs w:val="21"/>
          <w:highlight w:val="none"/>
        </w:rPr>
        <w:t>电 话：18699158007</w:t>
      </w:r>
    </w:p>
    <w:p w14:paraId="2DFEFE64">
      <w:pPr>
        <w:rPr>
          <w:rFonts w:hint="eastAsia"/>
          <w:color w:val="FF0000"/>
          <w:kern w:val="0"/>
          <w:szCs w:val="21"/>
          <w:highlight w:val="none"/>
        </w:rPr>
      </w:pPr>
    </w:p>
    <w:p w14:paraId="2A720A1C">
      <w:pPr>
        <w:widowControl/>
        <w:ind w:firstLine="480" w:firstLineChars="200"/>
        <w:jc w:val="left"/>
        <w:rPr>
          <w:rFonts w:hint="eastAsia"/>
          <w:kern w:val="0"/>
          <w:szCs w:val="21"/>
          <w:highlight w:val="none"/>
        </w:rPr>
      </w:pPr>
      <w:r>
        <w:rPr>
          <w:rFonts w:hint="eastAsia"/>
          <w:kern w:val="0"/>
          <w:szCs w:val="21"/>
          <w:highlight w:val="none"/>
        </w:rPr>
        <w:t xml:space="preserve">        </w:t>
      </w:r>
    </w:p>
    <w:p w14:paraId="73FAAE75">
      <w:pPr>
        <w:widowControl/>
        <w:ind w:firstLine="480" w:firstLineChars="200"/>
        <w:jc w:val="left"/>
        <w:rPr>
          <w:rFonts w:hint="eastAsia"/>
          <w:kern w:val="0"/>
          <w:szCs w:val="21"/>
          <w:highlight w:val="none"/>
        </w:rPr>
      </w:pPr>
      <w:r>
        <w:rPr>
          <w:rFonts w:hint="eastAsia"/>
          <w:kern w:val="0"/>
          <w:szCs w:val="21"/>
          <w:highlight w:val="none"/>
        </w:rPr>
        <w:t xml:space="preserve">   </w:t>
      </w:r>
    </w:p>
    <w:p w14:paraId="6A5A7C0A">
      <w:pPr>
        <w:widowControl/>
        <w:spacing w:line="400" w:lineRule="exact"/>
        <w:jc w:val="center"/>
        <w:rPr>
          <w:rFonts w:hint="eastAsia"/>
          <w:b/>
          <w:sz w:val="32"/>
          <w:szCs w:val="32"/>
          <w:highlight w:val="none"/>
        </w:rPr>
        <w:sectPr>
          <w:pgSz w:w="11906" w:h="16838"/>
          <w:pgMar w:top="1474" w:right="1531" w:bottom="1474" w:left="1531" w:header="851" w:footer="992" w:gutter="0"/>
          <w:cols w:space="720" w:num="1"/>
          <w:docGrid w:type="lines" w:linePitch="312" w:charSpace="0"/>
        </w:sectPr>
      </w:pPr>
    </w:p>
    <w:p w14:paraId="7102DF92">
      <w:pPr>
        <w:pStyle w:val="2"/>
        <w:numPr>
          <w:ilvl w:val="0"/>
          <w:numId w:val="0"/>
        </w:numPr>
        <w:ind w:left="420" w:hanging="420"/>
        <w:rPr>
          <w:rFonts w:hint="eastAsia" w:ascii="宋体" w:hAnsi="宋体"/>
          <w:highlight w:val="none"/>
        </w:rPr>
      </w:pPr>
      <w:bookmarkStart w:id="31" w:name="_Toc38878756"/>
      <w:r>
        <w:rPr>
          <w:rFonts w:hint="eastAsia" w:ascii="宋体" w:hAnsi="宋体"/>
          <w:highlight w:val="none"/>
        </w:rPr>
        <w:t>第二章 投标须知</w:t>
      </w:r>
      <w:bookmarkEnd w:id="30"/>
      <w:bookmarkEnd w:id="31"/>
    </w:p>
    <w:p w14:paraId="1647DAF4">
      <w:pPr>
        <w:pStyle w:val="3"/>
        <w:numPr>
          <w:ilvl w:val="0"/>
          <w:numId w:val="0"/>
        </w:numPr>
        <w:ind w:left="576" w:hanging="576"/>
        <w:jc w:val="center"/>
        <w:rPr>
          <w:rFonts w:hint="eastAsia" w:ascii="宋体" w:hAnsi="宋体"/>
          <w:highlight w:val="none"/>
        </w:rPr>
      </w:pPr>
      <w:bookmarkStart w:id="32" w:name="_Toc38878757"/>
      <w:r>
        <w:rPr>
          <w:rFonts w:hint="eastAsia" w:ascii="宋体" w:hAnsi="宋体"/>
          <w:highlight w:val="none"/>
        </w:rPr>
        <w:t>投标须知前附表</w:t>
      </w:r>
      <w:bookmarkEnd w:id="32"/>
    </w:p>
    <w:tbl>
      <w:tblPr>
        <w:tblStyle w:val="4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918"/>
        <w:gridCol w:w="5183"/>
      </w:tblGrid>
      <w:tr w14:paraId="01FE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tblHeader/>
          <w:jc w:val="center"/>
        </w:trPr>
        <w:tc>
          <w:tcPr>
            <w:tcW w:w="2341" w:type="dxa"/>
            <w:vAlign w:val="center"/>
          </w:tcPr>
          <w:p w14:paraId="5DA7804E">
            <w:pPr>
              <w:adjustRightInd w:val="0"/>
              <w:snapToGrid w:val="0"/>
              <w:spacing w:line="380" w:lineRule="exact"/>
              <w:jc w:val="center"/>
              <w:rPr>
                <w:rFonts w:hint="eastAsia"/>
                <w:b/>
                <w:szCs w:val="21"/>
                <w:highlight w:val="none"/>
              </w:rPr>
            </w:pPr>
            <w:r>
              <w:rPr>
                <w:rFonts w:hint="eastAsia"/>
                <w:b/>
                <w:szCs w:val="21"/>
                <w:highlight w:val="none"/>
              </w:rPr>
              <w:t>条款号</w:t>
            </w:r>
          </w:p>
        </w:tc>
        <w:tc>
          <w:tcPr>
            <w:tcW w:w="1918" w:type="dxa"/>
            <w:vAlign w:val="center"/>
          </w:tcPr>
          <w:p w14:paraId="7DF21CFA">
            <w:pPr>
              <w:adjustRightInd w:val="0"/>
              <w:snapToGrid w:val="0"/>
              <w:spacing w:line="380" w:lineRule="exact"/>
              <w:jc w:val="center"/>
              <w:rPr>
                <w:rFonts w:hint="eastAsia"/>
                <w:b/>
                <w:szCs w:val="21"/>
                <w:highlight w:val="none"/>
              </w:rPr>
            </w:pPr>
            <w:r>
              <w:rPr>
                <w:rFonts w:hint="eastAsia"/>
                <w:b/>
                <w:szCs w:val="21"/>
                <w:highlight w:val="none"/>
              </w:rPr>
              <w:t>条款名称</w:t>
            </w:r>
          </w:p>
        </w:tc>
        <w:tc>
          <w:tcPr>
            <w:tcW w:w="5183" w:type="dxa"/>
            <w:vAlign w:val="center"/>
          </w:tcPr>
          <w:p w14:paraId="4C4EB18F">
            <w:pPr>
              <w:adjustRightInd w:val="0"/>
              <w:snapToGrid w:val="0"/>
              <w:spacing w:line="380" w:lineRule="exact"/>
              <w:jc w:val="center"/>
              <w:rPr>
                <w:rFonts w:hint="eastAsia"/>
                <w:b/>
                <w:szCs w:val="21"/>
                <w:highlight w:val="none"/>
              </w:rPr>
            </w:pPr>
            <w:r>
              <w:rPr>
                <w:rFonts w:hint="eastAsia"/>
                <w:b/>
                <w:szCs w:val="21"/>
                <w:highlight w:val="none"/>
              </w:rPr>
              <w:t>编列内容规定</w:t>
            </w:r>
          </w:p>
        </w:tc>
      </w:tr>
      <w:tr w14:paraId="5720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9442" w:type="dxa"/>
            <w:gridSpan w:val="3"/>
            <w:vAlign w:val="center"/>
          </w:tcPr>
          <w:p w14:paraId="1EC7193F">
            <w:pPr>
              <w:adjustRightInd w:val="0"/>
              <w:snapToGrid w:val="0"/>
              <w:spacing w:line="380" w:lineRule="exact"/>
              <w:rPr>
                <w:rFonts w:hint="eastAsia"/>
                <w:szCs w:val="21"/>
                <w:highlight w:val="none"/>
              </w:rPr>
            </w:pPr>
            <w:r>
              <w:rPr>
                <w:rFonts w:hint="eastAsia"/>
                <w:b/>
                <w:szCs w:val="21"/>
                <w:highlight w:val="none"/>
              </w:rPr>
              <w:t>一、说明</w:t>
            </w:r>
          </w:p>
        </w:tc>
      </w:tr>
      <w:tr w14:paraId="2B2C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0D0E6D64">
            <w:pPr>
              <w:adjustRightInd w:val="0"/>
              <w:snapToGrid w:val="0"/>
              <w:spacing w:line="380" w:lineRule="exact"/>
              <w:jc w:val="center"/>
              <w:rPr>
                <w:rFonts w:hint="eastAsia"/>
                <w:szCs w:val="21"/>
                <w:highlight w:val="none"/>
              </w:rPr>
            </w:pPr>
            <w:r>
              <w:rPr>
                <w:rFonts w:hint="eastAsia"/>
                <w:szCs w:val="21"/>
                <w:highlight w:val="none"/>
              </w:rPr>
              <w:t>第二章第1.1款</w:t>
            </w:r>
          </w:p>
        </w:tc>
        <w:tc>
          <w:tcPr>
            <w:tcW w:w="1918" w:type="dxa"/>
            <w:vAlign w:val="center"/>
          </w:tcPr>
          <w:p w14:paraId="7D874D12">
            <w:pPr>
              <w:adjustRightInd w:val="0"/>
              <w:snapToGrid w:val="0"/>
              <w:spacing w:line="380" w:lineRule="exact"/>
              <w:rPr>
                <w:rFonts w:hint="eastAsia"/>
                <w:szCs w:val="21"/>
                <w:highlight w:val="none"/>
              </w:rPr>
            </w:pPr>
            <w:r>
              <w:rPr>
                <w:rFonts w:hint="eastAsia"/>
                <w:szCs w:val="21"/>
                <w:highlight w:val="none"/>
              </w:rPr>
              <w:t>项目名称</w:t>
            </w:r>
          </w:p>
        </w:tc>
        <w:tc>
          <w:tcPr>
            <w:tcW w:w="5183" w:type="dxa"/>
            <w:vAlign w:val="center"/>
          </w:tcPr>
          <w:p w14:paraId="4AA4B123">
            <w:pPr>
              <w:adjustRightInd w:val="0"/>
              <w:snapToGrid w:val="0"/>
              <w:spacing w:line="380" w:lineRule="exact"/>
              <w:rPr>
                <w:rFonts w:hint="eastAsia"/>
                <w:szCs w:val="21"/>
                <w:highlight w:val="none"/>
              </w:rPr>
            </w:pPr>
            <w:r>
              <w:rPr>
                <w:rFonts w:hint="eastAsia"/>
                <w:color w:val="000000"/>
                <w:kern w:val="0"/>
                <w:szCs w:val="21"/>
                <w:highlight w:val="none"/>
              </w:rPr>
              <w:t>自治区第六人民医院信息系统（HIS、EMR、集成平台等）升级改造建设项目</w:t>
            </w:r>
          </w:p>
        </w:tc>
      </w:tr>
      <w:tr w14:paraId="4276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341" w:type="dxa"/>
            <w:vAlign w:val="center"/>
          </w:tcPr>
          <w:p w14:paraId="607D530D">
            <w:pPr>
              <w:spacing w:line="380" w:lineRule="exact"/>
              <w:jc w:val="center"/>
              <w:rPr>
                <w:rFonts w:hint="eastAsia"/>
                <w:szCs w:val="21"/>
                <w:highlight w:val="none"/>
              </w:rPr>
            </w:pPr>
            <w:r>
              <w:rPr>
                <w:rFonts w:hint="eastAsia"/>
                <w:szCs w:val="21"/>
                <w:highlight w:val="none"/>
              </w:rPr>
              <w:t>第二章第1.2款</w:t>
            </w:r>
          </w:p>
        </w:tc>
        <w:tc>
          <w:tcPr>
            <w:tcW w:w="1918" w:type="dxa"/>
            <w:vAlign w:val="center"/>
          </w:tcPr>
          <w:p w14:paraId="42E7FECD">
            <w:pPr>
              <w:spacing w:line="380" w:lineRule="exact"/>
              <w:rPr>
                <w:rFonts w:hint="eastAsia"/>
                <w:szCs w:val="21"/>
                <w:highlight w:val="none"/>
              </w:rPr>
            </w:pPr>
            <w:r>
              <w:rPr>
                <w:rFonts w:hint="eastAsia"/>
                <w:szCs w:val="21"/>
                <w:highlight w:val="none"/>
              </w:rPr>
              <w:t>采购内容</w:t>
            </w:r>
          </w:p>
        </w:tc>
        <w:tc>
          <w:tcPr>
            <w:tcW w:w="5183" w:type="dxa"/>
            <w:vAlign w:val="center"/>
          </w:tcPr>
          <w:p w14:paraId="5926D996">
            <w:pPr>
              <w:adjustRightInd w:val="0"/>
              <w:snapToGrid w:val="0"/>
              <w:spacing w:line="360" w:lineRule="exact"/>
              <w:rPr>
                <w:rFonts w:hint="eastAsia"/>
                <w:color w:val="000000"/>
                <w:szCs w:val="21"/>
                <w:highlight w:val="none"/>
              </w:rPr>
            </w:pPr>
            <w:r>
              <w:rPr>
                <w:rFonts w:hint="eastAsia"/>
                <w:color w:val="000000"/>
                <w:kern w:val="0"/>
                <w:szCs w:val="21"/>
                <w:highlight w:val="none"/>
              </w:rPr>
              <w:t>信息系统（HIS、EMR、集成平台等）升级改造</w:t>
            </w:r>
          </w:p>
        </w:tc>
      </w:tr>
      <w:tr w14:paraId="1257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49647BD4">
            <w:pPr>
              <w:spacing w:line="380" w:lineRule="exact"/>
              <w:jc w:val="center"/>
              <w:rPr>
                <w:rFonts w:hint="eastAsia"/>
                <w:szCs w:val="21"/>
                <w:highlight w:val="none"/>
              </w:rPr>
            </w:pPr>
            <w:r>
              <w:rPr>
                <w:rFonts w:hint="eastAsia"/>
                <w:szCs w:val="21"/>
                <w:highlight w:val="none"/>
              </w:rPr>
              <w:t>第二章第1.3款</w:t>
            </w:r>
          </w:p>
        </w:tc>
        <w:tc>
          <w:tcPr>
            <w:tcW w:w="1918" w:type="dxa"/>
            <w:vAlign w:val="center"/>
          </w:tcPr>
          <w:p w14:paraId="2EEF489C">
            <w:pPr>
              <w:spacing w:line="380" w:lineRule="exact"/>
              <w:rPr>
                <w:rFonts w:hint="eastAsia"/>
                <w:szCs w:val="21"/>
                <w:highlight w:val="none"/>
              </w:rPr>
            </w:pPr>
            <w:r>
              <w:rPr>
                <w:rFonts w:hint="eastAsia"/>
                <w:szCs w:val="21"/>
                <w:highlight w:val="none"/>
              </w:rPr>
              <w:t>采购方式</w:t>
            </w:r>
          </w:p>
        </w:tc>
        <w:tc>
          <w:tcPr>
            <w:tcW w:w="5183" w:type="dxa"/>
            <w:vAlign w:val="center"/>
          </w:tcPr>
          <w:p w14:paraId="2CC16549">
            <w:pPr>
              <w:spacing w:line="380" w:lineRule="exact"/>
              <w:jc w:val="left"/>
              <w:rPr>
                <w:rFonts w:hint="eastAsia"/>
                <w:szCs w:val="21"/>
                <w:highlight w:val="none"/>
              </w:rPr>
            </w:pPr>
            <w:r>
              <w:rPr>
                <w:rFonts w:hint="eastAsia"/>
                <w:szCs w:val="21"/>
                <w:highlight w:val="none"/>
              </w:rPr>
              <w:t>公开招标</w:t>
            </w:r>
          </w:p>
        </w:tc>
      </w:tr>
      <w:tr w14:paraId="7F8E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3E4FEAAF">
            <w:pPr>
              <w:spacing w:line="380" w:lineRule="exact"/>
              <w:jc w:val="center"/>
              <w:rPr>
                <w:rFonts w:hint="eastAsia"/>
                <w:szCs w:val="21"/>
                <w:highlight w:val="none"/>
              </w:rPr>
            </w:pPr>
            <w:r>
              <w:rPr>
                <w:rFonts w:hint="eastAsia"/>
                <w:szCs w:val="21"/>
                <w:highlight w:val="none"/>
              </w:rPr>
              <w:t>第二章第1.4款</w:t>
            </w:r>
          </w:p>
        </w:tc>
        <w:tc>
          <w:tcPr>
            <w:tcW w:w="1918" w:type="dxa"/>
            <w:vAlign w:val="center"/>
          </w:tcPr>
          <w:p w14:paraId="1AEB17AA">
            <w:pPr>
              <w:spacing w:line="380" w:lineRule="exact"/>
              <w:rPr>
                <w:rFonts w:hint="eastAsia"/>
                <w:szCs w:val="21"/>
                <w:highlight w:val="none"/>
              </w:rPr>
            </w:pPr>
            <w:r>
              <w:rPr>
                <w:rFonts w:hint="eastAsia"/>
                <w:szCs w:val="21"/>
                <w:highlight w:val="none"/>
              </w:rPr>
              <w:t>项目地点</w:t>
            </w:r>
          </w:p>
        </w:tc>
        <w:tc>
          <w:tcPr>
            <w:tcW w:w="5183" w:type="dxa"/>
            <w:vAlign w:val="center"/>
          </w:tcPr>
          <w:p w14:paraId="47F7914D">
            <w:pPr>
              <w:spacing w:line="380" w:lineRule="exact"/>
              <w:jc w:val="left"/>
              <w:rPr>
                <w:rFonts w:hint="eastAsia"/>
                <w:color w:val="FF0000"/>
                <w:szCs w:val="21"/>
                <w:highlight w:val="none"/>
              </w:rPr>
            </w:pPr>
            <w:r>
              <w:rPr>
                <w:rFonts w:hint="eastAsia"/>
                <w:szCs w:val="21"/>
                <w:highlight w:val="none"/>
              </w:rPr>
              <w:t>乌鲁木齐市新市区喀什东路北一巷100号</w:t>
            </w:r>
          </w:p>
        </w:tc>
      </w:tr>
      <w:tr w14:paraId="2F3B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41" w:type="dxa"/>
            <w:vAlign w:val="center"/>
          </w:tcPr>
          <w:p w14:paraId="06CEDCC2">
            <w:pPr>
              <w:spacing w:line="380" w:lineRule="exact"/>
              <w:jc w:val="center"/>
              <w:rPr>
                <w:rFonts w:hint="eastAsia"/>
                <w:szCs w:val="21"/>
                <w:highlight w:val="none"/>
              </w:rPr>
            </w:pPr>
            <w:r>
              <w:rPr>
                <w:rFonts w:hint="eastAsia"/>
                <w:szCs w:val="21"/>
                <w:highlight w:val="none"/>
              </w:rPr>
              <w:t>第二章第1.5款</w:t>
            </w:r>
          </w:p>
        </w:tc>
        <w:tc>
          <w:tcPr>
            <w:tcW w:w="1918" w:type="dxa"/>
            <w:vAlign w:val="center"/>
          </w:tcPr>
          <w:p w14:paraId="48F7AD75">
            <w:pPr>
              <w:spacing w:line="380" w:lineRule="exact"/>
              <w:rPr>
                <w:rFonts w:hint="eastAsia"/>
                <w:szCs w:val="21"/>
                <w:highlight w:val="none"/>
              </w:rPr>
            </w:pPr>
            <w:r>
              <w:rPr>
                <w:rFonts w:hint="eastAsia"/>
                <w:szCs w:val="21"/>
                <w:highlight w:val="none"/>
              </w:rPr>
              <w:t>交付期限</w:t>
            </w:r>
          </w:p>
        </w:tc>
        <w:tc>
          <w:tcPr>
            <w:tcW w:w="5183" w:type="dxa"/>
            <w:vAlign w:val="center"/>
          </w:tcPr>
          <w:p w14:paraId="60C63712">
            <w:pPr>
              <w:spacing w:line="380" w:lineRule="exact"/>
              <w:jc w:val="left"/>
              <w:rPr>
                <w:rFonts w:hint="eastAsia"/>
                <w:color w:val="auto"/>
                <w:szCs w:val="21"/>
                <w:highlight w:val="none"/>
              </w:rPr>
            </w:pPr>
            <w:r>
              <w:rPr>
                <w:color w:val="auto"/>
                <w:kern w:val="0"/>
                <w:szCs w:val="21"/>
                <w:highlight w:val="none"/>
              </w:rPr>
              <w:t>270</w:t>
            </w:r>
            <w:r>
              <w:rPr>
                <w:rFonts w:hint="eastAsia"/>
                <w:color w:val="auto"/>
                <w:kern w:val="0"/>
                <w:szCs w:val="21"/>
                <w:highlight w:val="none"/>
              </w:rPr>
              <w:t>日历日</w:t>
            </w:r>
          </w:p>
        </w:tc>
      </w:tr>
      <w:tr w14:paraId="69B1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341" w:type="dxa"/>
            <w:vAlign w:val="center"/>
          </w:tcPr>
          <w:p w14:paraId="1C438934">
            <w:pPr>
              <w:adjustRightInd w:val="0"/>
              <w:snapToGrid w:val="0"/>
              <w:spacing w:line="380" w:lineRule="exact"/>
              <w:jc w:val="center"/>
              <w:rPr>
                <w:rFonts w:hint="eastAsia"/>
                <w:szCs w:val="21"/>
                <w:highlight w:val="none"/>
              </w:rPr>
            </w:pPr>
            <w:r>
              <w:rPr>
                <w:rFonts w:hint="eastAsia"/>
                <w:szCs w:val="21"/>
                <w:highlight w:val="none"/>
              </w:rPr>
              <w:t>第二章第2.1款</w:t>
            </w:r>
          </w:p>
        </w:tc>
        <w:tc>
          <w:tcPr>
            <w:tcW w:w="1918" w:type="dxa"/>
            <w:vAlign w:val="center"/>
          </w:tcPr>
          <w:p w14:paraId="65F348C2">
            <w:pPr>
              <w:adjustRightInd w:val="0"/>
              <w:snapToGrid w:val="0"/>
              <w:spacing w:line="380" w:lineRule="exact"/>
              <w:rPr>
                <w:rFonts w:hint="eastAsia"/>
                <w:szCs w:val="21"/>
                <w:highlight w:val="none"/>
              </w:rPr>
            </w:pPr>
            <w:r>
              <w:rPr>
                <w:rFonts w:hint="eastAsia"/>
                <w:szCs w:val="21"/>
                <w:highlight w:val="none"/>
              </w:rPr>
              <w:t>采购人</w:t>
            </w:r>
          </w:p>
        </w:tc>
        <w:tc>
          <w:tcPr>
            <w:tcW w:w="5183" w:type="dxa"/>
            <w:vAlign w:val="center"/>
          </w:tcPr>
          <w:p w14:paraId="413B3582">
            <w:pPr>
              <w:adjustRightInd w:val="0"/>
              <w:snapToGrid w:val="0"/>
              <w:spacing w:line="380" w:lineRule="exact"/>
              <w:jc w:val="left"/>
              <w:rPr>
                <w:rFonts w:hint="eastAsia"/>
                <w:szCs w:val="21"/>
                <w:highlight w:val="none"/>
              </w:rPr>
            </w:pPr>
            <w:r>
              <w:rPr>
                <w:rFonts w:hint="eastAsia"/>
                <w:szCs w:val="21"/>
                <w:highlight w:val="none"/>
              </w:rPr>
              <w:t>名 称：</w:t>
            </w:r>
            <w:r>
              <w:rPr>
                <w:rFonts w:hint="eastAsia"/>
                <w:color w:val="000000"/>
                <w:kern w:val="0"/>
                <w:szCs w:val="21"/>
                <w:highlight w:val="none"/>
              </w:rPr>
              <w:t>新疆维吾尔自治区第六人民医院</w:t>
            </w:r>
          </w:p>
          <w:p w14:paraId="17809FCF">
            <w:pPr>
              <w:adjustRightInd w:val="0"/>
              <w:snapToGrid w:val="0"/>
              <w:spacing w:line="380" w:lineRule="exact"/>
              <w:jc w:val="left"/>
              <w:rPr>
                <w:rFonts w:hint="eastAsia"/>
                <w:szCs w:val="21"/>
                <w:highlight w:val="none"/>
              </w:rPr>
            </w:pPr>
            <w:r>
              <w:rPr>
                <w:rFonts w:hint="eastAsia"/>
                <w:szCs w:val="21"/>
                <w:highlight w:val="none"/>
              </w:rPr>
              <w:t>地 址：乌鲁木齐市新市区喀什东路北一巷100号</w:t>
            </w:r>
          </w:p>
          <w:p w14:paraId="3C7F8B09">
            <w:pPr>
              <w:adjustRightInd w:val="0"/>
              <w:snapToGrid w:val="0"/>
              <w:spacing w:line="380" w:lineRule="exact"/>
              <w:jc w:val="left"/>
              <w:rPr>
                <w:rFonts w:hint="eastAsia"/>
                <w:szCs w:val="21"/>
                <w:highlight w:val="none"/>
              </w:rPr>
            </w:pPr>
            <w:r>
              <w:rPr>
                <w:rFonts w:hint="eastAsia"/>
                <w:szCs w:val="21"/>
                <w:highlight w:val="none"/>
              </w:rPr>
              <w:t>联系人：陈苗</w:t>
            </w:r>
          </w:p>
          <w:p w14:paraId="0405B303">
            <w:pPr>
              <w:adjustRightInd w:val="0"/>
              <w:snapToGrid w:val="0"/>
              <w:spacing w:line="380" w:lineRule="exact"/>
              <w:jc w:val="left"/>
              <w:rPr>
                <w:rFonts w:hint="eastAsia"/>
                <w:color w:val="FF0000"/>
                <w:kern w:val="0"/>
                <w:szCs w:val="21"/>
                <w:highlight w:val="none"/>
              </w:rPr>
            </w:pPr>
            <w:r>
              <w:rPr>
                <w:rFonts w:hint="eastAsia"/>
                <w:szCs w:val="21"/>
                <w:highlight w:val="none"/>
              </w:rPr>
              <w:t>联系方式：0991-7511128</w:t>
            </w:r>
          </w:p>
        </w:tc>
      </w:tr>
      <w:tr w14:paraId="148B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2341" w:type="dxa"/>
            <w:vAlign w:val="center"/>
          </w:tcPr>
          <w:p w14:paraId="4CFD078C">
            <w:pPr>
              <w:adjustRightInd w:val="0"/>
              <w:snapToGrid w:val="0"/>
              <w:spacing w:line="380" w:lineRule="exact"/>
              <w:jc w:val="center"/>
              <w:rPr>
                <w:rFonts w:hint="eastAsia"/>
                <w:szCs w:val="21"/>
                <w:highlight w:val="none"/>
              </w:rPr>
            </w:pPr>
            <w:r>
              <w:rPr>
                <w:rFonts w:hint="eastAsia"/>
                <w:szCs w:val="21"/>
                <w:highlight w:val="none"/>
              </w:rPr>
              <w:t>第二章第2.2款</w:t>
            </w:r>
          </w:p>
        </w:tc>
        <w:tc>
          <w:tcPr>
            <w:tcW w:w="1918" w:type="dxa"/>
            <w:vAlign w:val="center"/>
          </w:tcPr>
          <w:p w14:paraId="22175895">
            <w:pPr>
              <w:adjustRightInd w:val="0"/>
              <w:snapToGrid w:val="0"/>
              <w:spacing w:line="380" w:lineRule="exact"/>
              <w:rPr>
                <w:rFonts w:hint="eastAsia"/>
                <w:szCs w:val="21"/>
                <w:highlight w:val="none"/>
              </w:rPr>
            </w:pPr>
            <w:r>
              <w:rPr>
                <w:rFonts w:hint="eastAsia"/>
                <w:szCs w:val="21"/>
                <w:highlight w:val="none"/>
              </w:rPr>
              <w:t>招标代理机构</w:t>
            </w:r>
          </w:p>
        </w:tc>
        <w:tc>
          <w:tcPr>
            <w:tcW w:w="5183" w:type="dxa"/>
            <w:vAlign w:val="center"/>
          </w:tcPr>
          <w:p w14:paraId="74AE13FB">
            <w:pPr>
              <w:adjustRightInd w:val="0"/>
              <w:snapToGrid w:val="0"/>
              <w:spacing w:line="380" w:lineRule="exact"/>
              <w:jc w:val="left"/>
              <w:rPr>
                <w:rFonts w:hint="eastAsia"/>
                <w:color w:val="000000"/>
                <w:szCs w:val="21"/>
                <w:highlight w:val="none"/>
              </w:rPr>
            </w:pPr>
            <w:r>
              <w:rPr>
                <w:rFonts w:hint="eastAsia"/>
                <w:color w:val="000000"/>
                <w:szCs w:val="21"/>
                <w:highlight w:val="none"/>
              </w:rPr>
              <w:t>名称：华采招标集团有限公司</w:t>
            </w:r>
          </w:p>
          <w:p w14:paraId="55418BCE">
            <w:pPr>
              <w:adjustRightInd w:val="0"/>
              <w:snapToGrid w:val="0"/>
              <w:spacing w:line="380" w:lineRule="exact"/>
              <w:jc w:val="left"/>
              <w:rPr>
                <w:rFonts w:hint="eastAsia"/>
                <w:color w:val="000000"/>
                <w:szCs w:val="21"/>
                <w:highlight w:val="none"/>
              </w:rPr>
            </w:pPr>
            <w:r>
              <w:rPr>
                <w:rFonts w:hint="eastAsia"/>
                <w:color w:val="000000"/>
                <w:szCs w:val="21"/>
                <w:highlight w:val="none"/>
              </w:rPr>
              <w:t>地址：</w:t>
            </w:r>
            <w:r>
              <w:rPr>
                <w:rFonts w:hint="eastAsia"/>
                <w:kern w:val="0"/>
                <w:szCs w:val="21"/>
                <w:highlight w:val="none"/>
              </w:rPr>
              <w:t>新疆乌鲁木齐市沙依巴克区奇台路658号德汇万达广场E2栋902室</w:t>
            </w:r>
          </w:p>
          <w:p w14:paraId="4E9D2EFC">
            <w:pPr>
              <w:adjustRightInd w:val="0"/>
              <w:snapToGrid w:val="0"/>
              <w:spacing w:line="380" w:lineRule="exact"/>
              <w:jc w:val="left"/>
              <w:rPr>
                <w:rFonts w:hint="eastAsia"/>
                <w:color w:val="000000"/>
                <w:szCs w:val="21"/>
                <w:highlight w:val="none"/>
              </w:rPr>
            </w:pPr>
            <w:r>
              <w:rPr>
                <w:rFonts w:hint="eastAsia"/>
                <w:color w:val="000000"/>
                <w:szCs w:val="21"/>
                <w:highlight w:val="none"/>
              </w:rPr>
              <w:t xml:space="preserve">联系人：何凌云  </w:t>
            </w:r>
          </w:p>
          <w:p w14:paraId="7F204885">
            <w:pPr>
              <w:adjustRightInd w:val="0"/>
              <w:snapToGrid w:val="0"/>
              <w:spacing w:line="380" w:lineRule="exact"/>
              <w:jc w:val="left"/>
              <w:rPr>
                <w:rFonts w:hint="eastAsia"/>
                <w:color w:val="000000"/>
                <w:szCs w:val="21"/>
                <w:highlight w:val="none"/>
              </w:rPr>
            </w:pPr>
            <w:r>
              <w:rPr>
                <w:rFonts w:hint="eastAsia"/>
                <w:color w:val="000000"/>
                <w:szCs w:val="21"/>
                <w:highlight w:val="none"/>
              </w:rPr>
              <w:t>联系电话：  18699158007</w:t>
            </w:r>
          </w:p>
        </w:tc>
      </w:tr>
      <w:tr w14:paraId="2D29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4" w:hRule="atLeast"/>
          <w:jc w:val="center"/>
        </w:trPr>
        <w:tc>
          <w:tcPr>
            <w:tcW w:w="2341" w:type="dxa"/>
            <w:vAlign w:val="center"/>
          </w:tcPr>
          <w:p w14:paraId="33C12289">
            <w:pPr>
              <w:adjustRightInd w:val="0"/>
              <w:snapToGrid w:val="0"/>
              <w:spacing w:line="380" w:lineRule="exact"/>
              <w:jc w:val="center"/>
              <w:rPr>
                <w:rFonts w:hint="eastAsia"/>
                <w:szCs w:val="21"/>
                <w:highlight w:val="none"/>
              </w:rPr>
            </w:pPr>
            <w:r>
              <w:rPr>
                <w:rFonts w:hint="eastAsia"/>
                <w:szCs w:val="21"/>
                <w:highlight w:val="none"/>
              </w:rPr>
              <w:t>第二章第3.1款</w:t>
            </w:r>
          </w:p>
        </w:tc>
        <w:tc>
          <w:tcPr>
            <w:tcW w:w="1918" w:type="dxa"/>
            <w:vAlign w:val="center"/>
          </w:tcPr>
          <w:p w14:paraId="1356A702">
            <w:pPr>
              <w:adjustRightInd w:val="0"/>
              <w:snapToGrid w:val="0"/>
              <w:spacing w:line="380" w:lineRule="exact"/>
              <w:rPr>
                <w:rFonts w:hint="eastAsia"/>
                <w:szCs w:val="21"/>
                <w:highlight w:val="none"/>
              </w:rPr>
            </w:pPr>
            <w:r>
              <w:rPr>
                <w:rFonts w:hint="eastAsia"/>
                <w:bCs/>
                <w:szCs w:val="21"/>
                <w:highlight w:val="none"/>
              </w:rPr>
              <w:t>投标人</w:t>
            </w:r>
            <w:r>
              <w:rPr>
                <w:rFonts w:hint="eastAsia"/>
                <w:szCs w:val="21"/>
                <w:highlight w:val="none"/>
              </w:rPr>
              <w:t>资格条件</w:t>
            </w:r>
          </w:p>
        </w:tc>
        <w:tc>
          <w:tcPr>
            <w:tcW w:w="5183" w:type="dxa"/>
            <w:vAlign w:val="center"/>
          </w:tcPr>
          <w:p w14:paraId="7E51A4E8">
            <w:pPr>
              <w:adjustRightInd w:val="0"/>
              <w:snapToGrid w:val="0"/>
              <w:spacing w:line="380" w:lineRule="exact"/>
              <w:rPr>
                <w:rFonts w:hint="eastAsia"/>
                <w:szCs w:val="21"/>
                <w:highlight w:val="none"/>
              </w:rPr>
            </w:pPr>
            <w:r>
              <w:rPr>
                <w:rFonts w:hint="eastAsia"/>
                <w:szCs w:val="21"/>
                <w:highlight w:val="none"/>
              </w:rPr>
              <w:t>（1）符合《中华人民共和国政府采购法》第二十二条规定条件；</w:t>
            </w:r>
          </w:p>
          <w:p w14:paraId="1D30466E">
            <w:pPr>
              <w:adjustRightInd w:val="0"/>
              <w:snapToGrid w:val="0"/>
              <w:spacing w:line="380" w:lineRule="exact"/>
              <w:jc w:val="left"/>
              <w:rPr>
                <w:rFonts w:hint="eastAsia"/>
                <w:szCs w:val="21"/>
                <w:highlight w:val="none"/>
              </w:rPr>
            </w:pPr>
            <w:r>
              <w:rPr>
                <w:rFonts w:hint="eastAsia"/>
                <w:szCs w:val="21"/>
                <w:highlight w:val="none"/>
              </w:rPr>
              <w:t xml:space="preserve">（2）有效的工商营业执照、税务登记证、组织机构代码证或“三证合一”的营业执照； </w:t>
            </w:r>
          </w:p>
          <w:p w14:paraId="600A9E09">
            <w:pPr>
              <w:adjustRightInd w:val="0"/>
              <w:snapToGrid w:val="0"/>
              <w:spacing w:line="380" w:lineRule="exact"/>
              <w:jc w:val="left"/>
              <w:rPr>
                <w:rFonts w:hint="eastAsia"/>
                <w:szCs w:val="21"/>
                <w:highlight w:val="none"/>
              </w:rPr>
            </w:pPr>
            <w:r>
              <w:rPr>
                <w:rFonts w:hint="eastAsia"/>
                <w:szCs w:val="21"/>
                <w:highlight w:val="none"/>
              </w:rPr>
              <w:t xml:space="preserve">（3）单位负责人为同一人或者存在直接控股、管理关系的不同供应商不得参加本项目同一包的投标； </w:t>
            </w:r>
          </w:p>
          <w:p w14:paraId="125DA254">
            <w:pPr>
              <w:adjustRightInd w:val="0"/>
              <w:snapToGrid w:val="0"/>
              <w:spacing w:line="380" w:lineRule="exact"/>
              <w:jc w:val="left"/>
              <w:rPr>
                <w:rFonts w:hint="eastAsia"/>
                <w:szCs w:val="21"/>
                <w:highlight w:val="none"/>
              </w:rPr>
            </w:pPr>
            <w:r>
              <w:rPr>
                <w:rFonts w:hint="eastAsia"/>
                <w:szCs w:val="21"/>
                <w:highlight w:val="none"/>
              </w:rPr>
              <w:t>（4）投标人必须为未被列入信用中国网站(www.creditchina.gov.cn)、中国政府采购网(www.ccgp.gov.cn)渠道信用记录失信被执行人、重大税收违法案件当事人名单、政府采购严重违法失信行为记录名单的响应人。</w:t>
            </w:r>
          </w:p>
        </w:tc>
      </w:tr>
      <w:tr w14:paraId="109D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1F145069">
            <w:pPr>
              <w:adjustRightInd w:val="0"/>
              <w:snapToGrid w:val="0"/>
              <w:spacing w:line="380" w:lineRule="exact"/>
              <w:jc w:val="center"/>
              <w:rPr>
                <w:rFonts w:hint="eastAsia"/>
                <w:szCs w:val="21"/>
                <w:highlight w:val="none"/>
              </w:rPr>
            </w:pPr>
            <w:r>
              <w:rPr>
                <w:rFonts w:hint="eastAsia"/>
                <w:szCs w:val="21"/>
                <w:highlight w:val="none"/>
              </w:rPr>
              <w:t>第二章第6.1款</w:t>
            </w:r>
          </w:p>
        </w:tc>
        <w:tc>
          <w:tcPr>
            <w:tcW w:w="1918" w:type="dxa"/>
            <w:vAlign w:val="center"/>
          </w:tcPr>
          <w:p w14:paraId="695DA216">
            <w:pPr>
              <w:adjustRightInd w:val="0"/>
              <w:snapToGrid w:val="0"/>
              <w:spacing w:line="380" w:lineRule="exact"/>
              <w:rPr>
                <w:rFonts w:hint="eastAsia"/>
                <w:szCs w:val="21"/>
                <w:highlight w:val="none"/>
              </w:rPr>
            </w:pPr>
            <w:r>
              <w:rPr>
                <w:rFonts w:hint="eastAsia"/>
                <w:szCs w:val="21"/>
                <w:highlight w:val="none"/>
              </w:rPr>
              <w:t>联合体形式</w:t>
            </w:r>
          </w:p>
        </w:tc>
        <w:tc>
          <w:tcPr>
            <w:tcW w:w="5183" w:type="dxa"/>
            <w:vAlign w:val="center"/>
          </w:tcPr>
          <w:p w14:paraId="48200CF2">
            <w:pPr>
              <w:adjustRightInd w:val="0"/>
              <w:snapToGrid w:val="0"/>
              <w:spacing w:line="380" w:lineRule="exact"/>
              <w:rPr>
                <w:rFonts w:hint="eastAsia"/>
                <w:szCs w:val="21"/>
                <w:highlight w:val="none"/>
              </w:rPr>
            </w:pPr>
            <w:r>
              <w:rPr>
                <w:rFonts w:hint="eastAsia"/>
                <w:szCs w:val="21"/>
                <w:highlight w:val="none"/>
              </w:rPr>
              <w:t>不接受</w:t>
            </w:r>
          </w:p>
        </w:tc>
      </w:tr>
      <w:tr w14:paraId="188A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01E20EFB">
            <w:pPr>
              <w:adjustRightInd w:val="0"/>
              <w:snapToGrid w:val="0"/>
              <w:spacing w:line="380" w:lineRule="exact"/>
              <w:jc w:val="center"/>
              <w:rPr>
                <w:rFonts w:hint="eastAsia"/>
                <w:szCs w:val="21"/>
                <w:highlight w:val="none"/>
              </w:rPr>
            </w:pPr>
            <w:r>
              <w:rPr>
                <w:rFonts w:hint="eastAsia"/>
                <w:szCs w:val="21"/>
                <w:highlight w:val="none"/>
              </w:rPr>
              <w:t>第二章第6.2（3）款</w:t>
            </w:r>
          </w:p>
        </w:tc>
        <w:tc>
          <w:tcPr>
            <w:tcW w:w="1918" w:type="dxa"/>
            <w:vAlign w:val="center"/>
          </w:tcPr>
          <w:p w14:paraId="5865763E">
            <w:pPr>
              <w:spacing w:line="380" w:lineRule="exact"/>
              <w:rPr>
                <w:rFonts w:hint="eastAsia"/>
                <w:szCs w:val="21"/>
                <w:highlight w:val="none"/>
              </w:rPr>
            </w:pPr>
            <w:r>
              <w:rPr>
                <w:rFonts w:hint="eastAsia"/>
                <w:szCs w:val="21"/>
                <w:highlight w:val="none"/>
              </w:rPr>
              <w:t>对联合体各方的要求</w:t>
            </w:r>
          </w:p>
        </w:tc>
        <w:tc>
          <w:tcPr>
            <w:tcW w:w="5183" w:type="dxa"/>
            <w:vAlign w:val="center"/>
          </w:tcPr>
          <w:p w14:paraId="4776182B">
            <w:pPr>
              <w:adjustRightInd w:val="0"/>
              <w:snapToGrid w:val="0"/>
              <w:spacing w:line="380" w:lineRule="exact"/>
              <w:rPr>
                <w:rFonts w:hint="eastAsia"/>
                <w:szCs w:val="21"/>
                <w:highlight w:val="none"/>
              </w:rPr>
            </w:pPr>
            <w:r>
              <w:rPr>
                <w:rFonts w:hint="eastAsia"/>
                <w:szCs w:val="21"/>
                <w:highlight w:val="none"/>
              </w:rPr>
              <w:t>无</w:t>
            </w:r>
          </w:p>
        </w:tc>
      </w:tr>
      <w:tr w14:paraId="26AE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031AE761">
            <w:pPr>
              <w:adjustRightInd w:val="0"/>
              <w:snapToGrid w:val="0"/>
              <w:spacing w:line="380" w:lineRule="exact"/>
              <w:jc w:val="center"/>
              <w:rPr>
                <w:rFonts w:hint="eastAsia"/>
                <w:szCs w:val="21"/>
                <w:highlight w:val="none"/>
              </w:rPr>
            </w:pPr>
            <w:r>
              <w:rPr>
                <w:rFonts w:hint="eastAsia"/>
                <w:szCs w:val="21"/>
                <w:highlight w:val="none"/>
              </w:rPr>
              <w:t>第二章第7.1款</w:t>
            </w:r>
          </w:p>
        </w:tc>
        <w:tc>
          <w:tcPr>
            <w:tcW w:w="1918" w:type="dxa"/>
            <w:vAlign w:val="center"/>
          </w:tcPr>
          <w:p w14:paraId="3A2B16DB">
            <w:pPr>
              <w:adjustRightInd w:val="0"/>
              <w:snapToGrid w:val="0"/>
              <w:spacing w:line="380" w:lineRule="exact"/>
              <w:rPr>
                <w:rFonts w:hint="eastAsia"/>
                <w:szCs w:val="21"/>
                <w:highlight w:val="none"/>
              </w:rPr>
            </w:pPr>
            <w:r>
              <w:rPr>
                <w:rFonts w:hint="eastAsia"/>
                <w:szCs w:val="21"/>
                <w:highlight w:val="none"/>
              </w:rPr>
              <w:t>现场考察</w:t>
            </w:r>
          </w:p>
        </w:tc>
        <w:tc>
          <w:tcPr>
            <w:tcW w:w="5183" w:type="dxa"/>
            <w:vAlign w:val="center"/>
          </w:tcPr>
          <w:p w14:paraId="2218A641">
            <w:pPr>
              <w:adjustRightInd w:val="0"/>
              <w:snapToGrid w:val="0"/>
              <w:spacing w:line="380" w:lineRule="exact"/>
              <w:rPr>
                <w:rFonts w:hint="eastAsia"/>
                <w:szCs w:val="21"/>
                <w:highlight w:val="none"/>
              </w:rPr>
            </w:pPr>
            <w:r>
              <w:rPr>
                <w:rFonts w:hint="eastAsia"/>
                <w:szCs w:val="21"/>
                <w:highlight w:val="none"/>
              </w:rPr>
              <w:t>不组织，投标人自行对项目现场和其周围环境进行考察</w:t>
            </w:r>
          </w:p>
        </w:tc>
      </w:tr>
      <w:tr w14:paraId="2606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1D40F4DA">
            <w:pPr>
              <w:spacing w:line="380" w:lineRule="exact"/>
              <w:jc w:val="center"/>
              <w:rPr>
                <w:rFonts w:hint="eastAsia"/>
                <w:szCs w:val="21"/>
                <w:highlight w:val="none"/>
              </w:rPr>
            </w:pPr>
            <w:r>
              <w:rPr>
                <w:rFonts w:hint="eastAsia"/>
                <w:szCs w:val="21"/>
                <w:highlight w:val="none"/>
              </w:rPr>
              <w:t>第二章第8.1款</w:t>
            </w:r>
          </w:p>
        </w:tc>
        <w:tc>
          <w:tcPr>
            <w:tcW w:w="1918" w:type="dxa"/>
            <w:vAlign w:val="center"/>
          </w:tcPr>
          <w:p w14:paraId="5FFE0E82">
            <w:pPr>
              <w:spacing w:line="380" w:lineRule="exact"/>
              <w:rPr>
                <w:rFonts w:hint="eastAsia"/>
                <w:szCs w:val="21"/>
                <w:highlight w:val="none"/>
              </w:rPr>
            </w:pPr>
            <w:r>
              <w:rPr>
                <w:rFonts w:hint="eastAsia"/>
                <w:szCs w:val="21"/>
                <w:highlight w:val="none"/>
              </w:rPr>
              <w:t>采购进口产品</w:t>
            </w:r>
          </w:p>
        </w:tc>
        <w:tc>
          <w:tcPr>
            <w:tcW w:w="5183" w:type="dxa"/>
            <w:vAlign w:val="center"/>
          </w:tcPr>
          <w:p w14:paraId="307F7DB9">
            <w:pPr>
              <w:adjustRightInd w:val="0"/>
              <w:snapToGrid w:val="0"/>
              <w:spacing w:line="380" w:lineRule="exact"/>
              <w:rPr>
                <w:rFonts w:hint="eastAsia"/>
                <w:szCs w:val="21"/>
                <w:highlight w:val="none"/>
              </w:rPr>
            </w:pPr>
            <w:r>
              <w:rPr>
                <w:rFonts w:hint="eastAsia"/>
                <w:szCs w:val="21"/>
                <w:highlight w:val="none"/>
              </w:rPr>
              <w:t>依据财政部《关于政府采购进口产品管理有关问题的通知》的规定，本项目拒绝采购进口产品</w:t>
            </w:r>
          </w:p>
        </w:tc>
      </w:tr>
      <w:tr w14:paraId="57FA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 w:hRule="atLeast"/>
          <w:jc w:val="center"/>
        </w:trPr>
        <w:tc>
          <w:tcPr>
            <w:tcW w:w="2341" w:type="dxa"/>
            <w:vMerge w:val="restart"/>
            <w:vAlign w:val="center"/>
          </w:tcPr>
          <w:p w14:paraId="751728FE">
            <w:pPr>
              <w:spacing w:line="380" w:lineRule="exact"/>
              <w:rPr>
                <w:rFonts w:hint="eastAsia"/>
                <w:szCs w:val="21"/>
                <w:highlight w:val="none"/>
              </w:rPr>
            </w:pPr>
            <w:r>
              <w:rPr>
                <w:rFonts w:hint="eastAsia"/>
                <w:szCs w:val="21"/>
                <w:highlight w:val="none"/>
              </w:rPr>
              <w:t>第二章第9.1款</w:t>
            </w:r>
          </w:p>
        </w:tc>
        <w:tc>
          <w:tcPr>
            <w:tcW w:w="1918" w:type="dxa"/>
            <w:vAlign w:val="center"/>
          </w:tcPr>
          <w:p w14:paraId="148C9D6D">
            <w:pPr>
              <w:spacing w:line="380" w:lineRule="exact"/>
              <w:rPr>
                <w:rFonts w:hint="eastAsia"/>
                <w:szCs w:val="21"/>
                <w:highlight w:val="none"/>
              </w:rPr>
            </w:pPr>
            <w:r>
              <w:rPr>
                <w:szCs w:val="21"/>
                <w:highlight w:val="none"/>
              </w:rPr>
              <w:t>政府采购强制采购：标记</w:t>
            </w:r>
            <w:r>
              <w:rPr>
                <w:rFonts w:cs="Segoe UI Symbol"/>
                <w:szCs w:val="21"/>
                <w:highlight w:val="none"/>
              </w:rPr>
              <w:t>★</w:t>
            </w:r>
            <w:r>
              <w:rPr>
                <w:szCs w:val="21"/>
                <w:highlight w:val="none"/>
              </w:rPr>
              <w:t>符号的节能产品</w:t>
            </w:r>
          </w:p>
        </w:tc>
        <w:tc>
          <w:tcPr>
            <w:tcW w:w="5183" w:type="dxa"/>
            <w:vAlign w:val="center"/>
          </w:tcPr>
          <w:p w14:paraId="71800987">
            <w:pPr>
              <w:spacing w:line="380" w:lineRule="exact"/>
              <w:rPr>
                <w:rFonts w:hint="eastAsia"/>
                <w:szCs w:val="21"/>
                <w:highlight w:val="none"/>
              </w:rPr>
            </w:pPr>
            <w:r>
              <w:rPr>
                <w:rFonts w:hint="eastAsia"/>
                <w:szCs w:val="21"/>
                <w:highlight w:val="none"/>
              </w:rPr>
              <w:t>本项目中投标人所投货物属于政府强制采购节能产品的，投标人应提供《节能产品政府采购品目清单》 内的标记★符号节能产品，依据品目清单和认证证书实施政府强制采购</w:t>
            </w:r>
          </w:p>
        </w:tc>
      </w:tr>
      <w:tr w14:paraId="5C9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 w:hRule="atLeast"/>
          <w:jc w:val="center"/>
        </w:trPr>
        <w:tc>
          <w:tcPr>
            <w:tcW w:w="2341" w:type="dxa"/>
            <w:vMerge w:val="continue"/>
            <w:vAlign w:val="center"/>
          </w:tcPr>
          <w:p w14:paraId="408C9D42">
            <w:pPr>
              <w:spacing w:line="380" w:lineRule="exact"/>
              <w:rPr>
                <w:rFonts w:hint="eastAsia"/>
                <w:szCs w:val="21"/>
                <w:highlight w:val="none"/>
              </w:rPr>
            </w:pPr>
          </w:p>
        </w:tc>
        <w:tc>
          <w:tcPr>
            <w:tcW w:w="1918" w:type="dxa"/>
            <w:vAlign w:val="center"/>
          </w:tcPr>
          <w:p w14:paraId="6D79B6DA">
            <w:pPr>
              <w:spacing w:line="380" w:lineRule="exact"/>
              <w:rPr>
                <w:rFonts w:hint="eastAsia"/>
                <w:bCs/>
                <w:kern w:val="0"/>
                <w:szCs w:val="21"/>
                <w:highlight w:val="none"/>
              </w:rPr>
            </w:pPr>
            <w:r>
              <w:rPr>
                <w:szCs w:val="21"/>
                <w:highlight w:val="none"/>
              </w:rPr>
              <w:t>政府采购优先采购：(1)非标记</w:t>
            </w:r>
            <w:r>
              <w:rPr>
                <w:rFonts w:cs="Segoe UI Symbol"/>
                <w:szCs w:val="21"/>
                <w:highlight w:val="none"/>
              </w:rPr>
              <w:t>★</w:t>
            </w:r>
            <w:r>
              <w:rPr>
                <w:szCs w:val="21"/>
                <w:highlight w:val="none"/>
              </w:rPr>
              <w:t xml:space="preserve">符号的节能产品；(2)环境标志产品； </w:t>
            </w:r>
          </w:p>
        </w:tc>
        <w:tc>
          <w:tcPr>
            <w:tcW w:w="5183" w:type="dxa"/>
            <w:vAlign w:val="center"/>
          </w:tcPr>
          <w:p w14:paraId="7168CD24">
            <w:pPr>
              <w:spacing w:line="380" w:lineRule="exact"/>
              <w:rPr>
                <w:rFonts w:hint="eastAsia"/>
                <w:szCs w:val="21"/>
                <w:highlight w:val="none"/>
              </w:rPr>
            </w:pPr>
            <w:r>
              <w:rPr>
                <w:rFonts w:hint="eastAsia"/>
                <w:szCs w:val="21"/>
                <w:highlight w:val="none"/>
              </w:rPr>
              <w:t>按国家有关节能环保政策执行：投标文件中所供产品为《节能产品政府采购品目清单》内非标记★符号的节能产品或《环境标志产品政府采购品目清单》内的产品中的产品。</w:t>
            </w:r>
          </w:p>
        </w:tc>
      </w:tr>
      <w:tr w14:paraId="7339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 w:hRule="atLeast"/>
          <w:jc w:val="center"/>
        </w:trPr>
        <w:tc>
          <w:tcPr>
            <w:tcW w:w="2341" w:type="dxa"/>
            <w:vMerge w:val="continue"/>
            <w:vAlign w:val="center"/>
          </w:tcPr>
          <w:p w14:paraId="08A88A71">
            <w:pPr>
              <w:spacing w:line="380" w:lineRule="exact"/>
              <w:rPr>
                <w:rFonts w:hint="eastAsia"/>
                <w:szCs w:val="21"/>
                <w:highlight w:val="none"/>
              </w:rPr>
            </w:pPr>
          </w:p>
        </w:tc>
        <w:tc>
          <w:tcPr>
            <w:tcW w:w="1918" w:type="dxa"/>
            <w:vAlign w:val="center"/>
          </w:tcPr>
          <w:p w14:paraId="44D3CE7E">
            <w:pPr>
              <w:spacing w:line="380" w:lineRule="exact"/>
              <w:rPr>
                <w:rFonts w:hint="eastAsia" w:cs="宋体"/>
                <w:bCs/>
                <w:kern w:val="0"/>
                <w:szCs w:val="21"/>
                <w:highlight w:val="none"/>
              </w:rPr>
            </w:pPr>
            <w:r>
              <w:rPr>
                <w:rFonts w:hint="eastAsia" w:cs="宋体"/>
                <w:bCs/>
                <w:kern w:val="0"/>
                <w:szCs w:val="21"/>
                <w:highlight w:val="none"/>
              </w:rPr>
              <w:t>支持</w:t>
            </w:r>
            <w:r>
              <w:rPr>
                <w:rFonts w:hint="eastAsia"/>
                <w:szCs w:val="21"/>
                <w:highlight w:val="none"/>
              </w:rPr>
              <w:t>中小企业发展</w:t>
            </w:r>
          </w:p>
        </w:tc>
        <w:tc>
          <w:tcPr>
            <w:tcW w:w="5183" w:type="dxa"/>
            <w:vAlign w:val="center"/>
          </w:tcPr>
          <w:p w14:paraId="0CA58F85">
            <w:pPr>
              <w:spacing w:line="380" w:lineRule="exact"/>
              <w:rPr>
                <w:rFonts w:hint="eastAsia"/>
                <w:szCs w:val="21"/>
                <w:highlight w:val="none"/>
              </w:rPr>
            </w:pPr>
            <w:r>
              <w:rPr>
                <w:rFonts w:hint="eastAsia"/>
                <w:szCs w:val="21"/>
                <w:highlight w:val="none"/>
              </w:rPr>
              <w:t>本项目为非专门面向中小企业（含中型、小型、微型企业）采购包，评标时将给予此类企业进行价格扣除10%-20%的优惠，用扣除后的价格参与评审，监狱企业、残疾人福利性单位视同为小微企业。</w:t>
            </w:r>
          </w:p>
          <w:p w14:paraId="467F8954">
            <w:pPr>
              <w:spacing w:line="380" w:lineRule="exact"/>
              <w:rPr>
                <w:rFonts w:hint="eastAsia"/>
                <w:szCs w:val="21"/>
                <w:highlight w:val="none"/>
              </w:rPr>
            </w:pPr>
            <w:r>
              <w:rPr>
                <w:rFonts w:hint="eastAsia"/>
                <w:szCs w:val="21"/>
                <w:highlight w:val="none"/>
              </w:rPr>
              <w:t>本项目具体扣除比例为10%。</w:t>
            </w:r>
          </w:p>
          <w:p w14:paraId="25C43535">
            <w:pPr>
              <w:spacing w:line="380" w:lineRule="exact"/>
              <w:rPr>
                <w:rFonts w:hint="eastAsia"/>
                <w:szCs w:val="21"/>
                <w:highlight w:val="none"/>
              </w:rPr>
            </w:pPr>
            <w:r>
              <w:rPr>
                <w:rFonts w:hint="eastAsia"/>
                <w:szCs w:val="21"/>
                <w:highlight w:val="none"/>
              </w:rPr>
              <w:t>中小企业划分标准所属行业为：软件和信息技术服务业。</w:t>
            </w:r>
          </w:p>
        </w:tc>
      </w:tr>
      <w:tr w14:paraId="2784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Merge w:val="continue"/>
            <w:vAlign w:val="center"/>
          </w:tcPr>
          <w:p w14:paraId="119ECC8B">
            <w:pPr>
              <w:spacing w:line="380" w:lineRule="exact"/>
              <w:rPr>
                <w:rFonts w:hint="eastAsia"/>
                <w:szCs w:val="21"/>
                <w:highlight w:val="none"/>
              </w:rPr>
            </w:pPr>
          </w:p>
        </w:tc>
        <w:tc>
          <w:tcPr>
            <w:tcW w:w="1918" w:type="dxa"/>
            <w:vAlign w:val="center"/>
          </w:tcPr>
          <w:p w14:paraId="1419BE0D">
            <w:pPr>
              <w:spacing w:line="380" w:lineRule="exact"/>
              <w:rPr>
                <w:rFonts w:hint="eastAsia"/>
                <w:szCs w:val="21"/>
                <w:highlight w:val="none"/>
              </w:rPr>
            </w:pPr>
            <w:r>
              <w:rPr>
                <w:rFonts w:hint="eastAsia" w:cs="宋体"/>
                <w:bCs/>
                <w:kern w:val="0"/>
                <w:szCs w:val="21"/>
                <w:highlight w:val="none"/>
              </w:rPr>
              <w:t>政府采购支持中小企业融资</w:t>
            </w:r>
          </w:p>
        </w:tc>
        <w:tc>
          <w:tcPr>
            <w:tcW w:w="5183" w:type="dxa"/>
            <w:vMerge w:val="restart"/>
            <w:vAlign w:val="center"/>
          </w:tcPr>
          <w:p w14:paraId="3A9CAC20">
            <w:pPr>
              <w:spacing w:line="380" w:lineRule="exact"/>
              <w:rPr>
                <w:rFonts w:hint="eastAsia"/>
                <w:szCs w:val="21"/>
                <w:highlight w:val="none"/>
              </w:rPr>
            </w:pPr>
            <w:r>
              <w:rPr>
                <w:rFonts w:hint="eastAsia"/>
                <w:szCs w:val="21"/>
                <w:highlight w:val="none"/>
              </w:rPr>
              <w:t>中小企业在融资、投标保证、履约保证等方面有需求的，可查询当地政府采购管理部门相关政策，通过专业化的担保途径解决。</w:t>
            </w:r>
          </w:p>
        </w:tc>
      </w:tr>
      <w:tr w14:paraId="6420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Merge w:val="continue"/>
            <w:vAlign w:val="center"/>
          </w:tcPr>
          <w:p w14:paraId="10BFFE08">
            <w:pPr>
              <w:spacing w:line="380" w:lineRule="exact"/>
              <w:rPr>
                <w:rFonts w:hint="eastAsia"/>
                <w:szCs w:val="21"/>
                <w:highlight w:val="none"/>
              </w:rPr>
            </w:pPr>
          </w:p>
        </w:tc>
        <w:tc>
          <w:tcPr>
            <w:tcW w:w="1918" w:type="dxa"/>
            <w:vAlign w:val="center"/>
          </w:tcPr>
          <w:p w14:paraId="30812065">
            <w:pPr>
              <w:spacing w:line="380" w:lineRule="exact"/>
              <w:rPr>
                <w:rFonts w:hint="eastAsia"/>
                <w:szCs w:val="21"/>
                <w:highlight w:val="none"/>
              </w:rPr>
            </w:pPr>
            <w:r>
              <w:rPr>
                <w:rFonts w:hint="eastAsia" w:cs="宋体"/>
                <w:bCs/>
                <w:kern w:val="0"/>
                <w:szCs w:val="21"/>
                <w:highlight w:val="none"/>
              </w:rPr>
              <w:t>政府采购信用担保</w:t>
            </w:r>
          </w:p>
        </w:tc>
        <w:tc>
          <w:tcPr>
            <w:tcW w:w="5183" w:type="dxa"/>
            <w:vMerge w:val="continue"/>
            <w:vAlign w:val="center"/>
          </w:tcPr>
          <w:p w14:paraId="64C491F7">
            <w:pPr>
              <w:spacing w:line="380" w:lineRule="exact"/>
              <w:rPr>
                <w:rFonts w:hint="eastAsia"/>
                <w:szCs w:val="21"/>
                <w:highlight w:val="none"/>
              </w:rPr>
            </w:pPr>
          </w:p>
        </w:tc>
      </w:tr>
      <w:tr w14:paraId="7B5E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 w:hRule="atLeast"/>
          <w:jc w:val="center"/>
        </w:trPr>
        <w:tc>
          <w:tcPr>
            <w:tcW w:w="9442" w:type="dxa"/>
            <w:gridSpan w:val="3"/>
            <w:vAlign w:val="center"/>
          </w:tcPr>
          <w:p w14:paraId="50738912">
            <w:pPr>
              <w:adjustRightInd w:val="0"/>
              <w:snapToGrid w:val="0"/>
              <w:spacing w:line="380" w:lineRule="exact"/>
              <w:rPr>
                <w:rFonts w:hint="eastAsia"/>
                <w:b/>
                <w:szCs w:val="21"/>
                <w:highlight w:val="none"/>
              </w:rPr>
            </w:pPr>
            <w:r>
              <w:rPr>
                <w:rFonts w:hint="eastAsia"/>
                <w:b/>
                <w:szCs w:val="21"/>
                <w:highlight w:val="none"/>
              </w:rPr>
              <w:t>二、招标文件</w:t>
            </w:r>
          </w:p>
        </w:tc>
      </w:tr>
      <w:tr w14:paraId="5B4C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6E3C32B3">
            <w:pPr>
              <w:adjustRightInd w:val="0"/>
              <w:snapToGrid w:val="0"/>
              <w:spacing w:line="380" w:lineRule="exact"/>
              <w:jc w:val="center"/>
              <w:rPr>
                <w:rFonts w:hint="eastAsia"/>
                <w:color w:val="000000"/>
                <w:szCs w:val="21"/>
                <w:highlight w:val="none"/>
              </w:rPr>
            </w:pPr>
            <w:r>
              <w:rPr>
                <w:rFonts w:hint="eastAsia"/>
                <w:color w:val="000000"/>
                <w:szCs w:val="21"/>
                <w:highlight w:val="none"/>
              </w:rPr>
              <w:t>第二章第11.1款</w:t>
            </w:r>
          </w:p>
        </w:tc>
        <w:tc>
          <w:tcPr>
            <w:tcW w:w="1918" w:type="dxa"/>
            <w:vAlign w:val="center"/>
          </w:tcPr>
          <w:p w14:paraId="1671E541">
            <w:pPr>
              <w:adjustRightInd w:val="0"/>
              <w:snapToGrid w:val="0"/>
              <w:spacing w:line="380" w:lineRule="exact"/>
              <w:rPr>
                <w:rFonts w:hint="eastAsia"/>
                <w:color w:val="000000"/>
                <w:szCs w:val="21"/>
                <w:highlight w:val="none"/>
              </w:rPr>
            </w:pPr>
            <w:r>
              <w:rPr>
                <w:rFonts w:hint="eastAsia"/>
                <w:color w:val="000000"/>
                <w:szCs w:val="21"/>
                <w:highlight w:val="none"/>
              </w:rPr>
              <w:t>提交投标文件的截止时间</w:t>
            </w:r>
          </w:p>
        </w:tc>
        <w:tc>
          <w:tcPr>
            <w:tcW w:w="5183" w:type="dxa"/>
            <w:vAlign w:val="center"/>
          </w:tcPr>
          <w:p w14:paraId="2A74BB91">
            <w:pPr>
              <w:adjustRightInd w:val="0"/>
              <w:snapToGrid w:val="0"/>
              <w:spacing w:line="380" w:lineRule="exact"/>
              <w:jc w:val="left"/>
              <w:rPr>
                <w:rFonts w:hint="eastAsia"/>
                <w:color w:val="000000"/>
                <w:szCs w:val="21"/>
                <w:highlight w:val="none"/>
              </w:rPr>
            </w:pPr>
            <w:r>
              <w:rPr>
                <w:rFonts w:hint="eastAsia" w:ascii="宋体" w:hAnsi="宋体"/>
                <w:kern w:val="0"/>
                <w:szCs w:val="21"/>
                <w:highlight w:val="none"/>
              </w:rPr>
              <w:t>2025年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ascii="宋体" w:hAnsi="宋体"/>
                <w:kern w:val="0"/>
                <w:szCs w:val="21"/>
                <w:highlight w:val="none"/>
              </w:rPr>
              <w:t xml:space="preserve"> </w:t>
            </w:r>
            <w:r>
              <w:rPr>
                <w:rFonts w:hint="eastAsia" w:ascii="宋体" w:hAnsi="宋体"/>
                <w:kern w:val="0"/>
                <w:szCs w:val="21"/>
                <w:highlight w:val="none"/>
                <w:lang w:val="en-US" w:eastAsia="zh-CN"/>
              </w:rPr>
              <w:t>28</w:t>
            </w:r>
            <w:r>
              <w:rPr>
                <w:rFonts w:hint="eastAsia" w:ascii="宋体" w:hAnsi="宋体"/>
                <w:kern w:val="0"/>
                <w:szCs w:val="21"/>
                <w:highlight w:val="none"/>
              </w:rPr>
              <w:t>日</w:t>
            </w:r>
            <w:r>
              <w:rPr>
                <w:rFonts w:ascii="宋体" w:hAnsi="宋体"/>
                <w:kern w:val="0"/>
                <w:szCs w:val="21"/>
                <w:highlight w:val="none"/>
              </w:rPr>
              <w:t xml:space="preserve"> </w:t>
            </w:r>
            <w:r>
              <w:rPr>
                <w:rFonts w:hint="eastAsia" w:ascii="宋体" w:hAnsi="宋体"/>
                <w:kern w:val="0"/>
                <w:szCs w:val="21"/>
                <w:highlight w:val="none"/>
                <w:lang w:val="en-US" w:eastAsia="zh-CN"/>
              </w:rPr>
              <w:t>11</w:t>
            </w:r>
            <w:r>
              <w:rPr>
                <w:rFonts w:hint="eastAsia" w:ascii="宋体" w:hAnsi="宋体"/>
                <w:kern w:val="0"/>
                <w:szCs w:val="21"/>
                <w:highlight w:val="none"/>
              </w:rPr>
              <w:t>:00（北京时间）</w:t>
            </w:r>
          </w:p>
        </w:tc>
      </w:tr>
      <w:tr w14:paraId="5765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42" w:type="dxa"/>
            <w:gridSpan w:val="3"/>
            <w:vAlign w:val="center"/>
          </w:tcPr>
          <w:p w14:paraId="1EC06EC3">
            <w:pPr>
              <w:adjustRightInd w:val="0"/>
              <w:snapToGrid w:val="0"/>
              <w:spacing w:line="380" w:lineRule="exact"/>
              <w:rPr>
                <w:rFonts w:hint="eastAsia"/>
                <w:szCs w:val="21"/>
                <w:highlight w:val="none"/>
              </w:rPr>
            </w:pPr>
            <w:r>
              <w:rPr>
                <w:rFonts w:hint="eastAsia"/>
                <w:b/>
                <w:szCs w:val="21"/>
                <w:highlight w:val="none"/>
              </w:rPr>
              <w:t>三、投标文件的编写</w:t>
            </w:r>
          </w:p>
        </w:tc>
      </w:tr>
      <w:tr w14:paraId="3EDD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341" w:type="dxa"/>
            <w:vAlign w:val="center"/>
          </w:tcPr>
          <w:p w14:paraId="7AC1EDEE">
            <w:pPr>
              <w:adjustRightInd w:val="0"/>
              <w:snapToGrid w:val="0"/>
              <w:spacing w:line="380" w:lineRule="exact"/>
              <w:jc w:val="center"/>
              <w:rPr>
                <w:rFonts w:hint="eastAsia"/>
                <w:szCs w:val="21"/>
                <w:highlight w:val="none"/>
              </w:rPr>
            </w:pPr>
            <w:r>
              <w:rPr>
                <w:rFonts w:hint="eastAsia"/>
                <w:szCs w:val="21"/>
                <w:highlight w:val="none"/>
              </w:rPr>
              <w:t>第二章第15.5款</w:t>
            </w:r>
          </w:p>
        </w:tc>
        <w:tc>
          <w:tcPr>
            <w:tcW w:w="1918" w:type="dxa"/>
            <w:vAlign w:val="center"/>
          </w:tcPr>
          <w:p w14:paraId="7CD1C47C">
            <w:pPr>
              <w:adjustRightInd w:val="0"/>
              <w:snapToGrid w:val="0"/>
              <w:spacing w:line="380" w:lineRule="exact"/>
              <w:rPr>
                <w:rFonts w:hint="eastAsia"/>
                <w:szCs w:val="21"/>
                <w:highlight w:val="none"/>
              </w:rPr>
            </w:pPr>
            <w:r>
              <w:rPr>
                <w:rFonts w:hint="eastAsia"/>
                <w:szCs w:val="21"/>
                <w:highlight w:val="none"/>
              </w:rPr>
              <w:t>采购预算资金</w:t>
            </w:r>
          </w:p>
        </w:tc>
        <w:tc>
          <w:tcPr>
            <w:tcW w:w="5183" w:type="dxa"/>
            <w:vAlign w:val="center"/>
          </w:tcPr>
          <w:p w14:paraId="166BC129">
            <w:pPr>
              <w:adjustRightInd w:val="0"/>
              <w:snapToGrid w:val="0"/>
              <w:spacing w:line="360" w:lineRule="exact"/>
              <w:rPr>
                <w:rFonts w:hint="eastAsia"/>
                <w:color w:val="000000"/>
                <w:szCs w:val="21"/>
                <w:highlight w:val="none"/>
              </w:rPr>
            </w:pPr>
            <w:r>
              <w:rPr>
                <w:color w:val="000000"/>
                <w:kern w:val="0"/>
                <w:szCs w:val="21"/>
                <w:highlight w:val="none"/>
              </w:rPr>
              <w:t>1396</w:t>
            </w:r>
            <w:r>
              <w:rPr>
                <w:rFonts w:hint="eastAsia"/>
                <w:color w:val="000000"/>
                <w:szCs w:val="21"/>
                <w:highlight w:val="none"/>
              </w:rPr>
              <w:t>万元</w:t>
            </w:r>
          </w:p>
        </w:tc>
      </w:tr>
      <w:tr w14:paraId="4BEC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341" w:type="dxa"/>
            <w:vAlign w:val="center"/>
          </w:tcPr>
          <w:p w14:paraId="651803CD">
            <w:pPr>
              <w:adjustRightInd w:val="0"/>
              <w:snapToGrid w:val="0"/>
              <w:spacing w:line="380" w:lineRule="exact"/>
              <w:jc w:val="center"/>
              <w:rPr>
                <w:rFonts w:hint="eastAsia"/>
                <w:szCs w:val="21"/>
                <w:highlight w:val="none"/>
              </w:rPr>
            </w:pPr>
            <w:r>
              <w:rPr>
                <w:rFonts w:hint="eastAsia"/>
                <w:szCs w:val="21"/>
                <w:highlight w:val="none"/>
              </w:rPr>
              <w:t>第二章第16.1.3款</w:t>
            </w:r>
          </w:p>
        </w:tc>
        <w:tc>
          <w:tcPr>
            <w:tcW w:w="1918" w:type="dxa"/>
            <w:vAlign w:val="center"/>
          </w:tcPr>
          <w:p w14:paraId="6556BDD7">
            <w:pPr>
              <w:adjustRightInd w:val="0"/>
              <w:snapToGrid w:val="0"/>
              <w:spacing w:line="380" w:lineRule="exact"/>
              <w:rPr>
                <w:rFonts w:hint="eastAsia"/>
                <w:szCs w:val="21"/>
                <w:highlight w:val="none"/>
              </w:rPr>
            </w:pPr>
            <w:r>
              <w:rPr>
                <w:rFonts w:hint="eastAsia"/>
                <w:szCs w:val="21"/>
                <w:highlight w:val="none"/>
              </w:rPr>
              <w:t>业绩</w:t>
            </w:r>
          </w:p>
        </w:tc>
        <w:tc>
          <w:tcPr>
            <w:tcW w:w="5183" w:type="dxa"/>
            <w:vAlign w:val="center"/>
          </w:tcPr>
          <w:p w14:paraId="4BBDD04C">
            <w:pPr>
              <w:adjustRightInd w:val="0"/>
              <w:snapToGrid w:val="0"/>
              <w:spacing w:line="380" w:lineRule="exact"/>
              <w:rPr>
                <w:rFonts w:hint="eastAsia"/>
                <w:color w:val="000000"/>
                <w:szCs w:val="21"/>
                <w:highlight w:val="none"/>
              </w:rPr>
            </w:pPr>
            <w:r>
              <w:rPr>
                <w:rFonts w:hint="eastAsia"/>
                <w:bCs/>
                <w:szCs w:val="21"/>
                <w:highlight w:val="none"/>
              </w:rPr>
              <w:t>近三年类似项目业绩证明材料须提供中标通知书（或成交通知书）扫描件、合同协议书扫描件</w:t>
            </w:r>
            <w:r>
              <w:rPr>
                <w:rFonts w:hint="eastAsia"/>
                <w:color w:val="000000"/>
                <w:szCs w:val="21"/>
                <w:highlight w:val="none"/>
              </w:rPr>
              <w:t>、验收报告</w:t>
            </w:r>
            <w:r>
              <w:rPr>
                <w:rFonts w:hint="eastAsia"/>
                <w:bCs/>
                <w:szCs w:val="21"/>
                <w:highlight w:val="none"/>
              </w:rPr>
              <w:t>扫描件等，详见评审标准</w:t>
            </w:r>
          </w:p>
        </w:tc>
      </w:tr>
      <w:tr w14:paraId="57B6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59C2E1B8">
            <w:pPr>
              <w:adjustRightInd w:val="0"/>
              <w:snapToGrid w:val="0"/>
              <w:spacing w:line="380" w:lineRule="exact"/>
              <w:jc w:val="center"/>
              <w:rPr>
                <w:rFonts w:hint="eastAsia"/>
                <w:szCs w:val="21"/>
                <w:highlight w:val="none"/>
              </w:rPr>
            </w:pPr>
            <w:r>
              <w:rPr>
                <w:rFonts w:hint="eastAsia"/>
                <w:szCs w:val="21"/>
                <w:highlight w:val="none"/>
              </w:rPr>
              <w:t>第二章第17.1款</w:t>
            </w:r>
          </w:p>
        </w:tc>
        <w:tc>
          <w:tcPr>
            <w:tcW w:w="1918" w:type="dxa"/>
            <w:vAlign w:val="center"/>
          </w:tcPr>
          <w:p w14:paraId="245A3C1E">
            <w:pPr>
              <w:adjustRightInd w:val="0"/>
              <w:snapToGrid w:val="0"/>
              <w:spacing w:line="380" w:lineRule="exact"/>
              <w:ind w:left="-610" w:leftChars="-254" w:firstLine="609" w:firstLineChars="254"/>
              <w:rPr>
                <w:rFonts w:hint="eastAsia"/>
                <w:szCs w:val="21"/>
                <w:highlight w:val="none"/>
              </w:rPr>
            </w:pPr>
            <w:r>
              <w:rPr>
                <w:rFonts w:hint="eastAsia"/>
                <w:szCs w:val="21"/>
                <w:highlight w:val="none"/>
              </w:rPr>
              <w:t>投标保证金</w:t>
            </w:r>
          </w:p>
        </w:tc>
        <w:tc>
          <w:tcPr>
            <w:tcW w:w="5183" w:type="dxa"/>
            <w:vAlign w:val="center"/>
          </w:tcPr>
          <w:p w14:paraId="34C1106F">
            <w:pPr>
              <w:adjustRightInd w:val="0"/>
              <w:snapToGrid w:val="0"/>
              <w:spacing w:line="360" w:lineRule="exact"/>
              <w:rPr>
                <w:rFonts w:hint="eastAsia"/>
                <w:bCs/>
                <w:szCs w:val="21"/>
                <w:highlight w:val="none"/>
              </w:rPr>
            </w:pPr>
            <w:r>
              <w:rPr>
                <w:rFonts w:hint="eastAsia"/>
                <w:bCs/>
                <w:szCs w:val="21"/>
                <w:highlight w:val="none"/>
              </w:rPr>
              <w:t>1、金额：壹拾叁万玖仟元整</w:t>
            </w:r>
          </w:p>
          <w:p w14:paraId="6DA03B60">
            <w:pPr>
              <w:adjustRightInd w:val="0"/>
              <w:snapToGrid w:val="0"/>
              <w:spacing w:line="380" w:lineRule="exact"/>
              <w:rPr>
                <w:rFonts w:hint="eastAsia"/>
                <w:bCs/>
                <w:szCs w:val="21"/>
                <w:highlight w:val="none"/>
              </w:rPr>
            </w:pPr>
            <w:r>
              <w:rPr>
                <w:rFonts w:hint="eastAsia"/>
                <w:bCs/>
                <w:szCs w:val="21"/>
                <w:highlight w:val="none"/>
              </w:rPr>
              <w:t>2、递交形式：投标人基本账户转账、电汇、支票、汇票、本票、保函等非现金形式；</w:t>
            </w:r>
          </w:p>
          <w:p w14:paraId="3712D5E6">
            <w:pPr>
              <w:adjustRightInd w:val="0"/>
              <w:snapToGrid w:val="0"/>
              <w:spacing w:line="380" w:lineRule="exact"/>
              <w:rPr>
                <w:rFonts w:hint="eastAsia"/>
                <w:bCs/>
                <w:szCs w:val="21"/>
                <w:highlight w:val="none"/>
              </w:rPr>
            </w:pPr>
            <w:r>
              <w:rPr>
                <w:rFonts w:hint="eastAsia"/>
                <w:bCs/>
                <w:szCs w:val="21"/>
                <w:highlight w:val="none"/>
              </w:rPr>
              <w:t>3、递交时间：在投标截止时间之前递交（以到账时间为准）；</w:t>
            </w:r>
          </w:p>
          <w:p w14:paraId="68A4B47D">
            <w:pPr>
              <w:adjustRightInd w:val="0"/>
              <w:snapToGrid w:val="0"/>
              <w:spacing w:line="380" w:lineRule="exact"/>
              <w:rPr>
                <w:rFonts w:hint="eastAsia"/>
                <w:bCs/>
                <w:szCs w:val="21"/>
                <w:highlight w:val="none"/>
              </w:rPr>
            </w:pPr>
            <w:r>
              <w:rPr>
                <w:rFonts w:hint="eastAsia"/>
                <w:bCs/>
                <w:szCs w:val="21"/>
                <w:highlight w:val="none"/>
              </w:rPr>
              <w:t>4、账户信息：</w:t>
            </w:r>
          </w:p>
          <w:p w14:paraId="11AD1ABF">
            <w:pPr>
              <w:adjustRightInd w:val="0"/>
              <w:snapToGrid w:val="0"/>
              <w:spacing w:line="380" w:lineRule="exact"/>
              <w:rPr>
                <w:rFonts w:hint="eastAsia"/>
                <w:bCs/>
                <w:szCs w:val="21"/>
                <w:highlight w:val="none"/>
              </w:rPr>
            </w:pPr>
            <w:r>
              <w:rPr>
                <w:rFonts w:hint="eastAsia"/>
                <w:bCs/>
                <w:szCs w:val="21"/>
                <w:highlight w:val="none"/>
              </w:rPr>
              <w:t>单位名称：华采招标集团有限公司新疆分公司</w:t>
            </w:r>
          </w:p>
          <w:p w14:paraId="38E7C41D">
            <w:pPr>
              <w:adjustRightInd w:val="0"/>
              <w:snapToGrid w:val="0"/>
              <w:spacing w:line="380" w:lineRule="exact"/>
              <w:rPr>
                <w:rFonts w:hint="eastAsia"/>
                <w:bCs/>
                <w:szCs w:val="21"/>
                <w:highlight w:val="none"/>
              </w:rPr>
            </w:pPr>
            <w:r>
              <w:rPr>
                <w:rFonts w:hint="eastAsia"/>
                <w:bCs/>
                <w:szCs w:val="21"/>
                <w:highlight w:val="none"/>
              </w:rPr>
              <w:t>开户行：乌鲁木齐银行天山区支行（注：此账户仅限交纳投标保证金使用）</w:t>
            </w:r>
          </w:p>
          <w:p w14:paraId="2E5B6540">
            <w:pPr>
              <w:adjustRightInd w:val="0"/>
              <w:snapToGrid w:val="0"/>
              <w:spacing w:line="380" w:lineRule="exact"/>
              <w:rPr>
                <w:rFonts w:hint="eastAsia"/>
                <w:bCs/>
                <w:szCs w:val="21"/>
                <w:highlight w:val="none"/>
              </w:rPr>
            </w:pPr>
            <w:r>
              <w:rPr>
                <w:rFonts w:hint="eastAsia"/>
                <w:bCs/>
                <w:szCs w:val="21"/>
                <w:highlight w:val="none"/>
              </w:rPr>
              <w:t>账号：0000   0200   7011   0083   9275   68</w:t>
            </w:r>
          </w:p>
          <w:p w14:paraId="0348247E">
            <w:pPr>
              <w:adjustRightInd w:val="0"/>
              <w:snapToGrid w:val="0"/>
              <w:spacing w:line="360" w:lineRule="exact"/>
              <w:rPr>
                <w:rFonts w:hint="eastAsia"/>
                <w:bCs/>
                <w:szCs w:val="21"/>
                <w:highlight w:val="none"/>
              </w:rPr>
            </w:pPr>
            <w:r>
              <w:rPr>
                <w:rFonts w:hint="eastAsia"/>
                <w:bCs/>
                <w:szCs w:val="21"/>
                <w:highlight w:val="none"/>
              </w:rPr>
              <w:t>行号：3138   8100   0027</w:t>
            </w:r>
          </w:p>
          <w:p w14:paraId="01AC99E5">
            <w:pPr>
              <w:adjustRightInd w:val="0"/>
              <w:snapToGrid w:val="0"/>
              <w:spacing w:line="380" w:lineRule="exact"/>
              <w:rPr>
                <w:rFonts w:hint="eastAsia"/>
                <w:bCs/>
                <w:szCs w:val="21"/>
                <w:highlight w:val="none"/>
              </w:rPr>
            </w:pPr>
            <w:r>
              <w:rPr>
                <w:rFonts w:hint="eastAsia"/>
                <w:bCs/>
                <w:szCs w:val="21"/>
                <w:highlight w:val="none"/>
              </w:rPr>
              <w:t>汇款时需备注：项目编号+包号（如有）</w:t>
            </w:r>
          </w:p>
          <w:p w14:paraId="5598886F">
            <w:pPr>
              <w:adjustRightInd w:val="0"/>
              <w:snapToGrid w:val="0"/>
              <w:spacing w:line="380" w:lineRule="exact"/>
              <w:rPr>
                <w:rFonts w:hint="eastAsia"/>
                <w:bCs/>
                <w:color w:val="000000"/>
                <w:szCs w:val="21"/>
                <w:highlight w:val="none"/>
              </w:rPr>
            </w:pPr>
            <w:r>
              <w:rPr>
                <w:rFonts w:hint="eastAsia"/>
                <w:bCs/>
                <w:szCs w:val="21"/>
                <w:highlight w:val="none"/>
              </w:rPr>
              <w:t>5、</w:t>
            </w:r>
            <w:r>
              <w:rPr>
                <w:highlight w:val="none"/>
              </w:rPr>
              <w:t>退还保证金须知：投标单位在招标结束且我单位已发布中标（成交）结果公告后，将银行开具的投标保证金汇款凭证及开户许可证电子版发送至我单位财务人员邮箱中，财务人员在收到此邮件后3个工作日进行投标保证金退还。</w:t>
            </w:r>
            <w:r>
              <w:rPr>
                <w:highlight w:val="none"/>
              </w:rPr>
              <w:br w:type="textWrapping"/>
            </w:r>
            <w:r>
              <w:rPr>
                <w:highlight w:val="none"/>
              </w:rPr>
              <w:t>邮箱：147315547@qq.com</w:t>
            </w:r>
            <w:r>
              <w:rPr>
                <w:highlight w:val="none"/>
              </w:rPr>
              <w:br w:type="textWrapping"/>
            </w:r>
            <w:r>
              <w:rPr>
                <w:highlight w:val="none"/>
              </w:rPr>
              <w:t>财务室电话：0991-8807396</w:t>
            </w:r>
            <w:r>
              <w:rPr>
                <w:highlight w:val="none"/>
              </w:rPr>
              <w:br w:type="textWrapping"/>
            </w:r>
            <w:r>
              <w:rPr>
                <w:highlight w:val="none"/>
              </w:rPr>
              <w:t>注：各投标人请务必在招标结束且我单位已发布中标（成交）结果公告后发送相关材料申请退还投标保证金，若因提前发送导致投标保证金在开标前退还的，视为无效投标人，因此产生的所有责任由投标单位自行承担。</w:t>
            </w:r>
          </w:p>
        </w:tc>
      </w:tr>
      <w:tr w14:paraId="07AF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2341" w:type="dxa"/>
            <w:vAlign w:val="center"/>
          </w:tcPr>
          <w:p w14:paraId="21DC9A94">
            <w:pPr>
              <w:adjustRightInd w:val="0"/>
              <w:snapToGrid w:val="0"/>
              <w:spacing w:line="380" w:lineRule="exact"/>
              <w:jc w:val="center"/>
              <w:rPr>
                <w:rFonts w:hint="eastAsia"/>
                <w:szCs w:val="21"/>
                <w:highlight w:val="none"/>
              </w:rPr>
            </w:pPr>
            <w:r>
              <w:rPr>
                <w:rFonts w:hint="eastAsia"/>
                <w:szCs w:val="21"/>
                <w:highlight w:val="none"/>
              </w:rPr>
              <w:t>第二章第18.1款</w:t>
            </w:r>
          </w:p>
        </w:tc>
        <w:tc>
          <w:tcPr>
            <w:tcW w:w="1918" w:type="dxa"/>
            <w:vAlign w:val="center"/>
          </w:tcPr>
          <w:p w14:paraId="2722D125">
            <w:pPr>
              <w:adjustRightInd w:val="0"/>
              <w:snapToGrid w:val="0"/>
              <w:spacing w:line="380" w:lineRule="exact"/>
              <w:rPr>
                <w:rFonts w:hint="eastAsia"/>
                <w:bCs/>
                <w:szCs w:val="21"/>
                <w:highlight w:val="none"/>
              </w:rPr>
            </w:pPr>
            <w:r>
              <w:rPr>
                <w:rFonts w:hint="eastAsia"/>
                <w:bCs/>
                <w:szCs w:val="21"/>
                <w:highlight w:val="none"/>
              </w:rPr>
              <w:t>投标文件有效期</w:t>
            </w:r>
          </w:p>
        </w:tc>
        <w:tc>
          <w:tcPr>
            <w:tcW w:w="5183" w:type="dxa"/>
            <w:vAlign w:val="center"/>
          </w:tcPr>
          <w:p w14:paraId="7DBE46D0">
            <w:pPr>
              <w:adjustRightInd w:val="0"/>
              <w:snapToGrid w:val="0"/>
              <w:spacing w:line="380" w:lineRule="exact"/>
              <w:rPr>
                <w:rFonts w:hint="eastAsia"/>
                <w:bCs/>
                <w:szCs w:val="21"/>
                <w:highlight w:val="none"/>
              </w:rPr>
            </w:pPr>
            <w:r>
              <w:rPr>
                <w:rFonts w:hint="eastAsia"/>
                <w:szCs w:val="21"/>
                <w:highlight w:val="none"/>
              </w:rPr>
              <w:t>60日历日</w:t>
            </w:r>
          </w:p>
        </w:tc>
      </w:tr>
      <w:tr w14:paraId="7E19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2341" w:type="dxa"/>
            <w:vAlign w:val="center"/>
          </w:tcPr>
          <w:p w14:paraId="76A50635">
            <w:pPr>
              <w:adjustRightInd w:val="0"/>
              <w:snapToGrid w:val="0"/>
              <w:spacing w:line="380" w:lineRule="exact"/>
              <w:jc w:val="center"/>
              <w:rPr>
                <w:rFonts w:hint="eastAsia"/>
                <w:szCs w:val="21"/>
                <w:highlight w:val="none"/>
              </w:rPr>
            </w:pPr>
            <w:r>
              <w:rPr>
                <w:rFonts w:hint="eastAsia"/>
                <w:szCs w:val="21"/>
                <w:highlight w:val="none"/>
              </w:rPr>
              <w:t>第二章第19.1款</w:t>
            </w:r>
          </w:p>
        </w:tc>
        <w:tc>
          <w:tcPr>
            <w:tcW w:w="1918" w:type="dxa"/>
            <w:vAlign w:val="center"/>
          </w:tcPr>
          <w:p w14:paraId="33EC07DB">
            <w:pPr>
              <w:adjustRightInd w:val="0"/>
              <w:snapToGrid w:val="0"/>
              <w:spacing w:line="360" w:lineRule="exact"/>
              <w:rPr>
                <w:rFonts w:hint="eastAsia"/>
                <w:szCs w:val="21"/>
                <w:highlight w:val="none"/>
              </w:rPr>
            </w:pPr>
            <w:r>
              <w:rPr>
                <w:rFonts w:hint="eastAsia"/>
                <w:bCs/>
                <w:szCs w:val="21"/>
                <w:highlight w:val="none"/>
              </w:rPr>
              <w:t>响应文件</w:t>
            </w:r>
            <w:r>
              <w:rPr>
                <w:rFonts w:hint="eastAsia"/>
                <w:szCs w:val="21"/>
                <w:highlight w:val="none"/>
              </w:rPr>
              <w:t>份数</w:t>
            </w:r>
          </w:p>
        </w:tc>
        <w:tc>
          <w:tcPr>
            <w:tcW w:w="5183" w:type="dxa"/>
            <w:vAlign w:val="center"/>
          </w:tcPr>
          <w:p w14:paraId="00F625EB">
            <w:pPr>
              <w:adjustRightInd w:val="0"/>
              <w:snapToGrid w:val="0"/>
              <w:spacing w:line="360" w:lineRule="exact"/>
              <w:rPr>
                <w:rFonts w:hint="eastAsia"/>
                <w:szCs w:val="21"/>
                <w:highlight w:val="none"/>
              </w:rPr>
            </w:pPr>
            <w:r>
              <w:rPr>
                <w:rFonts w:hint="eastAsia"/>
                <w:szCs w:val="21"/>
                <w:highlight w:val="none"/>
              </w:rPr>
              <w:t>加密的电子响应文件壹份(.jmbs格式)在政采云平台指定位置上传</w:t>
            </w:r>
          </w:p>
        </w:tc>
      </w:tr>
      <w:tr w14:paraId="7DF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 w:hRule="atLeast"/>
          <w:jc w:val="center"/>
        </w:trPr>
        <w:tc>
          <w:tcPr>
            <w:tcW w:w="9442" w:type="dxa"/>
            <w:gridSpan w:val="3"/>
            <w:vAlign w:val="center"/>
          </w:tcPr>
          <w:p w14:paraId="2CE59104">
            <w:pPr>
              <w:adjustRightInd w:val="0"/>
              <w:snapToGrid w:val="0"/>
              <w:spacing w:line="380" w:lineRule="exact"/>
              <w:rPr>
                <w:rFonts w:hint="eastAsia"/>
                <w:b/>
                <w:bCs/>
                <w:szCs w:val="21"/>
                <w:highlight w:val="none"/>
              </w:rPr>
            </w:pPr>
            <w:r>
              <w:rPr>
                <w:rFonts w:hint="eastAsia"/>
                <w:b/>
                <w:szCs w:val="21"/>
                <w:highlight w:val="none"/>
              </w:rPr>
              <w:t>四、投标文件的递交</w:t>
            </w:r>
          </w:p>
        </w:tc>
      </w:tr>
      <w:tr w14:paraId="5062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2341" w:type="dxa"/>
            <w:vAlign w:val="center"/>
          </w:tcPr>
          <w:p w14:paraId="587E38BF">
            <w:pPr>
              <w:adjustRightInd w:val="0"/>
              <w:snapToGrid w:val="0"/>
              <w:spacing w:line="380" w:lineRule="exact"/>
              <w:jc w:val="center"/>
              <w:rPr>
                <w:rFonts w:hint="eastAsia"/>
                <w:szCs w:val="21"/>
                <w:highlight w:val="none"/>
              </w:rPr>
            </w:pPr>
            <w:r>
              <w:rPr>
                <w:rFonts w:hint="eastAsia"/>
                <w:szCs w:val="21"/>
                <w:highlight w:val="none"/>
              </w:rPr>
              <w:t>第二章第20.2款</w:t>
            </w:r>
          </w:p>
        </w:tc>
        <w:tc>
          <w:tcPr>
            <w:tcW w:w="1918" w:type="dxa"/>
            <w:vAlign w:val="center"/>
          </w:tcPr>
          <w:p w14:paraId="7D53D737">
            <w:pPr>
              <w:adjustRightInd w:val="0"/>
              <w:snapToGrid w:val="0"/>
              <w:spacing w:line="380" w:lineRule="exact"/>
              <w:rPr>
                <w:rFonts w:hint="eastAsia"/>
                <w:szCs w:val="21"/>
                <w:highlight w:val="none"/>
              </w:rPr>
            </w:pPr>
            <w:r>
              <w:rPr>
                <w:rFonts w:hint="eastAsia"/>
                <w:szCs w:val="21"/>
                <w:highlight w:val="none"/>
              </w:rPr>
              <w:t>封套上应载明的信息</w:t>
            </w:r>
          </w:p>
        </w:tc>
        <w:tc>
          <w:tcPr>
            <w:tcW w:w="5183" w:type="dxa"/>
            <w:vAlign w:val="center"/>
          </w:tcPr>
          <w:p w14:paraId="14746566">
            <w:pPr>
              <w:adjustRightInd w:val="0"/>
              <w:snapToGrid w:val="0"/>
              <w:spacing w:line="380" w:lineRule="exact"/>
              <w:rPr>
                <w:rFonts w:hint="eastAsia"/>
                <w:szCs w:val="21"/>
                <w:highlight w:val="none"/>
              </w:rPr>
            </w:pPr>
            <w:r>
              <w:rPr>
                <w:bCs/>
                <w:szCs w:val="21"/>
                <w:highlight w:val="none"/>
              </w:rPr>
              <w:t>/</w:t>
            </w:r>
          </w:p>
        </w:tc>
      </w:tr>
      <w:tr w14:paraId="71E4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76F271B1">
            <w:pPr>
              <w:adjustRightInd w:val="0"/>
              <w:snapToGrid w:val="0"/>
              <w:spacing w:line="380" w:lineRule="exact"/>
              <w:jc w:val="center"/>
              <w:rPr>
                <w:rFonts w:hint="eastAsia"/>
                <w:color w:val="000000"/>
                <w:szCs w:val="21"/>
                <w:highlight w:val="none"/>
              </w:rPr>
            </w:pPr>
            <w:r>
              <w:rPr>
                <w:rFonts w:hint="eastAsia"/>
                <w:color w:val="000000"/>
                <w:szCs w:val="21"/>
                <w:highlight w:val="none"/>
              </w:rPr>
              <w:t>第二章第22.1款</w:t>
            </w:r>
          </w:p>
        </w:tc>
        <w:tc>
          <w:tcPr>
            <w:tcW w:w="1918" w:type="dxa"/>
            <w:vAlign w:val="center"/>
          </w:tcPr>
          <w:p w14:paraId="4E00965A">
            <w:pPr>
              <w:adjustRightInd w:val="0"/>
              <w:snapToGrid w:val="0"/>
              <w:spacing w:line="380" w:lineRule="exact"/>
              <w:rPr>
                <w:rFonts w:hint="eastAsia"/>
                <w:color w:val="000000"/>
                <w:szCs w:val="21"/>
                <w:highlight w:val="none"/>
              </w:rPr>
            </w:pPr>
            <w:r>
              <w:rPr>
                <w:rFonts w:hint="eastAsia"/>
                <w:color w:val="000000"/>
                <w:szCs w:val="21"/>
                <w:highlight w:val="none"/>
              </w:rPr>
              <w:t>投标文件的递交地点</w:t>
            </w:r>
          </w:p>
        </w:tc>
        <w:tc>
          <w:tcPr>
            <w:tcW w:w="5183" w:type="dxa"/>
            <w:vAlign w:val="center"/>
          </w:tcPr>
          <w:p w14:paraId="0794C8B3">
            <w:pPr>
              <w:adjustRightInd w:val="0"/>
              <w:snapToGrid w:val="0"/>
              <w:spacing w:line="380" w:lineRule="exact"/>
              <w:rPr>
                <w:rFonts w:hint="eastAsia"/>
                <w:color w:val="000000"/>
                <w:szCs w:val="21"/>
                <w:highlight w:val="none"/>
              </w:rPr>
            </w:pPr>
            <w:r>
              <w:rPr>
                <w:rFonts w:hint="eastAsia"/>
                <w:highlight w:val="none"/>
              </w:rPr>
              <w:t>政采云平台http://www.zcygov.cn/</w:t>
            </w:r>
          </w:p>
        </w:tc>
      </w:tr>
      <w:tr w14:paraId="51F1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9442" w:type="dxa"/>
            <w:gridSpan w:val="3"/>
            <w:vAlign w:val="center"/>
          </w:tcPr>
          <w:p w14:paraId="5A5A36B7">
            <w:pPr>
              <w:adjustRightInd w:val="0"/>
              <w:snapToGrid w:val="0"/>
              <w:spacing w:line="380" w:lineRule="exact"/>
              <w:rPr>
                <w:rFonts w:hint="eastAsia"/>
                <w:szCs w:val="21"/>
                <w:highlight w:val="none"/>
              </w:rPr>
            </w:pPr>
            <w:r>
              <w:rPr>
                <w:rFonts w:hint="eastAsia"/>
                <w:b/>
                <w:szCs w:val="21"/>
                <w:highlight w:val="none"/>
              </w:rPr>
              <w:t>五、开标和评标</w:t>
            </w:r>
          </w:p>
        </w:tc>
      </w:tr>
      <w:tr w14:paraId="4F30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48B6E51D">
            <w:pPr>
              <w:adjustRightInd w:val="0"/>
              <w:snapToGrid w:val="0"/>
              <w:spacing w:line="380" w:lineRule="exact"/>
              <w:jc w:val="center"/>
              <w:rPr>
                <w:rFonts w:hint="eastAsia"/>
                <w:szCs w:val="21"/>
                <w:highlight w:val="none"/>
              </w:rPr>
            </w:pPr>
            <w:r>
              <w:rPr>
                <w:rFonts w:hint="eastAsia"/>
                <w:szCs w:val="21"/>
                <w:highlight w:val="none"/>
              </w:rPr>
              <w:t>第二章第25.1款</w:t>
            </w:r>
          </w:p>
        </w:tc>
        <w:tc>
          <w:tcPr>
            <w:tcW w:w="1918" w:type="dxa"/>
            <w:vAlign w:val="center"/>
          </w:tcPr>
          <w:p w14:paraId="2B807283">
            <w:pPr>
              <w:adjustRightInd w:val="0"/>
              <w:snapToGrid w:val="0"/>
              <w:spacing w:line="380" w:lineRule="exact"/>
              <w:rPr>
                <w:rFonts w:hint="eastAsia"/>
                <w:szCs w:val="21"/>
                <w:highlight w:val="none"/>
              </w:rPr>
            </w:pPr>
            <w:r>
              <w:rPr>
                <w:rFonts w:hint="eastAsia"/>
                <w:szCs w:val="21"/>
                <w:highlight w:val="none"/>
              </w:rPr>
              <w:t>评标办法</w:t>
            </w:r>
          </w:p>
        </w:tc>
        <w:tc>
          <w:tcPr>
            <w:tcW w:w="5183" w:type="dxa"/>
            <w:vAlign w:val="center"/>
          </w:tcPr>
          <w:p w14:paraId="79B5D16B">
            <w:pPr>
              <w:adjustRightInd w:val="0"/>
              <w:snapToGrid w:val="0"/>
              <w:spacing w:line="380" w:lineRule="exact"/>
              <w:rPr>
                <w:rFonts w:hint="eastAsia"/>
                <w:szCs w:val="21"/>
                <w:highlight w:val="none"/>
              </w:rPr>
            </w:pPr>
            <w:r>
              <w:rPr>
                <w:rFonts w:hint="eastAsia"/>
                <w:szCs w:val="21"/>
                <w:highlight w:val="none"/>
              </w:rPr>
              <w:t>综合评分法</w:t>
            </w:r>
          </w:p>
        </w:tc>
      </w:tr>
      <w:tr w14:paraId="7EA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7FA97581">
            <w:pPr>
              <w:adjustRightInd w:val="0"/>
              <w:snapToGrid w:val="0"/>
              <w:spacing w:line="380" w:lineRule="exact"/>
              <w:jc w:val="center"/>
              <w:rPr>
                <w:rFonts w:hint="eastAsia"/>
                <w:szCs w:val="21"/>
                <w:highlight w:val="none"/>
              </w:rPr>
            </w:pPr>
            <w:r>
              <w:rPr>
                <w:rFonts w:hint="eastAsia"/>
                <w:szCs w:val="21"/>
                <w:highlight w:val="none"/>
              </w:rPr>
              <w:t>第二章第26.3款</w:t>
            </w:r>
          </w:p>
        </w:tc>
        <w:tc>
          <w:tcPr>
            <w:tcW w:w="1918" w:type="dxa"/>
            <w:vAlign w:val="center"/>
          </w:tcPr>
          <w:p w14:paraId="230DE07C">
            <w:pPr>
              <w:adjustRightInd w:val="0"/>
              <w:snapToGrid w:val="0"/>
              <w:spacing w:line="380" w:lineRule="exact"/>
              <w:rPr>
                <w:rFonts w:hint="eastAsia"/>
                <w:szCs w:val="21"/>
                <w:highlight w:val="none"/>
              </w:rPr>
            </w:pPr>
            <w:r>
              <w:rPr>
                <w:rFonts w:hint="eastAsia"/>
                <w:szCs w:val="21"/>
                <w:highlight w:val="none"/>
              </w:rPr>
              <w:t>推荐的中标候选人数量</w:t>
            </w:r>
          </w:p>
        </w:tc>
        <w:tc>
          <w:tcPr>
            <w:tcW w:w="5183" w:type="dxa"/>
            <w:vAlign w:val="center"/>
          </w:tcPr>
          <w:p w14:paraId="6669AA05">
            <w:pPr>
              <w:adjustRightInd w:val="0"/>
              <w:snapToGrid w:val="0"/>
              <w:spacing w:line="380" w:lineRule="exact"/>
              <w:rPr>
                <w:rFonts w:hint="eastAsia"/>
                <w:szCs w:val="21"/>
                <w:highlight w:val="none"/>
              </w:rPr>
            </w:pPr>
            <w:r>
              <w:rPr>
                <w:rFonts w:hint="eastAsia"/>
                <w:szCs w:val="21"/>
                <w:highlight w:val="none"/>
              </w:rPr>
              <w:t>3</w:t>
            </w:r>
          </w:p>
        </w:tc>
      </w:tr>
      <w:tr w14:paraId="524E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442" w:type="dxa"/>
            <w:gridSpan w:val="3"/>
            <w:vAlign w:val="center"/>
          </w:tcPr>
          <w:p w14:paraId="37AF11E6">
            <w:pPr>
              <w:adjustRightInd w:val="0"/>
              <w:snapToGrid w:val="0"/>
              <w:spacing w:line="380" w:lineRule="exact"/>
              <w:rPr>
                <w:rFonts w:hint="eastAsia"/>
                <w:szCs w:val="21"/>
                <w:highlight w:val="none"/>
              </w:rPr>
            </w:pPr>
            <w:r>
              <w:rPr>
                <w:rFonts w:hint="eastAsia"/>
                <w:b/>
                <w:szCs w:val="21"/>
                <w:highlight w:val="none"/>
              </w:rPr>
              <w:t>六、中标结果信息公布与投标人质疑</w:t>
            </w:r>
          </w:p>
        </w:tc>
      </w:tr>
      <w:tr w14:paraId="7876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41" w:type="dxa"/>
            <w:vAlign w:val="center"/>
          </w:tcPr>
          <w:p w14:paraId="27B88159">
            <w:pPr>
              <w:adjustRightInd w:val="0"/>
              <w:snapToGrid w:val="0"/>
              <w:spacing w:line="380" w:lineRule="exact"/>
              <w:jc w:val="center"/>
              <w:rPr>
                <w:rFonts w:hint="eastAsia"/>
                <w:szCs w:val="21"/>
                <w:highlight w:val="none"/>
              </w:rPr>
            </w:pPr>
            <w:r>
              <w:rPr>
                <w:rFonts w:hint="eastAsia"/>
                <w:szCs w:val="21"/>
                <w:highlight w:val="none"/>
              </w:rPr>
              <w:t>第二章第30.1款</w:t>
            </w:r>
          </w:p>
        </w:tc>
        <w:tc>
          <w:tcPr>
            <w:tcW w:w="1918" w:type="dxa"/>
            <w:vAlign w:val="center"/>
          </w:tcPr>
          <w:p w14:paraId="6C470514">
            <w:pPr>
              <w:adjustRightInd w:val="0"/>
              <w:snapToGrid w:val="0"/>
              <w:spacing w:line="380" w:lineRule="exact"/>
              <w:rPr>
                <w:rFonts w:hint="eastAsia"/>
                <w:szCs w:val="21"/>
                <w:highlight w:val="none"/>
              </w:rPr>
            </w:pPr>
            <w:r>
              <w:rPr>
                <w:rFonts w:hint="eastAsia"/>
                <w:szCs w:val="21"/>
                <w:highlight w:val="none"/>
              </w:rPr>
              <w:t>财政部门指定的媒体</w:t>
            </w:r>
          </w:p>
        </w:tc>
        <w:tc>
          <w:tcPr>
            <w:tcW w:w="5183" w:type="dxa"/>
            <w:vAlign w:val="center"/>
          </w:tcPr>
          <w:p w14:paraId="7B9AB09F">
            <w:pPr>
              <w:adjustRightInd w:val="0"/>
              <w:snapToGrid w:val="0"/>
              <w:spacing w:line="380" w:lineRule="exact"/>
              <w:jc w:val="left"/>
              <w:rPr>
                <w:rFonts w:hint="eastAsia" w:cs="宋体"/>
                <w:kern w:val="0"/>
                <w:szCs w:val="21"/>
                <w:highlight w:val="none"/>
              </w:rPr>
            </w:pPr>
            <w:r>
              <w:rPr>
                <w:rFonts w:hint="eastAsia" w:cs="宋体"/>
                <w:kern w:val="0"/>
                <w:szCs w:val="21"/>
                <w:highlight w:val="none"/>
              </w:rPr>
              <w:t>新疆维吾尔自治区政府采购网</w:t>
            </w:r>
          </w:p>
        </w:tc>
      </w:tr>
      <w:tr w14:paraId="7369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2341" w:type="dxa"/>
            <w:vAlign w:val="center"/>
          </w:tcPr>
          <w:p w14:paraId="7CF2C760">
            <w:pPr>
              <w:adjustRightInd w:val="0"/>
              <w:snapToGrid w:val="0"/>
              <w:spacing w:line="380" w:lineRule="exact"/>
              <w:jc w:val="center"/>
              <w:rPr>
                <w:rFonts w:hint="eastAsia"/>
                <w:szCs w:val="21"/>
                <w:highlight w:val="none"/>
              </w:rPr>
            </w:pPr>
            <w:r>
              <w:rPr>
                <w:rFonts w:hint="eastAsia"/>
                <w:szCs w:val="21"/>
                <w:highlight w:val="none"/>
              </w:rPr>
              <w:t>第二章第32.3款</w:t>
            </w:r>
          </w:p>
        </w:tc>
        <w:tc>
          <w:tcPr>
            <w:tcW w:w="1918" w:type="dxa"/>
            <w:vAlign w:val="center"/>
          </w:tcPr>
          <w:p w14:paraId="08D79B80">
            <w:pPr>
              <w:adjustRightInd w:val="0"/>
              <w:snapToGrid w:val="0"/>
              <w:spacing w:line="380" w:lineRule="exact"/>
              <w:rPr>
                <w:rFonts w:hint="eastAsia"/>
                <w:szCs w:val="21"/>
                <w:highlight w:val="none"/>
              </w:rPr>
            </w:pPr>
            <w:r>
              <w:rPr>
                <w:rFonts w:hint="eastAsia"/>
                <w:szCs w:val="21"/>
                <w:highlight w:val="none"/>
              </w:rPr>
              <w:t>履约担保</w:t>
            </w:r>
          </w:p>
        </w:tc>
        <w:tc>
          <w:tcPr>
            <w:tcW w:w="5183" w:type="dxa"/>
            <w:vAlign w:val="center"/>
          </w:tcPr>
          <w:p w14:paraId="0D322ED0">
            <w:pPr>
              <w:adjustRightInd w:val="0"/>
              <w:snapToGrid w:val="0"/>
              <w:spacing w:line="380" w:lineRule="exact"/>
              <w:jc w:val="left"/>
              <w:rPr>
                <w:rFonts w:hint="eastAsia"/>
                <w:szCs w:val="21"/>
                <w:highlight w:val="none"/>
              </w:rPr>
            </w:pPr>
            <w:r>
              <w:rPr>
                <w:rFonts w:hint="eastAsia"/>
                <w:szCs w:val="21"/>
                <w:highlight w:val="none"/>
              </w:rPr>
              <w:t>履约保证金金额：中标价10%</w:t>
            </w:r>
          </w:p>
          <w:p w14:paraId="68F544F3">
            <w:pPr>
              <w:adjustRightInd w:val="0"/>
              <w:snapToGrid w:val="0"/>
              <w:spacing w:line="380" w:lineRule="exact"/>
              <w:jc w:val="left"/>
              <w:rPr>
                <w:rFonts w:hint="eastAsia"/>
                <w:szCs w:val="21"/>
                <w:highlight w:val="none"/>
              </w:rPr>
            </w:pPr>
            <w:r>
              <w:rPr>
                <w:rFonts w:hint="eastAsia"/>
                <w:szCs w:val="21"/>
                <w:highlight w:val="none"/>
              </w:rPr>
              <w:t>履约保证金递交：验收合格后中标人须向采购人缴纳</w:t>
            </w:r>
          </w:p>
          <w:p w14:paraId="3CDE45A2">
            <w:pPr>
              <w:adjustRightInd w:val="0"/>
              <w:snapToGrid w:val="0"/>
              <w:spacing w:line="380" w:lineRule="exact"/>
              <w:jc w:val="left"/>
              <w:rPr>
                <w:rFonts w:hint="eastAsia"/>
                <w:szCs w:val="21"/>
                <w:highlight w:val="none"/>
              </w:rPr>
            </w:pPr>
            <w:r>
              <w:rPr>
                <w:rFonts w:hint="eastAsia"/>
                <w:szCs w:val="21"/>
                <w:highlight w:val="none"/>
              </w:rPr>
              <w:t>履约保证金形式：支票、汇票、本票、保函等非现金形式。</w:t>
            </w:r>
          </w:p>
        </w:tc>
      </w:tr>
      <w:tr w14:paraId="636F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 w:hRule="atLeast"/>
          <w:jc w:val="center"/>
        </w:trPr>
        <w:tc>
          <w:tcPr>
            <w:tcW w:w="9442" w:type="dxa"/>
            <w:gridSpan w:val="3"/>
            <w:vAlign w:val="center"/>
          </w:tcPr>
          <w:p w14:paraId="2937F999">
            <w:pPr>
              <w:adjustRightInd w:val="0"/>
              <w:snapToGrid w:val="0"/>
              <w:spacing w:line="380" w:lineRule="exact"/>
              <w:rPr>
                <w:rFonts w:hint="eastAsia"/>
                <w:b/>
                <w:szCs w:val="21"/>
                <w:highlight w:val="none"/>
              </w:rPr>
            </w:pPr>
            <w:r>
              <w:rPr>
                <w:rFonts w:hint="eastAsia"/>
                <w:b/>
                <w:szCs w:val="21"/>
                <w:highlight w:val="none"/>
              </w:rPr>
              <w:t>七、其他规定</w:t>
            </w:r>
          </w:p>
        </w:tc>
      </w:tr>
      <w:tr w14:paraId="0E2D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341" w:type="dxa"/>
            <w:vAlign w:val="center"/>
          </w:tcPr>
          <w:p w14:paraId="3A09B3F7">
            <w:pPr>
              <w:adjustRightInd w:val="0"/>
              <w:snapToGrid w:val="0"/>
              <w:spacing w:line="380" w:lineRule="exact"/>
              <w:jc w:val="center"/>
              <w:rPr>
                <w:rFonts w:hint="eastAsia"/>
                <w:szCs w:val="21"/>
                <w:highlight w:val="none"/>
              </w:rPr>
            </w:pPr>
            <w:r>
              <w:rPr>
                <w:rFonts w:hint="eastAsia"/>
                <w:szCs w:val="21"/>
                <w:highlight w:val="none"/>
              </w:rPr>
              <w:t>第二章第34.1款</w:t>
            </w:r>
          </w:p>
        </w:tc>
        <w:tc>
          <w:tcPr>
            <w:tcW w:w="1918" w:type="dxa"/>
            <w:vAlign w:val="center"/>
          </w:tcPr>
          <w:p w14:paraId="2149CEB1">
            <w:pPr>
              <w:adjustRightInd w:val="0"/>
              <w:snapToGrid w:val="0"/>
              <w:spacing w:line="380" w:lineRule="exact"/>
              <w:rPr>
                <w:rFonts w:hint="eastAsia"/>
                <w:szCs w:val="21"/>
                <w:highlight w:val="none"/>
              </w:rPr>
            </w:pPr>
            <w:r>
              <w:rPr>
                <w:rFonts w:hint="eastAsia"/>
                <w:szCs w:val="21"/>
                <w:highlight w:val="none"/>
              </w:rPr>
              <w:t>招标代理服务费</w:t>
            </w:r>
          </w:p>
        </w:tc>
        <w:tc>
          <w:tcPr>
            <w:tcW w:w="5183" w:type="dxa"/>
            <w:vAlign w:val="center"/>
          </w:tcPr>
          <w:p w14:paraId="278B2C7A">
            <w:pPr>
              <w:adjustRightInd w:val="0"/>
              <w:snapToGrid w:val="0"/>
              <w:spacing w:line="380" w:lineRule="exact"/>
              <w:rPr>
                <w:rFonts w:hint="eastAsia"/>
                <w:szCs w:val="21"/>
                <w:highlight w:val="none"/>
              </w:rPr>
            </w:pPr>
            <w:r>
              <w:rPr>
                <w:rFonts w:hint="eastAsia"/>
                <w:szCs w:val="21"/>
                <w:highlight w:val="none"/>
              </w:rPr>
              <w:t>成交人供应商须向招标代理机构按如下标准和规定交纳代理服务费。</w:t>
            </w:r>
          </w:p>
          <w:p w14:paraId="2136056F">
            <w:pPr>
              <w:adjustRightInd w:val="0"/>
              <w:snapToGrid w:val="0"/>
              <w:spacing w:line="380" w:lineRule="exact"/>
              <w:rPr>
                <w:rFonts w:hint="eastAsia"/>
                <w:szCs w:val="21"/>
                <w:highlight w:val="none"/>
              </w:rPr>
            </w:pPr>
            <w:r>
              <w:rPr>
                <w:rFonts w:hint="eastAsia"/>
                <w:szCs w:val="21"/>
                <w:highlight w:val="none"/>
              </w:rPr>
              <w:t>（1）招标代理机构按计价格[2002]1980号文、发改办价格[2003]857号文及发改价格[2011]534号文有关规定下浮50%向成交供应商收取代理服务费用。</w:t>
            </w:r>
          </w:p>
          <w:p w14:paraId="307B473F">
            <w:pPr>
              <w:adjustRightInd w:val="0"/>
              <w:snapToGrid w:val="0"/>
              <w:spacing w:line="380" w:lineRule="exact"/>
              <w:rPr>
                <w:rFonts w:hint="eastAsia"/>
                <w:szCs w:val="21"/>
                <w:highlight w:val="none"/>
              </w:rPr>
            </w:pPr>
            <w:r>
              <w:rPr>
                <w:rFonts w:hint="eastAsia"/>
                <w:szCs w:val="21"/>
                <w:highlight w:val="none"/>
              </w:rPr>
              <w:t>（2）代理服务费币种与成交签订合同的币种相同或招标机构同意的币种</w:t>
            </w:r>
          </w:p>
          <w:p w14:paraId="04690026">
            <w:pPr>
              <w:adjustRightInd w:val="0"/>
              <w:snapToGrid w:val="0"/>
              <w:spacing w:line="380" w:lineRule="exact"/>
              <w:rPr>
                <w:rFonts w:hint="eastAsia"/>
                <w:szCs w:val="21"/>
                <w:highlight w:val="none"/>
              </w:rPr>
            </w:pPr>
            <w:r>
              <w:rPr>
                <w:rFonts w:hint="eastAsia"/>
                <w:szCs w:val="21"/>
                <w:highlight w:val="none"/>
              </w:rPr>
              <w:t>（3）代理服务费的交纳方式：</w:t>
            </w:r>
          </w:p>
          <w:p w14:paraId="4B37777D">
            <w:pPr>
              <w:adjustRightInd w:val="0"/>
              <w:snapToGrid w:val="0"/>
              <w:spacing w:line="380" w:lineRule="exact"/>
              <w:rPr>
                <w:rFonts w:hint="eastAsia"/>
                <w:szCs w:val="21"/>
                <w:highlight w:val="none"/>
              </w:rPr>
            </w:pPr>
            <w:r>
              <w:rPr>
                <w:rFonts w:hint="eastAsia"/>
                <w:szCs w:val="21"/>
                <w:highlight w:val="none"/>
              </w:rPr>
              <w:t>成交供应商在领取成交通知书时一次向招标代理机构交纳所有代理服务费。</w:t>
            </w:r>
          </w:p>
          <w:p w14:paraId="29EFCD67">
            <w:pPr>
              <w:adjustRightInd w:val="0"/>
              <w:snapToGrid w:val="0"/>
              <w:spacing w:line="380" w:lineRule="exact"/>
              <w:rPr>
                <w:rFonts w:hint="eastAsia"/>
                <w:szCs w:val="21"/>
                <w:highlight w:val="none"/>
              </w:rPr>
            </w:pPr>
            <w:r>
              <w:rPr>
                <w:rFonts w:hint="eastAsia"/>
                <w:szCs w:val="21"/>
                <w:highlight w:val="none"/>
              </w:rPr>
              <w:t>代理服务费支付形式：单位账户转账或电汇</w:t>
            </w:r>
          </w:p>
          <w:p w14:paraId="6FA7BDD5">
            <w:pPr>
              <w:adjustRightInd w:val="0"/>
              <w:snapToGrid w:val="0"/>
              <w:spacing w:line="380" w:lineRule="exact"/>
              <w:rPr>
                <w:rFonts w:hint="eastAsia"/>
                <w:szCs w:val="21"/>
                <w:highlight w:val="none"/>
              </w:rPr>
            </w:pPr>
            <w:r>
              <w:rPr>
                <w:rFonts w:hint="eastAsia"/>
                <w:szCs w:val="21"/>
                <w:highlight w:val="none"/>
              </w:rPr>
              <w:t>代理服务费账户（仅接受代理服务费）</w:t>
            </w:r>
          </w:p>
          <w:p w14:paraId="112A9748">
            <w:pPr>
              <w:adjustRightInd w:val="0"/>
              <w:snapToGrid w:val="0"/>
              <w:spacing w:line="380" w:lineRule="exact"/>
              <w:rPr>
                <w:rFonts w:hint="eastAsia"/>
                <w:szCs w:val="21"/>
                <w:highlight w:val="none"/>
              </w:rPr>
            </w:pPr>
            <w:r>
              <w:rPr>
                <w:rFonts w:hint="eastAsia"/>
                <w:szCs w:val="21"/>
                <w:highlight w:val="none"/>
              </w:rPr>
              <w:t>开户行名称：华采招标集团有限公司新疆分公司</w:t>
            </w:r>
          </w:p>
          <w:p w14:paraId="29FA6539">
            <w:pPr>
              <w:adjustRightInd w:val="0"/>
              <w:snapToGrid w:val="0"/>
              <w:spacing w:line="380" w:lineRule="exact"/>
              <w:rPr>
                <w:rFonts w:hint="eastAsia"/>
                <w:szCs w:val="21"/>
                <w:highlight w:val="none"/>
              </w:rPr>
            </w:pPr>
            <w:r>
              <w:rPr>
                <w:rFonts w:hint="eastAsia"/>
                <w:szCs w:val="21"/>
                <w:highlight w:val="none"/>
              </w:rPr>
              <w:t>开户行：中国建设银行股份有限公司乌鲁木齐阿勒泰路南支行</w:t>
            </w:r>
          </w:p>
          <w:p w14:paraId="0609FACD">
            <w:pPr>
              <w:adjustRightInd w:val="0"/>
              <w:snapToGrid w:val="0"/>
              <w:spacing w:line="380" w:lineRule="exact"/>
              <w:rPr>
                <w:rFonts w:hint="eastAsia"/>
                <w:szCs w:val="21"/>
                <w:highlight w:val="none"/>
              </w:rPr>
            </w:pPr>
            <w:r>
              <w:rPr>
                <w:rFonts w:hint="eastAsia"/>
                <w:szCs w:val="21"/>
                <w:highlight w:val="none"/>
              </w:rPr>
              <w:t>账号：6505  0161  6337  0000  0129</w:t>
            </w:r>
          </w:p>
          <w:p w14:paraId="47E73BB3">
            <w:pPr>
              <w:adjustRightInd w:val="0"/>
              <w:snapToGrid w:val="0"/>
              <w:spacing w:line="380" w:lineRule="exact"/>
              <w:rPr>
                <w:rFonts w:hint="eastAsia"/>
                <w:szCs w:val="21"/>
                <w:highlight w:val="none"/>
              </w:rPr>
            </w:pPr>
            <w:r>
              <w:rPr>
                <w:rFonts w:hint="eastAsia"/>
                <w:szCs w:val="21"/>
                <w:highlight w:val="none"/>
              </w:rPr>
              <w:t>行号：1058  8100  0366</w:t>
            </w:r>
          </w:p>
          <w:p w14:paraId="0CEA28D5">
            <w:pPr>
              <w:adjustRightInd w:val="0"/>
              <w:snapToGrid w:val="0"/>
              <w:spacing w:line="380" w:lineRule="exact"/>
              <w:rPr>
                <w:rFonts w:hint="eastAsia"/>
                <w:szCs w:val="21"/>
                <w:highlight w:val="none"/>
              </w:rPr>
            </w:pPr>
            <w:r>
              <w:rPr>
                <w:rFonts w:hint="eastAsia"/>
                <w:szCs w:val="21"/>
                <w:highlight w:val="none"/>
              </w:rPr>
              <w:t>汇款时需备注：项目编号+包号（如有）</w:t>
            </w:r>
          </w:p>
        </w:tc>
      </w:tr>
      <w:tr w14:paraId="61A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4259" w:type="dxa"/>
            <w:gridSpan w:val="2"/>
            <w:vAlign w:val="center"/>
          </w:tcPr>
          <w:p w14:paraId="766EE343">
            <w:pPr>
              <w:adjustRightInd w:val="0"/>
              <w:snapToGrid w:val="0"/>
              <w:spacing w:line="380" w:lineRule="exact"/>
              <w:jc w:val="center"/>
              <w:rPr>
                <w:rFonts w:hint="eastAsia"/>
                <w:szCs w:val="21"/>
                <w:highlight w:val="none"/>
              </w:rPr>
            </w:pPr>
            <w:r>
              <w:rPr>
                <w:rFonts w:hint="eastAsia"/>
                <w:szCs w:val="21"/>
                <w:highlight w:val="none"/>
              </w:rPr>
              <w:t>电子招投标注意事项</w:t>
            </w:r>
          </w:p>
        </w:tc>
        <w:tc>
          <w:tcPr>
            <w:tcW w:w="5183" w:type="dxa"/>
            <w:vAlign w:val="center"/>
          </w:tcPr>
          <w:p w14:paraId="17116A04">
            <w:pPr>
              <w:adjustRightInd w:val="0"/>
              <w:snapToGrid w:val="0"/>
              <w:spacing w:line="400" w:lineRule="exact"/>
              <w:jc w:val="left"/>
              <w:rPr>
                <w:rFonts w:hint="eastAsia"/>
                <w:szCs w:val="21"/>
                <w:highlight w:val="none"/>
              </w:rPr>
            </w:pPr>
            <w:r>
              <w:rPr>
                <w:rFonts w:hint="eastAsia"/>
                <w:szCs w:val="21"/>
                <w:highlight w:val="none"/>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121CEBDB">
            <w:pPr>
              <w:adjustRightInd w:val="0"/>
              <w:snapToGrid w:val="0"/>
              <w:spacing w:line="400" w:lineRule="exact"/>
              <w:jc w:val="left"/>
              <w:rPr>
                <w:rFonts w:hint="eastAsia"/>
                <w:szCs w:val="21"/>
                <w:highlight w:val="none"/>
              </w:rPr>
            </w:pPr>
            <w:r>
              <w:rPr>
                <w:rFonts w:hint="eastAsia"/>
                <w:szCs w:val="21"/>
                <w:highlight w:val="none"/>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7A90E036">
            <w:pPr>
              <w:adjustRightInd w:val="0"/>
              <w:snapToGrid w:val="0"/>
              <w:spacing w:line="400" w:lineRule="exact"/>
              <w:rPr>
                <w:rFonts w:hint="eastAsia"/>
                <w:szCs w:val="21"/>
                <w:highlight w:val="none"/>
              </w:rPr>
            </w:pPr>
            <w:r>
              <w:rPr>
                <w:rFonts w:hint="eastAsia"/>
                <w:szCs w:val="21"/>
                <w:highlight w:val="none"/>
              </w:rPr>
              <w:t>2、各供应商对不见面开评标系统的技术操作咨询，可通过</w:t>
            </w:r>
          </w:p>
          <w:p w14:paraId="22F6658A">
            <w:pPr>
              <w:adjustRightInd w:val="0"/>
              <w:snapToGrid w:val="0"/>
              <w:spacing w:line="380" w:lineRule="exact"/>
              <w:rPr>
                <w:rFonts w:hint="eastAsia"/>
                <w:szCs w:val="21"/>
                <w:highlight w:val="none"/>
              </w:rPr>
            </w:pPr>
            <w:r>
              <w:rPr>
                <w:rFonts w:hint="eastAsia"/>
                <w:szCs w:val="21"/>
                <w:highlight w:val="none"/>
              </w:rPr>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政采云在线客服及服务热线（95763）获取服务支持。</w:t>
            </w:r>
          </w:p>
        </w:tc>
      </w:tr>
      <w:tr w14:paraId="036C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4259" w:type="dxa"/>
            <w:gridSpan w:val="2"/>
            <w:vAlign w:val="center"/>
          </w:tcPr>
          <w:p w14:paraId="24629D4F">
            <w:pPr>
              <w:adjustRightInd w:val="0"/>
              <w:snapToGrid w:val="0"/>
              <w:spacing w:line="380" w:lineRule="exact"/>
              <w:jc w:val="center"/>
              <w:rPr>
                <w:rFonts w:hint="eastAsia"/>
                <w:szCs w:val="21"/>
                <w:highlight w:val="none"/>
              </w:rPr>
            </w:pPr>
            <w:r>
              <w:rPr>
                <w:rFonts w:hint="eastAsia"/>
                <w:szCs w:val="21"/>
                <w:highlight w:val="none"/>
              </w:rPr>
              <w:t>纸质投标文件</w:t>
            </w:r>
          </w:p>
        </w:tc>
        <w:tc>
          <w:tcPr>
            <w:tcW w:w="5183" w:type="dxa"/>
            <w:vAlign w:val="center"/>
          </w:tcPr>
          <w:p w14:paraId="76399B1D">
            <w:pPr>
              <w:adjustRightInd w:val="0"/>
              <w:snapToGrid w:val="0"/>
              <w:spacing w:line="400" w:lineRule="exact"/>
              <w:rPr>
                <w:rFonts w:hint="eastAsia"/>
                <w:szCs w:val="21"/>
                <w:highlight w:val="none"/>
              </w:rPr>
            </w:pPr>
            <w:r>
              <w:rPr>
                <w:rFonts w:hint="eastAsia"/>
                <w:szCs w:val="21"/>
                <w:highlight w:val="none"/>
              </w:rPr>
              <w:t>“纸质标书”：开标后中标单位需在公示期满后3日内，正本1份、副本2份。严格按照招标文件中对投标响应文件要求顺序装订制作标书，（标书必须标明页码）需胶装。递交至招标代理处存档，内容须与电子版投标响应文件内容一致，纸质投标响应文件一律不予退还。</w:t>
            </w:r>
          </w:p>
          <w:p w14:paraId="1B00A950">
            <w:pPr>
              <w:adjustRightInd w:val="0"/>
              <w:snapToGrid w:val="0"/>
              <w:spacing w:line="400" w:lineRule="exact"/>
              <w:jc w:val="left"/>
              <w:rPr>
                <w:rFonts w:hint="eastAsia"/>
                <w:szCs w:val="21"/>
                <w:highlight w:val="none"/>
              </w:rPr>
            </w:pPr>
            <w:r>
              <w:rPr>
                <w:rFonts w:hint="eastAsia"/>
                <w:szCs w:val="21"/>
                <w:highlight w:val="none"/>
              </w:rPr>
              <w:t>纸质版标书邮寄地址及收件人：乌</w:t>
            </w:r>
            <w:r>
              <w:rPr>
                <w:rFonts w:hint="eastAsia"/>
                <w:kern w:val="0"/>
                <w:szCs w:val="21"/>
                <w:highlight w:val="none"/>
              </w:rPr>
              <w:t>新疆乌鲁木齐市沙依巴克区奇台路</w:t>
            </w:r>
            <w:r>
              <w:rPr>
                <w:kern w:val="0"/>
                <w:szCs w:val="21"/>
                <w:highlight w:val="none"/>
              </w:rPr>
              <w:t>6</w:t>
            </w:r>
            <w:r>
              <w:rPr>
                <w:rFonts w:hint="eastAsia"/>
                <w:kern w:val="0"/>
                <w:szCs w:val="21"/>
                <w:highlight w:val="none"/>
              </w:rPr>
              <w:t>58号德汇万达广场E2栋902室</w:t>
            </w:r>
            <w:r>
              <w:rPr>
                <w:rFonts w:hint="eastAsia"/>
                <w:szCs w:val="21"/>
                <w:highlight w:val="none"/>
              </w:rPr>
              <w:t>。收件人:何凌云，联系电话：18699158007。</w:t>
            </w:r>
          </w:p>
        </w:tc>
      </w:tr>
      <w:tr w14:paraId="4245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9442" w:type="dxa"/>
            <w:gridSpan w:val="3"/>
            <w:vAlign w:val="center"/>
          </w:tcPr>
          <w:p w14:paraId="67F878F8">
            <w:pPr>
              <w:adjustRightInd w:val="0"/>
              <w:snapToGrid w:val="0"/>
              <w:spacing w:line="380" w:lineRule="exact"/>
              <w:rPr>
                <w:rFonts w:hint="eastAsia"/>
                <w:b/>
                <w:szCs w:val="21"/>
                <w:highlight w:val="none"/>
              </w:rPr>
            </w:pPr>
            <w:r>
              <w:rPr>
                <w:rFonts w:hint="eastAsia"/>
                <w:b/>
                <w:szCs w:val="21"/>
                <w:highlight w:val="none"/>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bl>
    <w:p w14:paraId="08ABF5C0">
      <w:pPr>
        <w:pStyle w:val="3"/>
        <w:numPr>
          <w:ilvl w:val="0"/>
          <w:numId w:val="0"/>
        </w:numPr>
        <w:ind w:left="576"/>
        <w:rPr>
          <w:rFonts w:hint="eastAsia" w:ascii="宋体" w:hAnsi="宋体"/>
          <w:szCs w:val="21"/>
          <w:highlight w:val="none"/>
        </w:rPr>
      </w:pPr>
      <w:bookmarkStart w:id="33" w:name="_Toc476311230"/>
      <w:bookmarkStart w:id="34" w:name="_Toc420948007"/>
      <w:bookmarkStart w:id="35" w:name="_Toc38878758"/>
    </w:p>
    <w:p w14:paraId="47FF8803">
      <w:pPr>
        <w:pStyle w:val="3"/>
        <w:numPr>
          <w:ilvl w:val="0"/>
          <w:numId w:val="0"/>
        </w:numPr>
        <w:ind w:left="576" w:hanging="576"/>
        <w:jc w:val="center"/>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投标须知正文</w:t>
      </w:r>
      <w:bookmarkEnd w:id="33"/>
      <w:bookmarkEnd w:id="34"/>
      <w:bookmarkEnd w:id="35"/>
    </w:p>
    <w:p w14:paraId="3111BCF3">
      <w:pPr>
        <w:pStyle w:val="3"/>
        <w:numPr>
          <w:ilvl w:val="0"/>
          <w:numId w:val="0"/>
        </w:numPr>
        <w:ind w:left="576" w:hanging="576"/>
        <w:jc w:val="center"/>
        <w:rPr>
          <w:rFonts w:hint="eastAsia" w:ascii="宋体" w:hAnsi="宋体"/>
          <w:sz w:val="21"/>
          <w:szCs w:val="21"/>
          <w:highlight w:val="none"/>
        </w:rPr>
      </w:pPr>
      <w:bookmarkStart w:id="36" w:name="_Toc420948008"/>
      <w:bookmarkStart w:id="37" w:name="_Toc38878759"/>
      <w:r>
        <w:rPr>
          <w:rFonts w:hint="eastAsia" w:ascii="宋体" w:hAnsi="宋体"/>
          <w:sz w:val="21"/>
          <w:szCs w:val="21"/>
          <w:highlight w:val="none"/>
        </w:rPr>
        <w:t>一、</w:t>
      </w:r>
      <w:bookmarkEnd w:id="36"/>
      <w:r>
        <w:rPr>
          <w:rFonts w:hint="eastAsia" w:ascii="宋体" w:hAnsi="宋体"/>
          <w:sz w:val="21"/>
          <w:szCs w:val="21"/>
          <w:highlight w:val="none"/>
        </w:rPr>
        <w:t>总则</w:t>
      </w:r>
      <w:bookmarkEnd w:id="37"/>
    </w:p>
    <w:p w14:paraId="108A724C">
      <w:pPr>
        <w:adjustRightInd w:val="0"/>
        <w:snapToGrid w:val="0"/>
        <w:rPr>
          <w:rFonts w:hint="eastAsia"/>
          <w:b/>
          <w:szCs w:val="21"/>
          <w:highlight w:val="none"/>
        </w:rPr>
      </w:pPr>
      <w:r>
        <w:rPr>
          <w:rFonts w:hint="eastAsia"/>
          <w:b/>
          <w:szCs w:val="21"/>
          <w:highlight w:val="none"/>
        </w:rPr>
        <w:t>1. 项目概况</w:t>
      </w:r>
    </w:p>
    <w:p w14:paraId="2A4F940B">
      <w:pPr>
        <w:adjustRightInd w:val="0"/>
        <w:snapToGrid w:val="0"/>
        <w:ind w:firstLine="480" w:firstLineChars="200"/>
        <w:rPr>
          <w:rFonts w:hint="eastAsia"/>
          <w:szCs w:val="21"/>
          <w:highlight w:val="none"/>
        </w:rPr>
      </w:pPr>
      <w:r>
        <w:rPr>
          <w:rFonts w:hint="eastAsia"/>
          <w:szCs w:val="21"/>
          <w:highlight w:val="none"/>
        </w:rPr>
        <w:t>1.1项目名称：详见</w:t>
      </w:r>
      <w:r>
        <w:rPr>
          <w:rFonts w:hint="eastAsia"/>
          <w:b/>
          <w:szCs w:val="21"/>
          <w:highlight w:val="none"/>
        </w:rPr>
        <w:t>投标须知前附表</w:t>
      </w:r>
      <w:r>
        <w:rPr>
          <w:rFonts w:hint="eastAsia"/>
          <w:szCs w:val="21"/>
          <w:highlight w:val="none"/>
        </w:rPr>
        <w:t>；</w:t>
      </w:r>
    </w:p>
    <w:p w14:paraId="49EF39F2">
      <w:pPr>
        <w:adjustRightInd w:val="0"/>
        <w:snapToGrid w:val="0"/>
        <w:ind w:firstLine="480" w:firstLineChars="200"/>
        <w:rPr>
          <w:rFonts w:hint="eastAsia"/>
          <w:szCs w:val="21"/>
          <w:highlight w:val="none"/>
        </w:rPr>
      </w:pPr>
      <w:r>
        <w:rPr>
          <w:rFonts w:hint="eastAsia"/>
          <w:szCs w:val="21"/>
          <w:highlight w:val="none"/>
        </w:rPr>
        <w:t>1.2招标内容：详见</w:t>
      </w:r>
      <w:r>
        <w:rPr>
          <w:rFonts w:hint="eastAsia"/>
          <w:b/>
          <w:szCs w:val="21"/>
          <w:highlight w:val="none"/>
        </w:rPr>
        <w:t>投标须知前附表</w:t>
      </w:r>
      <w:r>
        <w:rPr>
          <w:rFonts w:hint="eastAsia"/>
          <w:szCs w:val="21"/>
          <w:highlight w:val="none"/>
        </w:rPr>
        <w:t>；</w:t>
      </w:r>
    </w:p>
    <w:p w14:paraId="798ECB7B">
      <w:pPr>
        <w:adjustRightInd w:val="0"/>
        <w:snapToGrid w:val="0"/>
        <w:ind w:firstLine="480" w:firstLineChars="200"/>
        <w:rPr>
          <w:rFonts w:hint="eastAsia"/>
          <w:szCs w:val="21"/>
          <w:highlight w:val="none"/>
        </w:rPr>
      </w:pPr>
      <w:r>
        <w:rPr>
          <w:rFonts w:hint="eastAsia"/>
          <w:szCs w:val="21"/>
          <w:highlight w:val="none"/>
        </w:rPr>
        <w:t>1.3采购方式：详见</w:t>
      </w:r>
      <w:r>
        <w:rPr>
          <w:rFonts w:hint="eastAsia"/>
          <w:b/>
          <w:szCs w:val="21"/>
          <w:highlight w:val="none"/>
        </w:rPr>
        <w:t>投标须知前附表</w:t>
      </w:r>
      <w:r>
        <w:rPr>
          <w:rFonts w:hint="eastAsia"/>
          <w:szCs w:val="21"/>
          <w:highlight w:val="none"/>
        </w:rPr>
        <w:t>；</w:t>
      </w:r>
    </w:p>
    <w:p w14:paraId="76213454">
      <w:pPr>
        <w:adjustRightInd w:val="0"/>
        <w:snapToGrid w:val="0"/>
        <w:ind w:firstLine="480" w:firstLineChars="200"/>
        <w:rPr>
          <w:rFonts w:hint="eastAsia"/>
          <w:szCs w:val="21"/>
          <w:highlight w:val="none"/>
        </w:rPr>
      </w:pPr>
      <w:r>
        <w:rPr>
          <w:rFonts w:hint="eastAsia"/>
          <w:szCs w:val="21"/>
          <w:highlight w:val="none"/>
        </w:rPr>
        <w:t>1.4交货地点：详见</w:t>
      </w:r>
      <w:r>
        <w:rPr>
          <w:rFonts w:hint="eastAsia"/>
          <w:b/>
          <w:szCs w:val="21"/>
          <w:highlight w:val="none"/>
        </w:rPr>
        <w:t>投标须知前附表</w:t>
      </w:r>
      <w:r>
        <w:rPr>
          <w:rFonts w:hint="eastAsia"/>
          <w:szCs w:val="21"/>
          <w:highlight w:val="none"/>
        </w:rPr>
        <w:t>；</w:t>
      </w:r>
    </w:p>
    <w:p w14:paraId="72E16416">
      <w:pPr>
        <w:adjustRightInd w:val="0"/>
        <w:snapToGrid w:val="0"/>
        <w:ind w:firstLine="480" w:firstLineChars="200"/>
        <w:rPr>
          <w:rFonts w:hint="eastAsia"/>
          <w:szCs w:val="21"/>
          <w:highlight w:val="none"/>
        </w:rPr>
      </w:pPr>
      <w:r>
        <w:rPr>
          <w:rFonts w:hint="eastAsia"/>
          <w:szCs w:val="21"/>
          <w:highlight w:val="none"/>
        </w:rPr>
        <w:t>1.5交货期限：详见</w:t>
      </w:r>
      <w:r>
        <w:rPr>
          <w:rFonts w:hint="eastAsia"/>
          <w:b/>
          <w:szCs w:val="21"/>
          <w:highlight w:val="none"/>
        </w:rPr>
        <w:t>投标须知前附表</w:t>
      </w:r>
      <w:r>
        <w:rPr>
          <w:rFonts w:hint="eastAsia"/>
          <w:szCs w:val="21"/>
          <w:highlight w:val="none"/>
        </w:rPr>
        <w:t>；</w:t>
      </w:r>
    </w:p>
    <w:p w14:paraId="4BC99DA6">
      <w:pPr>
        <w:adjustRightInd w:val="0"/>
        <w:snapToGrid w:val="0"/>
        <w:rPr>
          <w:rFonts w:hint="eastAsia"/>
          <w:b/>
          <w:bCs/>
          <w:szCs w:val="21"/>
          <w:highlight w:val="none"/>
        </w:rPr>
      </w:pPr>
      <w:r>
        <w:rPr>
          <w:rFonts w:hint="eastAsia"/>
          <w:b/>
          <w:bCs/>
          <w:szCs w:val="21"/>
          <w:highlight w:val="none"/>
        </w:rPr>
        <w:t>2.定义</w:t>
      </w:r>
    </w:p>
    <w:p w14:paraId="10B1B450">
      <w:pPr>
        <w:adjustRightInd w:val="0"/>
        <w:snapToGrid w:val="0"/>
        <w:ind w:firstLine="480" w:firstLineChars="200"/>
        <w:rPr>
          <w:rFonts w:hint="eastAsia"/>
          <w:b/>
          <w:szCs w:val="21"/>
          <w:highlight w:val="none"/>
        </w:rPr>
      </w:pPr>
      <w:r>
        <w:rPr>
          <w:rFonts w:hint="eastAsia"/>
          <w:szCs w:val="21"/>
          <w:highlight w:val="none"/>
        </w:rPr>
        <w:t>2.1 “采购人”是指依法进行政府采购的国家机关、事业单位、团体组织。采购人名称、地址、电话、联系人见</w:t>
      </w:r>
      <w:r>
        <w:rPr>
          <w:rFonts w:hint="eastAsia"/>
          <w:b/>
          <w:szCs w:val="21"/>
          <w:highlight w:val="none"/>
        </w:rPr>
        <w:t>投标须知前附表</w:t>
      </w:r>
      <w:r>
        <w:rPr>
          <w:rFonts w:hint="eastAsia"/>
          <w:szCs w:val="21"/>
          <w:highlight w:val="none"/>
        </w:rPr>
        <w:t>。</w:t>
      </w:r>
    </w:p>
    <w:p w14:paraId="0C5F0DB9">
      <w:pPr>
        <w:adjustRightInd w:val="0"/>
        <w:snapToGrid w:val="0"/>
        <w:ind w:firstLine="480" w:firstLineChars="200"/>
        <w:rPr>
          <w:rFonts w:hint="eastAsia"/>
          <w:b/>
          <w:szCs w:val="21"/>
          <w:highlight w:val="none"/>
        </w:rPr>
      </w:pPr>
      <w:r>
        <w:rPr>
          <w:rFonts w:hint="eastAsia"/>
          <w:szCs w:val="21"/>
          <w:highlight w:val="none"/>
        </w:rPr>
        <w:t>2.2 “招标代理机构”是指接受采购人委托，代理采购项目的集中采购机构和其他招标代理机构。招标代理机构名称、地址、电话、联系人见</w:t>
      </w:r>
      <w:r>
        <w:rPr>
          <w:rFonts w:hint="eastAsia"/>
          <w:b/>
          <w:szCs w:val="21"/>
          <w:highlight w:val="none"/>
        </w:rPr>
        <w:t>投标须知前附表。</w:t>
      </w:r>
    </w:p>
    <w:p w14:paraId="359E2F93">
      <w:pPr>
        <w:adjustRightInd w:val="0"/>
        <w:snapToGrid w:val="0"/>
        <w:ind w:firstLine="480" w:firstLineChars="200"/>
        <w:rPr>
          <w:rFonts w:hint="eastAsia"/>
          <w:szCs w:val="21"/>
          <w:highlight w:val="none"/>
        </w:rPr>
      </w:pPr>
      <w:r>
        <w:rPr>
          <w:rFonts w:hint="eastAsia"/>
          <w:szCs w:val="21"/>
          <w:highlight w:val="none"/>
        </w:rPr>
        <w:t>2.3 “投标人”是指响应招标文件要求、参加招标采购的法人、其他组织或者自然人。</w:t>
      </w:r>
    </w:p>
    <w:p w14:paraId="1093EB2E">
      <w:pPr>
        <w:adjustRightInd w:val="0"/>
        <w:snapToGrid w:val="0"/>
        <w:ind w:firstLine="480" w:firstLineChars="200"/>
        <w:rPr>
          <w:rFonts w:hint="eastAsia"/>
          <w:szCs w:val="21"/>
          <w:highlight w:val="none"/>
        </w:rPr>
      </w:pPr>
      <w:r>
        <w:rPr>
          <w:rFonts w:hint="eastAsia"/>
          <w:szCs w:val="21"/>
          <w:highlight w:val="none"/>
        </w:rPr>
        <w:t>2.4 “货物”是指各种形态和种类的物品，包括原材料、燃料、设备、产品等，详见《政府采购品目分类目录》(</w:t>
      </w:r>
      <w:r>
        <w:rPr>
          <w:rStyle w:val="47"/>
          <w:b w:val="0"/>
          <w:szCs w:val="21"/>
          <w:highlight w:val="none"/>
        </w:rPr>
        <w:t>财库</w:t>
      </w:r>
      <w:r>
        <w:rPr>
          <w:rStyle w:val="47"/>
          <w:rFonts w:hint="eastAsia"/>
          <w:b w:val="0"/>
          <w:szCs w:val="21"/>
          <w:highlight w:val="none"/>
        </w:rPr>
        <w:t>[</w:t>
      </w:r>
      <w:r>
        <w:rPr>
          <w:rStyle w:val="47"/>
          <w:b w:val="0"/>
          <w:szCs w:val="21"/>
          <w:highlight w:val="none"/>
        </w:rPr>
        <w:t>2013</w:t>
      </w:r>
      <w:r>
        <w:rPr>
          <w:rStyle w:val="47"/>
          <w:rFonts w:hint="eastAsia"/>
          <w:b w:val="0"/>
          <w:szCs w:val="21"/>
          <w:highlight w:val="none"/>
        </w:rPr>
        <w:t>]</w:t>
      </w:r>
      <w:r>
        <w:rPr>
          <w:rStyle w:val="47"/>
          <w:b w:val="0"/>
          <w:szCs w:val="21"/>
          <w:highlight w:val="none"/>
        </w:rPr>
        <w:t>189号</w:t>
      </w:r>
      <w:r>
        <w:rPr>
          <w:rFonts w:hint="eastAsia"/>
          <w:szCs w:val="21"/>
          <w:highlight w:val="none"/>
        </w:rPr>
        <w:t>)。</w:t>
      </w:r>
    </w:p>
    <w:p w14:paraId="15B1EFD9">
      <w:pPr>
        <w:adjustRightInd w:val="0"/>
        <w:snapToGrid w:val="0"/>
        <w:ind w:firstLine="480" w:firstLineChars="200"/>
        <w:rPr>
          <w:rFonts w:hint="eastAsia"/>
          <w:szCs w:val="21"/>
          <w:highlight w:val="none"/>
        </w:rPr>
      </w:pPr>
      <w:r>
        <w:rPr>
          <w:rFonts w:hint="eastAsia"/>
          <w:szCs w:val="21"/>
          <w:highlight w:val="none"/>
        </w:rPr>
        <w:t>2.4.1采购信息安全产品的，应当采购经国家认证的信息安全产品；投标货物中的相关产品，投标人应提供由中国信息安全认证中心按国家标准认证颁发的有效认证证书。</w:t>
      </w:r>
    </w:p>
    <w:p w14:paraId="664B0AC8">
      <w:pPr>
        <w:adjustRightInd w:val="0"/>
        <w:snapToGrid w:val="0"/>
        <w:ind w:firstLine="480" w:firstLineChars="200"/>
        <w:rPr>
          <w:rFonts w:hint="eastAsia"/>
          <w:szCs w:val="21"/>
          <w:highlight w:val="none"/>
        </w:rPr>
      </w:pPr>
      <w:r>
        <w:rPr>
          <w:rFonts w:hint="eastAsia"/>
          <w:szCs w:val="21"/>
          <w:highlight w:val="none"/>
        </w:rPr>
        <w:t>2.5 “节能产品”或者“环保产品”是指财政部发布的《节能产品政府采购品目清单》或者《环境标志产品政府采购品目清单》的产品。</w:t>
      </w:r>
    </w:p>
    <w:p w14:paraId="67E98846">
      <w:pPr>
        <w:adjustRightInd w:val="0"/>
        <w:snapToGrid w:val="0"/>
        <w:ind w:firstLine="480" w:firstLineChars="200"/>
        <w:rPr>
          <w:rFonts w:hint="eastAsia" w:cs="宋体"/>
          <w:kern w:val="0"/>
          <w:szCs w:val="21"/>
          <w:highlight w:val="none"/>
        </w:rPr>
      </w:pPr>
      <w:r>
        <w:rPr>
          <w:rFonts w:hint="eastAsia" w:cs="宋体"/>
          <w:kern w:val="0"/>
          <w:szCs w:val="21"/>
          <w:highlight w:val="none"/>
        </w:rPr>
        <w:t>2.6 “进口产品”是指通过中国海关报关验放进入中国境内且产自关境外的产品，详见《</w:t>
      </w:r>
      <w:r>
        <w:rPr>
          <w:rFonts w:cs="宋体"/>
          <w:kern w:val="0"/>
          <w:szCs w:val="21"/>
          <w:highlight w:val="none"/>
        </w:rPr>
        <w:t>关于政府采购进口产品管理有关问题的通知</w:t>
      </w:r>
      <w:r>
        <w:rPr>
          <w:rFonts w:hint="eastAsia" w:cs="宋体"/>
          <w:kern w:val="0"/>
          <w:szCs w:val="21"/>
          <w:highlight w:val="none"/>
        </w:rPr>
        <w:t>》(财库[2007]119号)。</w:t>
      </w:r>
    </w:p>
    <w:p w14:paraId="051DDBAC">
      <w:pPr>
        <w:adjustRightInd w:val="0"/>
        <w:snapToGrid w:val="0"/>
        <w:ind w:firstLine="480" w:firstLineChars="200"/>
        <w:rPr>
          <w:rFonts w:hint="eastAsia" w:cs="宋体"/>
          <w:kern w:val="0"/>
          <w:szCs w:val="21"/>
          <w:highlight w:val="none"/>
        </w:rPr>
      </w:pPr>
      <w:r>
        <w:rPr>
          <w:rFonts w:hint="eastAsia" w:cs="宋体"/>
          <w:kern w:val="0"/>
          <w:szCs w:val="21"/>
          <w:highlight w:val="none"/>
        </w:rPr>
        <w:t>2.7偏离</w:t>
      </w:r>
    </w:p>
    <w:p w14:paraId="6580FAB9">
      <w:pPr>
        <w:adjustRightInd w:val="0"/>
        <w:snapToGrid w:val="0"/>
        <w:ind w:firstLine="480" w:firstLineChars="200"/>
        <w:rPr>
          <w:rFonts w:hint="eastAsia" w:cs="宋体"/>
          <w:kern w:val="0"/>
          <w:szCs w:val="21"/>
          <w:highlight w:val="none"/>
        </w:rPr>
      </w:pPr>
      <w:r>
        <w:rPr>
          <w:rFonts w:hint="eastAsia" w:cs="宋体"/>
          <w:kern w:val="0"/>
          <w:szCs w:val="21"/>
          <w:highlight w:val="none"/>
        </w:rPr>
        <w:t>2.7.1本条所称偏离为投标文件对招标文件的偏离，即不满足、或不响应招标文件的要求。偏离分为对招标文件的实质性要求条款偏离和对招标文件的一般商务和技术条款偏离。</w:t>
      </w:r>
    </w:p>
    <w:p w14:paraId="201F6F9D">
      <w:pPr>
        <w:adjustRightInd w:val="0"/>
        <w:snapToGrid w:val="0"/>
        <w:ind w:firstLine="482" w:firstLineChars="200"/>
        <w:rPr>
          <w:rFonts w:hint="eastAsia" w:cs="宋体"/>
          <w:b/>
          <w:kern w:val="0"/>
          <w:szCs w:val="21"/>
          <w:highlight w:val="none"/>
        </w:rPr>
      </w:pPr>
      <w:r>
        <w:rPr>
          <w:rFonts w:hint="eastAsia" w:cs="宋体"/>
          <w:b/>
          <w:kern w:val="0"/>
          <w:szCs w:val="21"/>
          <w:highlight w:val="none"/>
        </w:rPr>
        <w:t>2.7.2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71099CCB">
      <w:pPr>
        <w:adjustRightInd w:val="0"/>
        <w:snapToGrid w:val="0"/>
        <w:ind w:firstLine="422"/>
        <w:rPr>
          <w:rFonts w:hint="eastAsia" w:cs="宋体"/>
          <w:kern w:val="0"/>
          <w:szCs w:val="21"/>
          <w:highlight w:val="none"/>
        </w:rPr>
      </w:pPr>
      <w:r>
        <w:rPr>
          <w:rFonts w:hint="eastAsia" w:cs="宋体"/>
          <w:kern w:val="0"/>
          <w:szCs w:val="21"/>
          <w:highlight w:val="none"/>
        </w:rPr>
        <w:t>2.8.特别说明</w:t>
      </w:r>
    </w:p>
    <w:p w14:paraId="18D111E2">
      <w:pPr>
        <w:adjustRightInd w:val="0"/>
        <w:snapToGrid w:val="0"/>
        <w:ind w:firstLine="480" w:firstLineChars="200"/>
        <w:rPr>
          <w:rFonts w:hint="eastAsia" w:cs="宋体"/>
          <w:kern w:val="0"/>
          <w:szCs w:val="21"/>
          <w:highlight w:val="none"/>
        </w:rPr>
      </w:pPr>
      <w:r>
        <w:rPr>
          <w:rFonts w:hint="eastAsia" w:cs="宋体"/>
          <w:kern w:val="0"/>
          <w:szCs w:val="21"/>
          <w:highlight w:val="none"/>
        </w:rPr>
        <w:t>2.8.1投标人投标所使用的资格、信誉、荣誉、业绩与企业认证等必须为投标人所拥有。</w:t>
      </w:r>
    </w:p>
    <w:p w14:paraId="27A7C194">
      <w:pPr>
        <w:adjustRightInd w:val="0"/>
        <w:snapToGrid w:val="0"/>
        <w:ind w:firstLine="480" w:firstLineChars="200"/>
        <w:rPr>
          <w:rFonts w:hint="eastAsia" w:cs="宋体"/>
          <w:kern w:val="0"/>
          <w:szCs w:val="21"/>
          <w:highlight w:val="none"/>
        </w:rPr>
      </w:pPr>
      <w:r>
        <w:rPr>
          <w:rFonts w:hint="eastAsia" w:cs="宋体"/>
          <w:kern w:val="0"/>
          <w:szCs w:val="21"/>
          <w:highlight w:val="none"/>
        </w:rPr>
        <w:t>2.8.2投标人应仔细阅读招标文件的所有内容，按照招标文件的要求提交投标文件，并对所提供的全部资料的真实性承担法律责任。</w:t>
      </w:r>
    </w:p>
    <w:p w14:paraId="69BA0043">
      <w:pPr>
        <w:adjustRightInd w:val="0"/>
        <w:snapToGrid w:val="0"/>
        <w:ind w:firstLine="480" w:firstLineChars="200"/>
        <w:rPr>
          <w:rFonts w:hint="eastAsia" w:cs="宋体"/>
          <w:kern w:val="0"/>
          <w:szCs w:val="21"/>
          <w:highlight w:val="none"/>
        </w:rPr>
      </w:pPr>
      <w:r>
        <w:rPr>
          <w:rFonts w:hint="eastAsia" w:cs="宋体"/>
          <w:kern w:val="0"/>
          <w:szCs w:val="21"/>
          <w:highlight w:val="none"/>
        </w:rPr>
        <w:t>2.8.3投标人在投标活动中提供任何虚假材料,其投标无效并承担相应法律责任。</w:t>
      </w:r>
    </w:p>
    <w:p w14:paraId="1FA8FEB5">
      <w:pPr>
        <w:adjustRightInd w:val="0"/>
        <w:snapToGrid w:val="0"/>
        <w:rPr>
          <w:rFonts w:hint="eastAsia"/>
          <w:b/>
          <w:bCs/>
          <w:szCs w:val="21"/>
          <w:highlight w:val="none"/>
        </w:rPr>
      </w:pPr>
      <w:r>
        <w:rPr>
          <w:rFonts w:hint="eastAsia"/>
          <w:b/>
          <w:bCs/>
          <w:szCs w:val="21"/>
          <w:highlight w:val="none"/>
        </w:rPr>
        <w:t>3.投标人的资格要求</w:t>
      </w:r>
    </w:p>
    <w:p w14:paraId="31401C9A">
      <w:pPr>
        <w:adjustRightInd w:val="0"/>
        <w:snapToGrid w:val="0"/>
        <w:ind w:firstLine="480" w:firstLineChars="200"/>
        <w:rPr>
          <w:rFonts w:hint="eastAsia"/>
          <w:szCs w:val="21"/>
          <w:highlight w:val="none"/>
        </w:rPr>
      </w:pPr>
      <w:r>
        <w:rPr>
          <w:rFonts w:hint="eastAsia"/>
          <w:szCs w:val="21"/>
          <w:highlight w:val="none"/>
        </w:rPr>
        <w:t>3.1 投标人应当符合</w:t>
      </w:r>
      <w:r>
        <w:rPr>
          <w:rFonts w:hint="eastAsia"/>
          <w:b/>
          <w:szCs w:val="21"/>
          <w:highlight w:val="none"/>
        </w:rPr>
        <w:t>投标须知前附表</w:t>
      </w:r>
      <w:r>
        <w:rPr>
          <w:rFonts w:hint="eastAsia"/>
          <w:szCs w:val="21"/>
          <w:highlight w:val="none"/>
        </w:rPr>
        <w:t>中规定的下列资格条件要求；</w:t>
      </w:r>
    </w:p>
    <w:p w14:paraId="0396184A">
      <w:pPr>
        <w:adjustRightInd w:val="0"/>
        <w:snapToGrid w:val="0"/>
        <w:ind w:firstLine="480" w:firstLineChars="200"/>
        <w:rPr>
          <w:rFonts w:hint="eastAsia"/>
          <w:szCs w:val="21"/>
          <w:highlight w:val="none"/>
        </w:rPr>
      </w:pPr>
      <w:r>
        <w:rPr>
          <w:rFonts w:hint="eastAsia"/>
          <w:szCs w:val="21"/>
          <w:highlight w:val="none"/>
        </w:rPr>
        <w:t>（l）</w:t>
      </w:r>
      <w:r>
        <w:rPr>
          <w:rFonts w:hint="eastAsia" w:cs="宋体"/>
          <w:kern w:val="0"/>
          <w:szCs w:val="21"/>
          <w:highlight w:val="none"/>
          <w:lang w:val="zh-CN"/>
        </w:rPr>
        <w:t>《政府采购法》第二十二条第一款规定的</w:t>
      </w:r>
      <w:r>
        <w:rPr>
          <w:rFonts w:hint="eastAsia"/>
          <w:szCs w:val="21"/>
          <w:highlight w:val="none"/>
        </w:rPr>
        <w:t>投标人基本资格条件</w:t>
      </w:r>
      <w:r>
        <w:rPr>
          <w:rFonts w:hint="eastAsia" w:cs="宋体"/>
          <w:kern w:val="0"/>
          <w:szCs w:val="21"/>
          <w:highlight w:val="none"/>
          <w:lang w:val="zh-CN"/>
        </w:rPr>
        <w:t>；</w:t>
      </w:r>
    </w:p>
    <w:p w14:paraId="302E8847">
      <w:pPr>
        <w:adjustRightInd w:val="0"/>
        <w:snapToGrid w:val="0"/>
        <w:ind w:firstLine="480" w:firstLineChars="200"/>
        <w:rPr>
          <w:rFonts w:hint="eastAsia"/>
          <w:szCs w:val="21"/>
          <w:highlight w:val="none"/>
        </w:rPr>
      </w:pPr>
      <w:r>
        <w:rPr>
          <w:rFonts w:hint="eastAsia"/>
          <w:szCs w:val="21"/>
          <w:highlight w:val="none"/>
        </w:rPr>
        <w:t>（2） 招标文件</w:t>
      </w:r>
      <w:r>
        <w:rPr>
          <w:rFonts w:hint="eastAsia" w:cs="宋体"/>
          <w:kern w:val="0"/>
          <w:szCs w:val="21"/>
          <w:highlight w:val="none"/>
          <w:lang w:val="zh-CN"/>
        </w:rPr>
        <w:t>规定的</w:t>
      </w:r>
      <w:r>
        <w:rPr>
          <w:rFonts w:hint="eastAsia"/>
          <w:szCs w:val="21"/>
          <w:highlight w:val="none"/>
        </w:rPr>
        <w:t xml:space="preserve">投标人特定资格条件。 </w:t>
      </w:r>
    </w:p>
    <w:p w14:paraId="042EEAE2">
      <w:pPr>
        <w:adjustRightInd w:val="0"/>
        <w:snapToGrid w:val="0"/>
        <w:ind w:firstLine="480" w:firstLineChars="200"/>
        <w:rPr>
          <w:rFonts w:hint="eastAsia"/>
          <w:szCs w:val="21"/>
          <w:highlight w:val="none"/>
        </w:rPr>
      </w:pPr>
      <w:r>
        <w:rPr>
          <w:rFonts w:hint="eastAsia"/>
          <w:szCs w:val="21"/>
          <w:highlight w:val="none"/>
        </w:rPr>
        <w:t>3.2 投标人不得存在下列情形之一：</w:t>
      </w:r>
    </w:p>
    <w:p w14:paraId="16F58079">
      <w:pPr>
        <w:adjustRightInd w:val="0"/>
        <w:snapToGrid w:val="0"/>
        <w:ind w:firstLine="480" w:firstLineChars="200"/>
        <w:rPr>
          <w:rFonts w:hint="eastAsia"/>
          <w:szCs w:val="21"/>
          <w:highlight w:val="none"/>
        </w:rPr>
      </w:pPr>
      <w:r>
        <w:rPr>
          <w:rFonts w:hint="eastAsia"/>
          <w:szCs w:val="21"/>
          <w:highlight w:val="none"/>
        </w:rPr>
        <w:t>（l）与采购人、招标代理机构存在</w:t>
      </w:r>
      <w:r>
        <w:rPr>
          <w:rFonts w:hint="eastAsia"/>
          <w:bCs/>
          <w:szCs w:val="21"/>
          <w:highlight w:val="none"/>
        </w:rPr>
        <w:t>利害关系（提供承诺函）</w:t>
      </w:r>
      <w:r>
        <w:rPr>
          <w:rFonts w:hint="eastAsia"/>
          <w:szCs w:val="21"/>
          <w:highlight w:val="none"/>
        </w:rPr>
        <w:t>。</w:t>
      </w:r>
    </w:p>
    <w:p w14:paraId="634E676A">
      <w:pPr>
        <w:adjustRightInd w:val="0"/>
        <w:snapToGrid w:val="0"/>
        <w:ind w:firstLine="480" w:firstLineChars="200"/>
        <w:rPr>
          <w:rFonts w:hint="eastAsia"/>
          <w:szCs w:val="21"/>
          <w:highlight w:val="none"/>
        </w:rPr>
      </w:pPr>
      <w:r>
        <w:rPr>
          <w:rFonts w:hint="eastAsia"/>
          <w:szCs w:val="21"/>
          <w:highlight w:val="none"/>
        </w:rPr>
        <w:t>（2）单位负责人为同一人或者存在直接控股、管理关系的不同供应商，不得参加同一合同项下的政府采购活动</w:t>
      </w:r>
      <w:r>
        <w:rPr>
          <w:rFonts w:hint="eastAsia"/>
          <w:bCs/>
          <w:szCs w:val="21"/>
          <w:highlight w:val="none"/>
        </w:rPr>
        <w:t>（提供承诺函）</w:t>
      </w:r>
      <w:r>
        <w:rPr>
          <w:rFonts w:hint="eastAsia"/>
          <w:szCs w:val="21"/>
          <w:highlight w:val="none"/>
        </w:rPr>
        <w:t>。</w:t>
      </w:r>
    </w:p>
    <w:p w14:paraId="51E235F5">
      <w:pPr>
        <w:adjustRightInd w:val="0"/>
        <w:snapToGrid w:val="0"/>
        <w:ind w:firstLine="480" w:firstLineChars="200"/>
        <w:rPr>
          <w:rFonts w:hint="eastAsia"/>
          <w:szCs w:val="21"/>
          <w:highlight w:val="none"/>
        </w:rPr>
      </w:pPr>
      <w:r>
        <w:rPr>
          <w:rFonts w:hint="eastAsia"/>
          <w:szCs w:val="21"/>
          <w:highlight w:val="none"/>
        </w:rPr>
        <w:t>（3）除单一来源采购项目外，为采购项目提供整体设计、规范编制或者项目管理、监理、检测等服务的供应商，不得再参加该采购项目的其他采购活动</w:t>
      </w:r>
      <w:r>
        <w:rPr>
          <w:rFonts w:hint="eastAsia"/>
          <w:bCs/>
          <w:szCs w:val="21"/>
          <w:highlight w:val="none"/>
        </w:rPr>
        <w:t>（提供承诺函）</w:t>
      </w:r>
      <w:r>
        <w:rPr>
          <w:rFonts w:hint="eastAsia"/>
          <w:szCs w:val="21"/>
          <w:highlight w:val="none"/>
        </w:rPr>
        <w:t>。</w:t>
      </w:r>
    </w:p>
    <w:p w14:paraId="6E3CD9C8">
      <w:pPr>
        <w:adjustRightInd w:val="0"/>
        <w:snapToGrid w:val="0"/>
        <w:ind w:firstLine="480" w:firstLineChars="200"/>
        <w:rPr>
          <w:rFonts w:hint="eastAsia"/>
          <w:szCs w:val="21"/>
          <w:highlight w:val="none"/>
        </w:rPr>
      </w:pPr>
      <w:r>
        <w:rPr>
          <w:rFonts w:hint="eastAsia"/>
          <w:szCs w:val="21"/>
          <w:highlight w:val="none"/>
        </w:rPr>
        <w:t>（4）近三年内（本项目投标截止时间前）投标人被“信用中国”网站列入失信被执行人、重大税收违法案件当事人名单、被“中国政府采购网”网站列入政府采购严重违法失信行为记录名单（处罚决定规定的时间和地域范围内）</w:t>
      </w:r>
      <w:r>
        <w:rPr>
          <w:rFonts w:hint="eastAsia"/>
          <w:color w:val="000000"/>
          <w:szCs w:val="21"/>
          <w:highlight w:val="none"/>
        </w:rPr>
        <w:t>。</w:t>
      </w:r>
    </w:p>
    <w:p w14:paraId="2F7BCF6F">
      <w:pPr>
        <w:adjustRightInd w:val="0"/>
        <w:snapToGrid w:val="0"/>
        <w:ind w:firstLine="480" w:firstLineChars="200"/>
        <w:rPr>
          <w:rFonts w:hint="eastAsia"/>
          <w:szCs w:val="21"/>
          <w:highlight w:val="none"/>
        </w:rPr>
      </w:pPr>
      <w:r>
        <w:rPr>
          <w:rFonts w:hint="eastAsia"/>
          <w:szCs w:val="21"/>
          <w:highlight w:val="none"/>
        </w:rPr>
        <w:t>3.3 投标人具有履行合同所必需的设备和专业技术能力，在人员、设备、资金等方面具有相应能力；投标人提供的的产品必须是成熟产品；在项目地具有技术支持和后续服务等能力。</w:t>
      </w:r>
    </w:p>
    <w:p w14:paraId="3BD19FE1">
      <w:pPr>
        <w:adjustRightInd w:val="0"/>
        <w:snapToGrid w:val="0"/>
        <w:rPr>
          <w:rFonts w:hint="eastAsia"/>
          <w:b/>
          <w:bCs/>
          <w:szCs w:val="21"/>
          <w:highlight w:val="none"/>
        </w:rPr>
      </w:pPr>
      <w:r>
        <w:rPr>
          <w:rFonts w:hint="eastAsia"/>
          <w:b/>
          <w:bCs/>
          <w:szCs w:val="21"/>
          <w:highlight w:val="none"/>
        </w:rPr>
        <w:t>4. 投标费用和知识产权</w:t>
      </w:r>
    </w:p>
    <w:p w14:paraId="73EF4A4F">
      <w:pPr>
        <w:adjustRightInd w:val="0"/>
        <w:snapToGrid w:val="0"/>
        <w:ind w:firstLine="480" w:firstLineChars="200"/>
        <w:rPr>
          <w:rFonts w:hint="eastAsia"/>
          <w:szCs w:val="21"/>
          <w:highlight w:val="none"/>
        </w:rPr>
      </w:pPr>
      <w:r>
        <w:rPr>
          <w:rFonts w:hint="eastAsia"/>
          <w:szCs w:val="21"/>
          <w:highlight w:val="none"/>
        </w:rPr>
        <w:t>4.1投标人应承担其参加本招标活动自身所发生的费用。招标文件所提供的资料，是采购人现有的能被投标人利用的资料，采购人对投标人做出的任何推论、理解和结论均不负责任。</w:t>
      </w:r>
    </w:p>
    <w:p w14:paraId="3E02B528">
      <w:pPr>
        <w:adjustRightInd w:val="0"/>
        <w:snapToGrid w:val="0"/>
        <w:ind w:firstLine="480" w:firstLineChars="200"/>
        <w:rPr>
          <w:rFonts w:hint="eastAsia"/>
          <w:szCs w:val="21"/>
          <w:highlight w:val="none"/>
        </w:rPr>
      </w:pPr>
      <w:r>
        <w:rPr>
          <w:rFonts w:hint="eastAsia"/>
          <w:szCs w:val="21"/>
          <w:highlight w:val="none"/>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8EC8E22">
      <w:pPr>
        <w:pStyle w:val="24"/>
        <w:adjustRightInd w:val="0"/>
        <w:snapToGrid w:val="0"/>
        <w:spacing w:line="360" w:lineRule="auto"/>
        <w:rPr>
          <w:rFonts w:hint="eastAsia" w:hAnsi="宋体"/>
          <w:b/>
          <w:bCs/>
          <w:sz w:val="21"/>
          <w:szCs w:val="21"/>
          <w:highlight w:val="none"/>
        </w:rPr>
      </w:pPr>
      <w:r>
        <w:rPr>
          <w:rFonts w:hint="eastAsia" w:hAnsi="宋体"/>
          <w:b/>
          <w:sz w:val="21"/>
          <w:szCs w:val="21"/>
          <w:highlight w:val="none"/>
        </w:rPr>
        <w:t>5．</w:t>
      </w:r>
      <w:r>
        <w:rPr>
          <w:rFonts w:hint="eastAsia" w:hAnsi="宋体"/>
          <w:b/>
          <w:bCs/>
          <w:sz w:val="21"/>
          <w:szCs w:val="21"/>
          <w:highlight w:val="none"/>
        </w:rPr>
        <w:t>授权委托</w:t>
      </w:r>
    </w:p>
    <w:p w14:paraId="76157694">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5.1投标人代表为投标人法定代表人的，应持有法定代表人身份证明。投标人代表不是投标人法定代表人的，应持有法定代表人授权书。</w:t>
      </w:r>
    </w:p>
    <w:p w14:paraId="30730FDE">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6．联合体形式</w:t>
      </w:r>
      <w:r>
        <w:rPr>
          <w:rFonts w:hint="eastAsia" w:hAnsi="宋体"/>
          <w:sz w:val="21"/>
          <w:szCs w:val="21"/>
          <w:highlight w:val="none"/>
        </w:rPr>
        <w:t xml:space="preserve"> </w:t>
      </w:r>
    </w:p>
    <w:p w14:paraId="4934741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6.1除</w:t>
      </w:r>
      <w:r>
        <w:rPr>
          <w:rFonts w:hint="eastAsia" w:hAnsi="宋体"/>
          <w:b/>
          <w:sz w:val="21"/>
          <w:szCs w:val="21"/>
          <w:highlight w:val="none"/>
        </w:rPr>
        <w:t>投标须知前附表</w:t>
      </w:r>
      <w:r>
        <w:rPr>
          <w:rFonts w:hint="eastAsia" w:hAnsi="宋体"/>
          <w:sz w:val="21"/>
          <w:szCs w:val="21"/>
          <w:highlight w:val="none"/>
        </w:rPr>
        <w:t>中另有规定，本次招标采购不接受为联合体形式的投标人。</w:t>
      </w:r>
    </w:p>
    <w:p w14:paraId="7C576CC6">
      <w:pPr>
        <w:adjustRightInd w:val="0"/>
        <w:snapToGrid w:val="0"/>
        <w:ind w:firstLine="480" w:firstLineChars="200"/>
        <w:jc w:val="left"/>
        <w:rPr>
          <w:rFonts w:hint="eastAsia"/>
          <w:szCs w:val="21"/>
          <w:highlight w:val="none"/>
        </w:rPr>
      </w:pPr>
      <w:r>
        <w:rPr>
          <w:rFonts w:hint="eastAsia"/>
          <w:szCs w:val="21"/>
          <w:highlight w:val="none"/>
        </w:rPr>
        <w:t>6.2投标人为联合体形式的，除应符合本章第3条规定外，还应遵守以下规定：</w:t>
      </w:r>
    </w:p>
    <w:p w14:paraId="40F4EBE1">
      <w:pPr>
        <w:adjustRightInd w:val="0"/>
        <w:snapToGrid w:val="0"/>
        <w:ind w:firstLine="480" w:firstLineChars="200"/>
        <w:jc w:val="left"/>
        <w:rPr>
          <w:rFonts w:hint="eastAsia"/>
          <w:szCs w:val="21"/>
          <w:highlight w:val="none"/>
        </w:rPr>
      </w:pPr>
      <w:r>
        <w:rPr>
          <w:rFonts w:hint="eastAsia"/>
          <w:szCs w:val="21"/>
          <w:highlight w:val="none"/>
        </w:rPr>
        <w:t>（l）联合体各方必须签订联合体协议书，明确联合体牵头人和各方的义务、工作、合同工作量比例；</w:t>
      </w:r>
    </w:p>
    <w:p w14:paraId="0F09EBA3">
      <w:pPr>
        <w:adjustRightInd w:val="0"/>
        <w:snapToGrid w:val="0"/>
        <w:ind w:firstLine="480" w:firstLineChars="200"/>
        <w:jc w:val="left"/>
        <w:rPr>
          <w:rFonts w:hint="eastAsia"/>
          <w:szCs w:val="21"/>
          <w:highlight w:val="none"/>
        </w:rPr>
      </w:pPr>
      <w:r>
        <w:rPr>
          <w:rFonts w:hint="eastAsia"/>
          <w:szCs w:val="21"/>
          <w:highlight w:val="none"/>
        </w:rPr>
        <w:t>（2）联合体各方均应当符合本章第3.1</w:t>
      </w:r>
      <w:r>
        <w:rPr>
          <w:rFonts w:hint="eastAsia" w:cs="宋体"/>
          <w:kern w:val="0"/>
          <w:szCs w:val="21"/>
          <w:highlight w:val="none"/>
          <w:lang w:val="zh-CN"/>
        </w:rPr>
        <w:t>款</w:t>
      </w:r>
      <w:r>
        <w:rPr>
          <w:rFonts w:hint="eastAsia"/>
          <w:szCs w:val="21"/>
          <w:highlight w:val="none"/>
        </w:rPr>
        <w:t>规定的投标人基本资格条件；</w:t>
      </w:r>
    </w:p>
    <w:p w14:paraId="0AA177FA">
      <w:pPr>
        <w:adjustRightInd w:val="0"/>
        <w:snapToGrid w:val="0"/>
        <w:ind w:firstLine="480" w:firstLineChars="200"/>
        <w:jc w:val="left"/>
        <w:rPr>
          <w:rFonts w:hint="eastAsia"/>
          <w:szCs w:val="21"/>
          <w:highlight w:val="none"/>
        </w:rPr>
      </w:pPr>
      <w:r>
        <w:rPr>
          <w:rFonts w:hint="eastAsia"/>
          <w:szCs w:val="21"/>
          <w:highlight w:val="none"/>
        </w:rPr>
        <w:t>（3）除</w:t>
      </w:r>
      <w:r>
        <w:rPr>
          <w:rFonts w:hint="eastAsia"/>
          <w:b/>
          <w:szCs w:val="21"/>
          <w:highlight w:val="none"/>
        </w:rPr>
        <w:t>投标须知前附表</w:t>
      </w:r>
      <w:r>
        <w:rPr>
          <w:rFonts w:hint="eastAsia"/>
          <w:szCs w:val="21"/>
          <w:highlight w:val="none"/>
        </w:rPr>
        <w:t>中另有规定，联合体各方中至少有一方应当符合本章第3.1</w:t>
      </w:r>
      <w:r>
        <w:rPr>
          <w:rFonts w:hint="eastAsia" w:cs="宋体"/>
          <w:kern w:val="0"/>
          <w:szCs w:val="21"/>
          <w:highlight w:val="none"/>
          <w:lang w:val="zh-CN"/>
        </w:rPr>
        <w:t>款</w:t>
      </w:r>
      <w:r>
        <w:rPr>
          <w:rFonts w:hint="eastAsia"/>
          <w:szCs w:val="21"/>
          <w:highlight w:val="none"/>
        </w:rPr>
        <w:t>规定的投标人特定资格条件；</w:t>
      </w:r>
    </w:p>
    <w:p w14:paraId="6F84684A">
      <w:pPr>
        <w:adjustRightInd w:val="0"/>
        <w:snapToGrid w:val="0"/>
        <w:ind w:firstLine="480" w:firstLineChars="200"/>
        <w:jc w:val="left"/>
        <w:rPr>
          <w:rFonts w:hint="eastAsia" w:cs="宋体"/>
          <w:kern w:val="0"/>
          <w:szCs w:val="21"/>
          <w:highlight w:val="none"/>
          <w:lang w:val="zh-CN"/>
        </w:rPr>
      </w:pPr>
      <w:r>
        <w:rPr>
          <w:rFonts w:hint="eastAsia"/>
          <w:szCs w:val="21"/>
          <w:highlight w:val="none"/>
        </w:rPr>
        <w:t>（4）</w:t>
      </w:r>
      <w:r>
        <w:rPr>
          <w:rFonts w:hint="eastAsia" w:cs="宋体"/>
          <w:kern w:val="0"/>
          <w:szCs w:val="21"/>
          <w:highlight w:val="none"/>
          <w:lang w:val="zh-CN"/>
        </w:rPr>
        <w:t>联合体各方不得再单独或与其他</w:t>
      </w:r>
      <w:r>
        <w:rPr>
          <w:rFonts w:hint="eastAsia"/>
          <w:szCs w:val="21"/>
          <w:highlight w:val="none"/>
        </w:rPr>
        <w:t>投标人</w:t>
      </w:r>
      <w:r>
        <w:rPr>
          <w:rFonts w:hint="eastAsia" w:cs="宋体"/>
          <w:kern w:val="0"/>
          <w:szCs w:val="21"/>
          <w:highlight w:val="none"/>
          <w:lang w:val="zh-CN"/>
        </w:rPr>
        <w:t>组成新的联合体参加同一项目的采购活动。</w:t>
      </w:r>
    </w:p>
    <w:p w14:paraId="45A1E11C">
      <w:pPr>
        <w:adjustRightInd w:val="0"/>
        <w:snapToGrid w:val="0"/>
        <w:rPr>
          <w:rFonts w:hint="eastAsia"/>
          <w:b/>
          <w:szCs w:val="21"/>
          <w:highlight w:val="none"/>
        </w:rPr>
      </w:pPr>
      <w:r>
        <w:rPr>
          <w:rFonts w:hint="eastAsia"/>
          <w:b/>
          <w:szCs w:val="21"/>
          <w:highlight w:val="none"/>
        </w:rPr>
        <w:t>7.现场考察</w:t>
      </w:r>
    </w:p>
    <w:p w14:paraId="6E45BD52">
      <w:pPr>
        <w:adjustRightInd w:val="0"/>
        <w:snapToGrid w:val="0"/>
        <w:ind w:firstLine="480" w:firstLineChars="200"/>
        <w:rPr>
          <w:rFonts w:hint="eastAsia"/>
          <w:szCs w:val="21"/>
          <w:highlight w:val="none"/>
        </w:rPr>
      </w:pPr>
      <w:r>
        <w:rPr>
          <w:rFonts w:hint="eastAsia"/>
          <w:szCs w:val="21"/>
          <w:highlight w:val="none"/>
        </w:rPr>
        <w:t>7.1投标人应按</w:t>
      </w:r>
      <w:r>
        <w:rPr>
          <w:rFonts w:hint="eastAsia"/>
          <w:b/>
          <w:szCs w:val="21"/>
          <w:highlight w:val="none"/>
        </w:rPr>
        <w:t>投标须知前附表</w:t>
      </w:r>
      <w:r>
        <w:rPr>
          <w:rFonts w:hint="eastAsia"/>
          <w:szCs w:val="21"/>
          <w:highlight w:val="none"/>
        </w:rPr>
        <w:t>中规定对招标采购项目现场和周围环境进行现场考察。</w:t>
      </w:r>
    </w:p>
    <w:p w14:paraId="047CDDF1">
      <w:pPr>
        <w:adjustRightInd w:val="0"/>
        <w:snapToGrid w:val="0"/>
        <w:ind w:firstLine="480" w:firstLineChars="200"/>
        <w:rPr>
          <w:rFonts w:hint="eastAsia"/>
          <w:szCs w:val="21"/>
          <w:highlight w:val="none"/>
        </w:rPr>
      </w:pPr>
      <w:r>
        <w:rPr>
          <w:rFonts w:hint="eastAsia"/>
          <w:szCs w:val="21"/>
          <w:highlight w:val="none"/>
        </w:rPr>
        <w:t>7.2考察现场的费用由投标人自己承担，考察期间所发生的人身伤害及财产损失由投标人自己负责。</w:t>
      </w:r>
    </w:p>
    <w:p w14:paraId="455B1070">
      <w:pPr>
        <w:adjustRightInd w:val="0"/>
        <w:snapToGrid w:val="0"/>
        <w:ind w:firstLine="480" w:firstLineChars="200"/>
        <w:jc w:val="left"/>
        <w:rPr>
          <w:rFonts w:hint="eastAsia"/>
          <w:b/>
          <w:szCs w:val="21"/>
          <w:highlight w:val="none"/>
        </w:rPr>
      </w:pPr>
      <w:r>
        <w:rPr>
          <w:rFonts w:hint="eastAsia"/>
          <w:szCs w:val="21"/>
          <w:highlight w:val="none"/>
        </w:rPr>
        <w:t>7.3采购人不对投标人据此而做出的推论、理解和结论负责。一旦中标，投标人不得以任何借口，而提出额外补偿，或延长合同期限的要求。</w:t>
      </w:r>
    </w:p>
    <w:p w14:paraId="519260C5">
      <w:pPr>
        <w:adjustRightInd w:val="0"/>
        <w:snapToGrid w:val="0"/>
        <w:jc w:val="left"/>
        <w:rPr>
          <w:rFonts w:hint="eastAsia"/>
          <w:b/>
          <w:szCs w:val="21"/>
          <w:highlight w:val="none"/>
        </w:rPr>
      </w:pPr>
      <w:r>
        <w:rPr>
          <w:rFonts w:hint="eastAsia"/>
          <w:b/>
          <w:szCs w:val="21"/>
          <w:highlight w:val="none"/>
        </w:rPr>
        <w:t>8.采购进口产品</w:t>
      </w:r>
    </w:p>
    <w:p w14:paraId="7797355D">
      <w:pPr>
        <w:adjustRightInd w:val="0"/>
        <w:snapToGrid w:val="0"/>
        <w:ind w:firstLine="480" w:firstLineChars="200"/>
        <w:jc w:val="left"/>
        <w:rPr>
          <w:rFonts w:hint="eastAsia" w:cs="宋体"/>
          <w:kern w:val="0"/>
          <w:szCs w:val="21"/>
          <w:highlight w:val="none"/>
        </w:rPr>
      </w:pPr>
      <w:r>
        <w:rPr>
          <w:rFonts w:hint="eastAsia"/>
          <w:szCs w:val="21"/>
          <w:highlight w:val="none"/>
        </w:rPr>
        <w:t>8.1除</w:t>
      </w:r>
      <w:r>
        <w:rPr>
          <w:rFonts w:hint="eastAsia"/>
          <w:b/>
          <w:szCs w:val="21"/>
          <w:highlight w:val="none"/>
        </w:rPr>
        <w:t>投标须知前附表</w:t>
      </w:r>
      <w:r>
        <w:rPr>
          <w:rFonts w:hint="eastAsia"/>
          <w:szCs w:val="21"/>
          <w:highlight w:val="none"/>
        </w:rPr>
        <w:t>另有规定外，本项目</w:t>
      </w:r>
      <w:r>
        <w:rPr>
          <w:rFonts w:hint="eastAsia" w:cs="宋体"/>
          <w:kern w:val="0"/>
          <w:szCs w:val="21"/>
          <w:highlight w:val="none"/>
        </w:rPr>
        <w:t>拒绝进口产品参加</w:t>
      </w:r>
      <w:r>
        <w:rPr>
          <w:rFonts w:hint="eastAsia"/>
          <w:szCs w:val="21"/>
          <w:highlight w:val="none"/>
        </w:rPr>
        <w:t>招标采购活动</w:t>
      </w:r>
      <w:r>
        <w:rPr>
          <w:rFonts w:hint="eastAsia" w:cs="宋体"/>
          <w:kern w:val="0"/>
          <w:szCs w:val="21"/>
          <w:highlight w:val="none"/>
        </w:rPr>
        <w:t>。</w:t>
      </w:r>
    </w:p>
    <w:p w14:paraId="7EE71BC7">
      <w:pPr>
        <w:adjustRightInd w:val="0"/>
        <w:snapToGrid w:val="0"/>
        <w:ind w:firstLine="480" w:firstLineChars="200"/>
        <w:jc w:val="left"/>
        <w:rPr>
          <w:rFonts w:hint="eastAsia" w:cs="宋体"/>
          <w:kern w:val="0"/>
          <w:szCs w:val="21"/>
          <w:highlight w:val="none"/>
        </w:rPr>
      </w:pPr>
      <w:r>
        <w:rPr>
          <w:rFonts w:hint="eastAsia" w:cs="宋体"/>
          <w:kern w:val="0"/>
          <w:szCs w:val="21"/>
          <w:highlight w:val="none"/>
        </w:rPr>
        <w:t>8.2</w:t>
      </w:r>
      <w:r>
        <w:rPr>
          <w:rFonts w:hint="eastAsia"/>
          <w:szCs w:val="21"/>
          <w:highlight w:val="none"/>
        </w:rPr>
        <w:t>本章第8.1</w:t>
      </w:r>
      <w:r>
        <w:rPr>
          <w:rFonts w:hint="eastAsia" w:cs="宋体"/>
          <w:kern w:val="0"/>
          <w:szCs w:val="21"/>
          <w:highlight w:val="none"/>
          <w:lang w:val="zh-CN"/>
        </w:rPr>
        <w:t>款</w:t>
      </w:r>
      <w:r>
        <w:rPr>
          <w:rFonts w:hint="eastAsia"/>
          <w:szCs w:val="21"/>
          <w:highlight w:val="none"/>
        </w:rPr>
        <w:t>规定</w:t>
      </w:r>
      <w:r>
        <w:rPr>
          <w:rFonts w:cs="宋体"/>
          <w:kern w:val="0"/>
          <w:szCs w:val="21"/>
          <w:highlight w:val="none"/>
        </w:rPr>
        <w:t>同意购买进口产品的</w:t>
      </w:r>
      <w:r>
        <w:rPr>
          <w:rFonts w:hint="eastAsia" w:cs="宋体"/>
          <w:kern w:val="0"/>
          <w:szCs w:val="21"/>
          <w:highlight w:val="none"/>
        </w:rPr>
        <w:t>，</w:t>
      </w:r>
      <w:r>
        <w:rPr>
          <w:rFonts w:hint="eastAsia"/>
          <w:szCs w:val="21"/>
          <w:highlight w:val="none"/>
        </w:rPr>
        <w:t>本项目</w:t>
      </w:r>
      <w:r>
        <w:rPr>
          <w:rFonts w:hint="eastAsia" w:cs="宋体"/>
          <w:kern w:val="0"/>
          <w:szCs w:val="21"/>
          <w:highlight w:val="none"/>
          <w:lang w:val="zh-CN"/>
        </w:rPr>
        <w:t>采购活动</w:t>
      </w:r>
      <w:r>
        <w:rPr>
          <w:rFonts w:hint="eastAsia" w:cs="宋体"/>
          <w:kern w:val="0"/>
          <w:szCs w:val="21"/>
          <w:highlight w:val="none"/>
        </w:rPr>
        <w:t>不</w:t>
      </w:r>
      <w:r>
        <w:rPr>
          <w:rFonts w:cs="宋体"/>
          <w:kern w:val="0"/>
          <w:szCs w:val="21"/>
          <w:highlight w:val="none"/>
        </w:rPr>
        <w:t>限制满足</w:t>
      </w:r>
      <w:r>
        <w:rPr>
          <w:rFonts w:hint="eastAsia"/>
          <w:szCs w:val="21"/>
          <w:highlight w:val="none"/>
        </w:rPr>
        <w:t>招标文件要求</w:t>
      </w:r>
      <w:r>
        <w:rPr>
          <w:rFonts w:cs="宋体"/>
          <w:kern w:val="0"/>
          <w:szCs w:val="21"/>
          <w:highlight w:val="none"/>
        </w:rPr>
        <w:t>的国内产品参与</w:t>
      </w:r>
      <w:r>
        <w:rPr>
          <w:rFonts w:hint="eastAsia"/>
          <w:szCs w:val="21"/>
          <w:highlight w:val="none"/>
        </w:rPr>
        <w:t>招标</w:t>
      </w:r>
      <w:r>
        <w:rPr>
          <w:rFonts w:cs="宋体"/>
          <w:kern w:val="0"/>
          <w:szCs w:val="21"/>
          <w:highlight w:val="none"/>
        </w:rPr>
        <w:t>。</w:t>
      </w:r>
    </w:p>
    <w:p w14:paraId="0321B02F">
      <w:pPr>
        <w:adjustRightInd w:val="0"/>
        <w:snapToGrid w:val="0"/>
        <w:jc w:val="left"/>
        <w:rPr>
          <w:rFonts w:hint="eastAsia"/>
          <w:b/>
          <w:szCs w:val="21"/>
          <w:highlight w:val="none"/>
        </w:rPr>
      </w:pPr>
      <w:r>
        <w:rPr>
          <w:rFonts w:hint="eastAsia"/>
          <w:b/>
          <w:bCs/>
          <w:szCs w:val="21"/>
          <w:highlight w:val="none"/>
        </w:rPr>
        <w:t>9.</w:t>
      </w:r>
      <w:r>
        <w:rPr>
          <w:rFonts w:hint="eastAsia"/>
          <w:b/>
          <w:szCs w:val="21"/>
          <w:highlight w:val="none"/>
        </w:rPr>
        <w:t xml:space="preserve">政府采购政策支持 </w:t>
      </w:r>
    </w:p>
    <w:p w14:paraId="3E70BD89">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9.1投标人符合支持中小企业发展优惠政策的，报价可以优惠扣除。本项目价格扣除比例见</w:t>
      </w:r>
      <w:r>
        <w:rPr>
          <w:rFonts w:hint="eastAsia" w:hAnsi="宋体"/>
          <w:b/>
          <w:color w:val="000000"/>
          <w:sz w:val="21"/>
          <w:szCs w:val="21"/>
          <w:highlight w:val="none"/>
        </w:rPr>
        <w:t>投标须知前附表</w:t>
      </w:r>
      <w:r>
        <w:rPr>
          <w:rFonts w:hint="eastAsia" w:hAnsi="宋体"/>
          <w:color w:val="000000"/>
          <w:sz w:val="21"/>
          <w:szCs w:val="21"/>
          <w:highlight w:val="none"/>
        </w:rPr>
        <w:t>。</w:t>
      </w:r>
    </w:p>
    <w:p w14:paraId="06240F0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9.2产品符合政府采购强制采购政策的，实行强制采购；符合政府采购优先采购政策的，产品享受节能产品、环境标志产品产品优惠(由投标人在报价文件中选择并填报，评审时进行价格、技术</w:t>
      </w:r>
      <w:r>
        <w:rPr>
          <w:rFonts w:hint="eastAsia" w:hAnsi="宋体" w:cs="宋体"/>
          <w:kern w:val="0"/>
          <w:sz w:val="21"/>
          <w:szCs w:val="21"/>
          <w:highlight w:val="none"/>
        </w:rPr>
        <w:t>优惠</w:t>
      </w:r>
      <w:r>
        <w:rPr>
          <w:rFonts w:hint="eastAsia" w:hAnsi="宋体"/>
          <w:sz w:val="21"/>
          <w:szCs w:val="21"/>
          <w:highlight w:val="none"/>
        </w:rPr>
        <w:t>)；投标人符合</w:t>
      </w:r>
      <w:r>
        <w:rPr>
          <w:rFonts w:hint="eastAsia" w:hAnsi="宋体" w:cs="宋体"/>
          <w:bCs/>
          <w:kern w:val="0"/>
          <w:sz w:val="21"/>
          <w:szCs w:val="21"/>
          <w:highlight w:val="none"/>
        </w:rPr>
        <w:t>支持</w:t>
      </w:r>
      <w:r>
        <w:rPr>
          <w:rFonts w:hint="eastAsia" w:hAnsi="宋体"/>
          <w:sz w:val="21"/>
          <w:szCs w:val="21"/>
          <w:highlight w:val="none"/>
        </w:rPr>
        <w:t>中小企业发展政策优惠的，可以与同时享受节能产品、环境标志产品产品优惠累加优惠。财政部门关于政府采购强制采购、优先采购的政策规定可在中国政府采购网(www.ccgp.gov.cn)查询。</w:t>
      </w:r>
    </w:p>
    <w:p w14:paraId="306183B8">
      <w:pPr>
        <w:adjustRightInd w:val="0"/>
        <w:snapToGrid w:val="0"/>
        <w:ind w:firstLine="480" w:firstLineChars="200"/>
        <w:jc w:val="left"/>
        <w:rPr>
          <w:rFonts w:hint="eastAsia"/>
          <w:szCs w:val="21"/>
          <w:highlight w:val="none"/>
        </w:rPr>
      </w:pPr>
      <w:r>
        <w:rPr>
          <w:rFonts w:hint="eastAsia"/>
          <w:szCs w:val="21"/>
          <w:highlight w:val="none"/>
        </w:rPr>
        <w:t>9.3同一项目中部分产品属于优先采购政策的，评审时只对该部分产品加分。</w:t>
      </w:r>
    </w:p>
    <w:p w14:paraId="2806ED35">
      <w:pPr>
        <w:adjustRightInd w:val="0"/>
        <w:snapToGrid w:val="0"/>
        <w:ind w:firstLine="480" w:firstLineChars="200"/>
        <w:jc w:val="left"/>
        <w:rPr>
          <w:rFonts w:hint="eastAsia"/>
          <w:szCs w:val="21"/>
          <w:highlight w:val="none"/>
        </w:rPr>
      </w:pPr>
      <w:r>
        <w:rPr>
          <w:rFonts w:hint="eastAsia"/>
          <w:szCs w:val="21"/>
          <w:highlight w:val="none"/>
        </w:rPr>
        <w:t>9.4为</w:t>
      </w:r>
      <w:r>
        <w:rPr>
          <w:rFonts w:hint="eastAsia" w:cs="宋体"/>
          <w:szCs w:val="21"/>
          <w:highlight w:val="none"/>
        </w:rPr>
        <w:t>推进政府采购诚信体系建设，</w:t>
      </w:r>
      <w:r>
        <w:rPr>
          <w:rFonts w:hint="eastAsia"/>
          <w:szCs w:val="21"/>
          <w:highlight w:val="none"/>
        </w:rPr>
        <w:t>投标人在签署相关承诺，提供相关信息前，应认真阅读财政部门相关政策规定。</w:t>
      </w:r>
    </w:p>
    <w:p w14:paraId="2CC6C90C">
      <w:pPr>
        <w:pStyle w:val="3"/>
        <w:numPr>
          <w:ilvl w:val="0"/>
          <w:numId w:val="0"/>
        </w:numPr>
        <w:ind w:left="576" w:hanging="576"/>
        <w:jc w:val="center"/>
        <w:rPr>
          <w:rFonts w:hint="eastAsia" w:ascii="宋体" w:hAnsi="宋体"/>
          <w:sz w:val="21"/>
          <w:szCs w:val="21"/>
          <w:highlight w:val="none"/>
        </w:rPr>
      </w:pPr>
      <w:bookmarkStart w:id="38" w:name="_Toc420948009"/>
      <w:bookmarkStart w:id="39" w:name="_Toc38878760"/>
      <w:r>
        <w:rPr>
          <w:rFonts w:hint="eastAsia" w:ascii="宋体" w:hAnsi="宋体"/>
          <w:sz w:val="21"/>
          <w:szCs w:val="21"/>
          <w:highlight w:val="none"/>
        </w:rPr>
        <w:t>二、招标</w:t>
      </w:r>
      <w:bookmarkEnd w:id="38"/>
      <w:r>
        <w:rPr>
          <w:rFonts w:hint="eastAsia" w:ascii="宋体" w:hAnsi="宋体"/>
          <w:sz w:val="21"/>
          <w:szCs w:val="21"/>
          <w:highlight w:val="none"/>
        </w:rPr>
        <w:t>文件</w:t>
      </w:r>
      <w:bookmarkEnd w:id="39"/>
    </w:p>
    <w:p w14:paraId="611B8D13">
      <w:pPr>
        <w:adjustRightInd w:val="0"/>
        <w:snapToGrid w:val="0"/>
        <w:rPr>
          <w:rFonts w:hint="eastAsia"/>
          <w:b/>
          <w:bCs/>
          <w:szCs w:val="21"/>
          <w:highlight w:val="none"/>
        </w:rPr>
      </w:pPr>
      <w:r>
        <w:rPr>
          <w:rFonts w:hint="eastAsia"/>
          <w:b/>
          <w:bCs/>
          <w:szCs w:val="21"/>
          <w:highlight w:val="none"/>
        </w:rPr>
        <w:t>10.招标文件的组成</w:t>
      </w:r>
    </w:p>
    <w:p w14:paraId="7900092F">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10.1 招标文件由下列文件组成：</w:t>
      </w:r>
    </w:p>
    <w:p w14:paraId="116D56E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第一章 招标公告</w:t>
      </w:r>
    </w:p>
    <w:p w14:paraId="2AAA7A2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第二章 投标须知</w:t>
      </w:r>
    </w:p>
    <w:p w14:paraId="691D45D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第三章 评标方法及标准</w:t>
      </w:r>
    </w:p>
    <w:p w14:paraId="230E40B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第四章 政府采购合同格式条款</w:t>
      </w:r>
    </w:p>
    <w:p w14:paraId="74D5C256">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第五章 采购需求</w:t>
      </w:r>
    </w:p>
    <w:p w14:paraId="478D41DF">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第六章 投标文件格式</w:t>
      </w:r>
    </w:p>
    <w:p w14:paraId="1124DFC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10.2</w:t>
      </w:r>
      <w:r>
        <w:rPr>
          <w:rFonts w:hint="eastAsia" w:hAnsi="宋体"/>
          <w:bCs/>
          <w:sz w:val="21"/>
          <w:szCs w:val="21"/>
          <w:highlight w:val="none"/>
        </w:rPr>
        <w:t>本章第11.1</w:t>
      </w:r>
      <w:r>
        <w:rPr>
          <w:rFonts w:hint="eastAsia" w:hAnsi="宋体" w:cs="宋体"/>
          <w:kern w:val="0"/>
          <w:sz w:val="21"/>
          <w:szCs w:val="21"/>
          <w:highlight w:val="none"/>
          <w:lang w:val="zh-CN"/>
        </w:rPr>
        <w:t>款</w:t>
      </w:r>
      <w:r>
        <w:rPr>
          <w:rFonts w:hint="eastAsia" w:hAnsi="宋体"/>
          <w:bCs/>
          <w:sz w:val="21"/>
          <w:szCs w:val="21"/>
          <w:highlight w:val="none"/>
        </w:rPr>
        <w:t>规定的</w:t>
      </w:r>
      <w:r>
        <w:rPr>
          <w:rFonts w:hint="eastAsia" w:hAnsi="宋体" w:cs="宋体"/>
          <w:kern w:val="0"/>
          <w:sz w:val="21"/>
          <w:szCs w:val="21"/>
          <w:highlight w:val="none"/>
        </w:rPr>
        <w:t>提交投标文件截止时间前对招标文件澄清或者修改内容，为招标文件的组成部分。</w:t>
      </w:r>
    </w:p>
    <w:p w14:paraId="4EA8BD7D">
      <w:pPr>
        <w:adjustRightInd w:val="0"/>
        <w:snapToGrid w:val="0"/>
        <w:ind w:firstLine="480" w:firstLineChars="200"/>
        <w:rPr>
          <w:rFonts w:hint="eastAsia"/>
          <w:szCs w:val="21"/>
          <w:highlight w:val="none"/>
        </w:rPr>
      </w:pPr>
      <w:r>
        <w:rPr>
          <w:rFonts w:hint="eastAsia"/>
          <w:szCs w:val="21"/>
          <w:highlight w:val="none"/>
        </w:rPr>
        <w:t>10.3投标人应仔细阅读</w:t>
      </w:r>
      <w:r>
        <w:rPr>
          <w:rFonts w:hint="eastAsia"/>
          <w:bCs/>
          <w:szCs w:val="21"/>
          <w:highlight w:val="none"/>
        </w:rPr>
        <w:t>招标文件</w:t>
      </w:r>
      <w:r>
        <w:rPr>
          <w:rFonts w:hint="eastAsia"/>
          <w:szCs w:val="21"/>
          <w:highlight w:val="none"/>
        </w:rPr>
        <w:t>的全部内容，按照</w:t>
      </w:r>
      <w:r>
        <w:rPr>
          <w:rFonts w:hint="eastAsia"/>
          <w:bCs/>
          <w:szCs w:val="21"/>
          <w:highlight w:val="none"/>
        </w:rPr>
        <w:t>招标文件</w:t>
      </w:r>
      <w:r>
        <w:rPr>
          <w:rFonts w:hint="eastAsia"/>
          <w:szCs w:val="21"/>
          <w:highlight w:val="none"/>
        </w:rPr>
        <w:t>要求编制投标文件。任何对</w:t>
      </w:r>
      <w:r>
        <w:rPr>
          <w:rFonts w:hint="eastAsia"/>
          <w:bCs/>
          <w:szCs w:val="21"/>
          <w:highlight w:val="none"/>
        </w:rPr>
        <w:t>招标文件</w:t>
      </w:r>
      <w:r>
        <w:rPr>
          <w:rFonts w:hint="eastAsia"/>
          <w:szCs w:val="21"/>
          <w:highlight w:val="none"/>
        </w:rPr>
        <w:t>的忽略或误解不能作为投标文件存在缺陷或瑕疵的理由，其风险由投标人承担。</w:t>
      </w:r>
    </w:p>
    <w:p w14:paraId="3A7A3E1A">
      <w:pPr>
        <w:pStyle w:val="24"/>
        <w:adjustRightInd w:val="0"/>
        <w:snapToGrid w:val="0"/>
        <w:spacing w:line="360" w:lineRule="auto"/>
        <w:rPr>
          <w:rFonts w:hint="eastAsia" w:hAnsi="宋体"/>
          <w:sz w:val="21"/>
          <w:szCs w:val="21"/>
          <w:highlight w:val="none"/>
        </w:rPr>
      </w:pPr>
      <w:r>
        <w:rPr>
          <w:rFonts w:hint="eastAsia" w:hAnsi="宋体"/>
          <w:b/>
          <w:sz w:val="21"/>
          <w:szCs w:val="21"/>
          <w:highlight w:val="none"/>
        </w:rPr>
        <w:t>11.</w:t>
      </w:r>
      <w:r>
        <w:rPr>
          <w:rFonts w:hint="eastAsia" w:hAnsi="宋体" w:cs="宋体"/>
          <w:b/>
          <w:kern w:val="0"/>
          <w:sz w:val="21"/>
          <w:szCs w:val="21"/>
          <w:highlight w:val="none"/>
        </w:rPr>
        <w:t>提交投标文件</w:t>
      </w:r>
      <w:r>
        <w:rPr>
          <w:rFonts w:hint="eastAsia" w:hAnsi="宋体"/>
          <w:b/>
          <w:sz w:val="21"/>
          <w:szCs w:val="21"/>
          <w:highlight w:val="none"/>
        </w:rPr>
        <w:t>的</w:t>
      </w:r>
      <w:r>
        <w:rPr>
          <w:rFonts w:hint="eastAsia" w:hAnsi="宋体" w:cs="宋体"/>
          <w:b/>
          <w:kern w:val="0"/>
          <w:sz w:val="21"/>
          <w:szCs w:val="21"/>
          <w:highlight w:val="none"/>
        </w:rPr>
        <w:t>截止</w:t>
      </w:r>
      <w:r>
        <w:rPr>
          <w:rFonts w:hint="eastAsia" w:hAnsi="宋体"/>
          <w:b/>
          <w:sz w:val="21"/>
          <w:szCs w:val="21"/>
          <w:highlight w:val="none"/>
        </w:rPr>
        <w:t>时间</w:t>
      </w:r>
    </w:p>
    <w:p w14:paraId="7EAD2F2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11.1投标人</w:t>
      </w:r>
      <w:r>
        <w:rPr>
          <w:rFonts w:hint="eastAsia" w:hAnsi="宋体" w:cs="宋体"/>
          <w:kern w:val="0"/>
          <w:sz w:val="21"/>
          <w:szCs w:val="21"/>
          <w:highlight w:val="none"/>
        </w:rPr>
        <w:t>提交投标文件截止</w:t>
      </w:r>
      <w:r>
        <w:rPr>
          <w:rFonts w:hint="eastAsia" w:hAnsi="宋体"/>
          <w:sz w:val="21"/>
          <w:szCs w:val="21"/>
          <w:highlight w:val="none"/>
        </w:rPr>
        <w:t>时间见</w:t>
      </w:r>
      <w:r>
        <w:rPr>
          <w:rFonts w:hint="eastAsia" w:hAnsi="宋体"/>
          <w:b/>
          <w:sz w:val="21"/>
          <w:szCs w:val="21"/>
          <w:highlight w:val="none"/>
        </w:rPr>
        <w:t>投标须知前附表</w:t>
      </w:r>
      <w:r>
        <w:rPr>
          <w:rFonts w:hint="eastAsia" w:hAnsi="宋体"/>
          <w:sz w:val="21"/>
          <w:szCs w:val="21"/>
          <w:highlight w:val="none"/>
        </w:rPr>
        <w:t>。</w:t>
      </w:r>
    </w:p>
    <w:p w14:paraId="54F7D95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11.2投标截止时间结束后参加投标的投标人不足三家的，除采购任务取消情形外，采购人应当报告设区的市、自治州以上人民政府财政部门，由财政部门按照以下原则处理：</w:t>
      </w:r>
    </w:p>
    <w:p w14:paraId="4359D285">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 xml:space="preserve">（一）招标文件没有不合理条款、招标公告时间及程序符合规定的，同意采取竞争性谈判、询价或者单一来源方式采购； </w:t>
      </w:r>
    </w:p>
    <w:p w14:paraId="67EE1214">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（二）招标文件存在不合理条款的，招标公告时间及程序不符合规定的，应予废标，并责成采购人依法重新招标。</w:t>
      </w:r>
    </w:p>
    <w:p w14:paraId="33387A55">
      <w:pPr>
        <w:adjustRightInd w:val="0"/>
        <w:snapToGrid w:val="0"/>
        <w:rPr>
          <w:rFonts w:hint="eastAsia"/>
          <w:b/>
          <w:bCs/>
          <w:szCs w:val="21"/>
          <w:highlight w:val="none"/>
        </w:rPr>
      </w:pPr>
      <w:r>
        <w:rPr>
          <w:rFonts w:hint="eastAsia"/>
          <w:b/>
          <w:bCs/>
          <w:szCs w:val="21"/>
          <w:highlight w:val="none"/>
        </w:rPr>
        <w:t>12.招标文件的澄清</w:t>
      </w:r>
      <w:r>
        <w:rPr>
          <w:rFonts w:hint="eastAsia"/>
          <w:b/>
          <w:kern w:val="0"/>
          <w:szCs w:val="21"/>
          <w:highlight w:val="none"/>
          <w:lang w:val="zh-CN"/>
        </w:rPr>
        <w:t>或者</w:t>
      </w:r>
      <w:r>
        <w:rPr>
          <w:rFonts w:hint="eastAsia"/>
          <w:b/>
          <w:bCs/>
          <w:szCs w:val="21"/>
          <w:highlight w:val="none"/>
        </w:rPr>
        <w:t>修改</w:t>
      </w:r>
    </w:p>
    <w:p w14:paraId="18B9EC64">
      <w:pPr>
        <w:pStyle w:val="24"/>
        <w:adjustRightInd w:val="0"/>
        <w:snapToGrid w:val="0"/>
        <w:spacing w:line="360" w:lineRule="auto"/>
        <w:ind w:firstLine="420" w:firstLineChars="200"/>
        <w:rPr>
          <w:rFonts w:hint="eastAsia" w:hAnsi="宋体"/>
          <w:sz w:val="21"/>
          <w:szCs w:val="21"/>
          <w:highlight w:val="none"/>
        </w:rPr>
      </w:pPr>
      <w:bookmarkStart w:id="40" w:name="_Toc420948010"/>
      <w:r>
        <w:rPr>
          <w:rFonts w:hint="eastAsia" w:hAnsi="宋体"/>
          <w:sz w:val="21"/>
          <w:szCs w:val="21"/>
          <w:highlight w:val="none"/>
        </w:rPr>
        <w:t>12.1采购人或者招标代理机构可以对已发出的招标文件进行必要的澄清或者修改。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w:t>
      </w:r>
    </w:p>
    <w:p w14:paraId="2FAE862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12.2招标代理机构可以视采购具体情况，延长投标截止时间和开标时间，但应当在规定的提交投标文件的截止时间三日前，将变更时间书面通知所有招标文件收受人，并在指定的媒体上发布更正公告。</w:t>
      </w:r>
    </w:p>
    <w:p w14:paraId="555E61FC">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12.3投标人认为招标文件存在歧视性条款的，应在收到招标文件之日或者招标文件公告期限届满之日起7个工作日内以书面形式向本代理机构提出。</w:t>
      </w:r>
    </w:p>
    <w:p w14:paraId="20E1E122">
      <w:pPr>
        <w:pStyle w:val="3"/>
        <w:numPr>
          <w:ilvl w:val="0"/>
          <w:numId w:val="0"/>
        </w:numPr>
        <w:ind w:left="576" w:hanging="576"/>
        <w:jc w:val="center"/>
        <w:rPr>
          <w:rFonts w:hint="eastAsia" w:ascii="宋体" w:hAnsi="宋体"/>
          <w:sz w:val="21"/>
          <w:szCs w:val="21"/>
          <w:highlight w:val="none"/>
        </w:rPr>
      </w:pPr>
      <w:bookmarkStart w:id="41" w:name="_Toc38878761"/>
      <w:r>
        <w:rPr>
          <w:rFonts w:hint="eastAsia" w:ascii="宋体" w:hAnsi="宋体"/>
          <w:sz w:val="21"/>
          <w:szCs w:val="21"/>
          <w:highlight w:val="none"/>
        </w:rPr>
        <w:t>三、投标文件</w:t>
      </w:r>
      <w:bookmarkEnd w:id="40"/>
      <w:bookmarkEnd w:id="41"/>
    </w:p>
    <w:p w14:paraId="14868E00">
      <w:pPr>
        <w:adjustRightInd w:val="0"/>
        <w:snapToGrid w:val="0"/>
        <w:rPr>
          <w:rFonts w:hint="eastAsia"/>
          <w:b/>
          <w:bCs/>
          <w:szCs w:val="21"/>
          <w:highlight w:val="none"/>
        </w:rPr>
      </w:pPr>
      <w:r>
        <w:rPr>
          <w:rFonts w:hint="eastAsia"/>
          <w:b/>
          <w:bCs/>
          <w:szCs w:val="21"/>
          <w:highlight w:val="none"/>
        </w:rPr>
        <w:t>13.一般要求</w:t>
      </w:r>
    </w:p>
    <w:p w14:paraId="090255C5">
      <w:pPr>
        <w:adjustRightInd w:val="0"/>
        <w:snapToGrid w:val="0"/>
        <w:ind w:firstLine="480" w:firstLineChars="200"/>
        <w:rPr>
          <w:rFonts w:hint="eastAsia"/>
          <w:bCs/>
          <w:szCs w:val="21"/>
          <w:highlight w:val="none"/>
        </w:rPr>
      </w:pPr>
      <w:r>
        <w:rPr>
          <w:rFonts w:hint="eastAsia"/>
          <w:bCs/>
          <w:szCs w:val="21"/>
          <w:highlight w:val="none"/>
        </w:rPr>
        <w:t xml:space="preserve">13.1 </w:t>
      </w:r>
      <w:r>
        <w:rPr>
          <w:rFonts w:hint="eastAsia"/>
          <w:szCs w:val="21"/>
          <w:highlight w:val="none"/>
        </w:rPr>
        <w:t>投标人</w:t>
      </w:r>
      <w:r>
        <w:rPr>
          <w:rFonts w:hint="eastAsia"/>
          <w:bCs/>
          <w:szCs w:val="21"/>
          <w:highlight w:val="none"/>
        </w:rPr>
        <w:t>应仔细阅读招标文件的所有内容，按招标文件的要求编制投标文件，并保证所提供的全部资料的真实性，以使其投标文件对招标文件做出实质性的投标。</w:t>
      </w:r>
    </w:p>
    <w:p w14:paraId="39A109C9">
      <w:pPr>
        <w:adjustRightInd w:val="0"/>
        <w:snapToGrid w:val="0"/>
        <w:ind w:firstLine="480" w:firstLineChars="200"/>
        <w:rPr>
          <w:rFonts w:hint="eastAsia"/>
          <w:bCs/>
          <w:szCs w:val="21"/>
          <w:highlight w:val="none"/>
        </w:rPr>
      </w:pPr>
      <w:r>
        <w:rPr>
          <w:rFonts w:hint="eastAsia"/>
          <w:bCs/>
          <w:szCs w:val="21"/>
          <w:highlight w:val="none"/>
        </w:rPr>
        <w:t xml:space="preserve">13.2 </w:t>
      </w:r>
      <w:r>
        <w:rPr>
          <w:rFonts w:hint="eastAsia"/>
          <w:szCs w:val="21"/>
          <w:highlight w:val="none"/>
        </w:rPr>
        <w:t>投标人提交的投标文件及投标人与采购人或招标代理机构就有关招标的所有来往函电均使用中文。投标人可以提交其它语言的资料，但应附中文注释，在有差异时以中文为准。</w:t>
      </w:r>
    </w:p>
    <w:p w14:paraId="720125BB">
      <w:pPr>
        <w:pStyle w:val="24"/>
        <w:adjustRightInd w:val="0"/>
        <w:snapToGrid w:val="0"/>
        <w:spacing w:line="360" w:lineRule="auto"/>
        <w:ind w:firstLine="420" w:firstLineChars="200"/>
        <w:rPr>
          <w:rFonts w:hint="eastAsia" w:hAnsi="宋体"/>
          <w:sz w:val="21"/>
          <w:szCs w:val="21"/>
          <w:highlight w:val="none"/>
        </w:rPr>
      </w:pPr>
      <w:r>
        <w:rPr>
          <w:rFonts w:hint="eastAsia" w:hAnsi="宋体"/>
          <w:bCs/>
          <w:sz w:val="21"/>
          <w:szCs w:val="21"/>
          <w:highlight w:val="none"/>
        </w:rPr>
        <w:t xml:space="preserve">13.3 </w:t>
      </w:r>
      <w:r>
        <w:rPr>
          <w:rFonts w:hint="eastAsia" w:hAnsi="宋体"/>
          <w:sz w:val="21"/>
          <w:szCs w:val="21"/>
          <w:highlight w:val="none"/>
        </w:rPr>
        <w:t>计量单位应使用我国法定计量单位，未列明时应默认为我国法定计量单位。</w:t>
      </w:r>
    </w:p>
    <w:p w14:paraId="31115C3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13.4 投标文件应采用书面形式，传真、电子邮件形式的投标文件概不接受。</w:t>
      </w:r>
    </w:p>
    <w:p w14:paraId="020C59D2">
      <w:pPr>
        <w:adjustRightInd w:val="0"/>
        <w:snapToGrid w:val="0"/>
        <w:ind w:firstLine="480" w:firstLineChars="200"/>
        <w:rPr>
          <w:rFonts w:hint="eastAsia"/>
          <w:szCs w:val="21"/>
          <w:highlight w:val="none"/>
        </w:rPr>
      </w:pPr>
      <w:r>
        <w:rPr>
          <w:rFonts w:hint="eastAsia"/>
          <w:szCs w:val="21"/>
          <w:highlight w:val="none"/>
        </w:rPr>
        <w:t>13.5 投标人应按招标文件中提供的投标文件格式填写。</w:t>
      </w:r>
    </w:p>
    <w:p w14:paraId="2EDE6F9C">
      <w:pPr>
        <w:adjustRightInd w:val="0"/>
        <w:snapToGrid w:val="0"/>
        <w:rPr>
          <w:rFonts w:hint="eastAsia"/>
          <w:b/>
          <w:bCs/>
          <w:szCs w:val="21"/>
          <w:highlight w:val="none"/>
        </w:rPr>
      </w:pPr>
      <w:r>
        <w:rPr>
          <w:rFonts w:hint="eastAsia"/>
          <w:b/>
          <w:bCs/>
          <w:szCs w:val="21"/>
          <w:highlight w:val="none"/>
        </w:rPr>
        <w:t>14.</w:t>
      </w:r>
      <w:r>
        <w:rPr>
          <w:rFonts w:hint="eastAsia"/>
          <w:b/>
          <w:szCs w:val="21"/>
          <w:highlight w:val="none"/>
        </w:rPr>
        <w:t>投标文件</w:t>
      </w:r>
      <w:r>
        <w:rPr>
          <w:rFonts w:hint="eastAsia"/>
          <w:b/>
          <w:bCs/>
          <w:szCs w:val="21"/>
          <w:highlight w:val="none"/>
        </w:rPr>
        <w:t>的组成</w:t>
      </w:r>
    </w:p>
    <w:p w14:paraId="266C6E7F">
      <w:pPr>
        <w:adjustRightInd w:val="0"/>
        <w:snapToGrid w:val="0"/>
        <w:ind w:firstLine="480" w:firstLineChars="200"/>
        <w:jc w:val="left"/>
        <w:rPr>
          <w:rFonts w:hint="eastAsia"/>
          <w:color w:val="000000"/>
          <w:szCs w:val="21"/>
          <w:highlight w:val="none"/>
        </w:rPr>
      </w:pPr>
      <w:bookmarkStart w:id="42" w:name="_Toc420948011"/>
      <w:bookmarkStart w:id="43" w:name="_Toc427862404"/>
      <w:r>
        <w:rPr>
          <w:rFonts w:hint="eastAsia"/>
          <w:color w:val="000000"/>
          <w:szCs w:val="21"/>
          <w:highlight w:val="none"/>
        </w:rPr>
        <w:t>14.1 投标文件包括下列内容：</w:t>
      </w:r>
      <w:bookmarkEnd w:id="42"/>
      <w:bookmarkEnd w:id="43"/>
      <w:r>
        <w:rPr>
          <w:rFonts w:hint="eastAsia"/>
          <w:color w:val="000000"/>
          <w:szCs w:val="21"/>
          <w:highlight w:val="none"/>
        </w:rPr>
        <w:t xml:space="preserve"> </w:t>
      </w:r>
    </w:p>
    <w:p w14:paraId="28D7B8CF">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（1）资格性自查表</w:t>
      </w:r>
    </w:p>
    <w:p w14:paraId="76D9994A">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（2）投标函</w:t>
      </w:r>
    </w:p>
    <w:p w14:paraId="14DA9FA6">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（3）报价一览表及投标报价明细表</w:t>
      </w:r>
      <w:r>
        <w:rPr>
          <w:rFonts w:hint="eastAsia" w:hAnsi="宋体"/>
          <w:color w:val="000000"/>
          <w:sz w:val="21"/>
          <w:szCs w:val="21"/>
          <w:highlight w:val="none"/>
        </w:rPr>
        <w:tab/>
      </w:r>
      <w:r>
        <w:rPr>
          <w:rFonts w:hint="eastAsia" w:hAnsi="宋体"/>
          <w:color w:val="000000"/>
          <w:sz w:val="21"/>
          <w:szCs w:val="21"/>
          <w:highlight w:val="none"/>
        </w:rPr>
        <w:t xml:space="preserve"> </w:t>
      </w:r>
    </w:p>
    <w:p w14:paraId="222B6F36">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（4）投标人基本情况</w:t>
      </w:r>
      <w:r>
        <w:rPr>
          <w:rFonts w:hint="eastAsia" w:hAnsi="宋体"/>
          <w:color w:val="000000"/>
          <w:sz w:val="21"/>
          <w:szCs w:val="21"/>
          <w:highlight w:val="none"/>
        </w:rPr>
        <w:tab/>
      </w:r>
      <w:r>
        <w:rPr>
          <w:rFonts w:hint="eastAsia" w:hAnsi="宋体"/>
          <w:color w:val="000000"/>
          <w:sz w:val="21"/>
          <w:szCs w:val="21"/>
          <w:highlight w:val="none"/>
        </w:rPr>
        <w:t xml:space="preserve"> </w:t>
      </w:r>
    </w:p>
    <w:p w14:paraId="77561E2A">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（5）投标人的资格审查材料</w:t>
      </w:r>
      <w:r>
        <w:rPr>
          <w:rFonts w:hint="eastAsia" w:hAnsi="宋体"/>
          <w:color w:val="000000"/>
          <w:sz w:val="21"/>
          <w:szCs w:val="21"/>
          <w:highlight w:val="none"/>
        </w:rPr>
        <w:tab/>
      </w:r>
      <w:r>
        <w:rPr>
          <w:rFonts w:hint="eastAsia" w:hAnsi="宋体"/>
          <w:color w:val="000000"/>
          <w:sz w:val="21"/>
          <w:szCs w:val="21"/>
          <w:highlight w:val="none"/>
        </w:rPr>
        <w:t xml:space="preserve"> </w:t>
      </w:r>
    </w:p>
    <w:p w14:paraId="3DD03043">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（6）货物说明</w:t>
      </w:r>
      <w:r>
        <w:rPr>
          <w:rFonts w:hint="eastAsia" w:hAnsi="宋体"/>
          <w:color w:val="000000"/>
          <w:sz w:val="21"/>
          <w:szCs w:val="21"/>
          <w:highlight w:val="none"/>
        </w:rPr>
        <w:tab/>
      </w:r>
      <w:r>
        <w:rPr>
          <w:rFonts w:hint="eastAsia" w:hAnsi="宋体"/>
          <w:color w:val="000000"/>
          <w:sz w:val="21"/>
          <w:szCs w:val="21"/>
          <w:highlight w:val="none"/>
        </w:rPr>
        <w:t xml:space="preserve"> </w:t>
      </w:r>
    </w:p>
    <w:p w14:paraId="76D84FAE">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（7）实施方案</w:t>
      </w:r>
      <w:r>
        <w:rPr>
          <w:rFonts w:hint="eastAsia" w:hAnsi="宋体"/>
          <w:color w:val="000000"/>
          <w:sz w:val="21"/>
          <w:szCs w:val="21"/>
          <w:highlight w:val="none"/>
        </w:rPr>
        <w:tab/>
      </w:r>
      <w:r>
        <w:rPr>
          <w:rFonts w:hint="eastAsia" w:hAnsi="宋体"/>
          <w:color w:val="000000"/>
          <w:sz w:val="21"/>
          <w:szCs w:val="21"/>
          <w:highlight w:val="none"/>
        </w:rPr>
        <w:t xml:space="preserve"> </w:t>
      </w:r>
    </w:p>
    <w:p w14:paraId="6375C224">
      <w:pPr>
        <w:pStyle w:val="24"/>
        <w:adjustRightInd w:val="0"/>
        <w:snapToGrid w:val="0"/>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（8）商务响应与偏离表</w:t>
      </w:r>
      <w:r>
        <w:rPr>
          <w:rFonts w:hint="eastAsia" w:hAnsi="宋体"/>
          <w:color w:val="000000"/>
          <w:sz w:val="21"/>
          <w:szCs w:val="21"/>
          <w:highlight w:val="none"/>
        </w:rPr>
        <w:tab/>
      </w:r>
      <w:r>
        <w:rPr>
          <w:rFonts w:hint="eastAsia" w:hAnsi="宋体"/>
          <w:color w:val="000000"/>
          <w:sz w:val="21"/>
          <w:szCs w:val="21"/>
          <w:highlight w:val="none"/>
        </w:rPr>
        <w:t xml:space="preserve"> </w:t>
      </w:r>
    </w:p>
    <w:p w14:paraId="37A5C9B4">
      <w:pPr>
        <w:pStyle w:val="24"/>
        <w:adjustRightInd w:val="0"/>
        <w:snapToGrid w:val="0"/>
        <w:spacing w:line="360" w:lineRule="auto"/>
        <w:ind w:firstLine="420" w:firstLineChars="200"/>
        <w:rPr>
          <w:rFonts w:hint="eastAsia" w:hAnsi="宋体"/>
          <w:color w:val="FF0000"/>
          <w:sz w:val="21"/>
          <w:szCs w:val="21"/>
          <w:highlight w:val="none"/>
        </w:rPr>
      </w:pPr>
      <w:r>
        <w:rPr>
          <w:rFonts w:hint="eastAsia" w:hAnsi="宋体"/>
          <w:color w:val="000000"/>
          <w:sz w:val="21"/>
          <w:szCs w:val="21"/>
          <w:highlight w:val="none"/>
        </w:rPr>
        <w:t>（9）投标人认为需要提供的其它资料</w:t>
      </w:r>
      <w:r>
        <w:rPr>
          <w:rFonts w:hint="eastAsia" w:hAnsi="宋体"/>
          <w:color w:val="000000"/>
          <w:sz w:val="21"/>
          <w:szCs w:val="21"/>
          <w:highlight w:val="none"/>
        </w:rPr>
        <w:tab/>
      </w:r>
      <w:r>
        <w:rPr>
          <w:rFonts w:hint="eastAsia" w:hAnsi="宋体"/>
          <w:color w:val="FF0000"/>
          <w:sz w:val="21"/>
          <w:szCs w:val="21"/>
          <w:highlight w:val="none"/>
        </w:rPr>
        <w:t xml:space="preserve"> </w:t>
      </w:r>
    </w:p>
    <w:p w14:paraId="6E37C41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14.2根据《政府采购法》第四十二条的规定，投标人无论中标与否，其投标文件正本留存。</w:t>
      </w:r>
    </w:p>
    <w:p w14:paraId="6C69E3E4">
      <w:pPr>
        <w:adjustRightInd w:val="0"/>
        <w:snapToGrid w:val="0"/>
        <w:rPr>
          <w:rFonts w:hint="eastAsia"/>
          <w:b/>
          <w:bCs/>
          <w:szCs w:val="21"/>
          <w:highlight w:val="none"/>
        </w:rPr>
      </w:pPr>
      <w:r>
        <w:rPr>
          <w:rFonts w:hint="eastAsia"/>
          <w:b/>
          <w:bCs/>
          <w:szCs w:val="21"/>
          <w:highlight w:val="none"/>
        </w:rPr>
        <w:t>15.报价</w:t>
      </w:r>
    </w:p>
    <w:p w14:paraId="35589DB0">
      <w:pPr>
        <w:adjustRightInd w:val="0"/>
        <w:snapToGrid w:val="0"/>
        <w:ind w:firstLine="480" w:firstLineChars="200"/>
        <w:rPr>
          <w:rFonts w:hint="eastAsia"/>
          <w:szCs w:val="21"/>
          <w:highlight w:val="none"/>
        </w:rPr>
      </w:pPr>
      <w:r>
        <w:rPr>
          <w:rFonts w:hint="eastAsia"/>
          <w:szCs w:val="21"/>
          <w:highlight w:val="none"/>
        </w:rPr>
        <w:t>15.1投标人应当根据招标文件要求和范围，以</w:t>
      </w:r>
      <w:r>
        <w:rPr>
          <w:rFonts w:hint="eastAsia"/>
          <w:bCs/>
          <w:szCs w:val="21"/>
          <w:highlight w:val="none"/>
        </w:rPr>
        <w:t>人民币</w:t>
      </w:r>
      <w:r>
        <w:rPr>
          <w:rFonts w:hint="eastAsia"/>
          <w:szCs w:val="21"/>
          <w:highlight w:val="none"/>
        </w:rPr>
        <w:t>报价，以元为单位，保留小数点后两位。</w:t>
      </w:r>
    </w:p>
    <w:p w14:paraId="23A62628">
      <w:pPr>
        <w:adjustRightInd w:val="0"/>
        <w:snapToGrid w:val="0"/>
        <w:ind w:firstLine="480" w:firstLineChars="200"/>
        <w:rPr>
          <w:rFonts w:hint="eastAsia"/>
          <w:szCs w:val="21"/>
          <w:highlight w:val="none"/>
        </w:rPr>
      </w:pPr>
      <w:r>
        <w:rPr>
          <w:rFonts w:hint="eastAsia"/>
          <w:szCs w:val="21"/>
          <w:highlight w:val="none"/>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14:paraId="38128F5E">
      <w:pPr>
        <w:pStyle w:val="221"/>
        <w:adjustRightInd w:val="0"/>
        <w:snapToGrid w:val="0"/>
        <w:spacing w:line="360" w:lineRule="auto"/>
        <w:ind w:firstLine="420" w:firstLineChars="200"/>
        <w:rPr>
          <w:rFonts w:hint="eastAsia" w:ascii="宋体" w:hAnsi="宋体"/>
          <w:highlight w:val="none"/>
        </w:rPr>
      </w:pPr>
      <w:r>
        <w:rPr>
          <w:rFonts w:hint="eastAsia" w:ascii="宋体" w:hAnsi="宋体"/>
          <w:highlight w:val="none"/>
        </w:rPr>
        <w:t>15.3投标人应按第五章“采购需求”要求及第六章“投标文件组成”格式填写。投标人在</w:t>
      </w:r>
      <w:r>
        <w:rPr>
          <w:rFonts w:hint="eastAsia" w:ascii="宋体" w:hAnsi="宋体"/>
          <w:bCs/>
          <w:highlight w:val="none"/>
        </w:rPr>
        <w:t>本章第11.1</w:t>
      </w:r>
      <w:r>
        <w:rPr>
          <w:rFonts w:hint="eastAsia" w:ascii="宋体" w:hAnsi="宋体" w:cs="宋体"/>
          <w:highlight w:val="none"/>
          <w:lang w:val="zh-CN"/>
        </w:rPr>
        <w:t>款</w:t>
      </w:r>
      <w:r>
        <w:rPr>
          <w:rFonts w:hint="eastAsia" w:ascii="宋体" w:hAnsi="宋体"/>
          <w:bCs/>
          <w:highlight w:val="none"/>
        </w:rPr>
        <w:t>规定的</w:t>
      </w:r>
      <w:r>
        <w:rPr>
          <w:rFonts w:hint="eastAsia" w:ascii="宋体" w:hAnsi="宋体" w:cs="宋体"/>
          <w:highlight w:val="none"/>
        </w:rPr>
        <w:t>提交投标文件截止之日前</w:t>
      </w:r>
      <w:r>
        <w:rPr>
          <w:rFonts w:hint="eastAsia" w:ascii="宋体" w:hAnsi="宋体"/>
          <w:highlight w:val="none"/>
        </w:rPr>
        <w:t>修改报价一览表中的报价，应同时修改其按第六章要求填写的相应表格中的报价。此修改须符合本章第21.1款的有关要求。</w:t>
      </w:r>
    </w:p>
    <w:p w14:paraId="3B12E3E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15.4投标文件中标明的价格在合同执行过程中是固定不变的，不得以任何理由予以变更。以可变动价格提交的报价将被认为是非实质投标而被拒绝。</w:t>
      </w:r>
    </w:p>
    <w:p w14:paraId="5EBD540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15.5投标人的报价不得超过采购项目预算，采购项目预算见</w:t>
      </w:r>
      <w:r>
        <w:rPr>
          <w:rFonts w:hint="eastAsia" w:hAnsi="宋体"/>
          <w:b/>
          <w:sz w:val="21"/>
          <w:szCs w:val="21"/>
          <w:highlight w:val="none"/>
        </w:rPr>
        <w:t>招标须知前附表</w:t>
      </w:r>
      <w:r>
        <w:rPr>
          <w:rFonts w:hint="eastAsia" w:hAnsi="宋体"/>
          <w:sz w:val="21"/>
          <w:szCs w:val="21"/>
          <w:highlight w:val="none"/>
        </w:rPr>
        <w:t>。</w:t>
      </w:r>
    </w:p>
    <w:p w14:paraId="204D8535">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16.</w:t>
      </w:r>
      <w:r>
        <w:rPr>
          <w:rFonts w:hint="eastAsia" w:hAnsi="宋体"/>
          <w:sz w:val="21"/>
          <w:szCs w:val="21"/>
          <w:highlight w:val="none"/>
        </w:rPr>
        <w:t xml:space="preserve"> </w:t>
      </w:r>
      <w:r>
        <w:rPr>
          <w:rFonts w:hint="eastAsia" w:hAnsi="宋体"/>
          <w:b/>
          <w:sz w:val="21"/>
          <w:szCs w:val="21"/>
          <w:highlight w:val="none"/>
        </w:rPr>
        <w:t>符合招标文件规定的证明文件</w:t>
      </w:r>
    </w:p>
    <w:p w14:paraId="58FC14F9">
      <w:pPr>
        <w:adjustRightInd w:val="0"/>
        <w:snapToGrid w:val="0"/>
        <w:ind w:firstLine="480" w:firstLineChars="200"/>
        <w:rPr>
          <w:rFonts w:hint="eastAsia" w:cs="宋体"/>
          <w:kern w:val="0"/>
          <w:szCs w:val="21"/>
          <w:highlight w:val="none"/>
        </w:rPr>
      </w:pPr>
      <w:r>
        <w:rPr>
          <w:rFonts w:hint="eastAsia" w:cs="宋体"/>
          <w:kern w:val="0"/>
          <w:szCs w:val="21"/>
          <w:highlight w:val="none"/>
        </w:rPr>
        <w:t>16.1投标人</w:t>
      </w:r>
      <w:r>
        <w:rPr>
          <w:rFonts w:hint="eastAsia"/>
          <w:szCs w:val="21"/>
          <w:highlight w:val="none"/>
        </w:rPr>
        <w:t>符合招标文件规定的资格证明文件</w:t>
      </w:r>
    </w:p>
    <w:p w14:paraId="59BD82AD">
      <w:pPr>
        <w:adjustRightInd w:val="0"/>
        <w:snapToGrid w:val="0"/>
        <w:ind w:firstLine="480" w:firstLineChars="200"/>
        <w:rPr>
          <w:rFonts w:hint="eastAsia"/>
          <w:szCs w:val="21"/>
          <w:highlight w:val="none"/>
        </w:rPr>
      </w:pPr>
      <w:r>
        <w:rPr>
          <w:rFonts w:hint="eastAsia" w:cs="宋体"/>
          <w:kern w:val="0"/>
          <w:szCs w:val="21"/>
          <w:highlight w:val="none"/>
          <w:lang w:val="zh-CN"/>
        </w:rPr>
        <w:t>16.1.1</w:t>
      </w:r>
      <w:r>
        <w:rPr>
          <w:rFonts w:hint="eastAsia"/>
          <w:szCs w:val="21"/>
          <w:highlight w:val="none"/>
        </w:rPr>
        <w:t>投标人应提供资格证明材料，以证实其各项条件能满足本章第3.1</w:t>
      </w:r>
      <w:r>
        <w:rPr>
          <w:rFonts w:hint="eastAsia" w:cs="宋体"/>
          <w:kern w:val="0"/>
          <w:szCs w:val="21"/>
          <w:highlight w:val="none"/>
          <w:lang w:val="zh-CN"/>
        </w:rPr>
        <w:t>款</w:t>
      </w:r>
      <w:r>
        <w:rPr>
          <w:rFonts w:hint="eastAsia"/>
          <w:szCs w:val="21"/>
          <w:highlight w:val="none"/>
        </w:rPr>
        <w:t>规定的投标人资格条件要求。</w:t>
      </w:r>
    </w:p>
    <w:p w14:paraId="564B081B">
      <w:pPr>
        <w:adjustRightInd w:val="0"/>
        <w:snapToGrid w:val="0"/>
        <w:ind w:firstLine="480" w:firstLineChars="200"/>
        <w:jc w:val="left"/>
        <w:rPr>
          <w:rFonts w:hint="eastAsia"/>
          <w:szCs w:val="21"/>
          <w:highlight w:val="none"/>
        </w:rPr>
      </w:pPr>
      <w:r>
        <w:rPr>
          <w:rFonts w:hint="eastAsia"/>
          <w:szCs w:val="21"/>
          <w:highlight w:val="none"/>
        </w:rPr>
        <w:t>16.1.2投标人为联合体形式的，则应提交联合体各方资格文件、联合体协议，否则将视为非实质投标而被拒绝。</w:t>
      </w:r>
    </w:p>
    <w:p w14:paraId="1782C4CF">
      <w:pPr>
        <w:adjustRightInd w:val="0"/>
        <w:snapToGrid w:val="0"/>
        <w:ind w:firstLine="480" w:firstLineChars="200"/>
        <w:jc w:val="left"/>
        <w:rPr>
          <w:rFonts w:hint="eastAsia" w:cs="宋体"/>
          <w:kern w:val="0"/>
          <w:szCs w:val="21"/>
          <w:highlight w:val="none"/>
        </w:rPr>
      </w:pPr>
      <w:r>
        <w:rPr>
          <w:rFonts w:hint="eastAsia" w:cs="宋体"/>
          <w:kern w:val="0"/>
          <w:szCs w:val="21"/>
          <w:highlight w:val="none"/>
        </w:rPr>
        <w:t>16.1.3投标人应当提交符合招标文件规定的业绩证明文件,该证明文件作为投标文件的一部分，业绩证明文件要求详见</w:t>
      </w:r>
      <w:r>
        <w:rPr>
          <w:rFonts w:hint="eastAsia" w:cs="宋体"/>
          <w:b/>
          <w:kern w:val="0"/>
          <w:szCs w:val="21"/>
          <w:highlight w:val="none"/>
        </w:rPr>
        <w:t>投标须知前附表</w:t>
      </w:r>
      <w:r>
        <w:rPr>
          <w:rFonts w:hint="eastAsia" w:cs="宋体"/>
          <w:kern w:val="0"/>
          <w:szCs w:val="21"/>
          <w:highlight w:val="none"/>
        </w:rPr>
        <w:t>。</w:t>
      </w:r>
    </w:p>
    <w:p w14:paraId="0EC4FA3E">
      <w:pPr>
        <w:adjustRightInd w:val="0"/>
        <w:snapToGrid w:val="0"/>
        <w:ind w:firstLine="480" w:firstLineChars="200"/>
        <w:rPr>
          <w:rFonts w:hint="eastAsia" w:cs="宋体"/>
          <w:kern w:val="0"/>
          <w:szCs w:val="21"/>
          <w:highlight w:val="none"/>
        </w:rPr>
      </w:pPr>
      <w:r>
        <w:rPr>
          <w:rFonts w:hint="eastAsia" w:cs="宋体"/>
          <w:kern w:val="0"/>
          <w:szCs w:val="21"/>
          <w:highlight w:val="none"/>
        </w:rPr>
        <w:t>16.2货物</w:t>
      </w:r>
      <w:r>
        <w:rPr>
          <w:rFonts w:hint="eastAsia"/>
          <w:szCs w:val="21"/>
          <w:highlight w:val="none"/>
        </w:rPr>
        <w:t>符合招标文件规定的资格证明文件</w:t>
      </w:r>
    </w:p>
    <w:p w14:paraId="35C0C31D">
      <w:pPr>
        <w:adjustRightInd w:val="0"/>
        <w:snapToGrid w:val="0"/>
        <w:ind w:firstLine="480" w:firstLineChars="200"/>
        <w:jc w:val="left"/>
        <w:rPr>
          <w:rFonts w:hint="eastAsia" w:cs="宋体"/>
          <w:kern w:val="0"/>
          <w:szCs w:val="21"/>
          <w:highlight w:val="none"/>
        </w:rPr>
      </w:pPr>
      <w:r>
        <w:rPr>
          <w:rFonts w:hint="eastAsia" w:cs="宋体"/>
          <w:kern w:val="0"/>
          <w:szCs w:val="21"/>
          <w:highlight w:val="none"/>
        </w:rPr>
        <w:t>16.2.1供应商在货物说明一览表中应当说明货物的品牌型号、规格参数、制造商及原产地等，交货时应出具原产地证明及出厂合格证明。</w:t>
      </w:r>
    </w:p>
    <w:p w14:paraId="3F09F7EB">
      <w:pPr>
        <w:adjustRightInd w:val="0"/>
        <w:snapToGrid w:val="0"/>
        <w:ind w:firstLine="480" w:firstLineChars="200"/>
        <w:jc w:val="left"/>
        <w:rPr>
          <w:rFonts w:hint="eastAsia" w:cs="宋体"/>
          <w:kern w:val="0"/>
          <w:szCs w:val="21"/>
          <w:highlight w:val="none"/>
        </w:rPr>
      </w:pPr>
      <w:r>
        <w:rPr>
          <w:rFonts w:hint="eastAsia" w:cs="宋体"/>
          <w:kern w:val="0"/>
          <w:szCs w:val="21"/>
          <w:highlight w:val="none"/>
        </w:rPr>
        <w:t>16.2.2上述证明文件可以是文字资料、图纸和数据，并须提供：</w:t>
      </w:r>
    </w:p>
    <w:p w14:paraId="7C78B7AD">
      <w:pPr>
        <w:adjustRightInd w:val="0"/>
        <w:snapToGrid w:val="0"/>
        <w:ind w:firstLine="480" w:firstLineChars="200"/>
        <w:rPr>
          <w:rFonts w:hint="eastAsia" w:cs="宋体"/>
          <w:kern w:val="0"/>
          <w:szCs w:val="21"/>
          <w:highlight w:val="none"/>
        </w:rPr>
      </w:pPr>
      <w:r>
        <w:rPr>
          <w:rFonts w:hint="eastAsia" w:cs="宋体"/>
          <w:kern w:val="0"/>
          <w:szCs w:val="21"/>
          <w:highlight w:val="none"/>
        </w:rPr>
        <w:t xml:space="preserve">（1）货物主要技术指标和性能的详细说明； </w:t>
      </w:r>
    </w:p>
    <w:p w14:paraId="3E2B68BA">
      <w:pPr>
        <w:adjustRightInd w:val="0"/>
        <w:snapToGrid w:val="0"/>
        <w:ind w:firstLine="480" w:firstLineChars="200"/>
        <w:rPr>
          <w:rFonts w:hint="eastAsia" w:cs="宋体"/>
          <w:kern w:val="0"/>
          <w:szCs w:val="21"/>
          <w:highlight w:val="none"/>
        </w:rPr>
      </w:pPr>
      <w:r>
        <w:rPr>
          <w:rFonts w:hint="eastAsia" w:cs="宋体"/>
          <w:kern w:val="0"/>
          <w:szCs w:val="21"/>
          <w:highlight w:val="none"/>
        </w:rPr>
        <w:t xml:space="preserve">（2）货物从采购人验收后开始使用至招标文件规定的周期内正常、连续地使用所必须的备件和专用工具清单，包括备件和专用工具的货源及现行价格； </w:t>
      </w:r>
    </w:p>
    <w:p w14:paraId="225D6B3C">
      <w:pPr>
        <w:adjustRightInd w:val="0"/>
        <w:snapToGrid w:val="0"/>
        <w:ind w:firstLine="480" w:firstLineChars="200"/>
        <w:rPr>
          <w:rFonts w:hint="eastAsia" w:cs="宋体"/>
          <w:kern w:val="0"/>
          <w:szCs w:val="21"/>
          <w:highlight w:val="none"/>
        </w:rPr>
      </w:pPr>
      <w:r>
        <w:rPr>
          <w:rFonts w:hint="eastAsia" w:cs="宋体"/>
          <w:kern w:val="0"/>
          <w:szCs w:val="21"/>
          <w:highlight w:val="none"/>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14:paraId="74E79118">
      <w:pPr>
        <w:adjustRightInd w:val="0"/>
        <w:snapToGrid w:val="0"/>
        <w:ind w:firstLine="480" w:firstLineChars="200"/>
        <w:rPr>
          <w:rFonts w:hint="eastAsia" w:cs="宋体"/>
          <w:kern w:val="0"/>
          <w:szCs w:val="21"/>
          <w:highlight w:val="none"/>
        </w:rPr>
      </w:pPr>
      <w:r>
        <w:rPr>
          <w:rFonts w:hint="eastAsia" w:cs="宋体"/>
          <w:kern w:val="0"/>
          <w:szCs w:val="21"/>
          <w:highlight w:val="none"/>
        </w:rPr>
        <w:t>（4）投标人对加注星号（“</w:t>
      </w:r>
      <w:r>
        <w:rPr>
          <w:rFonts w:hint="eastAsia" w:cs="宋体"/>
          <w:b/>
          <w:kern w:val="0"/>
          <w:szCs w:val="21"/>
          <w:highlight w:val="none"/>
        </w:rPr>
        <w:t>★</w:t>
      </w:r>
      <w:r>
        <w:rPr>
          <w:rFonts w:hint="eastAsia" w:cs="宋体"/>
          <w:kern w:val="0"/>
          <w:szCs w:val="21"/>
          <w:highlight w:val="none"/>
        </w:rPr>
        <w:t>”）的重要技术条款或技术参数应当在投标文件中提供技术支持资料。技术支持资料以投标货物制造商公开发布的印刷资料或经国家机关认可的检测机构出具的检测报告为准。凡不符合上述要求的，将视为无效技术支持资料。若制造商公开发布的印刷资料与检测机构出具的检测报告不一致，以检测机构出具的检测报告为准。</w:t>
      </w:r>
    </w:p>
    <w:p w14:paraId="72B63DAD">
      <w:pPr>
        <w:adjustRightInd w:val="0"/>
        <w:snapToGrid w:val="0"/>
        <w:rPr>
          <w:rFonts w:hint="eastAsia"/>
          <w:b/>
          <w:bCs/>
          <w:szCs w:val="21"/>
          <w:highlight w:val="none"/>
        </w:rPr>
      </w:pPr>
      <w:r>
        <w:rPr>
          <w:rFonts w:hint="eastAsia"/>
          <w:b/>
          <w:bCs/>
          <w:szCs w:val="21"/>
          <w:highlight w:val="none"/>
        </w:rPr>
        <w:t>17.投标保证金</w:t>
      </w:r>
    </w:p>
    <w:p w14:paraId="54690EB5">
      <w:pPr>
        <w:adjustRightInd w:val="0"/>
        <w:snapToGrid w:val="0"/>
        <w:ind w:firstLine="480" w:firstLineChars="200"/>
        <w:rPr>
          <w:rFonts w:hint="eastAsia" w:cs="宋体"/>
          <w:kern w:val="0"/>
          <w:szCs w:val="21"/>
          <w:highlight w:val="none"/>
        </w:rPr>
      </w:pPr>
      <w:r>
        <w:rPr>
          <w:rFonts w:hint="eastAsia" w:cs="宋体"/>
          <w:kern w:val="0"/>
          <w:szCs w:val="21"/>
          <w:highlight w:val="none"/>
        </w:rPr>
        <w:t>17.1投标须知前附表规定交纳投标保证金的，应按规定提交投标保证金。投标保证金有效期应当与本章第18.1款规定的投标文件有效期一致。</w:t>
      </w:r>
    </w:p>
    <w:p w14:paraId="5D660F24">
      <w:pPr>
        <w:adjustRightInd w:val="0"/>
        <w:snapToGrid w:val="0"/>
        <w:ind w:firstLine="480" w:firstLineChars="200"/>
        <w:rPr>
          <w:rFonts w:hint="eastAsia" w:cs="宋体"/>
          <w:kern w:val="0"/>
          <w:szCs w:val="21"/>
          <w:highlight w:val="none"/>
        </w:rPr>
      </w:pPr>
      <w:r>
        <w:rPr>
          <w:rFonts w:hint="eastAsia" w:cs="宋体"/>
          <w:kern w:val="0"/>
          <w:szCs w:val="21"/>
          <w:highlight w:val="none"/>
        </w:rPr>
        <w:t>17.2投标人为联合体的，可以由联合体中的一方或者共同交纳投标保证金，其交纳的投标保证金，对联合体各方均具有约束力。</w:t>
      </w:r>
    </w:p>
    <w:p w14:paraId="2F5FCCAB">
      <w:pPr>
        <w:adjustRightInd w:val="0"/>
        <w:snapToGrid w:val="0"/>
        <w:ind w:firstLine="480" w:firstLineChars="200"/>
        <w:rPr>
          <w:rFonts w:hint="eastAsia" w:cs="宋体"/>
          <w:kern w:val="0"/>
          <w:szCs w:val="21"/>
          <w:highlight w:val="none"/>
        </w:rPr>
      </w:pPr>
      <w:r>
        <w:rPr>
          <w:rFonts w:hint="eastAsia" w:cs="宋体"/>
          <w:kern w:val="0"/>
          <w:szCs w:val="21"/>
          <w:highlight w:val="none"/>
        </w:rPr>
        <w:t>17.3 未按招标文件规定提交投标保证金的，采购人或招标代理机构应当拒绝接收投标人的投标文件。</w:t>
      </w:r>
    </w:p>
    <w:p w14:paraId="093B87E1">
      <w:pPr>
        <w:adjustRightInd w:val="0"/>
        <w:snapToGrid w:val="0"/>
        <w:ind w:firstLine="480" w:firstLineChars="200"/>
        <w:rPr>
          <w:rFonts w:hint="eastAsia" w:cs="宋体"/>
          <w:kern w:val="0"/>
          <w:szCs w:val="21"/>
          <w:highlight w:val="none"/>
        </w:rPr>
      </w:pPr>
      <w:r>
        <w:rPr>
          <w:rFonts w:hint="eastAsia" w:cs="宋体"/>
          <w:kern w:val="0"/>
          <w:szCs w:val="21"/>
          <w:highlight w:val="none"/>
        </w:rPr>
        <w:t>17.4招标代理机构在中标通知书发出后5个工作日内退还未中标人的投标保证金；在采购合同签定后5个工作日内退还中标人的投标保证金，但因投标人自身原因导致无法及时退还的除外。</w:t>
      </w:r>
    </w:p>
    <w:p w14:paraId="4BD8685A">
      <w:pPr>
        <w:adjustRightInd w:val="0"/>
        <w:snapToGrid w:val="0"/>
        <w:ind w:firstLine="480" w:firstLineChars="200"/>
        <w:rPr>
          <w:rFonts w:hint="eastAsia" w:cs="宋体"/>
          <w:kern w:val="0"/>
          <w:szCs w:val="21"/>
          <w:highlight w:val="none"/>
        </w:rPr>
      </w:pPr>
      <w:r>
        <w:rPr>
          <w:rFonts w:hint="eastAsia" w:cs="宋体"/>
          <w:kern w:val="0"/>
          <w:szCs w:val="21"/>
          <w:highlight w:val="none"/>
        </w:rPr>
        <w:t>17.5 有下列情形之一的，投标保证金不予退还：</w:t>
      </w:r>
    </w:p>
    <w:p w14:paraId="48282594">
      <w:pPr>
        <w:adjustRightInd w:val="0"/>
        <w:snapToGrid w:val="0"/>
        <w:ind w:firstLine="480" w:firstLineChars="200"/>
        <w:rPr>
          <w:rFonts w:hint="eastAsia" w:cs="宋体"/>
          <w:kern w:val="0"/>
          <w:szCs w:val="21"/>
          <w:highlight w:val="none"/>
        </w:rPr>
      </w:pPr>
      <w:r>
        <w:rPr>
          <w:rFonts w:hint="eastAsia" w:cs="宋体"/>
          <w:kern w:val="0"/>
          <w:szCs w:val="21"/>
          <w:highlight w:val="none"/>
        </w:rPr>
        <w:t xml:space="preserve">（1）中标后无正当理由不与采购人签订合同的； </w:t>
      </w:r>
    </w:p>
    <w:p w14:paraId="47367349">
      <w:pPr>
        <w:adjustRightInd w:val="0"/>
        <w:snapToGrid w:val="0"/>
        <w:ind w:firstLine="480" w:firstLineChars="200"/>
        <w:rPr>
          <w:rFonts w:hint="eastAsia" w:cs="宋体"/>
          <w:kern w:val="0"/>
          <w:szCs w:val="21"/>
          <w:highlight w:val="none"/>
        </w:rPr>
      </w:pPr>
      <w:r>
        <w:rPr>
          <w:rFonts w:hint="eastAsia" w:cs="宋体"/>
          <w:kern w:val="0"/>
          <w:szCs w:val="21"/>
          <w:highlight w:val="none"/>
        </w:rPr>
        <w:t xml:space="preserve">（2）将中标项目转让给他人，或者在投标文件中未说明，且未经采购招标机构同意，将中标项目分包给他人的； </w:t>
      </w:r>
    </w:p>
    <w:p w14:paraId="0EF18D2A">
      <w:pPr>
        <w:adjustRightInd w:val="0"/>
        <w:snapToGrid w:val="0"/>
        <w:ind w:firstLine="480" w:firstLineChars="200"/>
        <w:rPr>
          <w:rFonts w:hint="eastAsia" w:cs="宋体"/>
          <w:kern w:val="0"/>
          <w:szCs w:val="21"/>
          <w:highlight w:val="none"/>
        </w:rPr>
      </w:pPr>
      <w:r>
        <w:rPr>
          <w:rFonts w:hint="eastAsia" w:cs="宋体"/>
          <w:kern w:val="0"/>
          <w:szCs w:val="21"/>
          <w:highlight w:val="none"/>
        </w:rPr>
        <w:t>（3）拒绝履行合同义务的。</w:t>
      </w:r>
    </w:p>
    <w:p w14:paraId="63C14F56">
      <w:pPr>
        <w:pStyle w:val="24"/>
        <w:adjustRightInd w:val="0"/>
        <w:snapToGrid w:val="0"/>
        <w:spacing w:line="360" w:lineRule="auto"/>
        <w:rPr>
          <w:rFonts w:hint="eastAsia" w:hAnsi="宋体"/>
          <w:b/>
          <w:bCs/>
          <w:sz w:val="21"/>
          <w:szCs w:val="21"/>
          <w:highlight w:val="none"/>
        </w:rPr>
      </w:pPr>
      <w:r>
        <w:rPr>
          <w:rFonts w:hint="eastAsia" w:hAnsi="宋体"/>
          <w:b/>
          <w:bCs/>
          <w:sz w:val="21"/>
          <w:szCs w:val="21"/>
          <w:highlight w:val="none"/>
        </w:rPr>
        <w:t>18.</w:t>
      </w:r>
      <w:r>
        <w:rPr>
          <w:rFonts w:hint="eastAsia" w:hAnsi="宋体"/>
          <w:sz w:val="21"/>
          <w:szCs w:val="21"/>
          <w:highlight w:val="none"/>
        </w:rPr>
        <w:t xml:space="preserve"> </w:t>
      </w:r>
      <w:r>
        <w:rPr>
          <w:rFonts w:hint="eastAsia" w:hAnsi="宋体"/>
          <w:b/>
          <w:sz w:val="21"/>
          <w:szCs w:val="21"/>
          <w:highlight w:val="none"/>
        </w:rPr>
        <w:t>投标文件有效期</w:t>
      </w:r>
    </w:p>
    <w:p w14:paraId="0A0D703C">
      <w:pPr>
        <w:adjustRightInd w:val="0"/>
        <w:snapToGrid w:val="0"/>
        <w:ind w:firstLine="480" w:firstLineChars="200"/>
        <w:jc w:val="left"/>
        <w:rPr>
          <w:rFonts w:hint="eastAsia"/>
          <w:szCs w:val="21"/>
          <w:highlight w:val="none"/>
        </w:rPr>
      </w:pPr>
      <w:r>
        <w:rPr>
          <w:rFonts w:hint="eastAsia"/>
          <w:szCs w:val="21"/>
          <w:highlight w:val="none"/>
        </w:rPr>
        <w:t>18.1投标文件有效期见</w:t>
      </w:r>
      <w:r>
        <w:rPr>
          <w:rFonts w:hint="eastAsia"/>
          <w:b/>
          <w:szCs w:val="21"/>
          <w:highlight w:val="none"/>
        </w:rPr>
        <w:t>投标须知前附表</w:t>
      </w:r>
      <w:r>
        <w:rPr>
          <w:rFonts w:hint="eastAsia"/>
          <w:szCs w:val="21"/>
          <w:highlight w:val="none"/>
        </w:rPr>
        <w:t>，在此期间投标文件对投标人具有法律约束力，</w:t>
      </w:r>
      <w:r>
        <w:rPr>
          <w:rFonts w:hint="eastAsia" w:cs="Arial"/>
          <w:szCs w:val="21"/>
          <w:highlight w:val="none"/>
        </w:rPr>
        <w:t>从</w:t>
      </w:r>
      <w:r>
        <w:rPr>
          <w:rFonts w:hint="eastAsia"/>
          <w:szCs w:val="21"/>
          <w:highlight w:val="none"/>
        </w:rPr>
        <w:t>本章第11.1</w:t>
      </w:r>
      <w:r>
        <w:rPr>
          <w:rFonts w:hint="eastAsia" w:cs="宋体"/>
          <w:kern w:val="0"/>
          <w:szCs w:val="21"/>
          <w:highlight w:val="none"/>
          <w:lang w:val="zh-CN"/>
        </w:rPr>
        <w:t>款</w:t>
      </w:r>
      <w:r>
        <w:rPr>
          <w:rFonts w:hint="eastAsia"/>
          <w:szCs w:val="21"/>
          <w:highlight w:val="none"/>
        </w:rPr>
        <w:t>规定的</w:t>
      </w:r>
      <w:r>
        <w:rPr>
          <w:rFonts w:hint="eastAsia" w:cs="宋体"/>
          <w:kern w:val="0"/>
          <w:szCs w:val="21"/>
          <w:highlight w:val="none"/>
        </w:rPr>
        <w:t>提交投标文件截止时间</w:t>
      </w:r>
      <w:r>
        <w:rPr>
          <w:rFonts w:hint="eastAsia"/>
          <w:szCs w:val="21"/>
          <w:highlight w:val="none"/>
        </w:rPr>
        <w:t>之日</w:t>
      </w:r>
      <w:r>
        <w:rPr>
          <w:rFonts w:hint="eastAsia" w:cs="Arial"/>
          <w:szCs w:val="21"/>
          <w:highlight w:val="none"/>
        </w:rPr>
        <w:t>起计算。</w:t>
      </w:r>
      <w:r>
        <w:rPr>
          <w:rFonts w:hint="eastAsia"/>
          <w:szCs w:val="21"/>
          <w:highlight w:val="none"/>
        </w:rPr>
        <w:t>投标文件有效期不足的将被视为无效投标。</w:t>
      </w:r>
    </w:p>
    <w:p w14:paraId="4097670B">
      <w:pPr>
        <w:adjustRightInd w:val="0"/>
        <w:snapToGrid w:val="0"/>
        <w:rPr>
          <w:rFonts w:hint="eastAsia"/>
          <w:b/>
          <w:bCs/>
          <w:szCs w:val="21"/>
          <w:highlight w:val="none"/>
        </w:rPr>
      </w:pPr>
      <w:r>
        <w:rPr>
          <w:rFonts w:hint="eastAsia"/>
          <w:b/>
          <w:bCs/>
          <w:szCs w:val="21"/>
          <w:highlight w:val="none"/>
        </w:rPr>
        <w:t>19.投标文件的签署及规定</w:t>
      </w:r>
    </w:p>
    <w:p w14:paraId="0B58E226">
      <w:pPr>
        <w:pStyle w:val="24"/>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19.1电子投标文件使用政采云平台响应文件制作工具以及招标文件要求进行制作编制。投标文件制作时，按照招标文件中明确的响应文件目录和格式进行编制，保证目录清晰、内容完整。</w:t>
      </w:r>
    </w:p>
    <w:p w14:paraId="6BE8746A">
      <w:pPr>
        <w:pStyle w:val="24"/>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19.2电子投标文件须使用供应商电子公章及法定代表人的电子签名。若无电子签章和签名，则视为无效响应。</w:t>
      </w:r>
    </w:p>
    <w:p w14:paraId="4FC6F194">
      <w:pPr>
        <w:pStyle w:val="24"/>
        <w:adjustRightInd w:val="0"/>
        <w:snapToGrid w:val="0"/>
        <w:spacing w:line="360" w:lineRule="auto"/>
        <w:ind w:firstLine="420" w:firstLineChars="200"/>
        <w:rPr>
          <w:rFonts w:hint="eastAsia" w:hAnsi="宋体"/>
          <w:sz w:val="21"/>
          <w:szCs w:val="21"/>
          <w:highlight w:val="none"/>
        </w:rPr>
      </w:pPr>
      <w:r>
        <w:rPr>
          <w:rFonts w:hint="eastAsia" w:ascii="宋体" w:hAnsi="宋体"/>
          <w:sz w:val="21"/>
          <w:szCs w:val="21"/>
          <w:highlight w:val="none"/>
        </w:rPr>
        <w:t>19.3电子招投标文件具有法律效力，与其他形式的招投标文件在内容和格式上等同，若投标文件与招标文件要求不一致，其内容影响成交结果时，责任由供应商自行承担。供应商递交的电子投标文件因供应商自身原因而导致无法导入电子辅助评标系统，该响应文件视为无效响应文件，将导致其响应被拒绝。</w:t>
      </w:r>
    </w:p>
    <w:p w14:paraId="1E2EAA56">
      <w:pPr>
        <w:pStyle w:val="3"/>
        <w:numPr>
          <w:ilvl w:val="0"/>
          <w:numId w:val="0"/>
        </w:numPr>
        <w:ind w:left="576" w:hanging="576"/>
        <w:jc w:val="center"/>
        <w:rPr>
          <w:rFonts w:hint="eastAsia" w:ascii="宋体" w:hAnsi="宋体"/>
          <w:sz w:val="21"/>
          <w:szCs w:val="21"/>
          <w:highlight w:val="none"/>
        </w:rPr>
      </w:pPr>
      <w:bookmarkStart w:id="44" w:name="_Toc38878762"/>
      <w:bookmarkStart w:id="45" w:name="_Toc420948012"/>
      <w:r>
        <w:rPr>
          <w:rFonts w:hint="eastAsia" w:ascii="宋体" w:hAnsi="宋体"/>
          <w:sz w:val="21"/>
          <w:szCs w:val="21"/>
          <w:highlight w:val="none"/>
        </w:rPr>
        <w:t>四、投标文件的递交</w:t>
      </w:r>
      <w:bookmarkEnd w:id="44"/>
      <w:bookmarkEnd w:id="45"/>
    </w:p>
    <w:p w14:paraId="7F496A79">
      <w:pPr>
        <w:adjustRightInd w:val="0"/>
        <w:snapToGrid w:val="0"/>
        <w:rPr>
          <w:rFonts w:hint="eastAsia"/>
          <w:b/>
          <w:bCs/>
          <w:szCs w:val="21"/>
          <w:highlight w:val="none"/>
        </w:rPr>
      </w:pPr>
      <w:r>
        <w:rPr>
          <w:rFonts w:hint="eastAsia"/>
          <w:b/>
          <w:bCs/>
          <w:szCs w:val="21"/>
          <w:highlight w:val="none"/>
        </w:rPr>
        <w:t>20.</w:t>
      </w:r>
      <w:r>
        <w:rPr>
          <w:rFonts w:hint="eastAsia"/>
          <w:b/>
          <w:szCs w:val="21"/>
          <w:highlight w:val="none"/>
        </w:rPr>
        <w:t>投标文件</w:t>
      </w:r>
      <w:r>
        <w:rPr>
          <w:rFonts w:hint="eastAsia"/>
          <w:b/>
          <w:bCs/>
          <w:szCs w:val="21"/>
          <w:highlight w:val="none"/>
        </w:rPr>
        <w:t>的密封和标记</w:t>
      </w:r>
    </w:p>
    <w:p w14:paraId="3E869DDE">
      <w:pPr>
        <w:adjustRightInd w:val="0"/>
        <w:snapToGrid w:val="0"/>
        <w:ind w:firstLine="480" w:firstLineChars="200"/>
        <w:rPr>
          <w:rFonts w:hint="eastAsia"/>
          <w:szCs w:val="21"/>
          <w:highlight w:val="none"/>
        </w:rPr>
      </w:pPr>
      <w:r>
        <w:rPr>
          <w:rFonts w:hint="eastAsia"/>
          <w:szCs w:val="21"/>
          <w:highlight w:val="none"/>
        </w:rPr>
        <w:t>20.1加密的电子响应文件（.jmbs格式）应在响应文件递交截止时间前通过政采云平台上传完成。</w:t>
      </w:r>
    </w:p>
    <w:p w14:paraId="4D631581">
      <w:pPr>
        <w:adjustRightInd w:val="0"/>
        <w:snapToGrid w:val="0"/>
        <w:ind w:firstLine="480" w:firstLineChars="200"/>
        <w:rPr>
          <w:rFonts w:hint="eastAsia"/>
          <w:szCs w:val="21"/>
          <w:highlight w:val="none"/>
        </w:rPr>
      </w:pPr>
      <w:r>
        <w:rPr>
          <w:rFonts w:hint="eastAsia"/>
          <w:szCs w:val="21"/>
          <w:highlight w:val="none"/>
        </w:rPr>
        <w:t>20.2逾期上传或者未上传指定地点的响应文件，采购人不予受理。</w:t>
      </w:r>
    </w:p>
    <w:p w14:paraId="6D3CD71E">
      <w:pPr>
        <w:adjustRightInd w:val="0"/>
        <w:snapToGrid w:val="0"/>
        <w:rPr>
          <w:rFonts w:hint="eastAsia"/>
          <w:b/>
          <w:bCs/>
          <w:szCs w:val="21"/>
          <w:highlight w:val="none"/>
        </w:rPr>
      </w:pPr>
      <w:r>
        <w:rPr>
          <w:rFonts w:hint="eastAsia"/>
          <w:b/>
          <w:bCs/>
          <w:szCs w:val="21"/>
          <w:highlight w:val="none"/>
        </w:rPr>
        <w:t>21.投标文件的</w:t>
      </w:r>
      <w:r>
        <w:rPr>
          <w:rFonts w:hint="eastAsia" w:cs="宋体"/>
          <w:b/>
          <w:kern w:val="0"/>
          <w:szCs w:val="21"/>
          <w:highlight w:val="none"/>
          <w:lang w:val="zh-CN"/>
        </w:rPr>
        <w:t>补充、修改或者撤回</w:t>
      </w:r>
    </w:p>
    <w:p w14:paraId="5215914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21.1投标人</w:t>
      </w:r>
      <w:r>
        <w:rPr>
          <w:rFonts w:hint="eastAsia" w:hAnsi="宋体" w:cs="宋体"/>
          <w:kern w:val="0"/>
          <w:sz w:val="21"/>
          <w:szCs w:val="21"/>
          <w:highlight w:val="none"/>
        </w:rPr>
        <w:t>在</w:t>
      </w:r>
      <w:r>
        <w:rPr>
          <w:rFonts w:hint="eastAsia" w:hAnsi="宋体"/>
          <w:sz w:val="21"/>
          <w:szCs w:val="21"/>
          <w:highlight w:val="none"/>
        </w:rPr>
        <w:t>本章第11.1</w:t>
      </w:r>
      <w:r>
        <w:rPr>
          <w:rFonts w:hint="eastAsia" w:hAnsi="宋体" w:cs="宋体"/>
          <w:kern w:val="0"/>
          <w:sz w:val="21"/>
          <w:szCs w:val="21"/>
          <w:highlight w:val="none"/>
          <w:lang w:val="zh-CN"/>
        </w:rPr>
        <w:t>款</w:t>
      </w:r>
      <w:r>
        <w:rPr>
          <w:rFonts w:hint="eastAsia" w:hAnsi="宋体"/>
          <w:sz w:val="21"/>
          <w:szCs w:val="21"/>
          <w:highlight w:val="none"/>
        </w:rPr>
        <w:t>规定的</w:t>
      </w:r>
      <w:r>
        <w:rPr>
          <w:rFonts w:hint="eastAsia" w:hAnsi="宋体" w:cs="宋体"/>
          <w:kern w:val="0"/>
          <w:sz w:val="21"/>
          <w:szCs w:val="21"/>
          <w:highlight w:val="none"/>
        </w:rPr>
        <w:t>提交投标文件截止时间前，可以对所提交的投标文件进行补充、修改或者撤回，并书面通知采购人、招标代理机构。</w:t>
      </w:r>
      <w:r>
        <w:rPr>
          <w:rFonts w:hint="eastAsia" w:hAnsi="宋体"/>
          <w:sz w:val="21"/>
          <w:szCs w:val="21"/>
          <w:highlight w:val="none"/>
        </w:rPr>
        <w:t>该通知应有投标人法定代表人或其委托代理人签字。</w:t>
      </w:r>
    </w:p>
    <w:p w14:paraId="20727874">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21.2</w:t>
      </w:r>
      <w:r>
        <w:rPr>
          <w:rFonts w:hint="eastAsia" w:hAnsi="宋体" w:cs="宋体"/>
          <w:kern w:val="0"/>
          <w:sz w:val="21"/>
          <w:szCs w:val="21"/>
          <w:highlight w:val="none"/>
          <w:lang w:val="zh-CN"/>
        </w:rPr>
        <w:t>补充、修改的内容与投标文件不一致时，以补充、修改的内容为准。</w:t>
      </w:r>
    </w:p>
    <w:p w14:paraId="6283CE0F">
      <w:pPr>
        <w:adjustRightInd w:val="0"/>
        <w:snapToGrid w:val="0"/>
        <w:rPr>
          <w:rFonts w:hint="eastAsia"/>
          <w:b/>
          <w:bCs/>
          <w:szCs w:val="21"/>
          <w:highlight w:val="none"/>
        </w:rPr>
      </w:pPr>
      <w:r>
        <w:rPr>
          <w:rFonts w:hint="eastAsia"/>
          <w:b/>
          <w:bCs/>
          <w:szCs w:val="21"/>
          <w:highlight w:val="none"/>
        </w:rPr>
        <w:t>22.投标文件的递交与接收</w:t>
      </w:r>
    </w:p>
    <w:p w14:paraId="75850012">
      <w:pPr>
        <w:adjustRightInd w:val="0"/>
        <w:snapToGrid w:val="0"/>
        <w:ind w:firstLine="480" w:firstLineChars="200"/>
        <w:rPr>
          <w:rFonts w:hint="eastAsia"/>
          <w:szCs w:val="21"/>
          <w:highlight w:val="none"/>
        </w:rPr>
      </w:pPr>
      <w:r>
        <w:rPr>
          <w:rFonts w:hint="eastAsia"/>
          <w:szCs w:val="21"/>
          <w:highlight w:val="none"/>
        </w:rPr>
        <w:t>22.1 投标人应在本章第11.1</w:t>
      </w:r>
      <w:r>
        <w:rPr>
          <w:rFonts w:hint="eastAsia" w:cs="宋体"/>
          <w:kern w:val="0"/>
          <w:szCs w:val="21"/>
          <w:highlight w:val="none"/>
          <w:lang w:val="zh-CN"/>
        </w:rPr>
        <w:t>款</w:t>
      </w:r>
      <w:r>
        <w:rPr>
          <w:rFonts w:hint="eastAsia"/>
          <w:szCs w:val="21"/>
          <w:highlight w:val="none"/>
        </w:rPr>
        <w:t>规定的</w:t>
      </w:r>
      <w:r>
        <w:rPr>
          <w:rFonts w:hint="eastAsia" w:cs="宋体"/>
          <w:kern w:val="0"/>
          <w:szCs w:val="21"/>
          <w:highlight w:val="none"/>
        </w:rPr>
        <w:t>提交投标文件截止时间</w:t>
      </w:r>
      <w:r>
        <w:rPr>
          <w:rFonts w:hint="eastAsia"/>
          <w:szCs w:val="21"/>
          <w:highlight w:val="none"/>
        </w:rPr>
        <w:t>前，将投标文件送</w:t>
      </w:r>
      <w:r>
        <w:rPr>
          <w:rFonts w:hint="eastAsia" w:cs="Arial"/>
          <w:szCs w:val="21"/>
          <w:highlight w:val="none"/>
        </w:rPr>
        <w:t>达</w:t>
      </w:r>
      <w:r>
        <w:rPr>
          <w:rFonts w:hint="eastAsia"/>
          <w:b/>
          <w:szCs w:val="21"/>
          <w:highlight w:val="none"/>
        </w:rPr>
        <w:t>投标须知前附表</w:t>
      </w:r>
      <w:r>
        <w:rPr>
          <w:rFonts w:hint="eastAsia"/>
          <w:szCs w:val="21"/>
          <w:highlight w:val="none"/>
        </w:rPr>
        <w:t>中指定的地点。</w:t>
      </w:r>
      <w:r>
        <w:rPr>
          <w:rFonts w:hint="eastAsia" w:cs="宋体"/>
          <w:kern w:val="0"/>
          <w:szCs w:val="21"/>
          <w:highlight w:val="none"/>
        </w:rPr>
        <w:t>在截止时间后送达的投标文件，采购人、招标代理机构应当拒收。</w:t>
      </w:r>
    </w:p>
    <w:p w14:paraId="0A609E97">
      <w:pPr>
        <w:pStyle w:val="3"/>
        <w:numPr>
          <w:ilvl w:val="0"/>
          <w:numId w:val="0"/>
        </w:numPr>
        <w:ind w:left="576" w:hanging="576"/>
        <w:jc w:val="center"/>
        <w:rPr>
          <w:rFonts w:hint="eastAsia" w:ascii="宋体" w:hAnsi="宋体"/>
          <w:sz w:val="21"/>
          <w:szCs w:val="21"/>
          <w:highlight w:val="none"/>
        </w:rPr>
      </w:pPr>
      <w:bookmarkStart w:id="46" w:name="_Toc38878763"/>
      <w:bookmarkStart w:id="47" w:name="_Toc420948013"/>
      <w:r>
        <w:rPr>
          <w:rFonts w:hint="eastAsia" w:ascii="宋体" w:hAnsi="宋体"/>
          <w:sz w:val="21"/>
          <w:szCs w:val="21"/>
          <w:highlight w:val="none"/>
        </w:rPr>
        <w:t>五、</w:t>
      </w:r>
      <w:r>
        <w:rPr>
          <w:rFonts w:ascii="宋体" w:hAnsi="宋体"/>
          <w:sz w:val="21"/>
          <w:szCs w:val="21"/>
          <w:highlight w:val="none"/>
        </w:rPr>
        <w:t>开标和评标</w:t>
      </w:r>
      <w:bookmarkEnd w:id="46"/>
    </w:p>
    <w:p w14:paraId="37B0B7A2">
      <w:pPr>
        <w:pStyle w:val="24"/>
        <w:adjustRightInd w:val="0"/>
        <w:snapToGrid w:val="0"/>
        <w:spacing w:line="360" w:lineRule="auto"/>
        <w:rPr>
          <w:rFonts w:hint="eastAsia" w:hAnsi="宋体"/>
          <w:sz w:val="21"/>
          <w:szCs w:val="21"/>
          <w:highlight w:val="none"/>
        </w:rPr>
      </w:pPr>
      <w:r>
        <w:rPr>
          <w:rFonts w:hint="eastAsia" w:hAnsi="宋体"/>
          <w:b/>
          <w:bCs/>
          <w:sz w:val="21"/>
          <w:szCs w:val="21"/>
          <w:highlight w:val="none"/>
        </w:rPr>
        <w:t>23.开标</w:t>
      </w:r>
    </w:p>
    <w:p w14:paraId="1181A536">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23.1采购招标代理机构在招标文件规定的投标截止时间(开标时间)和规定的地点组织公开开标，并邀请所有投标人法定代表人或其授权的代理人参加，投标人未参加开标的，视同认可开标结果。参加开标的投标人代表应签名以证明其出席。采购人或者招标代理机构对开标、评标现场活动进行全程录音录像。</w:t>
      </w:r>
    </w:p>
    <w:p w14:paraId="35ABB68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23.2 开标时，公布在投标截止时间前递交投标文件的投标人名称；由投标人或其推选的代表检查投标文件的密封情况；经确认无误后，由招标代理机构当众拆封</w:t>
      </w:r>
      <w:r>
        <w:rPr>
          <w:rFonts w:hAnsi="宋体"/>
          <w:sz w:val="21"/>
          <w:szCs w:val="21"/>
          <w:highlight w:val="none"/>
        </w:rPr>
        <w:t>投标文件</w:t>
      </w:r>
      <w:r>
        <w:rPr>
          <w:rFonts w:hint="eastAsia" w:hAnsi="宋体"/>
          <w:sz w:val="21"/>
          <w:szCs w:val="21"/>
          <w:highlight w:val="none"/>
        </w:rPr>
        <w:t>，宣读投标人名称、投标价格、交货期等主要内容，并记录在案。</w:t>
      </w:r>
    </w:p>
    <w:p w14:paraId="1786FFF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23.3开标时，采购代理机构当众宣读开标一览表中全部内容。对于投标人在投标截止期前递交的投标声明，在开标时当众宣读，评标时有效。未宣读的投标价格、价格折扣等实质内容，评标时不予承认。</w:t>
      </w:r>
    </w:p>
    <w:p w14:paraId="311657CF">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23.4开标时，如唱标人宣读的内容与投标文件不一致时，投标人代表应当当场提出。</w:t>
      </w:r>
    </w:p>
    <w:p w14:paraId="4133791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23.5采购人代表、招标代理机构代表、监督人、记录人等有关人员在开标记录上签字确认。</w:t>
      </w:r>
    </w:p>
    <w:p w14:paraId="6EB844FC">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23.56开标时，投标文件中报价一览表内容与投标文件中投标报价明细表内容不一致的，以报价一览表为准。</w:t>
      </w:r>
    </w:p>
    <w:p w14:paraId="2E3B6026">
      <w:pPr>
        <w:tabs>
          <w:tab w:val="left" w:pos="0"/>
        </w:tabs>
        <w:adjustRightInd w:val="0"/>
        <w:snapToGrid w:val="0"/>
        <w:rPr>
          <w:rFonts w:hint="eastAsia"/>
          <w:b/>
          <w:bCs/>
          <w:szCs w:val="21"/>
          <w:highlight w:val="none"/>
        </w:rPr>
      </w:pPr>
      <w:r>
        <w:rPr>
          <w:rFonts w:hint="eastAsia"/>
          <w:b/>
          <w:bCs/>
          <w:szCs w:val="21"/>
          <w:highlight w:val="none"/>
        </w:rPr>
        <w:t>24.</w:t>
      </w:r>
      <w:r>
        <w:rPr>
          <w:rFonts w:hint="eastAsia"/>
          <w:szCs w:val="21"/>
          <w:highlight w:val="none"/>
        </w:rPr>
        <w:t xml:space="preserve"> </w:t>
      </w:r>
      <w:r>
        <w:rPr>
          <w:rFonts w:hint="eastAsia"/>
          <w:b/>
          <w:bCs/>
          <w:szCs w:val="21"/>
          <w:highlight w:val="none"/>
        </w:rPr>
        <w:t>资格审查小组、评标委员会</w:t>
      </w:r>
    </w:p>
    <w:p w14:paraId="36E45B2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24.1采购人、招标代理机构组成审查小组进行资格审查，审查小组的组成人员由采购人、招标代理机构按照评标委员会及其成员的规定组成。</w:t>
      </w:r>
    </w:p>
    <w:p w14:paraId="718A071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24.2评标由采购人或采购招标代理机构依法组建的评标委员会负责，评标委员会由采购人代表和有关经济、技术等方面的专家组成，成员人数应当为5人及以上单数，其中，经济、技术等方面的专家不得少于成员总数的三分之二。</w:t>
      </w:r>
    </w:p>
    <w:p w14:paraId="573DE27A">
      <w:pPr>
        <w:pStyle w:val="24"/>
        <w:adjustRightInd w:val="0"/>
        <w:snapToGrid w:val="0"/>
        <w:spacing w:line="360" w:lineRule="auto"/>
        <w:rPr>
          <w:rFonts w:hint="eastAsia" w:hAnsi="宋体"/>
          <w:b/>
          <w:sz w:val="21"/>
          <w:szCs w:val="21"/>
          <w:highlight w:val="none"/>
        </w:rPr>
      </w:pPr>
      <w:r>
        <w:rPr>
          <w:rFonts w:hint="eastAsia" w:hAnsi="宋体" w:cs="宋体"/>
          <w:b/>
          <w:kern w:val="0"/>
          <w:sz w:val="21"/>
          <w:szCs w:val="21"/>
          <w:highlight w:val="none"/>
        </w:rPr>
        <w:t>25</w:t>
      </w:r>
      <w:r>
        <w:rPr>
          <w:rFonts w:hint="eastAsia" w:hAnsi="宋体"/>
          <w:b/>
          <w:sz w:val="21"/>
          <w:szCs w:val="21"/>
          <w:highlight w:val="none"/>
        </w:rPr>
        <w:t>.评标</w:t>
      </w:r>
    </w:p>
    <w:bookmarkEnd w:id="47"/>
    <w:p w14:paraId="7C26514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25.1 评标严格按照招标文件的要求和条件进行。同时考虑以下因素：</w:t>
      </w:r>
    </w:p>
    <w:p w14:paraId="65095E18">
      <w:pPr>
        <w:pStyle w:val="24"/>
        <w:adjustRightInd w:val="0"/>
        <w:snapToGrid w:val="0"/>
        <w:spacing w:line="360" w:lineRule="auto"/>
        <w:ind w:firstLine="422" w:firstLineChars="200"/>
        <w:rPr>
          <w:rFonts w:hint="eastAsia" w:hAnsi="宋体"/>
          <w:b/>
          <w:sz w:val="21"/>
          <w:szCs w:val="21"/>
          <w:highlight w:val="none"/>
        </w:rPr>
      </w:pPr>
      <w:r>
        <w:rPr>
          <w:rFonts w:hint="eastAsia" w:hAnsi="宋体"/>
          <w:b/>
          <w:sz w:val="21"/>
          <w:szCs w:val="21"/>
          <w:highlight w:val="none"/>
        </w:rPr>
        <w:t>（1）环保标志产品、节能产品（须附证明材料）；如采购人所采购产品为政府强制采购的节能产品，投标人所投产品的品牌及型号必须为清单中有效期内产品并提供证明文件</w:t>
      </w:r>
    </w:p>
    <w:p w14:paraId="336BB33C">
      <w:pPr>
        <w:pStyle w:val="24"/>
        <w:adjustRightInd w:val="0"/>
        <w:snapToGrid w:val="0"/>
        <w:spacing w:line="360" w:lineRule="auto"/>
        <w:ind w:firstLine="422" w:firstLineChars="200"/>
        <w:rPr>
          <w:rFonts w:hint="eastAsia" w:hAnsi="宋体"/>
          <w:sz w:val="21"/>
          <w:szCs w:val="21"/>
          <w:highlight w:val="none"/>
        </w:rPr>
      </w:pPr>
      <w:r>
        <w:rPr>
          <w:rFonts w:hint="eastAsia" w:hAnsi="宋体"/>
          <w:b/>
          <w:sz w:val="21"/>
          <w:szCs w:val="21"/>
          <w:highlight w:val="none"/>
        </w:rPr>
        <w:t>（2）财政部门核准的进口产品。优先采购向我国企业转让技术、提供培训服务及其他补偿贸易措施、与我国企业签订消化吸收再创新方案。（须附证明材料）</w:t>
      </w:r>
    </w:p>
    <w:p w14:paraId="45C7C995">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25.2 评标委员会按照第三章“评标方法及标准” 规定的评标方法、评审因素、标准和程序以及有关法律、法规及规章对投标文件进行评审。</w:t>
      </w:r>
    </w:p>
    <w:p w14:paraId="1C8D293B">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25.3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14:paraId="6E737693">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26.确定中标人</w:t>
      </w:r>
    </w:p>
    <w:p w14:paraId="5E98E3C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26.1采购人不保证将合同授予最低投标报价的投标人。</w:t>
      </w:r>
    </w:p>
    <w:p w14:paraId="2A68402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26.2招标代理机构应当在评审结束后2个工作日内将评标报告送采购人确认。</w:t>
      </w:r>
    </w:p>
    <w:p w14:paraId="7C72351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26.3采购人应当在收到评标报告后5个工作日内，从评标报告提出的3名中标候选人中，应当确定排名第一的中标候选人为中标人，也可以书面授权评标委员会直接确定中标人。</w:t>
      </w:r>
    </w:p>
    <w:p w14:paraId="446AB4A7">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27.招标终止</w:t>
      </w:r>
    </w:p>
    <w:p w14:paraId="4CA13EAA">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 xml:space="preserve">27.1出现下列情形之一的，采购人或者招标代理机构应当终止招标采购活动，在财政部门指定的媒体上发布项目终止公告并说明原因，重新开展采购活动： </w:t>
      </w:r>
    </w:p>
    <w:p w14:paraId="60EDCAFC">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（1）因情况变化，不再符合规定的招标采购方式适用情形的；</w:t>
      </w:r>
    </w:p>
    <w:p w14:paraId="1D910D7A">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（2）出现影响采购公正的违法、违规行为的；</w:t>
      </w:r>
    </w:p>
    <w:p w14:paraId="60BEB25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（3）已确定中标人但尚未签订政府采购合同的，中标结果无效，从合格的中标候选人中另行确定中标人；没有合格的中标候选人的；</w:t>
      </w:r>
    </w:p>
    <w:p w14:paraId="0ECBEC0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（4）政府采购合同已签订但尚未履行的，撤销合同，从合格的投标人中另行确定中标人，没有合格的中标人的；</w:t>
      </w:r>
    </w:p>
    <w:p w14:paraId="402B76A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（5）因重大变故，采购任务取消的。</w:t>
      </w:r>
    </w:p>
    <w:p w14:paraId="5E73CCE4">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28．重新评审</w:t>
      </w:r>
    </w:p>
    <w:p w14:paraId="1B883A1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28.1评标结果汇总完成后，除下列情形外，任何人不得修改评标结果：</w:t>
      </w:r>
    </w:p>
    <w:p w14:paraId="542885F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（1）分值汇总计算错误的；</w:t>
      </w:r>
    </w:p>
    <w:p w14:paraId="31A7AB1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（2）分项评分超出评分标准范围的；</w:t>
      </w:r>
    </w:p>
    <w:p w14:paraId="085AABA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（3）评标委员会成员对客观评审因素评分不一致的；</w:t>
      </w:r>
    </w:p>
    <w:p w14:paraId="1978F965">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（4）经评标委员会认定评分畸高、畸低的。</w:t>
      </w:r>
    </w:p>
    <w:p w14:paraId="51046099">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28.2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14:paraId="2FFA9D4F">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29.纪律与保密事项</w:t>
      </w:r>
    </w:p>
    <w:p w14:paraId="3C719D5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29.1评标委员会成员以及与评标工作有关的人员不得泄露评审情况以及评标过程中获悉的国家秘密、商业秘密。</w:t>
      </w:r>
    </w:p>
    <w:p w14:paraId="6DAEE56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29.2投标人不得与采购人、招标代理机构、其他投标人恶意串通；不得向采购人、招标代理机构或者评标委员会成员行贿或者提供其他不正当利益；不得提供虚假材料谋取中标；不得以任何方式干扰、影响采购工作。</w:t>
      </w:r>
    </w:p>
    <w:p w14:paraId="69A49555">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29.3</w:t>
      </w:r>
      <w:r>
        <w:rPr>
          <w:rFonts w:hAnsi="宋体"/>
          <w:sz w:val="21"/>
          <w:szCs w:val="21"/>
          <w:highlight w:val="none"/>
        </w:rPr>
        <w:t>有下列情形之一的，属于恶意串通，中标无效，并依照《政府采购法》第七十七条的规定追究法律责任：</w:t>
      </w:r>
    </w:p>
    <w:p w14:paraId="6A01DF21">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（1）提供虚假材料谋取中标、成交的;</w:t>
      </w:r>
    </w:p>
    <w:p w14:paraId="64D9DB7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（2）采取不正当手段诋毁、排挤其他供应商的;</w:t>
      </w:r>
    </w:p>
    <w:p w14:paraId="14C636D6">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（3）与采购人、其他供应商或者采购代理机构恶意串通的;</w:t>
      </w:r>
    </w:p>
    <w:p w14:paraId="13325CDA">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（4）向采购人、采购代理机构行贿或者提供其他不正当利益的;</w:t>
      </w:r>
    </w:p>
    <w:p w14:paraId="0E20D80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（5）在招标采购过程中与采购人进行协商谈判的;</w:t>
      </w:r>
    </w:p>
    <w:p w14:paraId="1D0BA32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（6）拒绝有关部门监督检查或者提供虚假情况的。</w:t>
      </w:r>
    </w:p>
    <w:p w14:paraId="627E4A75">
      <w:pPr>
        <w:pStyle w:val="3"/>
        <w:numPr>
          <w:ilvl w:val="0"/>
          <w:numId w:val="0"/>
        </w:numPr>
        <w:ind w:left="576" w:hanging="576"/>
        <w:jc w:val="center"/>
        <w:rPr>
          <w:rFonts w:hint="eastAsia" w:ascii="宋体" w:hAnsi="宋体"/>
          <w:sz w:val="21"/>
          <w:szCs w:val="21"/>
          <w:highlight w:val="none"/>
        </w:rPr>
      </w:pPr>
      <w:bookmarkStart w:id="48" w:name="_Toc420948014"/>
      <w:bookmarkStart w:id="49" w:name="_Toc38878764"/>
      <w:r>
        <w:rPr>
          <w:rFonts w:hint="eastAsia" w:ascii="宋体" w:hAnsi="宋体"/>
          <w:sz w:val="21"/>
          <w:szCs w:val="21"/>
          <w:highlight w:val="none"/>
        </w:rPr>
        <w:t>六、中标结果信息公布与授予合同</w:t>
      </w:r>
      <w:bookmarkEnd w:id="48"/>
      <w:bookmarkEnd w:id="49"/>
    </w:p>
    <w:p w14:paraId="21FB550E">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30.中标信息的公布</w:t>
      </w:r>
    </w:p>
    <w:p w14:paraId="41FAB8C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30.1中标人确定后2个工作日内，采购人或者招标代理机构应将中标结果信息在投标须知前附表指定的媒体上公布。</w:t>
      </w:r>
    </w:p>
    <w:p w14:paraId="4A906B96">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31.询问及质疑</w:t>
      </w:r>
    </w:p>
    <w:p w14:paraId="217C2E8A">
      <w:pPr>
        <w:pStyle w:val="24"/>
        <w:adjustRightInd w:val="0"/>
        <w:snapToGrid w:val="0"/>
        <w:spacing w:line="360" w:lineRule="auto"/>
        <w:ind w:firstLine="420" w:firstLineChars="200"/>
        <w:rPr>
          <w:rFonts w:hint="eastAsia" w:hAnsi="宋体"/>
          <w:b/>
          <w:sz w:val="21"/>
          <w:szCs w:val="21"/>
          <w:highlight w:val="none"/>
        </w:rPr>
      </w:pPr>
      <w:r>
        <w:rPr>
          <w:rFonts w:hint="eastAsia" w:hAnsi="宋体"/>
          <w:sz w:val="21"/>
          <w:szCs w:val="21"/>
          <w:highlight w:val="none"/>
        </w:rPr>
        <w:t>31.1投标人对招标文件提出询问或者质疑的，必须遵守政府采购的相关法规，且应提交纸质的质询或者质疑文件原件，并须附证明材料，同时说明投标人联系人、联系方式。原件需加盖投标人公章并由被授权代表签署。</w:t>
      </w:r>
    </w:p>
    <w:p w14:paraId="34121DD4">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32.中标通知</w:t>
      </w:r>
    </w:p>
    <w:p w14:paraId="360F229C">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32.1中标人确定后，采购人或招标代理机构将以书面形式向中标人发出中标通知书。中标通知书对采购人和中标人具有同等法律效力。</w:t>
      </w:r>
    </w:p>
    <w:p w14:paraId="7DAF9748">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32.2 中标通知书是合同文件的组成部分。</w:t>
      </w:r>
    </w:p>
    <w:p w14:paraId="544B927A">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32.3 中标人在收到招标代理机构的中标通知书后10日内，应按照投标须知前附表的规定，向采购人提交履约担保（如有）。联合体中标的，履约担保由联合体各方或联合体中牵头人的名义提交。</w:t>
      </w:r>
    </w:p>
    <w:p w14:paraId="723F2CC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32.4 中标人没有按照规定提交履约担保的，视为放弃中标资格，其投标保证金不予退还。</w:t>
      </w:r>
    </w:p>
    <w:p w14:paraId="7CA4F187">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33.签订合同</w:t>
      </w:r>
    </w:p>
    <w:p w14:paraId="5ED2CD5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33.1 招标文件、中标人的投标文件及其补充的投标文件等均为签订政府采购合同的依据。</w:t>
      </w:r>
    </w:p>
    <w:p w14:paraId="581C61D7">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33.2 中标人应当在中标通知书发出之日起30日内与采购人签订政府采购合同。</w:t>
      </w:r>
    </w:p>
    <w:p w14:paraId="53E249C6">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33.3 中标人应当按照合同约定履行义务。中标人不得向他人转让中标项目，也不得将中标项目分包后分别向他人转让。</w:t>
      </w:r>
    </w:p>
    <w:p w14:paraId="2B35148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33.4 中标人有下列情形之一的，责令限期改正，情节严重的，列入不良行为记录名单，在1至3年内禁止参加政府采购活动，并予以通报：</w:t>
      </w:r>
    </w:p>
    <w:p w14:paraId="2E60A86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（一）中标后无正当理由不与采购人签订合同的；</w:t>
      </w:r>
    </w:p>
    <w:p w14:paraId="4D2A3856">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（二）未按照招标文件确定的事项签订政府采购合同，或者与采购人另行订立背离合同实质性内容的协议的；</w:t>
      </w:r>
    </w:p>
    <w:p w14:paraId="67C013C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（三）拒绝履行合同义务的；</w:t>
      </w:r>
    </w:p>
    <w:p w14:paraId="4EC4BA8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（四）违反法律、规章、规范性文件规定的。</w:t>
      </w:r>
    </w:p>
    <w:p w14:paraId="6C339338">
      <w:pPr>
        <w:pStyle w:val="3"/>
        <w:numPr>
          <w:ilvl w:val="0"/>
          <w:numId w:val="0"/>
        </w:numPr>
        <w:ind w:left="576" w:hanging="576"/>
        <w:jc w:val="center"/>
        <w:rPr>
          <w:rFonts w:hint="eastAsia" w:ascii="宋体" w:hAnsi="宋体"/>
          <w:sz w:val="21"/>
          <w:szCs w:val="21"/>
          <w:highlight w:val="none"/>
        </w:rPr>
      </w:pPr>
      <w:bookmarkStart w:id="50" w:name="_Toc420948015"/>
      <w:bookmarkStart w:id="51" w:name="_Toc38878765"/>
      <w:r>
        <w:rPr>
          <w:rFonts w:hint="eastAsia" w:ascii="宋体" w:hAnsi="宋体"/>
          <w:sz w:val="21"/>
          <w:szCs w:val="21"/>
          <w:highlight w:val="none"/>
        </w:rPr>
        <w:t>七、其他规定</w:t>
      </w:r>
      <w:bookmarkEnd w:id="50"/>
      <w:bookmarkEnd w:id="51"/>
    </w:p>
    <w:p w14:paraId="11A3B991">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34.招标代理服务费</w:t>
      </w:r>
    </w:p>
    <w:p w14:paraId="5112AAA5">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34.1中标人应按投标须知前附表规定交纳招标代理服务费。</w:t>
      </w:r>
    </w:p>
    <w:p w14:paraId="542953E8">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35. 其他规定</w:t>
      </w:r>
    </w:p>
    <w:p w14:paraId="5084CE90">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35.1招标文件的其他规定见投标须知前附表。</w:t>
      </w:r>
    </w:p>
    <w:p w14:paraId="11F537A4">
      <w:pPr>
        <w:pStyle w:val="24"/>
        <w:adjustRightInd w:val="0"/>
        <w:snapToGrid w:val="0"/>
        <w:spacing w:line="360" w:lineRule="auto"/>
        <w:rPr>
          <w:rFonts w:hint="eastAsia" w:hAnsi="宋体"/>
          <w:highlight w:val="none"/>
        </w:rPr>
      </w:pPr>
    </w:p>
    <w:p w14:paraId="07645371">
      <w:pPr>
        <w:pStyle w:val="24"/>
        <w:adjustRightInd w:val="0"/>
        <w:snapToGrid w:val="0"/>
        <w:spacing w:line="360" w:lineRule="auto"/>
        <w:rPr>
          <w:rFonts w:hint="eastAsia" w:hAnsi="宋体"/>
          <w:highlight w:val="none"/>
        </w:rPr>
      </w:pPr>
    </w:p>
    <w:p w14:paraId="2EE1C6C1">
      <w:pPr>
        <w:pStyle w:val="24"/>
        <w:adjustRightInd w:val="0"/>
        <w:snapToGrid w:val="0"/>
        <w:spacing w:line="360" w:lineRule="auto"/>
        <w:rPr>
          <w:rFonts w:hint="eastAsia" w:hAnsi="宋体"/>
          <w:highlight w:val="none"/>
        </w:rPr>
      </w:pPr>
    </w:p>
    <w:p w14:paraId="2692B680">
      <w:pPr>
        <w:pStyle w:val="24"/>
        <w:adjustRightInd w:val="0"/>
        <w:snapToGrid w:val="0"/>
        <w:spacing w:line="360" w:lineRule="auto"/>
        <w:rPr>
          <w:rFonts w:hint="eastAsia" w:hAnsi="宋体"/>
          <w:highlight w:val="none"/>
        </w:rPr>
      </w:pPr>
    </w:p>
    <w:p w14:paraId="657024EA">
      <w:pPr>
        <w:pStyle w:val="24"/>
        <w:adjustRightInd w:val="0"/>
        <w:snapToGrid w:val="0"/>
        <w:spacing w:line="360" w:lineRule="auto"/>
        <w:rPr>
          <w:rFonts w:hint="eastAsia" w:hAnsi="宋体"/>
          <w:highlight w:val="none"/>
        </w:rPr>
      </w:pPr>
    </w:p>
    <w:p w14:paraId="1A450BBD">
      <w:pPr>
        <w:pStyle w:val="24"/>
        <w:adjustRightInd w:val="0"/>
        <w:snapToGrid w:val="0"/>
        <w:spacing w:line="360" w:lineRule="auto"/>
        <w:rPr>
          <w:rFonts w:hint="eastAsia" w:hAnsi="宋体"/>
          <w:highlight w:val="none"/>
        </w:rPr>
      </w:pPr>
    </w:p>
    <w:p w14:paraId="65E00642">
      <w:pPr>
        <w:pStyle w:val="24"/>
        <w:adjustRightInd w:val="0"/>
        <w:snapToGrid w:val="0"/>
        <w:spacing w:line="360" w:lineRule="auto"/>
        <w:rPr>
          <w:rFonts w:hint="eastAsia" w:hAnsi="宋体"/>
          <w:highlight w:val="none"/>
        </w:rPr>
      </w:pPr>
    </w:p>
    <w:p w14:paraId="5E5CFF72">
      <w:pPr>
        <w:pStyle w:val="24"/>
        <w:adjustRightInd w:val="0"/>
        <w:snapToGrid w:val="0"/>
        <w:spacing w:line="360" w:lineRule="auto"/>
        <w:rPr>
          <w:rFonts w:hint="eastAsia" w:hAnsi="宋体"/>
          <w:highlight w:val="none"/>
        </w:rPr>
      </w:pPr>
    </w:p>
    <w:p w14:paraId="30C0A0B7">
      <w:pPr>
        <w:pStyle w:val="24"/>
        <w:adjustRightInd w:val="0"/>
        <w:snapToGrid w:val="0"/>
        <w:spacing w:line="360" w:lineRule="auto"/>
        <w:rPr>
          <w:rFonts w:hint="eastAsia" w:hAnsi="宋体"/>
          <w:highlight w:val="none"/>
        </w:rPr>
      </w:pPr>
    </w:p>
    <w:p w14:paraId="68E26053">
      <w:pPr>
        <w:pStyle w:val="24"/>
        <w:adjustRightInd w:val="0"/>
        <w:snapToGrid w:val="0"/>
        <w:spacing w:line="360" w:lineRule="auto"/>
        <w:rPr>
          <w:rFonts w:hint="eastAsia" w:hAnsi="宋体"/>
          <w:highlight w:val="none"/>
        </w:rPr>
      </w:pPr>
    </w:p>
    <w:p w14:paraId="282FD65C">
      <w:pPr>
        <w:pStyle w:val="24"/>
        <w:adjustRightInd w:val="0"/>
        <w:snapToGrid w:val="0"/>
        <w:spacing w:line="360" w:lineRule="auto"/>
        <w:rPr>
          <w:rFonts w:hint="eastAsia" w:hAnsi="宋体"/>
          <w:highlight w:val="none"/>
        </w:rPr>
      </w:pPr>
    </w:p>
    <w:p w14:paraId="4E3F5E0A">
      <w:pPr>
        <w:pStyle w:val="2"/>
        <w:numPr>
          <w:ilvl w:val="0"/>
          <w:numId w:val="0"/>
        </w:numPr>
        <w:rPr>
          <w:rFonts w:hint="eastAsia" w:ascii="宋体" w:hAnsi="宋体"/>
          <w:highlight w:val="none"/>
        </w:rPr>
      </w:pPr>
      <w:bookmarkStart w:id="52" w:name="_Toc38878766"/>
      <w:bookmarkStart w:id="53" w:name="_Toc430715133"/>
      <w:bookmarkStart w:id="54" w:name="_Toc420948016"/>
      <w:r>
        <w:rPr>
          <w:rFonts w:hint="eastAsia" w:ascii="宋体" w:hAnsi="宋体"/>
          <w:highlight w:val="none"/>
        </w:rPr>
        <w:t>第三章 评标方法及标准</w:t>
      </w:r>
      <w:bookmarkEnd w:id="52"/>
      <w:bookmarkEnd w:id="53"/>
    </w:p>
    <w:p w14:paraId="70077E92">
      <w:pPr>
        <w:pStyle w:val="3"/>
        <w:numPr>
          <w:ilvl w:val="0"/>
          <w:numId w:val="0"/>
        </w:numPr>
        <w:ind w:left="576" w:hanging="576"/>
        <w:jc w:val="center"/>
        <w:rPr>
          <w:rFonts w:hint="eastAsia" w:ascii="宋体" w:hAnsi="宋体"/>
          <w:highlight w:val="none"/>
        </w:rPr>
      </w:pPr>
      <w:bookmarkStart w:id="55" w:name="_Toc38878767"/>
      <w:r>
        <w:rPr>
          <w:rFonts w:hint="eastAsia" w:ascii="宋体" w:hAnsi="宋体"/>
          <w:highlight w:val="none"/>
        </w:rPr>
        <w:t>一、总则</w:t>
      </w:r>
      <w:bookmarkEnd w:id="55"/>
    </w:p>
    <w:p w14:paraId="6A8F982E">
      <w:pPr>
        <w:adjustRightInd w:val="0"/>
        <w:snapToGrid w:val="0"/>
        <w:spacing w:before="120" w:beforeLines="50"/>
        <w:rPr>
          <w:rFonts w:hint="eastAsia"/>
          <w:b/>
          <w:szCs w:val="21"/>
          <w:highlight w:val="none"/>
        </w:rPr>
      </w:pPr>
      <w:r>
        <w:rPr>
          <w:rFonts w:hint="eastAsia"/>
          <w:b/>
          <w:szCs w:val="21"/>
          <w:highlight w:val="none"/>
        </w:rPr>
        <w:t>1.评标原则</w:t>
      </w:r>
    </w:p>
    <w:p w14:paraId="21CE0158">
      <w:pPr>
        <w:tabs>
          <w:tab w:val="left" w:pos="0"/>
        </w:tabs>
        <w:adjustRightInd w:val="0"/>
        <w:snapToGrid w:val="0"/>
        <w:spacing w:before="120" w:beforeLines="50"/>
        <w:ind w:firstLine="480" w:firstLineChars="200"/>
        <w:rPr>
          <w:rFonts w:hint="eastAsia"/>
          <w:szCs w:val="21"/>
          <w:highlight w:val="none"/>
        </w:rPr>
      </w:pPr>
      <w:r>
        <w:rPr>
          <w:rFonts w:hint="eastAsia"/>
          <w:szCs w:val="21"/>
          <w:highlight w:val="none"/>
        </w:rPr>
        <w:t>1.1资格性检查由资格审查小组负责。</w:t>
      </w:r>
    </w:p>
    <w:p w14:paraId="77163E45">
      <w:pPr>
        <w:tabs>
          <w:tab w:val="left" w:pos="0"/>
        </w:tabs>
        <w:adjustRightInd w:val="0"/>
        <w:snapToGrid w:val="0"/>
        <w:spacing w:before="120" w:beforeLines="50"/>
        <w:ind w:firstLine="480" w:firstLineChars="200"/>
        <w:rPr>
          <w:rFonts w:hint="eastAsia"/>
          <w:szCs w:val="21"/>
          <w:highlight w:val="none"/>
        </w:rPr>
      </w:pPr>
      <w:r>
        <w:rPr>
          <w:rFonts w:hint="eastAsia"/>
          <w:szCs w:val="21"/>
          <w:highlight w:val="none"/>
        </w:rPr>
        <w:t>1.2评标由依法组成的评标委员会负责。</w:t>
      </w:r>
    </w:p>
    <w:p w14:paraId="2B5FCAD7">
      <w:pPr>
        <w:adjustRightInd w:val="0"/>
        <w:snapToGrid w:val="0"/>
        <w:spacing w:before="120" w:beforeLines="50"/>
        <w:rPr>
          <w:rFonts w:hint="eastAsia"/>
          <w:b/>
          <w:szCs w:val="21"/>
          <w:highlight w:val="none"/>
        </w:rPr>
      </w:pPr>
      <w:r>
        <w:rPr>
          <w:rFonts w:hint="eastAsia"/>
          <w:b/>
          <w:bCs/>
          <w:szCs w:val="21"/>
          <w:highlight w:val="none"/>
        </w:rPr>
        <w:t>2.</w:t>
      </w:r>
      <w:r>
        <w:rPr>
          <w:rFonts w:hint="eastAsia"/>
          <w:b/>
          <w:szCs w:val="21"/>
          <w:highlight w:val="none"/>
        </w:rPr>
        <w:t>评标方法</w:t>
      </w:r>
    </w:p>
    <w:p w14:paraId="14F551A1">
      <w:pPr>
        <w:tabs>
          <w:tab w:val="left" w:pos="0"/>
        </w:tabs>
        <w:adjustRightInd w:val="0"/>
        <w:snapToGrid w:val="0"/>
        <w:spacing w:before="120" w:beforeLines="50"/>
        <w:ind w:firstLine="480" w:firstLineChars="200"/>
        <w:rPr>
          <w:rFonts w:hint="eastAsia"/>
          <w:szCs w:val="21"/>
          <w:highlight w:val="none"/>
        </w:rPr>
      </w:pPr>
      <w:r>
        <w:rPr>
          <w:rFonts w:hint="eastAsia"/>
          <w:szCs w:val="21"/>
          <w:highlight w:val="none"/>
        </w:rPr>
        <w:t>2.1评标方法：综合评分法，即投标文件能够最大限度的满足招标文件规定的各项综合评价标准且经评审综合得分最高的投标人为中标候选人的评标方法。</w:t>
      </w:r>
    </w:p>
    <w:p w14:paraId="224957D2">
      <w:pPr>
        <w:tabs>
          <w:tab w:val="left" w:pos="0"/>
        </w:tabs>
        <w:adjustRightInd w:val="0"/>
        <w:snapToGrid w:val="0"/>
        <w:spacing w:before="120" w:beforeLines="50"/>
        <w:ind w:firstLine="480" w:firstLineChars="200"/>
        <w:rPr>
          <w:rFonts w:hint="eastAsia"/>
          <w:szCs w:val="21"/>
          <w:highlight w:val="none"/>
        </w:rPr>
      </w:pPr>
      <w:r>
        <w:rPr>
          <w:rFonts w:hint="eastAsia"/>
          <w:szCs w:val="21"/>
          <w:highlight w:val="none"/>
        </w:rPr>
        <w:t>2.2本招标项目的评标因素包括投标报价、技术或者服务水平、履约能力、售后服务等，但不包括第二章“投标须知”第3.1款规定的投标人资格条件。</w:t>
      </w:r>
    </w:p>
    <w:p w14:paraId="72BACDF5">
      <w:pPr>
        <w:pStyle w:val="3"/>
        <w:numPr>
          <w:ilvl w:val="0"/>
          <w:numId w:val="0"/>
        </w:numPr>
        <w:ind w:left="576" w:hanging="576"/>
        <w:jc w:val="center"/>
        <w:rPr>
          <w:rFonts w:hint="eastAsia" w:ascii="宋体" w:hAnsi="宋体"/>
          <w:kern w:val="0"/>
          <w:sz w:val="21"/>
          <w:szCs w:val="21"/>
          <w:highlight w:val="none"/>
        </w:rPr>
      </w:pPr>
      <w:bookmarkStart w:id="56" w:name="_Toc38878768"/>
      <w:r>
        <w:rPr>
          <w:rFonts w:hint="eastAsia" w:ascii="宋体" w:hAnsi="宋体"/>
          <w:kern w:val="0"/>
          <w:sz w:val="21"/>
          <w:szCs w:val="21"/>
          <w:highlight w:val="none"/>
        </w:rPr>
        <w:t>二、评标程序</w:t>
      </w:r>
      <w:bookmarkEnd w:id="56"/>
    </w:p>
    <w:p w14:paraId="037C1277">
      <w:pPr>
        <w:adjustRightInd w:val="0"/>
        <w:snapToGrid w:val="0"/>
        <w:spacing w:before="120" w:beforeLines="50"/>
        <w:ind w:right="-125" w:rightChars="-52"/>
        <w:rPr>
          <w:rFonts w:hint="eastAsia"/>
          <w:b/>
          <w:bCs/>
          <w:szCs w:val="21"/>
          <w:highlight w:val="none"/>
        </w:rPr>
      </w:pPr>
      <w:r>
        <w:rPr>
          <w:rFonts w:hint="eastAsia"/>
          <w:b/>
          <w:bCs/>
          <w:szCs w:val="21"/>
          <w:highlight w:val="none"/>
        </w:rPr>
        <w:t>3.投标文件的初步</w:t>
      </w:r>
      <w:r>
        <w:rPr>
          <w:rFonts w:hint="eastAsia"/>
          <w:b/>
          <w:szCs w:val="21"/>
          <w:highlight w:val="none"/>
        </w:rPr>
        <w:t>评审</w:t>
      </w:r>
    </w:p>
    <w:p w14:paraId="49DD066B">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3.1初步评审分为资格性检查和符合性检查。</w:t>
      </w:r>
    </w:p>
    <w:p w14:paraId="3F4C10A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3.1.1 资格性检查。根据法律法规和招标文件的规定，采购人、招标代理机构组成审查小组对投标文件中的资格证明、投标保证金等进行审查，以确定投标人是否具备投标资格。</w:t>
      </w:r>
    </w:p>
    <w:p w14:paraId="642707EB">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48679FE2">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3.1.3投标人不得通过修正或撤销不合要求的偏离从而使其投标成为实质上响应的投标。</w:t>
      </w:r>
    </w:p>
    <w:tbl>
      <w:tblPr>
        <w:tblStyle w:val="4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1C5A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A6D6EF4">
            <w:pPr>
              <w:spacing w:line="400" w:lineRule="exact"/>
              <w:jc w:val="center"/>
              <w:rPr>
                <w:rFonts w:hint="eastAsia"/>
                <w:b/>
                <w:szCs w:val="21"/>
                <w:highlight w:val="none"/>
              </w:rPr>
            </w:pPr>
            <w:r>
              <w:rPr>
                <w:rFonts w:hint="eastAsia"/>
                <w:b/>
                <w:szCs w:val="21"/>
                <w:highlight w:val="none"/>
              </w:rPr>
              <w:t>项目</w:t>
            </w:r>
          </w:p>
        </w:tc>
        <w:tc>
          <w:tcPr>
            <w:tcW w:w="8100" w:type="dxa"/>
            <w:vAlign w:val="center"/>
          </w:tcPr>
          <w:p w14:paraId="634655EA">
            <w:pPr>
              <w:spacing w:line="400" w:lineRule="exact"/>
              <w:jc w:val="center"/>
              <w:rPr>
                <w:rFonts w:hint="eastAsia"/>
                <w:b/>
                <w:szCs w:val="21"/>
                <w:highlight w:val="none"/>
              </w:rPr>
            </w:pPr>
            <w:r>
              <w:rPr>
                <w:b/>
                <w:szCs w:val="21"/>
                <w:highlight w:val="none"/>
              </w:rPr>
              <w:t>评审因素</w:t>
            </w:r>
          </w:p>
        </w:tc>
      </w:tr>
      <w:tr w14:paraId="153D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900" w:type="dxa"/>
            <w:vMerge w:val="restart"/>
            <w:vAlign w:val="center"/>
          </w:tcPr>
          <w:p w14:paraId="634DC9DD">
            <w:pPr>
              <w:spacing w:line="400" w:lineRule="exact"/>
              <w:jc w:val="center"/>
              <w:rPr>
                <w:rFonts w:hint="eastAsia"/>
                <w:b/>
                <w:szCs w:val="21"/>
                <w:highlight w:val="none"/>
              </w:rPr>
            </w:pPr>
            <w:r>
              <w:rPr>
                <w:rFonts w:hint="eastAsia"/>
                <w:b/>
                <w:szCs w:val="21"/>
                <w:highlight w:val="none"/>
              </w:rPr>
              <w:t>资格性检查</w:t>
            </w:r>
          </w:p>
        </w:tc>
        <w:tc>
          <w:tcPr>
            <w:tcW w:w="8100" w:type="dxa"/>
            <w:vAlign w:val="center"/>
          </w:tcPr>
          <w:p w14:paraId="3A46096A">
            <w:pPr>
              <w:spacing w:line="400" w:lineRule="exact"/>
              <w:rPr>
                <w:rFonts w:hint="eastAsia"/>
                <w:szCs w:val="21"/>
                <w:highlight w:val="none"/>
              </w:rPr>
            </w:pPr>
            <w:r>
              <w:rPr>
                <w:rFonts w:hint="eastAsia"/>
                <w:szCs w:val="21"/>
                <w:highlight w:val="none"/>
              </w:rPr>
              <w:t>1、符合《中华人民共和国政府采购法》第二十二条规定：</w:t>
            </w:r>
          </w:p>
          <w:p w14:paraId="2BE3F117">
            <w:pPr>
              <w:spacing w:line="400" w:lineRule="exact"/>
              <w:ind w:firstLine="360" w:firstLineChars="150"/>
              <w:rPr>
                <w:rFonts w:hint="eastAsia"/>
                <w:szCs w:val="21"/>
                <w:highlight w:val="none"/>
              </w:rPr>
            </w:pPr>
            <w:r>
              <w:rPr>
                <w:rFonts w:hint="eastAsia"/>
                <w:szCs w:val="21"/>
                <w:highlight w:val="none"/>
              </w:rPr>
              <w:t>1）有效的营业执照复印件；</w:t>
            </w:r>
          </w:p>
          <w:p w14:paraId="62A4C111">
            <w:pPr>
              <w:spacing w:line="400" w:lineRule="exact"/>
              <w:ind w:firstLine="360" w:firstLineChars="150"/>
              <w:rPr>
                <w:rFonts w:hint="eastAsia"/>
                <w:szCs w:val="21"/>
                <w:highlight w:val="none"/>
              </w:rPr>
            </w:pPr>
            <w:r>
              <w:rPr>
                <w:rFonts w:hint="eastAsia"/>
                <w:szCs w:val="21"/>
                <w:highlight w:val="none"/>
              </w:rPr>
              <w:t>2）投标函按招标文件规定格式完整提供；</w:t>
            </w:r>
          </w:p>
          <w:p w14:paraId="658F8E7A">
            <w:pPr>
              <w:spacing w:line="400" w:lineRule="exact"/>
              <w:ind w:firstLine="360" w:firstLineChars="150"/>
              <w:rPr>
                <w:rFonts w:hint="eastAsia"/>
                <w:szCs w:val="21"/>
                <w:highlight w:val="none"/>
              </w:rPr>
            </w:pPr>
            <w:r>
              <w:rPr>
                <w:rFonts w:hint="eastAsia"/>
                <w:szCs w:val="21"/>
                <w:highlight w:val="none"/>
              </w:rPr>
              <w:t>3）提供2023年度或2024年度经审计财务会计报告，或基本开户银行出具的资信证明；</w:t>
            </w:r>
          </w:p>
          <w:p w14:paraId="4F59CE56">
            <w:pPr>
              <w:spacing w:line="400" w:lineRule="exact"/>
              <w:ind w:firstLine="360" w:firstLineChars="150"/>
              <w:rPr>
                <w:rFonts w:hint="eastAsia"/>
                <w:szCs w:val="21"/>
                <w:highlight w:val="none"/>
              </w:rPr>
            </w:pPr>
            <w:r>
              <w:rPr>
                <w:rFonts w:hint="eastAsia"/>
                <w:szCs w:val="21"/>
                <w:highlight w:val="none"/>
              </w:rPr>
              <w:t>4）提供近6个月内任一月依法缴纳税收证明；</w:t>
            </w:r>
          </w:p>
          <w:p w14:paraId="434DA849">
            <w:pPr>
              <w:spacing w:line="400" w:lineRule="exact"/>
              <w:ind w:firstLine="360" w:firstLineChars="150"/>
              <w:rPr>
                <w:rFonts w:hint="eastAsia"/>
                <w:szCs w:val="21"/>
                <w:highlight w:val="none"/>
              </w:rPr>
            </w:pPr>
            <w:r>
              <w:rPr>
                <w:rFonts w:hint="eastAsia"/>
                <w:szCs w:val="21"/>
                <w:highlight w:val="none"/>
              </w:rPr>
              <w:t>5）提供近6个月内任一月社保缴纳证明；</w:t>
            </w:r>
          </w:p>
        </w:tc>
      </w:tr>
      <w:tr w14:paraId="01C4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00" w:type="dxa"/>
            <w:vMerge w:val="continue"/>
            <w:vAlign w:val="center"/>
          </w:tcPr>
          <w:p w14:paraId="00D5986D">
            <w:pPr>
              <w:spacing w:line="400" w:lineRule="exact"/>
              <w:jc w:val="center"/>
              <w:rPr>
                <w:rFonts w:hint="eastAsia"/>
                <w:b/>
                <w:szCs w:val="21"/>
                <w:highlight w:val="none"/>
              </w:rPr>
            </w:pPr>
          </w:p>
        </w:tc>
        <w:tc>
          <w:tcPr>
            <w:tcW w:w="8100" w:type="dxa"/>
            <w:vAlign w:val="center"/>
          </w:tcPr>
          <w:p w14:paraId="1D452C65">
            <w:pPr>
              <w:spacing w:line="400" w:lineRule="exact"/>
              <w:rPr>
                <w:rFonts w:hint="eastAsia"/>
                <w:szCs w:val="21"/>
                <w:highlight w:val="none"/>
              </w:rPr>
            </w:pPr>
            <w:r>
              <w:rPr>
                <w:rFonts w:hint="eastAsia"/>
                <w:szCs w:val="21"/>
                <w:highlight w:val="none"/>
              </w:rPr>
              <w:t>2、缴纳投标保证金或提交电子保函</w:t>
            </w:r>
          </w:p>
        </w:tc>
      </w:tr>
      <w:tr w14:paraId="50BD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00" w:type="dxa"/>
            <w:vMerge w:val="continue"/>
            <w:vAlign w:val="center"/>
          </w:tcPr>
          <w:p w14:paraId="7A828D78">
            <w:pPr>
              <w:spacing w:line="400" w:lineRule="exact"/>
              <w:jc w:val="center"/>
              <w:rPr>
                <w:rFonts w:hint="eastAsia"/>
                <w:b/>
                <w:szCs w:val="21"/>
                <w:highlight w:val="none"/>
              </w:rPr>
            </w:pPr>
          </w:p>
        </w:tc>
        <w:tc>
          <w:tcPr>
            <w:tcW w:w="8100" w:type="dxa"/>
            <w:vAlign w:val="center"/>
          </w:tcPr>
          <w:p w14:paraId="7D7A1D28">
            <w:pPr>
              <w:spacing w:line="400" w:lineRule="exact"/>
              <w:rPr>
                <w:rFonts w:hint="eastAsia"/>
                <w:szCs w:val="21"/>
                <w:highlight w:val="none"/>
              </w:rPr>
            </w:pPr>
            <w:r>
              <w:rPr>
                <w:rFonts w:hint="eastAsia"/>
                <w:szCs w:val="21"/>
                <w:highlight w:val="none"/>
              </w:rPr>
              <w:t>3、投标人不存在第二章投标人须知3.2项规定</w:t>
            </w:r>
          </w:p>
        </w:tc>
      </w:tr>
      <w:tr w14:paraId="585B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0FA5E4B9">
            <w:pPr>
              <w:spacing w:line="400" w:lineRule="exact"/>
              <w:jc w:val="center"/>
              <w:rPr>
                <w:rFonts w:hint="eastAsia"/>
                <w:b/>
                <w:szCs w:val="21"/>
                <w:highlight w:val="none"/>
              </w:rPr>
            </w:pPr>
            <w:r>
              <w:rPr>
                <w:rFonts w:hint="eastAsia"/>
                <w:b/>
                <w:szCs w:val="21"/>
                <w:highlight w:val="none"/>
              </w:rPr>
              <w:t>结论</w:t>
            </w:r>
          </w:p>
        </w:tc>
        <w:tc>
          <w:tcPr>
            <w:tcW w:w="8100" w:type="dxa"/>
            <w:vAlign w:val="center"/>
          </w:tcPr>
          <w:p w14:paraId="6A4446C0">
            <w:pPr>
              <w:spacing w:line="400" w:lineRule="exact"/>
              <w:rPr>
                <w:rFonts w:hint="eastAsia"/>
                <w:szCs w:val="21"/>
                <w:highlight w:val="none"/>
              </w:rPr>
            </w:pPr>
            <w:r>
              <w:rPr>
                <w:rFonts w:hint="eastAsia"/>
                <w:szCs w:val="21"/>
                <w:highlight w:val="none"/>
              </w:rPr>
              <w:t>是否通过审查，进入下一阶段</w:t>
            </w:r>
          </w:p>
        </w:tc>
      </w:tr>
      <w:tr w14:paraId="2C59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3B050A6C">
            <w:pPr>
              <w:spacing w:line="400" w:lineRule="exact"/>
              <w:ind w:firstLine="472" w:firstLineChars="196"/>
              <w:rPr>
                <w:rFonts w:hint="eastAsia"/>
                <w:b/>
                <w:szCs w:val="21"/>
                <w:highlight w:val="none"/>
              </w:rPr>
            </w:pPr>
            <w:r>
              <w:rPr>
                <w:rFonts w:hint="eastAsia"/>
                <w:b/>
                <w:szCs w:val="21"/>
                <w:highlight w:val="none"/>
              </w:rPr>
              <w:t>1）“是否通过并进入下一阶段评审”一栏应写“通过”或“不通过”。</w:t>
            </w:r>
          </w:p>
          <w:p w14:paraId="4B6D9771">
            <w:pPr>
              <w:spacing w:line="400" w:lineRule="exact"/>
              <w:ind w:firstLine="472" w:firstLineChars="196"/>
              <w:rPr>
                <w:rFonts w:hint="eastAsia"/>
                <w:b/>
                <w:szCs w:val="21"/>
                <w:highlight w:val="none"/>
              </w:rPr>
            </w:pPr>
            <w:r>
              <w:rPr>
                <w:rFonts w:hint="eastAsia"/>
                <w:b/>
                <w:szCs w:val="21"/>
                <w:highlight w:val="none"/>
              </w:rPr>
              <w:t>2）出现一个“×”的结论为“不通过”。表中全部为“√”，同意进入下一阶段评审。</w:t>
            </w:r>
          </w:p>
          <w:p w14:paraId="4657AB75">
            <w:pPr>
              <w:spacing w:line="400" w:lineRule="exact"/>
              <w:ind w:firstLine="472" w:firstLineChars="196"/>
              <w:rPr>
                <w:rFonts w:hint="eastAsia"/>
                <w:szCs w:val="21"/>
                <w:highlight w:val="none"/>
              </w:rPr>
            </w:pPr>
            <w:r>
              <w:rPr>
                <w:rFonts w:hint="eastAsia"/>
                <w:b/>
                <w:szCs w:val="21"/>
                <w:highlight w:val="none"/>
              </w:rPr>
              <w:t>3）若审查组成员意见不一致时，则按少数服从多数的原则，由全部成员投票决定该投标人是否通过审查，进入下一阶段评审。</w:t>
            </w:r>
          </w:p>
        </w:tc>
      </w:tr>
    </w:tbl>
    <w:p w14:paraId="018755DA">
      <w:pPr>
        <w:pStyle w:val="24"/>
        <w:adjustRightInd w:val="0"/>
        <w:snapToGrid w:val="0"/>
        <w:spacing w:line="360" w:lineRule="auto"/>
        <w:ind w:firstLine="480" w:firstLineChars="200"/>
        <w:rPr>
          <w:rFonts w:hint="eastAsia" w:hAnsi="宋体"/>
          <w:highlight w:val="none"/>
        </w:rPr>
      </w:pPr>
    </w:p>
    <w:tbl>
      <w:tblPr>
        <w:tblStyle w:val="4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322A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F53388">
            <w:pPr>
              <w:spacing w:line="400" w:lineRule="exact"/>
              <w:jc w:val="center"/>
              <w:rPr>
                <w:rFonts w:hint="eastAsia"/>
                <w:b/>
                <w:szCs w:val="21"/>
                <w:highlight w:val="none"/>
              </w:rPr>
            </w:pPr>
            <w:r>
              <w:rPr>
                <w:rFonts w:hint="eastAsia"/>
                <w:b/>
                <w:szCs w:val="21"/>
                <w:highlight w:val="none"/>
              </w:rPr>
              <w:t>项目</w:t>
            </w:r>
          </w:p>
        </w:tc>
        <w:tc>
          <w:tcPr>
            <w:tcW w:w="8100" w:type="dxa"/>
            <w:vAlign w:val="center"/>
          </w:tcPr>
          <w:p w14:paraId="3CC6D01C">
            <w:pPr>
              <w:spacing w:line="400" w:lineRule="exact"/>
              <w:jc w:val="center"/>
              <w:rPr>
                <w:rFonts w:hint="eastAsia"/>
                <w:b/>
                <w:szCs w:val="21"/>
                <w:highlight w:val="none"/>
              </w:rPr>
            </w:pPr>
            <w:r>
              <w:rPr>
                <w:b/>
                <w:szCs w:val="21"/>
                <w:highlight w:val="none"/>
              </w:rPr>
              <w:t>评审因素</w:t>
            </w:r>
          </w:p>
        </w:tc>
      </w:tr>
      <w:tr w14:paraId="48F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14:paraId="25E6E554">
            <w:pPr>
              <w:spacing w:line="400" w:lineRule="exact"/>
              <w:jc w:val="center"/>
              <w:rPr>
                <w:rFonts w:hint="eastAsia"/>
                <w:b/>
                <w:szCs w:val="21"/>
                <w:highlight w:val="none"/>
              </w:rPr>
            </w:pPr>
            <w:r>
              <w:rPr>
                <w:rFonts w:hint="eastAsia"/>
                <w:b/>
                <w:szCs w:val="21"/>
                <w:highlight w:val="none"/>
              </w:rPr>
              <w:t>符合性检查</w:t>
            </w:r>
          </w:p>
        </w:tc>
        <w:tc>
          <w:tcPr>
            <w:tcW w:w="8100" w:type="dxa"/>
            <w:vAlign w:val="center"/>
          </w:tcPr>
          <w:p w14:paraId="25F87D9E">
            <w:pPr>
              <w:spacing w:line="400" w:lineRule="exact"/>
              <w:rPr>
                <w:rFonts w:hint="eastAsia"/>
                <w:szCs w:val="21"/>
                <w:highlight w:val="none"/>
              </w:rPr>
            </w:pPr>
            <w:r>
              <w:rPr>
                <w:rFonts w:hint="eastAsia"/>
                <w:szCs w:val="21"/>
                <w:highlight w:val="none"/>
              </w:rPr>
              <w:t>1、投标文件按照招标文件规定的内容、格式填写，字迹清晰可辨</w:t>
            </w:r>
          </w:p>
        </w:tc>
      </w:tr>
      <w:tr w14:paraId="306A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5DD1E7A">
            <w:pPr>
              <w:spacing w:line="400" w:lineRule="exact"/>
              <w:jc w:val="center"/>
              <w:rPr>
                <w:rFonts w:hint="eastAsia"/>
                <w:szCs w:val="21"/>
                <w:highlight w:val="none"/>
              </w:rPr>
            </w:pPr>
          </w:p>
        </w:tc>
        <w:tc>
          <w:tcPr>
            <w:tcW w:w="8100" w:type="dxa"/>
          </w:tcPr>
          <w:p w14:paraId="6EE709A8">
            <w:pPr>
              <w:spacing w:line="400" w:lineRule="exact"/>
              <w:rPr>
                <w:rFonts w:hint="eastAsia"/>
                <w:szCs w:val="21"/>
                <w:highlight w:val="none"/>
              </w:rPr>
            </w:pPr>
            <w:r>
              <w:rPr>
                <w:rFonts w:hint="eastAsia"/>
                <w:szCs w:val="21"/>
                <w:highlight w:val="none"/>
              </w:rPr>
              <w:t>2、投标文件提供法定代表人授权委托书或提供法定代表人身份证明</w:t>
            </w:r>
          </w:p>
        </w:tc>
      </w:tr>
      <w:tr w14:paraId="71F8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7B578006">
            <w:pPr>
              <w:spacing w:line="400" w:lineRule="exact"/>
              <w:jc w:val="center"/>
              <w:rPr>
                <w:rFonts w:hint="eastAsia"/>
                <w:szCs w:val="21"/>
                <w:highlight w:val="none"/>
              </w:rPr>
            </w:pPr>
          </w:p>
        </w:tc>
        <w:tc>
          <w:tcPr>
            <w:tcW w:w="8100" w:type="dxa"/>
            <w:vAlign w:val="center"/>
          </w:tcPr>
          <w:p w14:paraId="66D77032">
            <w:pPr>
              <w:spacing w:line="400" w:lineRule="exact"/>
              <w:rPr>
                <w:rFonts w:hint="eastAsia"/>
                <w:szCs w:val="21"/>
                <w:highlight w:val="none"/>
              </w:rPr>
            </w:pPr>
            <w:r>
              <w:rPr>
                <w:rFonts w:hint="eastAsia"/>
                <w:szCs w:val="21"/>
                <w:highlight w:val="none"/>
              </w:rPr>
              <w:t>3、投标文件上法定代表人或其授权代理人的盖章或签字、投标人的单位章齐全符合招标文件规定，投标文件格式中已给出的要求加盖电子公章、电子签字或电子印章，其余内容需逐页加盖电子公章</w:t>
            </w:r>
          </w:p>
        </w:tc>
      </w:tr>
      <w:tr w14:paraId="588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56B6393C">
            <w:pPr>
              <w:spacing w:line="400" w:lineRule="exact"/>
              <w:jc w:val="center"/>
              <w:rPr>
                <w:rFonts w:hint="eastAsia"/>
                <w:szCs w:val="21"/>
                <w:highlight w:val="none"/>
              </w:rPr>
            </w:pPr>
          </w:p>
        </w:tc>
        <w:tc>
          <w:tcPr>
            <w:tcW w:w="8100" w:type="dxa"/>
            <w:vAlign w:val="center"/>
          </w:tcPr>
          <w:p w14:paraId="27BEAA02">
            <w:pPr>
              <w:spacing w:line="400" w:lineRule="exact"/>
              <w:rPr>
                <w:rFonts w:hint="eastAsia"/>
                <w:szCs w:val="21"/>
                <w:highlight w:val="none"/>
              </w:rPr>
            </w:pPr>
            <w:r>
              <w:rPr>
                <w:rFonts w:hint="eastAsia"/>
                <w:szCs w:val="21"/>
                <w:highlight w:val="none"/>
              </w:rPr>
              <w:t>4、投标文件承诺投标有效期满足招标文件要求</w:t>
            </w:r>
          </w:p>
        </w:tc>
      </w:tr>
      <w:tr w14:paraId="11A4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30B474FF">
            <w:pPr>
              <w:spacing w:line="400" w:lineRule="exact"/>
              <w:jc w:val="center"/>
              <w:rPr>
                <w:rFonts w:hint="eastAsia"/>
                <w:szCs w:val="21"/>
                <w:highlight w:val="none"/>
              </w:rPr>
            </w:pPr>
          </w:p>
        </w:tc>
        <w:tc>
          <w:tcPr>
            <w:tcW w:w="8100" w:type="dxa"/>
            <w:vAlign w:val="center"/>
          </w:tcPr>
          <w:p w14:paraId="15F92245">
            <w:pPr>
              <w:spacing w:line="400" w:lineRule="exact"/>
              <w:rPr>
                <w:rFonts w:hint="eastAsia"/>
                <w:szCs w:val="21"/>
                <w:highlight w:val="none"/>
              </w:rPr>
            </w:pPr>
            <w:r>
              <w:rPr>
                <w:rFonts w:hint="eastAsia"/>
                <w:szCs w:val="21"/>
                <w:highlight w:val="none"/>
              </w:rPr>
              <w:t>5、投标文件承诺交付期限满足招标文件要求</w:t>
            </w:r>
          </w:p>
        </w:tc>
      </w:tr>
      <w:tr w14:paraId="4678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E6C4F3B">
            <w:pPr>
              <w:spacing w:line="400" w:lineRule="exact"/>
              <w:jc w:val="center"/>
              <w:rPr>
                <w:rFonts w:hint="eastAsia"/>
                <w:szCs w:val="21"/>
                <w:highlight w:val="none"/>
              </w:rPr>
            </w:pPr>
          </w:p>
        </w:tc>
        <w:tc>
          <w:tcPr>
            <w:tcW w:w="8100" w:type="dxa"/>
            <w:vAlign w:val="center"/>
          </w:tcPr>
          <w:p w14:paraId="4C2870B6">
            <w:pPr>
              <w:spacing w:line="400" w:lineRule="exact"/>
              <w:rPr>
                <w:rFonts w:hint="eastAsia"/>
                <w:szCs w:val="21"/>
                <w:highlight w:val="none"/>
              </w:rPr>
            </w:pPr>
            <w:r>
              <w:rPr>
                <w:rFonts w:hint="eastAsia"/>
                <w:szCs w:val="21"/>
                <w:highlight w:val="none"/>
              </w:rPr>
              <w:t>6、投标报价具有唯一性，未超过采购项目预算</w:t>
            </w:r>
          </w:p>
        </w:tc>
      </w:tr>
      <w:tr w14:paraId="18FE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23787F8F">
            <w:pPr>
              <w:spacing w:line="400" w:lineRule="exact"/>
              <w:jc w:val="center"/>
              <w:rPr>
                <w:rFonts w:hint="eastAsia"/>
                <w:szCs w:val="21"/>
                <w:highlight w:val="none"/>
              </w:rPr>
            </w:pPr>
          </w:p>
        </w:tc>
        <w:tc>
          <w:tcPr>
            <w:tcW w:w="8100" w:type="dxa"/>
            <w:vAlign w:val="center"/>
          </w:tcPr>
          <w:p w14:paraId="60C24C84">
            <w:pPr>
              <w:spacing w:line="400" w:lineRule="exact"/>
              <w:rPr>
                <w:rFonts w:hint="eastAsia"/>
                <w:szCs w:val="21"/>
                <w:highlight w:val="none"/>
              </w:rPr>
            </w:pPr>
            <w:r>
              <w:rPr>
                <w:rFonts w:hint="eastAsia"/>
                <w:szCs w:val="21"/>
                <w:highlight w:val="none"/>
              </w:rPr>
              <w:t>7、未存在不符合国家、行业技术标准的要求</w:t>
            </w:r>
          </w:p>
        </w:tc>
      </w:tr>
      <w:tr w14:paraId="1070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EE86BA5">
            <w:pPr>
              <w:spacing w:line="400" w:lineRule="exact"/>
              <w:jc w:val="center"/>
              <w:rPr>
                <w:rFonts w:hint="eastAsia"/>
                <w:szCs w:val="21"/>
                <w:highlight w:val="none"/>
              </w:rPr>
            </w:pPr>
          </w:p>
        </w:tc>
        <w:tc>
          <w:tcPr>
            <w:tcW w:w="8100" w:type="dxa"/>
            <w:vAlign w:val="center"/>
          </w:tcPr>
          <w:p w14:paraId="65768FA0">
            <w:pPr>
              <w:spacing w:line="400" w:lineRule="exact"/>
              <w:rPr>
                <w:rFonts w:hint="eastAsia"/>
                <w:szCs w:val="21"/>
                <w:highlight w:val="none"/>
              </w:rPr>
            </w:pPr>
            <w:r>
              <w:rPr>
                <w:rFonts w:hint="eastAsia"/>
                <w:szCs w:val="21"/>
                <w:highlight w:val="none"/>
              </w:rPr>
              <w:t>8、投标文件未附有采购人不能接受的条件或不符合招标文件的其他要求</w:t>
            </w:r>
          </w:p>
        </w:tc>
      </w:tr>
      <w:tr w14:paraId="131A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vAlign w:val="center"/>
          </w:tcPr>
          <w:p w14:paraId="55AF93CF">
            <w:pPr>
              <w:spacing w:line="400" w:lineRule="exact"/>
              <w:jc w:val="center"/>
              <w:rPr>
                <w:rFonts w:hint="eastAsia"/>
                <w:szCs w:val="21"/>
                <w:highlight w:val="none"/>
              </w:rPr>
            </w:pPr>
          </w:p>
        </w:tc>
        <w:tc>
          <w:tcPr>
            <w:tcW w:w="8100" w:type="dxa"/>
            <w:vAlign w:val="center"/>
          </w:tcPr>
          <w:p w14:paraId="4BC65792">
            <w:pPr>
              <w:spacing w:line="400" w:lineRule="exact"/>
              <w:rPr>
                <w:rFonts w:hint="eastAsia"/>
                <w:szCs w:val="21"/>
                <w:highlight w:val="none"/>
              </w:rPr>
            </w:pPr>
            <w:r>
              <w:rPr>
                <w:rFonts w:hint="eastAsia"/>
                <w:szCs w:val="21"/>
                <w:highlight w:val="none"/>
              </w:rPr>
              <w:t>9、符合法律、法规的规定</w:t>
            </w:r>
          </w:p>
        </w:tc>
      </w:tr>
      <w:tr w14:paraId="08A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7609B723">
            <w:pPr>
              <w:spacing w:line="400" w:lineRule="exact"/>
              <w:jc w:val="center"/>
              <w:rPr>
                <w:rFonts w:hint="eastAsia"/>
                <w:b/>
                <w:szCs w:val="21"/>
                <w:highlight w:val="none"/>
              </w:rPr>
            </w:pPr>
            <w:r>
              <w:rPr>
                <w:rFonts w:hint="eastAsia"/>
                <w:b/>
                <w:szCs w:val="21"/>
                <w:highlight w:val="none"/>
              </w:rPr>
              <w:t>结论</w:t>
            </w:r>
          </w:p>
        </w:tc>
        <w:tc>
          <w:tcPr>
            <w:tcW w:w="8100" w:type="dxa"/>
            <w:vAlign w:val="center"/>
          </w:tcPr>
          <w:p w14:paraId="6DC3B93E">
            <w:pPr>
              <w:spacing w:line="400" w:lineRule="exact"/>
              <w:rPr>
                <w:rFonts w:hint="eastAsia"/>
                <w:szCs w:val="21"/>
                <w:highlight w:val="none"/>
              </w:rPr>
            </w:pPr>
            <w:r>
              <w:rPr>
                <w:rFonts w:hint="eastAsia"/>
                <w:szCs w:val="21"/>
                <w:highlight w:val="none"/>
              </w:rPr>
              <w:t>是否通过审查，进入下一阶段</w:t>
            </w:r>
          </w:p>
        </w:tc>
      </w:tr>
      <w:tr w14:paraId="45CD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71A50C2F">
            <w:pPr>
              <w:tabs>
                <w:tab w:val="left" w:pos="0"/>
              </w:tabs>
              <w:adjustRightInd w:val="0"/>
              <w:snapToGrid w:val="0"/>
              <w:spacing w:line="400" w:lineRule="exact"/>
              <w:ind w:firstLine="482" w:firstLineChars="200"/>
              <w:rPr>
                <w:rFonts w:hint="eastAsia"/>
                <w:b/>
                <w:szCs w:val="21"/>
                <w:highlight w:val="none"/>
              </w:rPr>
            </w:pPr>
            <w:r>
              <w:rPr>
                <w:rFonts w:hint="eastAsia"/>
                <w:b/>
                <w:szCs w:val="21"/>
                <w:highlight w:val="none"/>
              </w:rPr>
              <w:t>1）“是否通过并进入下一阶段评审”一栏应写“通过”或“不通过”。</w:t>
            </w:r>
          </w:p>
          <w:p w14:paraId="63D15704">
            <w:pPr>
              <w:tabs>
                <w:tab w:val="left" w:pos="0"/>
              </w:tabs>
              <w:adjustRightInd w:val="0"/>
              <w:snapToGrid w:val="0"/>
              <w:spacing w:line="400" w:lineRule="exact"/>
              <w:ind w:firstLine="482" w:firstLineChars="200"/>
              <w:rPr>
                <w:rFonts w:hint="eastAsia"/>
                <w:b/>
                <w:szCs w:val="21"/>
                <w:highlight w:val="none"/>
              </w:rPr>
            </w:pPr>
            <w:r>
              <w:rPr>
                <w:rFonts w:hint="eastAsia"/>
                <w:b/>
                <w:szCs w:val="21"/>
                <w:highlight w:val="none"/>
              </w:rPr>
              <w:t>2）出现一个“×”的结论为“不通过”。表中全部为“√”，同意进入下一阶段评审。</w:t>
            </w:r>
          </w:p>
          <w:p w14:paraId="71041CAD">
            <w:pPr>
              <w:tabs>
                <w:tab w:val="left" w:pos="0"/>
              </w:tabs>
              <w:adjustRightInd w:val="0"/>
              <w:snapToGrid w:val="0"/>
              <w:spacing w:line="400" w:lineRule="exact"/>
              <w:ind w:firstLine="482" w:firstLineChars="200"/>
              <w:rPr>
                <w:rFonts w:hint="eastAsia"/>
                <w:szCs w:val="21"/>
                <w:highlight w:val="none"/>
              </w:rPr>
            </w:pPr>
            <w:r>
              <w:rPr>
                <w:rFonts w:hint="eastAsia"/>
                <w:b/>
                <w:szCs w:val="21"/>
                <w:highlight w:val="none"/>
              </w:rPr>
              <w:t>3）若审查组成员意见不一致时，则按少数服从多数的原则，由全部成员投票决定该投标人是否通过审查，进入下一阶段评审。</w:t>
            </w:r>
          </w:p>
        </w:tc>
      </w:tr>
    </w:tbl>
    <w:p w14:paraId="66558FEA">
      <w:pPr>
        <w:pStyle w:val="24"/>
        <w:adjustRightInd w:val="0"/>
        <w:snapToGrid w:val="0"/>
        <w:spacing w:line="360" w:lineRule="auto"/>
        <w:ind w:firstLine="480" w:firstLineChars="200"/>
        <w:rPr>
          <w:rFonts w:hint="eastAsia" w:hAnsi="宋体"/>
          <w:highlight w:val="none"/>
        </w:rPr>
      </w:pPr>
    </w:p>
    <w:p w14:paraId="7B7F01BC">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3.2单一产品采购项目，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14:paraId="5272818E">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3.3 有下列情形之一时，评标委员会应予废标，并将理由通知所有投标：</w:t>
      </w:r>
    </w:p>
    <w:p w14:paraId="0DE112F5">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（1）符合专业条件的投标人或者对招标文件作实质性响应的投标人不足三家的；</w:t>
      </w:r>
    </w:p>
    <w:p w14:paraId="0EA109D6">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（2）出现影响招标公正的违法、违规行为的；</w:t>
      </w:r>
    </w:p>
    <w:p w14:paraId="53031F7F">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（3）投标人的报价均超过了采购预算；</w:t>
      </w:r>
    </w:p>
    <w:p w14:paraId="39DC334A">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（4）因重大变故，采购任务取消的。</w:t>
      </w:r>
    </w:p>
    <w:p w14:paraId="4FA863CA">
      <w:pPr>
        <w:adjustRightInd w:val="0"/>
        <w:snapToGrid w:val="0"/>
        <w:spacing w:before="120" w:beforeLines="50"/>
        <w:ind w:right="-125" w:rightChars="-52"/>
        <w:rPr>
          <w:rFonts w:hint="eastAsia"/>
          <w:bCs/>
          <w:szCs w:val="21"/>
          <w:highlight w:val="none"/>
        </w:rPr>
      </w:pPr>
      <w:r>
        <w:rPr>
          <w:rFonts w:hint="eastAsia"/>
          <w:b/>
          <w:bCs/>
          <w:szCs w:val="21"/>
          <w:highlight w:val="none"/>
        </w:rPr>
        <w:t>4.澄清有关问题</w:t>
      </w:r>
    </w:p>
    <w:p w14:paraId="0A092848">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1C5B1B37">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4.2投标人不得对下列内容进行澄清或补充：</w:t>
      </w:r>
    </w:p>
    <w:p w14:paraId="6E2FC446">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（1）开标时，未宣读的投标价格、价格折扣等实质性内容。</w:t>
      </w:r>
    </w:p>
    <w:p w14:paraId="3989B395">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（2）不满足第二章投标须知第2.7.2款规定的实质性要求的投标文件内容，</w:t>
      </w:r>
    </w:p>
    <w:p w14:paraId="72BB223C">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4.3投标文件报价出现前后不一致的，除招标文件另有规定外，按照下列规定修正：</w:t>
      </w:r>
    </w:p>
    <w:p w14:paraId="101D401A">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（一）投标文件中开标一览表（报价表）内容与投标文件中相应内容不一致的，以开标一览表（报价表）为准；</w:t>
      </w:r>
    </w:p>
    <w:p w14:paraId="4D30D2ED">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（二）大写金额和小写金额不一致的，以大写金额为准；</w:t>
      </w:r>
    </w:p>
    <w:p w14:paraId="6518B1C0">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（三）单价金额小数点或者百分比有明显错位的，以开标一览表的总价为准，并修改单价；</w:t>
      </w:r>
    </w:p>
    <w:p w14:paraId="7F6802EA">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（四）总价金额与按单价汇总金额不一致的，以单价金额计算结果为准。</w:t>
      </w:r>
    </w:p>
    <w:p w14:paraId="5444C7FD">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同时出现两种以上不一致的，按照以上规定的顺序修正。修正后的报价经投标人确认后产生约束力，投标人不确认的，其投标无效。</w:t>
      </w:r>
    </w:p>
    <w:p w14:paraId="6DB90DD9">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14:paraId="6F552EF9">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4.5 投标人的澄清、说明或者补正应该采用书面形式，由法定代表人或其授权的代理人签字，并按评标委员会的通知要求递交。</w:t>
      </w:r>
    </w:p>
    <w:p w14:paraId="31F7EB16">
      <w:pPr>
        <w:tabs>
          <w:tab w:val="left" w:pos="0"/>
        </w:tabs>
        <w:adjustRightInd w:val="0"/>
        <w:snapToGrid w:val="0"/>
        <w:spacing w:line="400" w:lineRule="exact"/>
        <w:ind w:firstLine="480" w:firstLineChars="200"/>
        <w:rPr>
          <w:rFonts w:hint="eastAsia"/>
          <w:szCs w:val="21"/>
          <w:highlight w:val="none"/>
        </w:rPr>
      </w:pPr>
      <w:r>
        <w:rPr>
          <w:rFonts w:hint="eastAsia"/>
          <w:szCs w:val="21"/>
          <w:highlight w:val="none"/>
        </w:rPr>
        <w:t>4.6 有效的书面澄清材料，是投标文件的补充材料，成为投标文件的组成部分。</w:t>
      </w:r>
    </w:p>
    <w:p w14:paraId="0F0282BD">
      <w:pPr>
        <w:tabs>
          <w:tab w:val="left" w:pos="0"/>
        </w:tabs>
        <w:adjustRightInd w:val="0"/>
        <w:snapToGrid w:val="0"/>
        <w:spacing w:before="120" w:beforeLines="50"/>
        <w:rPr>
          <w:rFonts w:hint="eastAsia"/>
          <w:b/>
          <w:bCs/>
          <w:szCs w:val="21"/>
          <w:highlight w:val="none"/>
        </w:rPr>
      </w:pPr>
      <w:r>
        <w:rPr>
          <w:rFonts w:hint="eastAsia"/>
          <w:b/>
          <w:bCs/>
          <w:szCs w:val="21"/>
          <w:highlight w:val="none"/>
        </w:rPr>
        <w:t>5.投标文件的详细</w:t>
      </w:r>
      <w:r>
        <w:rPr>
          <w:rFonts w:hint="eastAsia"/>
          <w:b/>
          <w:szCs w:val="21"/>
          <w:highlight w:val="none"/>
        </w:rPr>
        <w:t>评审</w:t>
      </w:r>
    </w:p>
    <w:p w14:paraId="6E5E34AB">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5.1评标委员会应按照招标文件中规定的评标方法、标准和评标因素，对资格性检查和符合性检查合格的投标文件进行详细评审。</w:t>
      </w:r>
    </w:p>
    <w:p w14:paraId="2F17842D">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5.2评标时，评标委员会各成员应当独立对每个投标人的投标文件进行评价、评分，然后汇总每个投标人每项评分因素的得分。</w:t>
      </w:r>
    </w:p>
    <w:p w14:paraId="34367629">
      <w:pPr>
        <w:ind w:firstLine="480" w:firstLineChars="200"/>
        <w:rPr>
          <w:rFonts w:hint="eastAsia"/>
          <w:b/>
          <w:szCs w:val="21"/>
          <w:highlight w:val="none"/>
        </w:rPr>
      </w:pPr>
      <w:r>
        <w:rPr>
          <w:rFonts w:hint="eastAsia"/>
          <w:szCs w:val="21"/>
          <w:highlight w:val="none"/>
        </w:rPr>
        <w:t>5.3</w:t>
      </w:r>
      <w:r>
        <w:rPr>
          <w:rFonts w:hint="eastAsia"/>
          <w:b/>
          <w:szCs w:val="21"/>
          <w:highlight w:val="none"/>
        </w:rPr>
        <w:t>评分标准：</w:t>
      </w:r>
    </w:p>
    <w:p w14:paraId="285FC522">
      <w:pPr>
        <w:tabs>
          <w:tab w:val="left" w:pos="0"/>
        </w:tabs>
        <w:adjustRightInd w:val="0"/>
        <w:snapToGrid w:val="0"/>
        <w:spacing w:before="120" w:beforeLines="50"/>
        <w:rPr>
          <w:b/>
          <w:szCs w:val="21"/>
          <w:highlight w:val="none"/>
        </w:rPr>
      </w:pPr>
      <w:bookmarkStart w:id="57" w:name="_Hlk175053013"/>
      <w:r>
        <w:rPr>
          <w:rFonts w:hint="eastAsia"/>
          <w:b/>
          <w:szCs w:val="21"/>
          <w:highlight w:val="none"/>
        </w:rPr>
        <w:t>各投标人的总评分</w:t>
      </w:r>
      <w:r>
        <w:rPr>
          <w:b/>
          <w:szCs w:val="21"/>
          <w:highlight w:val="none"/>
        </w:rPr>
        <w:t>=A</w:t>
      </w:r>
      <w:r>
        <w:rPr>
          <w:rFonts w:hint="eastAsia"/>
          <w:b/>
          <w:szCs w:val="21"/>
          <w:highlight w:val="none"/>
        </w:rPr>
        <w:t>（含D价格折扣）</w:t>
      </w:r>
      <w:r>
        <w:rPr>
          <w:b/>
          <w:szCs w:val="21"/>
          <w:highlight w:val="none"/>
        </w:rPr>
        <w:t>+B+C</w:t>
      </w:r>
      <w:r>
        <w:rPr>
          <w:rFonts w:hint="eastAsia"/>
          <w:b/>
          <w:szCs w:val="21"/>
          <w:highlight w:val="none"/>
        </w:rPr>
        <w:t>+E，具体评分细则如下：</w:t>
      </w:r>
    </w:p>
    <w:tbl>
      <w:tblPr>
        <w:tblStyle w:val="44"/>
        <w:tblW w:w="92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096"/>
        <w:gridCol w:w="720"/>
      </w:tblGrid>
      <w:tr w14:paraId="447F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3429A686">
            <w:pPr>
              <w:pStyle w:val="24"/>
              <w:snapToGrid w:val="0"/>
              <w:spacing w:line="400" w:lineRule="exact"/>
              <w:jc w:val="center"/>
              <w:rPr>
                <w:rFonts w:hint="eastAsia" w:ascii="宋体" w:hAnsi="宋体" w:cs="Courier New"/>
                <w:b/>
                <w:color w:val="000000"/>
                <w:sz w:val="21"/>
                <w:szCs w:val="21"/>
                <w:highlight w:val="none"/>
              </w:rPr>
            </w:pPr>
            <w:r>
              <w:rPr>
                <w:rFonts w:hint="eastAsia" w:ascii="宋体" w:hAnsi="宋体" w:cs="Courier New"/>
                <w:b/>
                <w:color w:val="000000"/>
                <w:sz w:val="21"/>
                <w:szCs w:val="21"/>
                <w:highlight w:val="none"/>
              </w:rPr>
              <w:t>项目</w:t>
            </w:r>
          </w:p>
        </w:tc>
        <w:tc>
          <w:tcPr>
            <w:tcW w:w="7096" w:type="dxa"/>
            <w:vAlign w:val="center"/>
          </w:tcPr>
          <w:p w14:paraId="3CE6278A">
            <w:pPr>
              <w:pStyle w:val="24"/>
              <w:snapToGrid w:val="0"/>
              <w:spacing w:line="400" w:lineRule="exact"/>
              <w:jc w:val="center"/>
              <w:rPr>
                <w:rFonts w:hint="eastAsia" w:ascii="宋体" w:hAnsi="宋体" w:cs="Courier New"/>
                <w:b/>
                <w:color w:val="000000"/>
                <w:sz w:val="21"/>
                <w:szCs w:val="21"/>
                <w:highlight w:val="none"/>
              </w:rPr>
            </w:pPr>
            <w:r>
              <w:rPr>
                <w:rFonts w:hint="eastAsia" w:ascii="宋体" w:hAnsi="宋体" w:cs="Courier New"/>
                <w:b/>
                <w:color w:val="000000"/>
                <w:sz w:val="21"/>
                <w:szCs w:val="21"/>
                <w:highlight w:val="none"/>
              </w:rPr>
              <w:t>评审内容</w:t>
            </w:r>
          </w:p>
        </w:tc>
        <w:tc>
          <w:tcPr>
            <w:tcW w:w="720" w:type="dxa"/>
            <w:vAlign w:val="center"/>
          </w:tcPr>
          <w:p w14:paraId="6487B033">
            <w:pPr>
              <w:pStyle w:val="24"/>
              <w:snapToGrid w:val="0"/>
              <w:spacing w:line="400" w:lineRule="exact"/>
              <w:jc w:val="center"/>
              <w:rPr>
                <w:rFonts w:hint="eastAsia" w:ascii="宋体" w:hAnsi="宋体" w:cs="Courier New"/>
                <w:b/>
                <w:color w:val="000000"/>
                <w:sz w:val="21"/>
                <w:szCs w:val="21"/>
                <w:highlight w:val="none"/>
              </w:rPr>
            </w:pPr>
            <w:r>
              <w:rPr>
                <w:rFonts w:hint="eastAsia" w:ascii="宋体" w:hAnsi="宋体" w:cs="Courier New"/>
                <w:b/>
                <w:color w:val="000000"/>
                <w:sz w:val="21"/>
                <w:szCs w:val="21"/>
                <w:highlight w:val="none"/>
              </w:rPr>
              <w:t>分值</w:t>
            </w:r>
          </w:p>
        </w:tc>
      </w:tr>
      <w:tr w14:paraId="05D9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4" w:type="dxa"/>
            <w:gridSpan w:val="3"/>
            <w:vAlign w:val="center"/>
          </w:tcPr>
          <w:p w14:paraId="681B996C">
            <w:pPr>
              <w:pStyle w:val="24"/>
              <w:snapToGrid w:val="0"/>
              <w:spacing w:line="400" w:lineRule="exact"/>
              <w:rPr>
                <w:rFonts w:hint="eastAsia" w:ascii="宋体" w:hAnsi="宋体" w:cs="Courier New"/>
                <w:b/>
                <w:color w:val="000000"/>
                <w:sz w:val="21"/>
                <w:szCs w:val="21"/>
                <w:highlight w:val="none"/>
              </w:rPr>
            </w:pPr>
            <w:r>
              <w:rPr>
                <w:rFonts w:hint="eastAsia" w:ascii="宋体" w:hAnsi="宋体" w:cs="Courier New"/>
                <w:b/>
                <w:color w:val="000000"/>
                <w:sz w:val="21"/>
                <w:szCs w:val="21"/>
                <w:highlight w:val="none"/>
              </w:rPr>
              <w:t>A：价格评分30分</w:t>
            </w:r>
          </w:p>
        </w:tc>
      </w:tr>
      <w:tr w14:paraId="35D9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0A807A55">
            <w:pPr>
              <w:pStyle w:val="24"/>
              <w:snapToGrid w:val="0"/>
              <w:spacing w:line="400" w:lineRule="exact"/>
              <w:jc w:val="center"/>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价格</w:t>
            </w:r>
          </w:p>
        </w:tc>
        <w:tc>
          <w:tcPr>
            <w:tcW w:w="7096" w:type="dxa"/>
            <w:vAlign w:val="center"/>
          </w:tcPr>
          <w:p w14:paraId="7DE1D5FB">
            <w:pPr>
              <w:pStyle w:val="24"/>
              <w:snapToGrid w:val="0"/>
              <w:spacing w:before="120" w:after="120" w:line="400" w:lineRule="exact"/>
              <w:rPr>
                <w:rFonts w:hint="eastAsia" w:ascii="宋体" w:hAnsi="宋体" w:cs="Courier New"/>
                <w:color w:val="000000"/>
                <w:sz w:val="21"/>
                <w:szCs w:val="21"/>
                <w:highlight w:val="none"/>
              </w:rPr>
            </w:pPr>
            <w:r>
              <w:rPr>
                <w:rFonts w:hint="eastAsia" w:ascii="宋体" w:hAnsi="宋体" w:cs="Courier New"/>
                <w:b/>
                <w:color w:val="000000"/>
                <w:sz w:val="21"/>
                <w:szCs w:val="21"/>
                <w:highlight w:val="none"/>
              </w:rPr>
              <w:t>投标报价得分=(评标基准价/</w:t>
            </w:r>
            <w:r>
              <w:rPr>
                <w:rFonts w:hint="eastAsia" w:ascii="宋体" w:hAnsi="宋体" w:cs="Courier New"/>
                <w:b/>
                <w:color w:val="000000"/>
                <w:kern w:val="0"/>
                <w:sz w:val="21"/>
                <w:szCs w:val="21"/>
                <w:highlight w:val="none"/>
              </w:rPr>
              <w:t>修正后</w:t>
            </w:r>
            <w:r>
              <w:rPr>
                <w:rFonts w:hint="eastAsia" w:ascii="宋体" w:hAnsi="宋体" w:cs="Courier New"/>
                <w:b/>
                <w:color w:val="000000"/>
                <w:sz w:val="21"/>
                <w:szCs w:val="21"/>
                <w:highlight w:val="none"/>
              </w:rPr>
              <w:t>投标报价)×30%×100</w:t>
            </w:r>
          </w:p>
          <w:p w14:paraId="5BDB0CD8">
            <w:pPr>
              <w:pStyle w:val="24"/>
              <w:snapToGrid w:val="0"/>
              <w:spacing w:before="120" w:after="120" w:line="400" w:lineRule="exact"/>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备注：</w:t>
            </w:r>
          </w:p>
          <w:p w14:paraId="7D88B4AC">
            <w:pPr>
              <w:pStyle w:val="24"/>
              <w:snapToGrid w:val="0"/>
              <w:spacing w:line="400" w:lineRule="exact"/>
              <w:rPr>
                <w:rFonts w:hint="eastAsia" w:ascii="宋体" w:hAnsi="宋体" w:cs="Courier New"/>
                <w:color w:val="000000"/>
                <w:kern w:val="0"/>
                <w:sz w:val="21"/>
                <w:szCs w:val="21"/>
                <w:highlight w:val="none"/>
              </w:rPr>
            </w:pPr>
            <w:r>
              <w:rPr>
                <w:rFonts w:hint="eastAsia" w:ascii="宋体" w:hAnsi="宋体" w:cs="Courier New"/>
                <w:color w:val="000000"/>
                <w:kern w:val="0"/>
                <w:sz w:val="21"/>
                <w:szCs w:val="21"/>
                <w:highlight w:val="none"/>
              </w:rPr>
              <w:t>1.投标价格评分采用低价优先法计算；</w:t>
            </w:r>
          </w:p>
          <w:p w14:paraId="00883482">
            <w:pPr>
              <w:pStyle w:val="24"/>
              <w:snapToGrid w:val="0"/>
              <w:spacing w:line="400" w:lineRule="exact"/>
              <w:rPr>
                <w:rFonts w:hint="eastAsia" w:ascii="宋体" w:hAnsi="宋体" w:cs="Courier New"/>
                <w:color w:val="000000"/>
                <w:kern w:val="0"/>
                <w:sz w:val="21"/>
                <w:szCs w:val="21"/>
                <w:highlight w:val="none"/>
              </w:rPr>
            </w:pPr>
            <w:r>
              <w:rPr>
                <w:rFonts w:hint="eastAsia" w:ascii="宋体" w:hAnsi="宋体" w:cs="Courier New"/>
                <w:color w:val="000000"/>
                <w:kern w:val="0"/>
                <w:sz w:val="21"/>
                <w:szCs w:val="21"/>
                <w:highlight w:val="none"/>
              </w:rPr>
              <w:t>2.评标基准价：满足招标文件要求且经算术修正，依据政府采购政策进行价格扣除后的最低报价为评标基准价；</w:t>
            </w:r>
          </w:p>
          <w:p w14:paraId="045302D2">
            <w:pPr>
              <w:pStyle w:val="24"/>
              <w:snapToGrid w:val="0"/>
              <w:spacing w:line="400" w:lineRule="exact"/>
              <w:rPr>
                <w:rFonts w:hint="eastAsia" w:ascii="宋体" w:hAnsi="宋体" w:cs="Courier New"/>
                <w:b/>
                <w:color w:val="000000"/>
                <w:sz w:val="21"/>
                <w:szCs w:val="21"/>
                <w:highlight w:val="none"/>
              </w:rPr>
            </w:pPr>
            <w:r>
              <w:rPr>
                <w:rFonts w:hint="eastAsia" w:ascii="宋体" w:hAnsi="宋体" w:cs="Courier New"/>
                <w:color w:val="000000"/>
                <w:kern w:val="0"/>
                <w:sz w:val="21"/>
                <w:szCs w:val="21"/>
                <w:highlight w:val="none"/>
              </w:rPr>
              <w:t>3.修正后投标报价：评标委员会以报价一览表中投标报价为基础，对其进行算术修正，依据政府采购政策进行价格扣除后，作为投标报价计算的依据。</w:t>
            </w:r>
          </w:p>
        </w:tc>
        <w:tc>
          <w:tcPr>
            <w:tcW w:w="720" w:type="dxa"/>
            <w:vAlign w:val="center"/>
          </w:tcPr>
          <w:p w14:paraId="7F9FF07A">
            <w:pPr>
              <w:pStyle w:val="24"/>
              <w:snapToGrid w:val="0"/>
              <w:spacing w:line="400" w:lineRule="exact"/>
              <w:jc w:val="center"/>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30分</w:t>
            </w:r>
          </w:p>
        </w:tc>
      </w:tr>
      <w:tr w14:paraId="4052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4" w:type="dxa"/>
            <w:gridSpan w:val="3"/>
            <w:vAlign w:val="center"/>
          </w:tcPr>
          <w:p w14:paraId="734BDC62">
            <w:pPr>
              <w:pStyle w:val="24"/>
              <w:snapToGrid w:val="0"/>
              <w:spacing w:line="400" w:lineRule="exact"/>
              <w:rPr>
                <w:rFonts w:hint="eastAsia" w:ascii="宋体" w:hAnsi="宋体" w:cs="Courier New"/>
                <w:b/>
                <w:color w:val="000000"/>
                <w:sz w:val="21"/>
                <w:szCs w:val="21"/>
                <w:highlight w:val="none"/>
              </w:rPr>
            </w:pPr>
            <w:r>
              <w:rPr>
                <w:rFonts w:hint="eastAsia" w:ascii="宋体" w:hAnsi="宋体" w:cs="Courier New"/>
                <w:b/>
                <w:color w:val="000000"/>
                <w:sz w:val="21"/>
                <w:szCs w:val="21"/>
                <w:highlight w:val="none"/>
              </w:rPr>
              <w:t>B：技术部分评分57分</w:t>
            </w:r>
          </w:p>
        </w:tc>
      </w:tr>
      <w:tr w14:paraId="16F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Merge w:val="restart"/>
            <w:vAlign w:val="center"/>
          </w:tcPr>
          <w:p w14:paraId="3872CAB9">
            <w:pPr>
              <w:spacing w:line="400" w:lineRule="exact"/>
              <w:jc w:val="center"/>
              <w:rPr>
                <w:rFonts w:hint="eastAsia"/>
                <w:sz w:val="21"/>
                <w:szCs w:val="21"/>
                <w:highlight w:val="none"/>
              </w:rPr>
            </w:pPr>
            <w:r>
              <w:rPr>
                <w:rFonts w:hint="eastAsia"/>
                <w:sz w:val="21"/>
                <w:szCs w:val="21"/>
                <w:highlight w:val="none"/>
              </w:rPr>
              <w:t>技术参数响应</w:t>
            </w:r>
          </w:p>
        </w:tc>
        <w:tc>
          <w:tcPr>
            <w:tcW w:w="7096" w:type="dxa"/>
            <w:vAlign w:val="center"/>
          </w:tcPr>
          <w:p w14:paraId="26D7F9C5">
            <w:pPr>
              <w:spacing w:line="400" w:lineRule="exact"/>
              <w:jc w:val="left"/>
              <w:rPr>
                <w:rFonts w:hint="eastAsia"/>
                <w:sz w:val="21"/>
                <w:szCs w:val="21"/>
                <w:highlight w:val="none"/>
              </w:rPr>
            </w:pPr>
            <w:r>
              <w:rPr>
                <w:rFonts w:hint="eastAsia"/>
                <w:sz w:val="21"/>
                <w:szCs w:val="21"/>
                <w:highlight w:val="none"/>
              </w:rPr>
              <w:t>根据各投标人所提供的技术要求偏离表，并结合所投标产品的佐证材料等方面情况，对照招标文件的要求，由评委按以下标准评定：</w:t>
            </w:r>
          </w:p>
          <w:p w14:paraId="235031D2">
            <w:pPr>
              <w:spacing w:line="400" w:lineRule="exact"/>
              <w:jc w:val="left"/>
              <w:rPr>
                <w:rFonts w:hint="eastAsia"/>
                <w:sz w:val="21"/>
                <w:szCs w:val="21"/>
                <w:highlight w:val="none"/>
              </w:rPr>
            </w:pPr>
            <w:r>
              <w:rPr>
                <w:rFonts w:hint="eastAsia"/>
                <w:sz w:val="21"/>
                <w:szCs w:val="21"/>
                <w:highlight w:val="none"/>
              </w:rPr>
              <w:t>项目技术规格及要求中的标注“▲”条款为重要参数条款，未标注“▲”条款为一般参数条款。</w:t>
            </w:r>
          </w:p>
          <w:p w14:paraId="1B23C01A">
            <w:pPr>
              <w:spacing w:line="400" w:lineRule="exact"/>
              <w:jc w:val="left"/>
              <w:rPr>
                <w:rFonts w:hint="eastAsia"/>
                <w:sz w:val="21"/>
                <w:szCs w:val="21"/>
                <w:highlight w:val="none"/>
              </w:rPr>
            </w:pPr>
            <w:r>
              <w:rPr>
                <w:rFonts w:hint="eastAsia"/>
                <w:sz w:val="21"/>
                <w:szCs w:val="21"/>
                <w:highlight w:val="none"/>
              </w:rPr>
              <w:t>1、所投产品的性能、参数和特点全部满足20条“▲”（共20项）重要参数的得满分20分；每负偏离一项扣</w:t>
            </w:r>
            <w:r>
              <w:rPr>
                <w:rFonts w:hint="eastAsia"/>
                <w:sz w:val="21"/>
                <w:szCs w:val="21"/>
                <w:highlight w:val="none"/>
                <w:lang w:val="en-US" w:eastAsia="zh-CN"/>
              </w:rPr>
              <w:t>1</w:t>
            </w:r>
            <w:r>
              <w:rPr>
                <w:rFonts w:hint="eastAsia"/>
                <w:sz w:val="21"/>
                <w:szCs w:val="21"/>
                <w:highlight w:val="none"/>
              </w:rPr>
              <w:t>分，扣完为止。正偏离不加分。</w:t>
            </w:r>
          </w:p>
          <w:p w14:paraId="747ED211">
            <w:pPr>
              <w:spacing w:line="400" w:lineRule="exact"/>
              <w:jc w:val="left"/>
              <w:rPr>
                <w:rFonts w:hint="eastAsia"/>
                <w:sz w:val="21"/>
                <w:szCs w:val="21"/>
                <w:highlight w:val="none"/>
              </w:rPr>
            </w:pPr>
            <w:r>
              <w:rPr>
                <w:rFonts w:hint="eastAsia"/>
                <w:sz w:val="21"/>
                <w:szCs w:val="21"/>
                <w:highlight w:val="none"/>
              </w:rPr>
              <w:t>2、全部满足1.1-1.15条一般参数（未标注“▲”条款）的得5分；（最小赋分单元到</w:t>
            </w:r>
            <w:r>
              <w:rPr>
                <w:rFonts w:hint="eastAsia"/>
                <w:sz w:val="21"/>
                <w:szCs w:val="21"/>
                <w:highlight w:val="none"/>
                <w:lang w:val="en-US" w:eastAsia="zh-CN"/>
              </w:rPr>
              <w:t>二</w:t>
            </w:r>
            <w:r>
              <w:rPr>
                <w:rFonts w:hint="eastAsia"/>
                <w:sz w:val="21"/>
                <w:szCs w:val="21"/>
                <w:highlight w:val="none"/>
              </w:rPr>
              <w:t>级目录）</w:t>
            </w:r>
          </w:p>
          <w:p w14:paraId="404DDD1F">
            <w:pPr>
              <w:spacing w:line="400" w:lineRule="exact"/>
              <w:jc w:val="left"/>
              <w:rPr>
                <w:rFonts w:hint="eastAsia"/>
                <w:sz w:val="21"/>
                <w:szCs w:val="21"/>
                <w:highlight w:val="none"/>
              </w:rPr>
            </w:pPr>
            <w:r>
              <w:rPr>
                <w:rFonts w:hint="eastAsia"/>
                <w:sz w:val="21"/>
                <w:szCs w:val="21"/>
                <w:highlight w:val="none"/>
              </w:rPr>
              <w:t>12 到14 条的得 4分；</w:t>
            </w:r>
          </w:p>
          <w:p w14:paraId="0628CD59">
            <w:pPr>
              <w:spacing w:line="400" w:lineRule="exact"/>
              <w:jc w:val="left"/>
              <w:rPr>
                <w:rFonts w:hint="eastAsia"/>
                <w:sz w:val="21"/>
                <w:szCs w:val="21"/>
                <w:highlight w:val="none"/>
              </w:rPr>
            </w:pPr>
            <w:r>
              <w:rPr>
                <w:rFonts w:hint="eastAsia"/>
                <w:sz w:val="21"/>
                <w:szCs w:val="21"/>
                <w:highlight w:val="none"/>
              </w:rPr>
              <w:t>9 到11条的得3分；</w:t>
            </w:r>
          </w:p>
          <w:p w14:paraId="665A9610">
            <w:pPr>
              <w:spacing w:line="400" w:lineRule="exact"/>
              <w:jc w:val="left"/>
              <w:rPr>
                <w:rFonts w:hint="eastAsia"/>
                <w:sz w:val="21"/>
                <w:szCs w:val="21"/>
                <w:highlight w:val="none"/>
              </w:rPr>
            </w:pPr>
            <w:r>
              <w:rPr>
                <w:rFonts w:hint="eastAsia"/>
                <w:sz w:val="21"/>
                <w:szCs w:val="21"/>
                <w:highlight w:val="none"/>
              </w:rPr>
              <w:t>6到8条的得2分；</w:t>
            </w:r>
          </w:p>
          <w:p w14:paraId="3C3BCFA3">
            <w:pPr>
              <w:spacing w:line="400" w:lineRule="exact"/>
              <w:jc w:val="left"/>
              <w:rPr>
                <w:rFonts w:hint="eastAsia"/>
                <w:sz w:val="21"/>
                <w:szCs w:val="21"/>
                <w:highlight w:val="none"/>
              </w:rPr>
            </w:pPr>
            <w:r>
              <w:rPr>
                <w:rFonts w:hint="eastAsia"/>
                <w:sz w:val="21"/>
                <w:szCs w:val="21"/>
                <w:highlight w:val="none"/>
              </w:rPr>
              <w:t>3到5条的得1分；</w:t>
            </w:r>
          </w:p>
          <w:p w14:paraId="5D99624D">
            <w:pPr>
              <w:spacing w:line="400" w:lineRule="exact"/>
              <w:jc w:val="left"/>
              <w:rPr>
                <w:rFonts w:hint="eastAsia"/>
                <w:sz w:val="21"/>
                <w:szCs w:val="21"/>
                <w:highlight w:val="none"/>
              </w:rPr>
            </w:pPr>
            <w:r>
              <w:rPr>
                <w:rFonts w:hint="eastAsia"/>
                <w:sz w:val="21"/>
                <w:szCs w:val="21"/>
                <w:highlight w:val="none"/>
              </w:rPr>
              <w:t>2条及以下的不得分。</w:t>
            </w:r>
          </w:p>
          <w:p w14:paraId="605D05C1">
            <w:pPr>
              <w:spacing w:line="400" w:lineRule="exact"/>
              <w:jc w:val="left"/>
              <w:rPr>
                <w:rFonts w:hint="eastAsia"/>
                <w:sz w:val="21"/>
                <w:szCs w:val="21"/>
                <w:highlight w:val="none"/>
              </w:rPr>
            </w:pPr>
            <w:r>
              <w:rPr>
                <w:rFonts w:hint="eastAsia"/>
                <w:sz w:val="21"/>
                <w:szCs w:val="21"/>
                <w:highlight w:val="none"/>
              </w:rPr>
              <w:t>注：（1）投标人须对本招标文件中项目技术规格及要求进行点对点应答，结合实际参数值，进行逐条逐项答复、说明和解释。</w:t>
            </w:r>
          </w:p>
          <w:p w14:paraId="6BB29886">
            <w:pPr>
              <w:spacing w:line="400" w:lineRule="exact"/>
              <w:jc w:val="left"/>
              <w:rPr>
                <w:rFonts w:hint="eastAsia"/>
                <w:sz w:val="21"/>
                <w:szCs w:val="21"/>
                <w:highlight w:val="none"/>
              </w:rPr>
            </w:pPr>
            <w:r>
              <w:rPr>
                <w:rFonts w:hint="eastAsia"/>
                <w:sz w:val="21"/>
                <w:szCs w:val="21"/>
                <w:highlight w:val="none"/>
              </w:rPr>
              <w:t>（2）对应参数中要求提供的证明材料（</w:t>
            </w:r>
            <w:r>
              <w:rPr>
                <w:rFonts w:hint="eastAsia"/>
                <w:sz w:val="21"/>
                <w:szCs w:val="21"/>
                <w:highlight w:val="none"/>
                <w:lang w:val="en-US" w:eastAsia="zh-CN"/>
              </w:rPr>
              <w:t>须提供</w:t>
            </w:r>
            <w:r>
              <w:rPr>
                <w:rFonts w:hint="eastAsia"/>
                <w:sz w:val="21"/>
                <w:szCs w:val="21"/>
                <w:highlight w:val="none"/>
              </w:rPr>
              <w:t>功能截图</w:t>
            </w:r>
            <w:r>
              <w:rPr>
                <w:rFonts w:hint="eastAsia"/>
                <w:sz w:val="21"/>
                <w:szCs w:val="21"/>
                <w:highlight w:val="none"/>
                <w:lang w:val="en-US" w:eastAsia="zh-CN"/>
              </w:rPr>
              <w:t>证明的，</w:t>
            </w:r>
            <w:r>
              <w:rPr>
                <w:rFonts w:hint="eastAsia"/>
                <w:sz w:val="21"/>
                <w:szCs w:val="21"/>
                <w:highlight w:val="none"/>
              </w:rPr>
              <w:t>材料均不得遮挡、涂黑、材料模糊、难辨、缺损导致无法辨认的，视为未提供），不符合要求或未提供者将视为负偏离处理，如“▲”条款包含次级目录的，应答出现内容缺项漏项不全，也将视为负偏离处理。</w:t>
            </w:r>
          </w:p>
          <w:p w14:paraId="3D923D99">
            <w:pPr>
              <w:spacing w:line="400" w:lineRule="exact"/>
              <w:jc w:val="left"/>
              <w:rPr>
                <w:rFonts w:hint="eastAsia"/>
                <w:strike/>
                <w:sz w:val="21"/>
                <w:szCs w:val="21"/>
                <w:highlight w:val="none"/>
              </w:rPr>
            </w:pPr>
            <w:r>
              <w:rPr>
                <w:rFonts w:hint="eastAsia"/>
                <w:sz w:val="21"/>
                <w:szCs w:val="21"/>
                <w:highlight w:val="none"/>
              </w:rPr>
              <w:t>（3）技术参数中未要求提供佐证材料的一般参数最小赋分单元至</w:t>
            </w:r>
            <w:r>
              <w:rPr>
                <w:rFonts w:hint="eastAsia"/>
                <w:b/>
                <w:bCs/>
                <w:sz w:val="21"/>
                <w:szCs w:val="21"/>
                <w:highlight w:val="none"/>
              </w:rPr>
              <w:t>第二级</w:t>
            </w:r>
            <w:r>
              <w:rPr>
                <w:rFonts w:hint="eastAsia"/>
                <w:sz w:val="21"/>
                <w:szCs w:val="21"/>
                <w:highlight w:val="none"/>
              </w:rPr>
              <w:t>目录，以供应商偏离表应答为准，应答出现第二级目录以下的内容缺项漏项不全的，也将视为负偏离处理。</w:t>
            </w:r>
          </w:p>
        </w:tc>
        <w:tc>
          <w:tcPr>
            <w:tcW w:w="720" w:type="dxa"/>
            <w:vMerge w:val="restart"/>
            <w:vAlign w:val="center"/>
          </w:tcPr>
          <w:p w14:paraId="2E51E63B">
            <w:pPr>
              <w:spacing w:line="400" w:lineRule="exact"/>
              <w:jc w:val="center"/>
              <w:rPr>
                <w:rFonts w:hint="eastAsia"/>
                <w:color w:val="000000"/>
                <w:sz w:val="21"/>
                <w:szCs w:val="21"/>
                <w:highlight w:val="none"/>
              </w:rPr>
            </w:pPr>
            <w:r>
              <w:rPr>
                <w:rFonts w:hint="eastAsia"/>
                <w:color w:val="000000"/>
                <w:sz w:val="21"/>
                <w:szCs w:val="21"/>
                <w:highlight w:val="none"/>
              </w:rPr>
              <w:t>35</w:t>
            </w:r>
          </w:p>
        </w:tc>
      </w:tr>
      <w:tr w14:paraId="0486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Merge w:val="continue"/>
            <w:vAlign w:val="center"/>
          </w:tcPr>
          <w:p w14:paraId="19D5CC8B">
            <w:pPr>
              <w:spacing w:line="400" w:lineRule="exact"/>
              <w:jc w:val="center"/>
              <w:rPr>
                <w:rFonts w:hint="eastAsia"/>
                <w:sz w:val="21"/>
                <w:szCs w:val="21"/>
                <w:highlight w:val="none"/>
              </w:rPr>
            </w:pPr>
          </w:p>
        </w:tc>
        <w:tc>
          <w:tcPr>
            <w:tcW w:w="7096" w:type="dxa"/>
            <w:vAlign w:val="center"/>
          </w:tcPr>
          <w:p w14:paraId="3A14B222">
            <w:pPr>
              <w:spacing w:line="400" w:lineRule="exact"/>
              <w:jc w:val="left"/>
              <w:rPr>
                <w:rFonts w:hint="eastAsia"/>
                <w:sz w:val="21"/>
                <w:szCs w:val="21"/>
                <w:highlight w:val="none"/>
              </w:rPr>
            </w:pPr>
            <w:r>
              <w:rPr>
                <w:rFonts w:hint="eastAsia"/>
                <w:sz w:val="21"/>
                <w:szCs w:val="21"/>
                <w:highlight w:val="none"/>
              </w:rPr>
              <w:t>技术指标中要求演示的需进行现场真实运行环境演示，不接受PPT、图片、视频等间接演示形式，需进行现场演示的参数，参数是否响应以现场演示情况为准。不满足或演示不成功的此项参数做负偏离处理。得满分10分。带“【需要演示】”标识的技术指标项为演示指标（共10项），每一项未演示或演示功能不满足演示要求或演示功能未体现的扣1分，扣完为止。</w:t>
            </w:r>
          </w:p>
          <w:p w14:paraId="4702A0B0">
            <w:pPr>
              <w:spacing w:line="400" w:lineRule="exact"/>
              <w:jc w:val="left"/>
              <w:rPr>
                <w:rFonts w:hint="eastAsia"/>
                <w:sz w:val="21"/>
                <w:szCs w:val="21"/>
                <w:highlight w:val="none"/>
              </w:rPr>
            </w:pPr>
            <w:r>
              <w:rPr>
                <w:rFonts w:hint="eastAsia"/>
                <w:sz w:val="21"/>
                <w:szCs w:val="21"/>
                <w:highlight w:val="none"/>
              </w:rPr>
              <w:t>注:</w:t>
            </w:r>
          </w:p>
          <w:p w14:paraId="4ADB4DB6">
            <w:pPr>
              <w:spacing w:line="400" w:lineRule="exact"/>
              <w:jc w:val="left"/>
              <w:rPr>
                <w:rFonts w:hint="eastAsia"/>
                <w:sz w:val="21"/>
                <w:szCs w:val="21"/>
                <w:highlight w:val="none"/>
              </w:rPr>
            </w:pPr>
            <w:r>
              <w:rPr>
                <w:rFonts w:hint="eastAsia"/>
                <w:sz w:val="21"/>
                <w:szCs w:val="21"/>
                <w:highlight w:val="none"/>
              </w:rPr>
              <w:t>1、本项目将通过政采云平台开评标大厅的视频会议功能进行演示，请供应商自行准备摄像头及麦克风设备等视频会议设备进行演示；</w:t>
            </w:r>
          </w:p>
          <w:p w14:paraId="5A412DC9">
            <w:pPr>
              <w:spacing w:line="400" w:lineRule="exact"/>
              <w:jc w:val="left"/>
              <w:rPr>
                <w:rFonts w:hint="eastAsia"/>
                <w:sz w:val="21"/>
                <w:szCs w:val="21"/>
                <w:highlight w:val="none"/>
              </w:rPr>
            </w:pPr>
            <w:r>
              <w:rPr>
                <w:rFonts w:hint="eastAsia"/>
                <w:sz w:val="21"/>
                <w:szCs w:val="21"/>
                <w:highlight w:val="none"/>
              </w:rPr>
              <w:t>2、演示时间不超过</w:t>
            </w:r>
            <w:r>
              <w:rPr>
                <w:rFonts w:hint="eastAsia"/>
                <w:color w:val="FF0000"/>
                <w:sz w:val="21"/>
                <w:szCs w:val="21"/>
                <w:highlight w:val="none"/>
              </w:rPr>
              <w:t xml:space="preserve"> 20</w:t>
            </w:r>
            <w:r>
              <w:rPr>
                <w:rFonts w:hint="eastAsia"/>
                <w:sz w:val="21"/>
                <w:szCs w:val="21"/>
                <w:highlight w:val="none"/>
              </w:rPr>
              <w:t>分钟；</w:t>
            </w:r>
          </w:p>
          <w:p w14:paraId="11865CBA">
            <w:pPr>
              <w:spacing w:line="400" w:lineRule="exact"/>
              <w:jc w:val="left"/>
              <w:rPr>
                <w:rFonts w:hint="eastAsia"/>
                <w:sz w:val="21"/>
                <w:szCs w:val="21"/>
                <w:highlight w:val="none"/>
              </w:rPr>
            </w:pPr>
            <w:r>
              <w:rPr>
                <w:rFonts w:hint="eastAsia"/>
                <w:sz w:val="21"/>
                <w:szCs w:val="21"/>
                <w:highlight w:val="none"/>
              </w:rPr>
              <w:t>3、演示所需的设备由供应商自行携带，所产生的费用由供应商自行承担。</w:t>
            </w:r>
          </w:p>
          <w:p w14:paraId="6AA003D7">
            <w:pPr>
              <w:spacing w:line="400" w:lineRule="exact"/>
              <w:jc w:val="left"/>
              <w:rPr>
                <w:rFonts w:hint="eastAsia"/>
                <w:sz w:val="21"/>
                <w:szCs w:val="21"/>
                <w:highlight w:val="none"/>
              </w:rPr>
            </w:pPr>
            <w:r>
              <w:rPr>
                <w:rFonts w:hint="eastAsia"/>
                <w:sz w:val="21"/>
                <w:szCs w:val="21"/>
                <w:highlight w:val="none"/>
              </w:rPr>
              <w:t>4、供应商需自行搭建演示环境进行系统真实演示，用 PPT</w:t>
            </w:r>
            <w:r>
              <w:rPr>
                <w:rFonts w:hint="eastAsia"/>
                <w:color w:val="000000"/>
                <w:sz w:val="21"/>
                <w:szCs w:val="21"/>
                <w:highlight w:val="none"/>
              </w:rPr>
              <w:t>、图片、视频等间接演示</w:t>
            </w:r>
            <w:r>
              <w:rPr>
                <w:rFonts w:hint="eastAsia"/>
                <w:sz w:val="21"/>
                <w:szCs w:val="21"/>
                <w:highlight w:val="none"/>
              </w:rPr>
              <w:t>视为演示不成功；</w:t>
            </w:r>
          </w:p>
          <w:p w14:paraId="17C038C2">
            <w:pPr>
              <w:spacing w:line="400" w:lineRule="exact"/>
              <w:jc w:val="left"/>
              <w:rPr>
                <w:rFonts w:hint="eastAsia"/>
                <w:sz w:val="21"/>
                <w:szCs w:val="21"/>
                <w:highlight w:val="none"/>
              </w:rPr>
            </w:pPr>
            <w:r>
              <w:rPr>
                <w:rFonts w:hint="eastAsia"/>
                <w:sz w:val="21"/>
                <w:szCs w:val="21"/>
                <w:highlight w:val="none"/>
              </w:rPr>
              <w:t>5、供应商未提供现场功能演示或未进行真实演示或因供应商原因演示准备时间过长从而影响演示功能不全，未做演示部分不得分。</w:t>
            </w:r>
          </w:p>
        </w:tc>
        <w:tc>
          <w:tcPr>
            <w:tcW w:w="720" w:type="dxa"/>
            <w:vMerge w:val="continue"/>
            <w:vAlign w:val="center"/>
          </w:tcPr>
          <w:p w14:paraId="444E224C">
            <w:pPr>
              <w:spacing w:line="400" w:lineRule="exact"/>
              <w:jc w:val="center"/>
              <w:rPr>
                <w:rFonts w:hint="eastAsia"/>
                <w:color w:val="000000"/>
                <w:sz w:val="21"/>
                <w:szCs w:val="21"/>
                <w:highlight w:val="none"/>
              </w:rPr>
            </w:pPr>
          </w:p>
        </w:tc>
      </w:tr>
      <w:tr w14:paraId="1E54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3C47331C">
            <w:pPr>
              <w:spacing w:line="400" w:lineRule="exact"/>
              <w:jc w:val="center"/>
              <w:rPr>
                <w:rFonts w:hint="eastAsia"/>
                <w:color w:val="000000"/>
                <w:sz w:val="21"/>
                <w:szCs w:val="21"/>
                <w:highlight w:val="none"/>
              </w:rPr>
            </w:pPr>
            <w:r>
              <w:rPr>
                <w:rFonts w:hint="eastAsia"/>
                <w:color w:val="000000"/>
                <w:sz w:val="21"/>
                <w:szCs w:val="21"/>
                <w:highlight w:val="none"/>
              </w:rPr>
              <w:t>系统整体方案</w:t>
            </w:r>
          </w:p>
        </w:tc>
        <w:tc>
          <w:tcPr>
            <w:tcW w:w="7096" w:type="dxa"/>
            <w:vAlign w:val="center"/>
          </w:tcPr>
          <w:p w14:paraId="12809D21">
            <w:pPr>
              <w:spacing w:line="400" w:lineRule="exact"/>
              <w:jc w:val="left"/>
              <w:rPr>
                <w:rFonts w:hint="eastAsia"/>
                <w:color w:val="000000"/>
                <w:sz w:val="21"/>
                <w:szCs w:val="21"/>
                <w:highlight w:val="none"/>
              </w:rPr>
            </w:pPr>
            <w:r>
              <w:rPr>
                <w:rFonts w:hint="eastAsia"/>
                <w:color w:val="000000"/>
                <w:sz w:val="21"/>
                <w:szCs w:val="21"/>
                <w:highlight w:val="none"/>
              </w:rPr>
              <w:t>投标人结合项目实际对项目建设的各个环节进行清晰分析，方案包括：①总体建设目标；②规划依据；③设计方法；④设计原则；⑤总体框架设计；⑥业务架构设计；⑦数据架构设计；⑧技术架构设计。</w:t>
            </w:r>
          </w:p>
          <w:p w14:paraId="6B18BA4D">
            <w:pPr>
              <w:spacing w:line="400" w:lineRule="exact"/>
              <w:jc w:val="left"/>
              <w:rPr>
                <w:rFonts w:hint="eastAsia"/>
                <w:color w:val="000000"/>
                <w:sz w:val="21"/>
                <w:szCs w:val="21"/>
                <w:highlight w:val="none"/>
              </w:rPr>
            </w:pPr>
            <w:r>
              <w:rPr>
                <w:rFonts w:hint="eastAsia"/>
                <w:color w:val="000000"/>
                <w:sz w:val="21"/>
                <w:szCs w:val="21"/>
                <w:highlight w:val="none"/>
              </w:rPr>
              <w:t>A、投标人提供的系统整体方案内容完整具体、切实可行，针对性强的得4分；</w:t>
            </w:r>
          </w:p>
          <w:p w14:paraId="2EB00878">
            <w:pPr>
              <w:spacing w:line="400" w:lineRule="exact"/>
              <w:jc w:val="left"/>
              <w:rPr>
                <w:rFonts w:hint="eastAsia"/>
                <w:color w:val="000000"/>
                <w:sz w:val="21"/>
                <w:szCs w:val="21"/>
                <w:highlight w:val="none"/>
              </w:rPr>
            </w:pPr>
            <w:r>
              <w:rPr>
                <w:rFonts w:hint="eastAsia"/>
                <w:color w:val="000000"/>
                <w:sz w:val="21"/>
                <w:szCs w:val="21"/>
                <w:highlight w:val="none"/>
              </w:rPr>
              <w:t>B、以上8项内容每缺少一项内容扣0.5分；</w:t>
            </w:r>
          </w:p>
          <w:p w14:paraId="3241BE09">
            <w:pPr>
              <w:spacing w:line="400" w:lineRule="exact"/>
              <w:jc w:val="left"/>
              <w:rPr>
                <w:rFonts w:hint="eastAsia"/>
                <w:color w:val="000000"/>
                <w:sz w:val="21"/>
                <w:szCs w:val="21"/>
                <w:highlight w:val="none"/>
              </w:rPr>
            </w:pPr>
            <w:r>
              <w:rPr>
                <w:rFonts w:hint="eastAsia"/>
                <w:color w:val="000000"/>
                <w:sz w:val="21"/>
                <w:szCs w:val="21"/>
                <w:highlight w:val="none"/>
              </w:rPr>
              <w:t>C、以上任意一项内容每有一处描述缺陷的扣 0.5分: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1F241BF7">
            <w:pPr>
              <w:spacing w:line="400" w:lineRule="exact"/>
              <w:jc w:val="left"/>
              <w:rPr>
                <w:rFonts w:hint="eastAsia"/>
                <w:color w:val="000000"/>
                <w:sz w:val="21"/>
                <w:szCs w:val="21"/>
                <w:highlight w:val="none"/>
              </w:rPr>
            </w:pPr>
            <w:r>
              <w:rPr>
                <w:rFonts w:hint="eastAsia"/>
                <w:color w:val="000000"/>
                <w:sz w:val="21"/>
                <w:szCs w:val="21"/>
                <w:highlight w:val="none"/>
              </w:rPr>
              <w:t>注:B、C条款不重复扣分，扣完为止。</w:t>
            </w:r>
          </w:p>
        </w:tc>
        <w:tc>
          <w:tcPr>
            <w:tcW w:w="720" w:type="dxa"/>
            <w:vAlign w:val="center"/>
          </w:tcPr>
          <w:p w14:paraId="47518B27">
            <w:pPr>
              <w:spacing w:line="400" w:lineRule="exact"/>
              <w:jc w:val="center"/>
              <w:rPr>
                <w:rFonts w:hint="eastAsia"/>
                <w:color w:val="000000"/>
                <w:sz w:val="21"/>
                <w:szCs w:val="21"/>
                <w:highlight w:val="none"/>
              </w:rPr>
            </w:pPr>
            <w:r>
              <w:rPr>
                <w:rFonts w:hint="eastAsia"/>
                <w:color w:val="000000"/>
                <w:sz w:val="21"/>
                <w:szCs w:val="21"/>
                <w:highlight w:val="none"/>
              </w:rPr>
              <w:t>4</w:t>
            </w:r>
          </w:p>
        </w:tc>
      </w:tr>
      <w:tr w14:paraId="604E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1D9E5A46">
            <w:pPr>
              <w:spacing w:line="400" w:lineRule="exact"/>
              <w:jc w:val="center"/>
              <w:rPr>
                <w:rFonts w:hint="eastAsia"/>
                <w:color w:val="000000"/>
                <w:sz w:val="21"/>
                <w:szCs w:val="21"/>
                <w:highlight w:val="none"/>
              </w:rPr>
            </w:pPr>
            <w:r>
              <w:rPr>
                <w:rFonts w:hint="eastAsia"/>
                <w:color w:val="000000"/>
                <w:sz w:val="21"/>
                <w:szCs w:val="21"/>
                <w:highlight w:val="none"/>
              </w:rPr>
              <w:t>实施方案</w:t>
            </w:r>
          </w:p>
        </w:tc>
        <w:tc>
          <w:tcPr>
            <w:tcW w:w="7096" w:type="dxa"/>
            <w:vAlign w:val="center"/>
          </w:tcPr>
          <w:p w14:paraId="5EF9F004">
            <w:pPr>
              <w:spacing w:line="400" w:lineRule="exact"/>
              <w:jc w:val="left"/>
              <w:rPr>
                <w:rFonts w:hint="default" w:eastAsia="宋体"/>
                <w:color w:val="FF0000"/>
                <w:sz w:val="21"/>
                <w:szCs w:val="21"/>
                <w:highlight w:val="none"/>
                <w:lang w:val="en-US" w:eastAsia="zh-CN"/>
              </w:rPr>
            </w:pPr>
            <w:r>
              <w:rPr>
                <w:rFonts w:hint="eastAsia"/>
                <w:color w:val="000000"/>
                <w:sz w:val="21"/>
                <w:szCs w:val="21"/>
                <w:highlight w:val="none"/>
              </w:rPr>
              <w:t>根据项目实施方案的①实施计划、②实施步骤、③</w:t>
            </w:r>
            <w:r>
              <w:rPr>
                <w:rFonts w:hint="eastAsia"/>
                <w:color w:val="000000"/>
                <w:sz w:val="21"/>
                <w:szCs w:val="21"/>
                <w:highlight w:val="none"/>
                <w:lang w:val="en-US" w:eastAsia="zh-CN"/>
              </w:rPr>
              <w:t>质量控制保障措施、④</w:t>
            </w:r>
            <w:r>
              <w:rPr>
                <w:rFonts w:hint="eastAsia"/>
                <w:color w:val="000000"/>
                <w:sz w:val="21"/>
                <w:szCs w:val="21"/>
                <w:highlight w:val="none"/>
              </w:rPr>
              <w:t>测试方案</w:t>
            </w:r>
            <w:r>
              <w:rPr>
                <w:rFonts w:hint="eastAsia"/>
                <w:color w:val="000000"/>
                <w:sz w:val="21"/>
                <w:szCs w:val="21"/>
                <w:highlight w:val="none"/>
                <w:lang w:val="en-US" w:eastAsia="zh-CN"/>
              </w:rPr>
              <w:t>⑤</w:t>
            </w:r>
            <w:r>
              <w:rPr>
                <w:rFonts w:hint="eastAsia"/>
                <w:color w:val="000000"/>
                <w:sz w:val="21"/>
                <w:szCs w:val="21"/>
                <w:highlight w:val="none"/>
              </w:rPr>
              <w:t>培训计划</w:t>
            </w:r>
            <w:r>
              <w:rPr>
                <w:rFonts w:hint="eastAsia"/>
                <w:color w:val="000000"/>
                <w:sz w:val="21"/>
                <w:szCs w:val="21"/>
                <w:highlight w:val="none"/>
                <w:lang w:eastAsia="zh-CN"/>
              </w:rPr>
              <w:t>、</w:t>
            </w:r>
            <w:r>
              <w:rPr>
                <w:rFonts w:hint="eastAsia"/>
                <w:color w:val="000000"/>
                <w:sz w:val="21"/>
                <w:szCs w:val="21"/>
                <w:highlight w:val="none"/>
                <w:lang w:val="en-US" w:eastAsia="zh-CN"/>
              </w:rPr>
              <w:t>⑥</w:t>
            </w:r>
            <w:r>
              <w:rPr>
                <w:rFonts w:hint="eastAsia"/>
                <w:color w:val="000000"/>
                <w:sz w:val="21"/>
                <w:szCs w:val="21"/>
                <w:highlight w:val="none"/>
              </w:rPr>
              <w:t>应急解决方案等综合横向比较。</w:t>
            </w:r>
            <w:r>
              <w:rPr>
                <w:rFonts w:hint="eastAsia"/>
                <w:color w:val="000000"/>
                <w:sz w:val="21"/>
                <w:szCs w:val="21"/>
                <w:highlight w:val="none"/>
                <w:lang w:val="en-US" w:eastAsia="zh-CN"/>
              </w:rPr>
              <w:t xml:space="preserve"> </w:t>
            </w:r>
          </w:p>
          <w:p w14:paraId="3579B952">
            <w:pPr>
              <w:spacing w:line="400" w:lineRule="exact"/>
              <w:jc w:val="left"/>
              <w:rPr>
                <w:rFonts w:hint="eastAsia"/>
                <w:color w:val="000000"/>
                <w:sz w:val="21"/>
                <w:szCs w:val="21"/>
                <w:highlight w:val="none"/>
              </w:rPr>
            </w:pPr>
            <w:r>
              <w:rPr>
                <w:rFonts w:hint="eastAsia"/>
                <w:color w:val="000000"/>
                <w:sz w:val="21"/>
                <w:szCs w:val="21"/>
                <w:highlight w:val="none"/>
              </w:rPr>
              <w:t>A、投标人提供的实施方案内容完整具体、切实可行，针对性强的得3分；</w:t>
            </w:r>
          </w:p>
          <w:p w14:paraId="19C75FE6">
            <w:pPr>
              <w:spacing w:line="400" w:lineRule="exact"/>
              <w:jc w:val="left"/>
              <w:rPr>
                <w:rFonts w:hint="eastAsia"/>
                <w:color w:val="000000"/>
                <w:sz w:val="21"/>
                <w:szCs w:val="21"/>
                <w:highlight w:val="none"/>
              </w:rPr>
            </w:pPr>
            <w:r>
              <w:rPr>
                <w:rFonts w:hint="eastAsia"/>
                <w:color w:val="000000"/>
                <w:sz w:val="21"/>
                <w:szCs w:val="21"/>
                <w:highlight w:val="none"/>
              </w:rPr>
              <w:t>B、以上6项内容每缺少一项内容扣0.5分；</w:t>
            </w:r>
          </w:p>
          <w:p w14:paraId="10B6BD9E">
            <w:pPr>
              <w:spacing w:line="400" w:lineRule="exact"/>
              <w:jc w:val="left"/>
              <w:rPr>
                <w:rFonts w:hint="eastAsia"/>
                <w:color w:val="000000"/>
                <w:sz w:val="21"/>
                <w:szCs w:val="21"/>
                <w:highlight w:val="none"/>
              </w:rPr>
            </w:pPr>
            <w:r>
              <w:rPr>
                <w:rFonts w:hint="eastAsia"/>
                <w:color w:val="000000"/>
                <w:sz w:val="21"/>
                <w:szCs w:val="21"/>
                <w:highlight w:val="none"/>
              </w:rPr>
              <w:t>C、以上任意一项内容每有一处描述缺陷的扣 0.5分: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4D951FAE">
            <w:pPr>
              <w:spacing w:line="400" w:lineRule="exact"/>
              <w:jc w:val="left"/>
              <w:rPr>
                <w:rFonts w:hint="eastAsia"/>
                <w:color w:val="000000"/>
                <w:sz w:val="21"/>
                <w:szCs w:val="21"/>
                <w:highlight w:val="none"/>
              </w:rPr>
            </w:pPr>
            <w:r>
              <w:rPr>
                <w:rFonts w:hint="eastAsia"/>
                <w:color w:val="000000"/>
                <w:sz w:val="21"/>
                <w:szCs w:val="21"/>
                <w:highlight w:val="none"/>
              </w:rPr>
              <w:t>注:B、C条款不重复扣分，扣完为止。</w:t>
            </w:r>
          </w:p>
        </w:tc>
        <w:tc>
          <w:tcPr>
            <w:tcW w:w="720" w:type="dxa"/>
            <w:vAlign w:val="center"/>
          </w:tcPr>
          <w:p w14:paraId="6CED2269">
            <w:pPr>
              <w:spacing w:line="400" w:lineRule="exact"/>
              <w:jc w:val="center"/>
              <w:rPr>
                <w:rFonts w:hint="eastAsia"/>
                <w:color w:val="000000"/>
                <w:sz w:val="21"/>
                <w:szCs w:val="21"/>
                <w:highlight w:val="none"/>
              </w:rPr>
            </w:pPr>
            <w:r>
              <w:rPr>
                <w:rFonts w:hint="eastAsia"/>
                <w:color w:val="000000"/>
                <w:sz w:val="21"/>
                <w:szCs w:val="21"/>
                <w:highlight w:val="none"/>
              </w:rPr>
              <w:t>3</w:t>
            </w:r>
          </w:p>
        </w:tc>
      </w:tr>
      <w:tr w14:paraId="3382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2D2C97FB">
            <w:pPr>
              <w:spacing w:line="400" w:lineRule="exact"/>
              <w:jc w:val="center"/>
              <w:rPr>
                <w:rFonts w:hint="eastAsia"/>
                <w:color w:val="000000"/>
                <w:sz w:val="21"/>
                <w:szCs w:val="21"/>
                <w:highlight w:val="none"/>
              </w:rPr>
            </w:pPr>
            <w:r>
              <w:rPr>
                <w:rFonts w:hint="eastAsia"/>
                <w:color w:val="000000"/>
                <w:sz w:val="21"/>
                <w:szCs w:val="21"/>
                <w:highlight w:val="none"/>
              </w:rPr>
              <w:t>历史数据迁移方案</w:t>
            </w:r>
          </w:p>
        </w:tc>
        <w:tc>
          <w:tcPr>
            <w:tcW w:w="7096" w:type="dxa"/>
            <w:vAlign w:val="center"/>
          </w:tcPr>
          <w:p w14:paraId="22CF4EF4">
            <w:pPr>
              <w:spacing w:line="400" w:lineRule="exact"/>
              <w:jc w:val="left"/>
              <w:rPr>
                <w:rFonts w:hint="eastAsia"/>
                <w:color w:val="000000"/>
                <w:sz w:val="21"/>
                <w:szCs w:val="21"/>
                <w:highlight w:val="none"/>
              </w:rPr>
            </w:pPr>
            <w:r>
              <w:rPr>
                <w:rFonts w:hint="eastAsia"/>
                <w:color w:val="000000"/>
                <w:sz w:val="21"/>
                <w:szCs w:val="21"/>
                <w:highlight w:val="none"/>
              </w:rPr>
              <w:t>根据项目历史数据迁移方案的①数据迁移范围、②数据迁移方式、③基础数据迁移、④业务数据迁移、⑤数据中心迁移、⑥配置数据迁移等内容综合横向比较。</w:t>
            </w:r>
          </w:p>
          <w:p w14:paraId="0614A728">
            <w:pPr>
              <w:spacing w:line="400" w:lineRule="exact"/>
              <w:jc w:val="left"/>
              <w:rPr>
                <w:rFonts w:hint="eastAsia"/>
                <w:color w:val="000000"/>
                <w:sz w:val="21"/>
                <w:szCs w:val="21"/>
                <w:highlight w:val="none"/>
              </w:rPr>
            </w:pPr>
            <w:r>
              <w:rPr>
                <w:rFonts w:hint="eastAsia"/>
                <w:color w:val="000000"/>
                <w:sz w:val="21"/>
                <w:szCs w:val="21"/>
                <w:highlight w:val="none"/>
              </w:rPr>
              <w:t>A、投标人提供的历史数据迁移方案内容完整具体、切实可行，针对性强的得3分；</w:t>
            </w:r>
          </w:p>
          <w:p w14:paraId="615D6C11">
            <w:pPr>
              <w:spacing w:line="400" w:lineRule="exact"/>
              <w:jc w:val="left"/>
              <w:rPr>
                <w:rFonts w:hint="eastAsia"/>
                <w:color w:val="000000"/>
                <w:sz w:val="21"/>
                <w:szCs w:val="21"/>
                <w:highlight w:val="none"/>
              </w:rPr>
            </w:pPr>
            <w:r>
              <w:rPr>
                <w:rFonts w:hint="eastAsia"/>
                <w:color w:val="000000"/>
                <w:sz w:val="21"/>
                <w:szCs w:val="21"/>
                <w:highlight w:val="none"/>
              </w:rPr>
              <w:t>B、以上6项内容每缺少一项内容扣0.5分；</w:t>
            </w:r>
          </w:p>
          <w:p w14:paraId="5807AD67">
            <w:pPr>
              <w:spacing w:line="400" w:lineRule="exact"/>
              <w:jc w:val="left"/>
              <w:rPr>
                <w:rFonts w:hint="eastAsia"/>
                <w:color w:val="000000"/>
                <w:sz w:val="21"/>
                <w:szCs w:val="21"/>
                <w:highlight w:val="none"/>
              </w:rPr>
            </w:pPr>
            <w:r>
              <w:rPr>
                <w:rFonts w:hint="eastAsia"/>
                <w:color w:val="000000"/>
                <w:sz w:val="21"/>
                <w:szCs w:val="21"/>
                <w:highlight w:val="none"/>
              </w:rPr>
              <w:t>C、以上任意一项内容每有一处描述缺陷的扣 0.5分: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39943178">
            <w:pPr>
              <w:spacing w:line="400" w:lineRule="exact"/>
              <w:jc w:val="left"/>
              <w:rPr>
                <w:rFonts w:hint="eastAsia"/>
                <w:color w:val="000000"/>
                <w:sz w:val="21"/>
                <w:szCs w:val="21"/>
                <w:highlight w:val="none"/>
              </w:rPr>
            </w:pPr>
            <w:r>
              <w:rPr>
                <w:rFonts w:hint="eastAsia"/>
                <w:color w:val="000000"/>
                <w:sz w:val="21"/>
                <w:szCs w:val="21"/>
                <w:highlight w:val="none"/>
              </w:rPr>
              <w:t>注:B、C条款不重复扣分，扣完为止。</w:t>
            </w:r>
          </w:p>
        </w:tc>
        <w:tc>
          <w:tcPr>
            <w:tcW w:w="720" w:type="dxa"/>
            <w:vAlign w:val="center"/>
          </w:tcPr>
          <w:p w14:paraId="053A9566">
            <w:pPr>
              <w:spacing w:line="400" w:lineRule="exact"/>
              <w:jc w:val="center"/>
              <w:rPr>
                <w:rFonts w:hint="eastAsia"/>
                <w:color w:val="000000"/>
                <w:sz w:val="21"/>
                <w:szCs w:val="21"/>
                <w:highlight w:val="none"/>
              </w:rPr>
            </w:pPr>
            <w:r>
              <w:rPr>
                <w:rFonts w:hint="eastAsia"/>
                <w:color w:val="000000"/>
                <w:sz w:val="21"/>
                <w:szCs w:val="21"/>
                <w:highlight w:val="none"/>
              </w:rPr>
              <w:t>3</w:t>
            </w:r>
          </w:p>
        </w:tc>
      </w:tr>
      <w:tr w14:paraId="31D1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22BF100E">
            <w:pPr>
              <w:spacing w:line="400" w:lineRule="exact"/>
              <w:jc w:val="center"/>
              <w:rPr>
                <w:rFonts w:hint="eastAsia"/>
                <w:color w:val="000000"/>
                <w:sz w:val="21"/>
                <w:szCs w:val="21"/>
                <w:highlight w:val="none"/>
              </w:rPr>
            </w:pPr>
            <w:r>
              <w:rPr>
                <w:rFonts w:hint="eastAsia"/>
                <w:color w:val="000000"/>
                <w:sz w:val="21"/>
                <w:szCs w:val="21"/>
                <w:highlight w:val="none"/>
              </w:rPr>
              <w:t>售后方案</w:t>
            </w:r>
          </w:p>
        </w:tc>
        <w:tc>
          <w:tcPr>
            <w:tcW w:w="7096" w:type="dxa"/>
            <w:vAlign w:val="center"/>
          </w:tcPr>
          <w:p w14:paraId="14AC9A12">
            <w:pPr>
              <w:spacing w:line="400" w:lineRule="exact"/>
              <w:jc w:val="left"/>
              <w:rPr>
                <w:rFonts w:hint="eastAsia"/>
                <w:color w:val="000000"/>
                <w:sz w:val="21"/>
                <w:szCs w:val="21"/>
                <w:highlight w:val="none"/>
              </w:rPr>
            </w:pPr>
            <w:r>
              <w:rPr>
                <w:rFonts w:hint="eastAsia"/>
                <w:color w:val="000000"/>
                <w:sz w:val="21"/>
                <w:szCs w:val="21"/>
                <w:highlight w:val="none"/>
              </w:rPr>
              <w:t>根据售后服务方案的①售后维护服务承诺、②服务响应时间、③售后服务内容、④售后服务方式、⑤售后服务保障、⑥售后服务流程体系等。</w:t>
            </w:r>
          </w:p>
          <w:p w14:paraId="689B321D">
            <w:pPr>
              <w:spacing w:line="400" w:lineRule="exact"/>
              <w:jc w:val="left"/>
              <w:rPr>
                <w:rFonts w:hint="eastAsia"/>
                <w:color w:val="000000"/>
                <w:sz w:val="21"/>
                <w:szCs w:val="21"/>
                <w:highlight w:val="none"/>
              </w:rPr>
            </w:pPr>
            <w:r>
              <w:rPr>
                <w:rFonts w:hint="eastAsia"/>
                <w:color w:val="000000"/>
                <w:sz w:val="21"/>
                <w:szCs w:val="21"/>
                <w:highlight w:val="none"/>
              </w:rPr>
              <w:t>A、投标人提供的售后方案内容完整具体、切实可行，针对性强的得2分；</w:t>
            </w:r>
          </w:p>
          <w:p w14:paraId="24DE600C">
            <w:pPr>
              <w:spacing w:line="400" w:lineRule="exact"/>
              <w:jc w:val="left"/>
              <w:rPr>
                <w:rFonts w:hint="eastAsia"/>
                <w:color w:val="000000"/>
                <w:sz w:val="21"/>
                <w:szCs w:val="21"/>
                <w:highlight w:val="none"/>
              </w:rPr>
            </w:pPr>
            <w:r>
              <w:rPr>
                <w:rFonts w:hint="eastAsia"/>
                <w:color w:val="000000"/>
                <w:sz w:val="21"/>
                <w:szCs w:val="21"/>
                <w:highlight w:val="none"/>
              </w:rPr>
              <w:t>B、以上内容每缺少一项内容扣0.5分；</w:t>
            </w:r>
          </w:p>
          <w:p w14:paraId="02177A37">
            <w:pPr>
              <w:spacing w:line="400" w:lineRule="exact"/>
              <w:jc w:val="left"/>
              <w:rPr>
                <w:rFonts w:hint="eastAsia"/>
                <w:color w:val="000000"/>
                <w:sz w:val="21"/>
                <w:szCs w:val="21"/>
                <w:highlight w:val="none"/>
              </w:rPr>
            </w:pPr>
            <w:r>
              <w:rPr>
                <w:rFonts w:hint="eastAsia"/>
                <w:color w:val="000000"/>
                <w:sz w:val="21"/>
                <w:szCs w:val="21"/>
                <w:highlight w:val="none"/>
              </w:rPr>
              <w:t>C、以上任意一项内容每有一处描述缺陷的扣 0.5分: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59B838E4">
            <w:pPr>
              <w:spacing w:line="400" w:lineRule="exact"/>
              <w:jc w:val="left"/>
              <w:rPr>
                <w:rFonts w:hint="eastAsia"/>
                <w:color w:val="000000"/>
                <w:sz w:val="21"/>
                <w:szCs w:val="21"/>
                <w:highlight w:val="none"/>
              </w:rPr>
            </w:pPr>
            <w:r>
              <w:rPr>
                <w:rFonts w:hint="eastAsia"/>
                <w:color w:val="000000"/>
                <w:sz w:val="21"/>
                <w:szCs w:val="21"/>
                <w:highlight w:val="none"/>
              </w:rPr>
              <w:t>注:B、C条款不重复扣分，扣完为止。</w:t>
            </w:r>
          </w:p>
        </w:tc>
        <w:tc>
          <w:tcPr>
            <w:tcW w:w="720" w:type="dxa"/>
            <w:vAlign w:val="center"/>
          </w:tcPr>
          <w:p w14:paraId="0B6B636B">
            <w:pPr>
              <w:spacing w:line="400" w:lineRule="exact"/>
              <w:jc w:val="center"/>
              <w:rPr>
                <w:rFonts w:hint="eastAsia"/>
                <w:color w:val="000000"/>
                <w:sz w:val="21"/>
                <w:szCs w:val="21"/>
                <w:highlight w:val="none"/>
              </w:rPr>
            </w:pPr>
            <w:r>
              <w:rPr>
                <w:rFonts w:hint="eastAsia"/>
                <w:color w:val="000000"/>
                <w:sz w:val="21"/>
                <w:szCs w:val="21"/>
                <w:highlight w:val="none"/>
              </w:rPr>
              <w:t>2</w:t>
            </w:r>
          </w:p>
        </w:tc>
      </w:tr>
      <w:tr w14:paraId="2AB1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53534097">
            <w:pPr>
              <w:spacing w:line="400" w:lineRule="exact"/>
              <w:jc w:val="center"/>
              <w:rPr>
                <w:rFonts w:hint="eastAsia"/>
                <w:color w:val="000000"/>
                <w:sz w:val="21"/>
                <w:szCs w:val="21"/>
                <w:highlight w:val="none"/>
              </w:rPr>
            </w:pPr>
            <w:r>
              <w:rPr>
                <w:rFonts w:hint="eastAsia"/>
                <w:color w:val="000000"/>
                <w:sz w:val="21"/>
                <w:szCs w:val="21"/>
                <w:highlight w:val="none"/>
              </w:rPr>
              <w:t>人员配置方案</w:t>
            </w:r>
          </w:p>
        </w:tc>
        <w:tc>
          <w:tcPr>
            <w:tcW w:w="7096" w:type="dxa"/>
            <w:vAlign w:val="center"/>
          </w:tcPr>
          <w:p w14:paraId="3BE1D1A0">
            <w:pPr>
              <w:spacing w:line="400" w:lineRule="exact"/>
              <w:rPr>
                <w:rFonts w:hint="eastAsia"/>
                <w:sz w:val="21"/>
                <w:szCs w:val="21"/>
                <w:highlight w:val="none"/>
              </w:rPr>
            </w:pPr>
            <w:r>
              <w:rPr>
                <w:rFonts w:hint="eastAsia"/>
                <w:sz w:val="21"/>
                <w:szCs w:val="21"/>
                <w:highlight w:val="none"/>
              </w:rPr>
              <w:t>项目人员配备：要求投标人拟派15人以上实施技术团队，附团队成员名单。</w:t>
            </w:r>
          </w:p>
          <w:p w14:paraId="6133A8C3">
            <w:pPr>
              <w:spacing w:line="400" w:lineRule="exact"/>
              <w:rPr>
                <w:rFonts w:hint="eastAsia"/>
                <w:sz w:val="21"/>
                <w:szCs w:val="21"/>
                <w:highlight w:val="none"/>
              </w:rPr>
            </w:pPr>
            <w:r>
              <w:rPr>
                <w:rFonts w:hint="eastAsia"/>
                <w:sz w:val="21"/>
                <w:szCs w:val="21"/>
                <w:highlight w:val="none"/>
              </w:rPr>
              <w:t>1、项目负总责人（1人）：</w:t>
            </w:r>
          </w:p>
          <w:p w14:paraId="15DE1F2D">
            <w:pPr>
              <w:spacing w:line="400" w:lineRule="exact"/>
              <w:rPr>
                <w:rFonts w:hint="eastAsia"/>
                <w:sz w:val="21"/>
                <w:szCs w:val="21"/>
                <w:highlight w:val="none"/>
              </w:rPr>
            </w:pPr>
            <w:r>
              <w:rPr>
                <w:rFonts w:hint="eastAsia"/>
                <w:sz w:val="21"/>
                <w:szCs w:val="21"/>
                <w:highlight w:val="none"/>
              </w:rPr>
              <w:t>具备全国计算机技术与软件专业技术资格(水平)高级资格，能提供任意一项高级资格证书，得0.5分，最多得1.5分。</w:t>
            </w:r>
          </w:p>
          <w:p w14:paraId="055ECF21">
            <w:pPr>
              <w:spacing w:line="400" w:lineRule="exact"/>
              <w:rPr>
                <w:rFonts w:hint="eastAsia"/>
                <w:sz w:val="21"/>
                <w:szCs w:val="21"/>
                <w:highlight w:val="none"/>
              </w:rPr>
            </w:pPr>
            <w:r>
              <w:rPr>
                <w:rFonts w:hint="eastAsia"/>
                <w:sz w:val="21"/>
                <w:szCs w:val="21"/>
                <w:highlight w:val="none"/>
              </w:rPr>
              <w:t>2、项目技术负责人（1人）：</w:t>
            </w:r>
          </w:p>
          <w:p w14:paraId="213CC6EF">
            <w:pPr>
              <w:spacing w:line="400" w:lineRule="exact"/>
              <w:rPr>
                <w:rFonts w:hint="eastAsia"/>
                <w:sz w:val="21"/>
                <w:szCs w:val="21"/>
                <w:highlight w:val="none"/>
              </w:rPr>
            </w:pPr>
            <w:r>
              <w:rPr>
                <w:rFonts w:hint="eastAsia"/>
                <w:sz w:val="21"/>
                <w:szCs w:val="21"/>
                <w:highlight w:val="none"/>
              </w:rPr>
              <w:t>具备全国计算机技术与软件专业技术资格(水平)高级资格，能提供任意一项高级资格证书，得0.5分，最多得1.5分。</w:t>
            </w:r>
          </w:p>
          <w:p w14:paraId="33A87D2A">
            <w:pPr>
              <w:spacing w:line="400" w:lineRule="exact"/>
              <w:rPr>
                <w:rFonts w:hint="eastAsia"/>
                <w:sz w:val="21"/>
                <w:szCs w:val="21"/>
                <w:highlight w:val="none"/>
              </w:rPr>
            </w:pPr>
            <w:r>
              <w:rPr>
                <w:rFonts w:hint="eastAsia"/>
                <w:sz w:val="21"/>
                <w:szCs w:val="21"/>
                <w:highlight w:val="none"/>
              </w:rPr>
              <w:t>3、团队其他人员（至少13人）：</w:t>
            </w:r>
          </w:p>
          <w:p w14:paraId="61D692E4">
            <w:pPr>
              <w:spacing w:line="400" w:lineRule="exact"/>
              <w:rPr>
                <w:rFonts w:hint="eastAsia"/>
                <w:sz w:val="21"/>
                <w:szCs w:val="21"/>
                <w:highlight w:val="none"/>
              </w:rPr>
            </w:pPr>
            <w:r>
              <w:rPr>
                <w:rFonts w:hint="eastAsia"/>
                <w:sz w:val="21"/>
                <w:szCs w:val="21"/>
                <w:highlight w:val="none"/>
              </w:rPr>
              <w:t>具备全国计算机技术与软件专业技术资格(水平)中级或以上职称，每满足以下一项证书且相关证书人数符合要求得0.5分（同一人员不重复计算），每项证书提供的人数少于要求数量的不得分</w:t>
            </w:r>
            <w:r>
              <w:rPr>
                <w:rFonts w:hint="eastAsia"/>
                <w:sz w:val="21"/>
                <w:szCs w:val="21"/>
                <w:highlight w:val="none"/>
              </w:rPr>
              <w:t>，满分4分：</w:t>
            </w:r>
          </w:p>
          <w:p w14:paraId="7FCE1E79">
            <w:pPr>
              <w:spacing w:line="400" w:lineRule="exact"/>
              <w:rPr>
                <w:rFonts w:hint="eastAsia"/>
                <w:sz w:val="21"/>
                <w:szCs w:val="21"/>
                <w:highlight w:val="none"/>
              </w:rPr>
            </w:pPr>
            <w:r>
              <w:rPr>
                <w:rFonts w:hint="eastAsia"/>
                <w:sz w:val="21"/>
                <w:szCs w:val="21"/>
                <w:highlight w:val="none"/>
              </w:rPr>
              <w:t>1）（高级）系统规划与管理师证书 1名</w:t>
            </w:r>
          </w:p>
          <w:p w14:paraId="21740C82">
            <w:pPr>
              <w:spacing w:line="400" w:lineRule="exact"/>
              <w:rPr>
                <w:rFonts w:hint="eastAsia"/>
                <w:sz w:val="21"/>
                <w:szCs w:val="21"/>
                <w:highlight w:val="none"/>
              </w:rPr>
            </w:pPr>
            <w:r>
              <w:rPr>
                <w:rFonts w:hint="eastAsia"/>
                <w:sz w:val="21"/>
                <w:szCs w:val="21"/>
                <w:highlight w:val="none"/>
              </w:rPr>
              <w:t>2）（高级）系统架构设计师证书 1名</w:t>
            </w:r>
          </w:p>
          <w:p w14:paraId="7C109723">
            <w:pPr>
              <w:spacing w:line="400" w:lineRule="exact"/>
              <w:rPr>
                <w:rFonts w:hint="eastAsia"/>
                <w:sz w:val="21"/>
                <w:szCs w:val="21"/>
                <w:highlight w:val="none"/>
              </w:rPr>
            </w:pPr>
            <w:r>
              <w:rPr>
                <w:rFonts w:hint="eastAsia"/>
                <w:sz w:val="21"/>
                <w:szCs w:val="21"/>
                <w:highlight w:val="none"/>
              </w:rPr>
              <w:t>3）（高级）信息系统项目管理师证书 2名</w:t>
            </w:r>
          </w:p>
          <w:p w14:paraId="23831799">
            <w:pPr>
              <w:spacing w:line="400" w:lineRule="exact"/>
              <w:rPr>
                <w:rFonts w:hint="eastAsia"/>
                <w:sz w:val="21"/>
                <w:szCs w:val="21"/>
                <w:highlight w:val="none"/>
              </w:rPr>
            </w:pPr>
            <w:r>
              <w:rPr>
                <w:rFonts w:hint="eastAsia"/>
                <w:sz w:val="21"/>
                <w:szCs w:val="21"/>
                <w:highlight w:val="none"/>
              </w:rPr>
              <w:t>4）（高级）系统分析师证书 2名</w:t>
            </w:r>
          </w:p>
          <w:p w14:paraId="772D020D">
            <w:pPr>
              <w:spacing w:line="400" w:lineRule="exact"/>
              <w:rPr>
                <w:rFonts w:hint="eastAsia"/>
                <w:sz w:val="21"/>
                <w:szCs w:val="21"/>
                <w:highlight w:val="none"/>
              </w:rPr>
            </w:pPr>
            <w:r>
              <w:rPr>
                <w:rFonts w:hint="eastAsia"/>
                <w:sz w:val="21"/>
                <w:szCs w:val="21"/>
                <w:highlight w:val="none"/>
              </w:rPr>
              <w:t>5）（中级）软件设计师证书 2名</w:t>
            </w:r>
          </w:p>
          <w:p w14:paraId="14B492C7">
            <w:pPr>
              <w:spacing w:line="400" w:lineRule="exact"/>
              <w:rPr>
                <w:rFonts w:hint="eastAsia"/>
                <w:sz w:val="21"/>
                <w:szCs w:val="21"/>
                <w:highlight w:val="none"/>
              </w:rPr>
            </w:pPr>
            <w:r>
              <w:rPr>
                <w:rFonts w:hint="eastAsia"/>
                <w:sz w:val="21"/>
                <w:szCs w:val="21"/>
                <w:highlight w:val="none"/>
              </w:rPr>
              <w:t>6）（中级）信息安全工程师证书 2名</w:t>
            </w:r>
          </w:p>
          <w:p w14:paraId="6E6F9F0D">
            <w:pPr>
              <w:spacing w:line="400" w:lineRule="exact"/>
              <w:rPr>
                <w:rFonts w:hint="eastAsia"/>
                <w:sz w:val="21"/>
                <w:szCs w:val="21"/>
                <w:highlight w:val="none"/>
              </w:rPr>
            </w:pPr>
            <w:r>
              <w:rPr>
                <w:rFonts w:hint="eastAsia"/>
                <w:sz w:val="21"/>
                <w:szCs w:val="21"/>
                <w:highlight w:val="none"/>
              </w:rPr>
              <w:t>7）（中级）网络工程师证书 1名</w:t>
            </w:r>
          </w:p>
          <w:p w14:paraId="4B35AFDB">
            <w:pPr>
              <w:spacing w:line="400" w:lineRule="exact"/>
              <w:rPr>
                <w:rFonts w:hint="eastAsia"/>
                <w:sz w:val="21"/>
                <w:szCs w:val="21"/>
                <w:highlight w:val="none"/>
              </w:rPr>
            </w:pPr>
            <w:r>
              <w:rPr>
                <w:rFonts w:hint="eastAsia"/>
                <w:sz w:val="21"/>
                <w:szCs w:val="21"/>
                <w:highlight w:val="none"/>
              </w:rPr>
              <w:t>8）（中级）数据库系统工程师2名</w:t>
            </w:r>
          </w:p>
          <w:p w14:paraId="65A84165">
            <w:pPr>
              <w:spacing w:line="400" w:lineRule="exact"/>
              <w:rPr>
                <w:rFonts w:hint="eastAsia"/>
                <w:sz w:val="21"/>
                <w:szCs w:val="21"/>
                <w:highlight w:val="none"/>
              </w:rPr>
            </w:pPr>
            <w:r>
              <w:rPr>
                <w:rFonts w:hint="eastAsia"/>
                <w:sz w:val="21"/>
                <w:szCs w:val="21"/>
                <w:highlight w:val="none"/>
              </w:rPr>
              <w:t>4、团队人员经验：</w:t>
            </w:r>
          </w:p>
          <w:p w14:paraId="02E19B8F">
            <w:pPr>
              <w:spacing w:line="400" w:lineRule="exact"/>
              <w:rPr>
                <w:rFonts w:hint="eastAsia"/>
                <w:sz w:val="21"/>
                <w:szCs w:val="21"/>
                <w:highlight w:val="none"/>
              </w:rPr>
            </w:pPr>
            <w:r>
              <w:rPr>
                <w:rFonts w:hint="eastAsia"/>
                <w:sz w:val="21"/>
                <w:szCs w:val="21"/>
                <w:highlight w:val="none"/>
              </w:rPr>
              <w:t>具备以上证书的项目实施团队成员中，具备电子病历系统功能应用水平分级评价五级（或以上）项目实施经验。10人（含）以上具备评级经验得3分，</w:t>
            </w:r>
            <w:r>
              <w:rPr>
                <w:rFonts w:hint="eastAsia"/>
                <w:sz w:val="21"/>
                <w:szCs w:val="21"/>
                <w:highlight w:val="none"/>
              </w:rPr>
              <w:t>5-9人具备得2分，1-4人具备得1分。</w:t>
            </w:r>
          </w:p>
          <w:p w14:paraId="24196497">
            <w:pPr>
              <w:spacing w:line="400" w:lineRule="exact"/>
              <w:rPr>
                <w:rFonts w:hint="eastAsia"/>
                <w:sz w:val="21"/>
                <w:szCs w:val="21"/>
                <w:highlight w:val="none"/>
              </w:rPr>
            </w:pPr>
            <w:r>
              <w:rPr>
                <w:rFonts w:hint="eastAsia"/>
                <w:sz w:val="21"/>
                <w:szCs w:val="21"/>
                <w:highlight w:val="none"/>
              </w:rPr>
              <w:t>注：1）第1、2、3点评分须提供人员相关资格证书及投标人为其人员缴纳的近一年社保两项证明，缺一项证明文件不得分；</w:t>
            </w:r>
          </w:p>
          <w:p w14:paraId="7D34ABB4">
            <w:pPr>
              <w:spacing w:line="400" w:lineRule="exact"/>
              <w:rPr>
                <w:rFonts w:hint="eastAsia"/>
                <w:sz w:val="21"/>
                <w:szCs w:val="21"/>
                <w:highlight w:val="none"/>
              </w:rPr>
            </w:pPr>
            <w:r>
              <w:rPr>
                <w:rFonts w:hint="eastAsia"/>
                <w:sz w:val="21"/>
                <w:szCs w:val="21"/>
                <w:highlight w:val="none"/>
              </w:rPr>
              <w:t>2）第4点评分，需提供用户合同证明文件（合同建设内容至少包含医院信息系统HIS、电子病历系统EMR、集成平台）、用户过级证明、用户出具的证明材料。</w:t>
            </w:r>
          </w:p>
        </w:tc>
        <w:tc>
          <w:tcPr>
            <w:tcW w:w="720" w:type="dxa"/>
            <w:vAlign w:val="center"/>
          </w:tcPr>
          <w:p w14:paraId="68AC07BB">
            <w:pPr>
              <w:pStyle w:val="24"/>
              <w:snapToGrid w:val="0"/>
              <w:spacing w:line="400" w:lineRule="exact"/>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10</w:t>
            </w:r>
          </w:p>
        </w:tc>
      </w:tr>
      <w:tr w14:paraId="3082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4" w:type="dxa"/>
            <w:gridSpan w:val="3"/>
            <w:vAlign w:val="center"/>
          </w:tcPr>
          <w:p w14:paraId="78A6C28E">
            <w:pPr>
              <w:spacing w:line="400" w:lineRule="exact"/>
              <w:jc w:val="left"/>
              <w:rPr>
                <w:rFonts w:hint="eastAsia"/>
                <w:color w:val="000000"/>
                <w:sz w:val="21"/>
                <w:szCs w:val="21"/>
                <w:highlight w:val="none"/>
              </w:rPr>
            </w:pPr>
            <w:r>
              <w:rPr>
                <w:rFonts w:hint="eastAsia" w:cs="Courier New"/>
                <w:b/>
                <w:color w:val="000000"/>
                <w:sz w:val="21"/>
                <w:szCs w:val="21"/>
                <w:highlight w:val="none"/>
              </w:rPr>
              <w:t>C：商务部分评分13分</w:t>
            </w:r>
          </w:p>
        </w:tc>
      </w:tr>
      <w:tr w14:paraId="1409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24F4E140">
            <w:pPr>
              <w:spacing w:line="400" w:lineRule="exact"/>
              <w:jc w:val="center"/>
              <w:rPr>
                <w:rFonts w:hint="eastAsia"/>
                <w:color w:val="auto"/>
                <w:sz w:val="21"/>
                <w:szCs w:val="21"/>
                <w:highlight w:val="none"/>
              </w:rPr>
            </w:pPr>
            <w:r>
              <w:rPr>
                <w:rFonts w:hint="eastAsia"/>
                <w:color w:val="auto"/>
                <w:sz w:val="21"/>
                <w:szCs w:val="21"/>
                <w:highlight w:val="none"/>
              </w:rPr>
              <w:t>类似业绩</w:t>
            </w:r>
          </w:p>
        </w:tc>
        <w:tc>
          <w:tcPr>
            <w:tcW w:w="7096" w:type="dxa"/>
            <w:vAlign w:val="center"/>
          </w:tcPr>
          <w:p w14:paraId="61721A62">
            <w:pPr>
              <w:spacing w:line="400" w:lineRule="exact"/>
              <w:rPr>
                <w:rFonts w:hint="eastAsia"/>
                <w:color w:val="auto"/>
                <w:sz w:val="21"/>
                <w:szCs w:val="21"/>
                <w:highlight w:val="none"/>
              </w:rPr>
            </w:pPr>
            <w:r>
              <w:rPr>
                <w:rFonts w:hint="eastAsia"/>
                <w:color w:val="auto"/>
                <w:sz w:val="21"/>
                <w:szCs w:val="21"/>
                <w:highlight w:val="none"/>
              </w:rPr>
              <w:t>1、投标人具有</w:t>
            </w:r>
            <w:r>
              <w:rPr>
                <w:rFonts w:hint="eastAsia"/>
                <w:strike w:val="0"/>
                <w:dstrike w:val="0"/>
                <w:color w:val="auto"/>
                <w:sz w:val="21"/>
                <w:szCs w:val="21"/>
                <w:highlight w:val="none"/>
                <w:lang w:val="en-US" w:eastAsia="zh-CN"/>
              </w:rPr>
              <w:t>相关用户</w:t>
            </w:r>
            <w:r>
              <w:rPr>
                <w:rFonts w:hint="eastAsia"/>
                <w:color w:val="auto"/>
                <w:sz w:val="21"/>
                <w:szCs w:val="21"/>
                <w:highlight w:val="none"/>
              </w:rPr>
              <w:t>通过电子病历五级评级的案例，每提供一家证明材料得0.5分，满分2分。</w:t>
            </w:r>
          </w:p>
          <w:p w14:paraId="716AFC0A">
            <w:pPr>
              <w:spacing w:line="400" w:lineRule="exact"/>
              <w:rPr>
                <w:rFonts w:hint="eastAsia"/>
                <w:color w:val="auto"/>
                <w:sz w:val="21"/>
                <w:szCs w:val="21"/>
                <w:highlight w:val="none"/>
              </w:rPr>
            </w:pPr>
            <w:r>
              <w:rPr>
                <w:rFonts w:hint="eastAsia"/>
                <w:color w:val="auto"/>
                <w:sz w:val="21"/>
                <w:szCs w:val="21"/>
                <w:highlight w:val="none"/>
              </w:rPr>
              <w:t>2、投标人具有</w:t>
            </w:r>
            <w:r>
              <w:rPr>
                <w:rFonts w:hint="eastAsia"/>
                <w:strike w:val="0"/>
                <w:dstrike w:val="0"/>
                <w:color w:val="auto"/>
                <w:sz w:val="21"/>
                <w:szCs w:val="21"/>
                <w:highlight w:val="none"/>
                <w:lang w:val="en-US" w:eastAsia="zh-CN"/>
              </w:rPr>
              <w:t>相关用户</w:t>
            </w:r>
            <w:r>
              <w:rPr>
                <w:rFonts w:hint="eastAsia"/>
                <w:color w:val="auto"/>
                <w:sz w:val="21"/>
                <w:szCs w:val="21"/>
                <w:highlight w:val="none"/>
              </w:rPr>
              <w:t>通过电子病历六级评级的案例，每提供一家证明材料加0.5分，最多加1分。</w:t>
            </w:r>
          </w:p>
          <w:p w14:paraId="3053EEB0">
            <w:pPr>
              <w:spacing w:line="400" w:lineRule="exact"/>
              <w:rPr>
                <w:rFonts w:hint="eastAsia"/>
                <w:color w:val="auto"/>
                <w:sz w:val="21"/>
                <w:szCs w:val="21"/>
                <w:highlight w:val="none"/>
              </w:rPr>
            </w:pPr>
            <w:r>
              <w:rPr>
                <w:rFonts w:hint="eastAsia"/>
                <w:color w:val="auto"/>
                <w:sz w:val="21"/>
                <w:szCs w:val="21"/>
                <w:highlight w:val="none"/>
              </w:rPr>
              <w:t>注：1、类似业绩证明需提供①项目中标通知书、②项目合同（合同建设内容至少包含医院信息系统HIS、电子病历系统EMR、集成平台等）、③项目验收报告</w:t>
            </w:r>
            <w:r>
              <w:rPr>
                <w:rFonts w:hint="eastAsia"/>
                <w:color w:val="auto"/>
                <w:sz w:val="21"/>
                <w:szCs w:val="21"/>
                <w:highlight w:val="none"/>
                <w:lang w:val="en-US" w:eastAsia="zh-CN"/>
              </w:rPr>
              <w:t>3</w:t>
            </w:r>
            <w:r>
              <w:rPr>
                <w:rFonts w:hint="eastAsia"/>
                <w:color w:val="auto"/>
                <w:sz w:val="21"/>
                <w:szCs w:val="21"/>
                <w:highlight w:val="none"/>
              </w:rPr>
              <w:t>项材料加盖投标人公章，证明材料不齐全不得分。</w:t>
            </w:r>
          </w:p>
          <w:p w14:paraId="1EF8B4E0">
            <w:pPr>
              <w:spacing w:line="400" w:lineRule="exact"/>
              <w:rPr>
                <w:rFonts w:hint="eastAsia"/>
                <w:color w:val="auto"/>
                <w:sz w:val="21"/>
                <w:szCs w:val="21"/>
                <w:highlight w:val="none"/>
              </w:rPr>
            </w:pPr>
            <w:r>
              <w:rPr>
                <w:rFonts w:hint="eastAsia"/>
                <w:color w:val="auto"/>
                <w:sz w:val="21"/>
                <w:szCs w:val="21"/>
                <w:highlight w:val="none"/>
              </w:rPr>
              <w:t>2、供应商提供虚假材料的，按虚假投标处理。</w:t>
            </w:r>
          </w:p>
        </w:tc>
        <w:tc>
          <w:tcPr>
            <w:tcW w:w="720" w:type="dxa"/>
            <w:vAlign w:val="center"/>
          </w:tcPr>
          <w:p w14:paraId="463FAE2C">
            <w:pPr>
              <w:pStyle w:val="24"/>
              <w:snapToGrid w:val="0"/>
              <w:spacing w:line="400" w:lineRule="exact"/>
              <w:jc w:val="center"/>
              <w:rPr>
                <w:rFonts w:hint="eastAsia" w:ascii="宋体" w:hAnsi="宋体" w:cs="Courier New"/>
                <w:color w:val="auto"/>
                <w:sz w:val="21"/>
                <w:szCs w:val="21"/>
                <w:highlight w:val="none"/>
              </w:rPr>
            </w:pPr>
            <w:r>
              <w:rPr>
                <w:rFonts w:hint="eastAsia" w:ascii="宋体" w:hAnsi="宋体" w:cs="Courier New"/>
                <w:color w:val="auto"/>
                <w:sz w:val="21"/>
                <w:szCs w:val="21"/>
                <w:highlight w:val="none"/>
              </w:rPr>
              <w:t xml:space="preserve">3 </w:t>
            </w:r>
          </w:p>
        </w:tc>
      </w:tr>
      <w:tr w14:paraId="0057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4FA67046">
            <w:pPr>
              <w:spacing w:line="400" w:lineRule="exact"/>
              <w:jc w:val="center"/>
              <w:rPr>
                <w:rFonts w:hint="eastAsia"/>
                <w:color w:val="000000"/>
                <w:sz w:val="21"/>
                <w:szCs w:val="21"/>
                <w:highlight w:val="none"/>
              </w:rPr>
            </w:pPr>
            <w:r>
              <w:rPr>
                <w:rFonts w:hint="eastAsia"/>
                <w:color w:val="000000"/>
                <w:sz w:val="21"/>
                <w:szCs w:val="21"/>
                <w:highlight w:val="none"/>
              </w:rPr>
              <w:t>综合实力</w:t>
            </w:r>
          </w:p>
        </w:tc>
        <w:tc>
          <w:tcPr>
            <w:tcW w:w="7096" w:type="dxa"/>
            <w:vAlign w:val="center"/>
          </w:tcPr>
          <w:p w14:paraId="3F2E1641">
            <w:pPr>
              <w:spacing w:line="400" w:lineRule="exact"/>
              <w:rPr>
                <w:rFonts w:hint="eastAsia"/>
                <w:sz w:val="21"/>
                <w:szCs w:val="21"/>
                <w:highlight w:val="none"/>
              </w:rPr>
            </w:pPr>
            <w:r>
              <w:rPr>
                <w:rFonts w:hint="eastAsia"/>
                <w:sz w:val="21"/>
                <w:szCs w:val="21"/>
                <w:highlight w:val="none"/>
              </w:rPr>
              <w:t>投标人具有国家认证认可的有效期内且未被暂停的下列认证证书，每提供一项得 0.5 分，满分 3分：</w:t>
            </w:r>
          </w:p>
          <w:p w14:paraId="661899DF">
            <w:pPr>
              <w:spacing w:line="400" w:lineRule="exact"/>
              <w:rPr>
                <w:rFonts w:hint="eastAsia"/>
                <w:sz w:val="21"/>
                <w:szCs w:val="21"/>
                <w:highlight w:val="none"/>
              </w:rPr>
            </w:pPr>
            <w:r>
              <w:rPr>
                <w:rFonts w:hint="eastAsia"/>
                <w:sz w:val="21"/>
                <w:szCs w:val="21"/>
                <w:highlight w:val="none"/>
              </w:rPr>
              <w:t>1、质量管理体系认证证书；</w:t>
            </w:r>
          </w:p>
          <w:p w14:paraId="58D3ED2E">
            <w:pPr>
              <w:spacing w:line="400" w:lineRule="exact"/>
              <w:rPr>
                <w:rFonts w:hint="eastAsia"/>
                <w:sz w:val="21"/>
                <w:szCs w:val="21"/>
                <w:highlight w:val="none"/>
              </w:rPr>
            </w:pPr>
            <w:r>
              <w:rPr>
                <w:rFonts w:hint="eastAsia"/>
                <w:sz w:val="21"/>
                <w:szCs w:val="21"/>
                <w:highlight w:val="none"/>
              </w:rPr>
              <w:t>2、信息安全管理体系认证证书；</w:t>
            </w:r>
          </w:p>
          <w:p w14:paraId="553EF080">
            <w:pPr>
              <w:spacing w:line="400" w:lineRule="exact"/>
              <w:rPr>
                <w:rFonts w:hint="eastAsia"/>
                <w:sz w:val="21"/>
                <w:szCs w:val="21"/>
                <w:highlight w:val="none"/>
              </w:rPr>
            </w:pPr>
            <w:r>
              <w:rPr>
                <w:rFonts w:hint="eastAsia"/>
                <w:sz w:val="21"/>
                <w:szCs w:val="21"/>
                <w:highlight w:val="none"/>
              </w:rPr>
              <w:t>3、业务连续性管理体系认证证书；</w:t>
            </w:r>
          </w:p>
          <w:p w14:paraId="6A9D42D4">
            <w:pPr>
              <w:spacing w:line="400" w:lineRule="exact"/>
              <w:rPr>
                <w:rFonts w:hint="eastAsia"/>
                <w:sz w:val="21"/>
                <w:szCs w:val="21"/>
                <w:highlight w:val="none"/>
              </w:rPr>
            </w:pPr>
            <w:r>
              <w:rPr>
                <w:rFonts w:hint="eastAsia"/>
                <w:sz w:val="21"/>
                <w:szCs w:val="21"/>
                <w:highlight w:val="none"/>
              </w:rPr>
              <w:t>4、数据治理管理体系认证证书；</w:t>
            </w:r>
          </w:p>
          <w:p w14:paraId="2E19A12C">
            <w:pPr>
              <w:spacing w:line="400" w:lineRule="exact"/>
              <w:rPr>
                <w:rFonts w:hint="eastAsia"/>
                <w:sz w:val="21"/>
                <w:szCs w:val="21"/>
                <w:highlight w:val="none"/>
              </w:rPr>
            </w:pPr>
            <w:r>
              <w:rPr>
                <w:rFonts w:hint="eastAsia"/>
                <w:sz w:val="21"/>
                <w:szCs w:val="21"/>
                <w:highlight w:val="none"/>
              </w:rPr>
              <w:t>5、隐私信息管理体系认证证书；</w:t>
            </w:r>
          </w:p>
          <w:p w14:paraId="2848ECE1">
            <w:pPr>
              <w:spacing w:line="400" w:lineRule="exact"/>
              <w:rPr>
                <w:rFonts w:hint="eastAsia"/>
                <w:sz w:val="21"/>
                <w:szCs w:val="21"/>
                <w:highlight w:val="none"/>
              </w:rPr>
            </w:pPr>
            <w:r>
              <w:rPr>
                <w:rFonts w:hint="eastAsia"/>
                <w:sz w:val="21"/>
                <w:szCs w:val="21"/>
                <w:highlight w:val="none"/>
              </w:rPr>
              <w:t>6、服务管理体系认证证书</w:t>
            </w:r>
          </w:p>
          <w:p w14:paraId="10B429B1">
            <w:pPr>
              <w:spacing w:line="400" w:lineRule="exact"/>
              <w:rPr>
                <w:rFonts w:hint="eastAsia"/>
                <w:sz w:val="21"/>
                <w:szCs w:val="21"/>
                <w:highlight w:val="none"/>
              </w:rPr>
            </w:pPr>
            <w:r>
              <w:rPr>
                <w:rFonts w:hint="eastAsia"/>
                <w:sz w:val="21"/>
                <w:szCs w:val="21"/>
                <w:highlight w:val="none"/>
              </w:rPr>
              <w:t>注：提供有效期内的且未被暂停的证书，并附国家市场监督管理总局全国认证认可信息公共服务平台http://cx.cnca.cn/查询截图,加盖投标人公章。</w:t>
            </w:r>
          </w:p>
        </w:tc>
        <w:tc>
          <w:tcPr>
            <w:tcW w:w="720" w:type="dxa"/>
            <w:vAlign w:val="center"/>
          </w:tcPr>
          <w:p w14:paraId="6AB01662">
            <w:pPr>
              <w:pStyle w:val="24"/>
              <w:snapToGrid w:val="0"/>
              <w:spacing w:line="400" w:lineRule="exact"/>
              <w:jc w:val="center"/>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3</w:t>
            </w:r>
          </w:p>
        </w:tc>
      </w:tr>
      <w:tr w14:paraId="58C2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3B804E5E">
            <w:pPr>
              <w:spacing w:line="400" w:lineRule="exact"/>
              <w:jc w:val="center"/>
              <w:rPr>
                <w:rFonts w:hint="eastAsia"/>
                <w:color w:val="000000"/>
                <w:sz w:val="21"/>
                <w:szCs w:val="21"/>
                <w:highlight w:val="none"/>
              </w:rPr>
            </w:pPr>
            <w:r>
              <w:rPr>
                <w:rFonts w:hint="eastAsia"/>
                <w:color w:val="000000"/>
                <w:sz w:val="21"/>
                <w:szCs w:val="21"/>
                <w:highlight w:val="none"/>
              </w:rPr>
              <w:t>国产化建设</w:t>
            </w:r>
          </w:p>
        </w:tc>
        <w:tc>
          <w:tcPr>
            <w:tcW w:w="7096" w:type="dxa"/>
            <w:vAlign w:val="center"/>
          </w:tcPr>
          <w:p w14:paraId="444B36C7">
            <w:pPr>
              <w:spacing w:line="400" w:lineRule="exact"/>
              <w:rPr>
                <w:rFonts w:hint="eastAsia"/>
                <w:sz w:val="21"/>
                <w:szCs w:val="21"/>
                <w:highlight w:val="none"/>
              </w:rPr>
            </w:pPr>
            <w:r>
              <w:rPr>
                <w:rFonts w:hint="eastAsia"/>
                <w:sz w:val="21"/>
                <w:szCs w:val="21"/>
                <w:highlight w:val="none"/>
              </w:rPr>
              <w:t>1、投标人所投核心产品具备国产化适配能力，医院信息系统HIS、电子病历系统EMR、集成平台、数据中心等产品，每个产品适配环境至少包含：国产硬件服务器、国产虚拟化超融合平台、国产服务器操作系统、国产数据库管理系统、国产客户端操作系统、国产客户端浏览器内容。</w:t>
            </w:r>
          </w:p>
          <w:p w14:paraId="14815539">
            <w:pPr>
              <w:spacing w:line="400" w:lineRule="exact"/>
              <w:rPr>
                <w:rFonts w:hint="eastAsia"/>
                <w:sz w:val="21"/>
                <w:szCs w:val="21"/>
                <w:highlight w:val="none"/>
              </w:rPr>
            </w:pPr>
            <w:r>
              <w:rPr>
                <w:rFonts w:hint="eastAsia"/>
                <w:sz w:val="21"/>
                <w:szCs w:val="21"/>
                <w:highlight w:val="none"/>
              </w:rPr>
              <w:t>根据投标人提供相关产品的适配能力证明材料评分，每提供一份完整证明（测试报告或认证证书)得0.5分，满分2分；</w:t>
            </w:r>
          </w:p>
          <w:p w14:paraId="40AF38E2">
            <w:pPr>
              <w:spacing w:line="400" w:lineRule="exact"/>
              <w:rPr>
                <w:rFonts w:hint="eastAsia"/>
                <w:sz w:val="21"/>
                <w:szCs w:val="21"/>
                <w:highlight w:val="none"/>
              </w:rPr>
            </w:pPr>
            <w:r>
              <w:rPr>
                <w:rFonts w:hint="eastAsia"/>
                <w:sz w:val="21"/>
                <w:szCs w:val="21"/>
                <w:highlight w:val="none"/>
              </w:rPr>
              <w:t>2、所投产品具有成功实施的医院信创项目案例得2分，案例证明材料需同时提供①项目中标通知书、②项目合同（合同建设内容至少包含医院信息系统HIS、电子病历系统EMR、数据中心等）、③加盖医院公章的用户证明（已实现适配国产化服务器操作系统、国产化数据库、国产服务器、国产中间件等）、④项目验收报 4项材料复印件加盖投标人公章，证明材料不齐全不得分。</w:t>
            </w:r>
          </w:p>
        </w:tc>
        <w:tc>
          <w:tcPr>
            <w:tcW w:w="720" w:type="dxa"/>
            <w:vAlign w:val="center"/>
          </w:tcPr>
          <w:p w14:paraId="1D261364">
            <w:pPr>
              <w:pStyle w:val="24"/>
              <w:snapToGrid w:val="0"/>
              <w:spacing w:line="400" w:lineRule="exact"/>
              <w:jc w:val="center"/>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4</w:t>
            </w:r>
          </w:p>
        </w:tc>
      </w:tr>
      <w:tr w14:paraId="738D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14:paraId="3CF20511">
            <w:pPr>
              <w:spacing w:line="400" w:lineRule="exact"/>
              <w:jc w:val="center"/>
              <w:rPr>
                <w:rFonts w:hint="eastAsia"/>
                <w:color w:val="000000"/>
                <w:sz w:val="21"/>
                <w:szCs w:val="21"/>
                <w:highlight w:val="none"/>
              </w:rPr>
            </w:pPr>
            <w:r>
              <w:rPr>
                <w:rFonts w:hint="eastAsia"/>
                <w:color w:val="000000"/>
                <w:sz w:val="21"/>
                <w:szCs w:val="21"/>
                <w:highlight w:val="none"/>
              </w:rPr>
              <w:t>软件著作权</w:t>
            </w:r>
          </w:p>
        </w:tc>
        <w:tc>
          <w:tcPr>
            <w:tcW w:w="7096" w:type="dxa"/>
            <w:vAlign w:val="center"/>
          </w:tcPr>
          <w:p w14:paraId="2BB93CA3">
            <w:pPr>
              <w:spacing w:line="400" w:lineRule="exact"/>
              <w:rPr>
                <w:rFonts w:hint="eastAsia"/>
                <w:sz w:val="21"/>
                <w:szCs w:val="21"/>
                <w:highlight w:val="none"/>
              </w:rPr>
            </w:pPr>
            <w:r>
              <w:rPr>
                <w:rFonts w:hint="eastAsia"/>
                <w:sz w:val="21"/>
                <w:szCs w:val="21"/>
                <w:highlight w:val="none"/>
              </w:rPr>
              <w:t>投标人具备以下所有软件的软件著作权，著作权登记证书必须在本次项目首次招标公告前取得，全部提供得3分，缺少1个扣0.5分，扣完为止。要求版权所有人必须与投标人完全相符，且著作权证书需含关键词，提供软件著作权复印件加盖公章。</w:t>
            </w:r>
          </w:p>
          <w:p w14:paraId="7C57FC6C">
            <w:pPr>
              <w:spacing w:line="400" w:lineRule="exact"/>
              <w:rPr>
                <w:rFonts w:hint="eastAsia"/>
                <w:sz w:val="21"/>
                <w:szCs w:val="21"/>
                <w:highlight w:val="none"/>
              </w:rPr>
            </w:pPr>
            <w:r>
              <w:rPr>
                <w:rFonts w:hint="eastAsia"/>
                <w:sz w:val="21"/>
                <w:szCs w:val="21"/>
                <w:highlight w:val="none"/>
              </w:rPr>
              <w:t>1）、一体化智慧医院信息系统（关键词“智慧医院”）</w:t>
            </w:r>
          </w:p>
          <w:p w14:paraId="567BB8D0">
            <w:pPr>
              <w:spacing w:line="400" w:lineRule="exact"/>
              <w:rPr>
                <w:rFonts w:hint="eastAsia"/>
                <w:sz w:val="21"/>
                <w:szCs w:val="21"/>
                <w:highlight w:val="none"/>
              </w:rPr>
            </w:pPr>
            <w:r>
              <w:rPr>
                <w:rFonts w:hint="eastAsia"/>
                <w:sz w:val="21"/>
                <w:szCs w:val="21"/>
                <w:highlight w:val="none"/>
              </w:rPr>
              <w:t>2）、医院数据中心（关键词“数据中心”）</w:t>
            </w:r>
          </w:p>
          <w:p w14:paraId="636DEDE2">
            <w:pPr>
              <w:spacing w:line="400" w:lineRule="exact"/>
              <w:rPr>
                <w:rFonts w:hint="eastAsia"/>
                <w:sz w:val="21"/>
                <w:szCs w:val="21"/>
                <w:highlight w:val="none"/>
              </w:rPr>
            </w:pPr>
            <w:r>
              <w:rPr>
                <w:rFonts w:hint="eastAsia"/>
                <w:sz w:val="21"/>
                <w:szCs w:val="21"/>
                <w:highlight w:val="none"/>
              </w:rPr>
              <w:t>3）、闭环流程追溯管理系统（关键词“闭环流程追溯”）</w:t>
            </w:r>
          </w:p>
          <w:p w14:paraId="0B4BEDA4">
            <w:pPr>
              <w:spacing w:line="400" w:lineRule="exact"/>
              <w:rPr>
                <w:rFonts w:hint="eastAsia"/>
                <w:sz w:val="21"/>
                <w:szCs w:val="21"/>
                <w:highlight w:val="none"/>
              </w:rPr>
            </w:pPr>
            <w:r>
              <w:rPr>
                <w:rFonts w:hint="eastAsia"/>
                <w:sz w:val="21"/>
                <w:szCs w:val="21"/>
                <w:highlight w:val="none"/>
              </w:rPr>
              <w:t>4）、实施配置管理系统（关键词“实施配置管理”）</w:t>
            </w:r>
          </w:p>
          <w:p w14:paraId="7AE86DB0">
            <w:pPr>
              <w:spacing w:line="400" w:lineRule="exact"/>
              <w:rPr>
                <w:rFonts w:hint="eastAsia"/>
                <w:sz w:val="21"/>
                <w:szCs w:val="21"/>
                <w:highlight w:val="none"/>
              </w:rPr>
            </w:pPr>
            <w:r>
              <w:rPr>
                <w:rFonts w:hint="eastAsia"/>
                <w:sz w:val="21"/>
                <w:szCs w:val="21"/>
                <w:highlight w:val="none"/>
              </w:rPr>
              <w:t>5）、集成引擎中间件（关键词“集成引擎中间件”）</w:t>
            </w:r>
          </w:p>
          <w:p w14:paraId="41C4F338">
            <w:pPr>
              <w:spacing w:line="400" w:lineRule="exact"/>
              <w:rPr>
                <w:rFonts w:hint="eastAsia"/>
                <w:sz w:val="21"/>
                <w:szCs w:val="21"/>
                <w:highlight w:val="none"/>
              </w:rPr>
            </w:pPr>
            <w:r>
              <w:rPr>
                <w:rFonts w:hint="eastAsia"/>
                <w:sz w:val="21"/>
                <w:szCs w:val="21"/>
                <w:highlight w:val="none"/>
              </w:rPr>
              <w:t>6）、智慧运维管理平台（关键词“智慧运维”）</w:t>
            </w:r>
          </w:p>
        </w:tc>
        <w:tc>
          <w:tcPr>
            <w:tcW w:w="720" w:type="dxa"/>
            <w:vAlign w:val="center"/>
          </w:tcPr>
          <w:p w14:paraId="3BB395F8">
            <w:pPr>
              <w:pStyle w:val="24"/>
              <w:snapToGrid w:val="0"/>
              <w:spacing w:line="400" w:lineRule="exact"/>
              <w:jc w:val="center"/>
              <w:rPr>
                <w:rFonts w:hint="eastAsia" w:ascii="宋体" w:hAnsi="宋体" w:cs="Courier New"/>
                <w:color w:val="000000"/>
                <w:sz w:val="21"/>
                <w:szCs w:val="21"/>
                <w:highlight w:val="none"/>
              </w:rPr>
            </w:pPr>
            <w:r>
              <w:rPr>
                <w:rFonts w:hint="eastAsia" w:ascii="宋体" w:hAnsi="宋体" w:cs="Courier New"/>
                <w:color w:val="000000"/>
                <w:sz w:val="21"/>
                <w:szCs w:val="21"/>
                <w:highlight w:val="none"/>
              </w:rPr>
              <w:t>3</w:t>
            </w:r>
          </w:p>
        </w:tc>
      </w:tr>
      <w:tr w14:paraId="1D3E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4" w:type="dxa"/>
            <w:gridSpan w:val="3"/>
            <w:vAlign w:val="center"/>
          </w:tcPr>
          <w:p w14:paraId="05C9794A">
            <w:pPr>
              <w:widowControl/>
              <w:spacing w:line="400" w:lineRule="exact"/>
              <w:rPr>
                <w:rFonts w:hint="eastAsia" w:cs="宋体"/>
                <w:b/>
                <w:color w:val="000000"/>
                <w:sz w:val="21"/>
                <w:szCs w:val="21"/>
                <w:highlight w:val="none"/>
              </w:rPr>
            </w:pPr>
            <w:r>
              <w:rPr>
                <w:rFonts w:hint="eastAsia"/>
                <w:b/>
                <w:color w:val="000000"/>
                <w:sz w:val="21"/>
                <w:szCs w:val="21"/>
                <w:highlight w:val="none"/>
              </w:rPr>
              <w:t>D:属于中小企业评审优惠内容及价格扣除幅度</w:t>
            </w:r>
          </w:p>
        </w:tc>
      </w:tr>
      <w:tr w14:paraId="4339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4" w:type="dxa"/>
            <w:gridSpan w:val="3"/>
            <w:vAlign w:val="center"/>
          </w:tcPr>
          <w:p w14:paraId="0A994599">
            <w:pPr>
              <w:spacing w:line="400" w:lineRule="exact"/>
              <w:rPr>
                <w:rFonts w:hint="eastAsia" w:cs="宋体"/>
                <w:color w:val="000000"/>
                <w:sz w:val="21"/>
                <w:szCs w:val="21"/>
                <w:highlight w:val="none"/>
              </w:rPr>
            </w:pPr>
            <w:r>
              <w:rPr>
                <w:rFonts w:hint="eastAsia" w:cs="宋体"/>
                <w:color w:val="000000"/>
                <w:sz w:val="21"/>
                <w:szCs w:val="21"/>
                <w:highlight w:val="none"/>
              </w:rPr>
              <w:t>根据中华人民共和国财政部、中华人民共和国工业和信息化部《政府采购促进中小企业发展管理办法》文件的规定，属于中小企业评审优惠内容及幅度如下：</w:t>
            </w:r>
          </w:p>
          <w:p w14:paraId="350FBA73">
            <w:pPr>
              <w:spacing w:line="400" w:lineRule="exact"/>
              <w:rPr>
                <w:rFonts w:hint="eastAsia" w:cs="宋体"/>
                <w:color w:val="000000"/>
                <w:sz w:val="21"/>
                <w:szCs w:val="21"/>
                <w:highlight w:val="none"/>
              </w:rPr>
            </w:pPr>
            <w:r>
              <w:rPr>
                <w:rFonts w:hint="eastAsia" w:cs="宋体"/>
                <w:color w:val="000000"/>
                <w:sz w:val="21"/>
                <w:szCs w:val="21"/>
                <w:highlight w:val="none"/>
              </w:rPr>
              <w:t>（一）在政府采购活动中，供应商提供的货物、工程或者服务符合下列情形的，享受本办法规定的中小企业扶持政策：</w:t>
            </w:r>
          </w:p>
          <w:p w14:paraId="3770ACA3">
            <w:pPr>
              <w:spacing w:line="400" w:lineRule="exact"/>
              <w:rPr>
                <w:rFonts w:hint="eastAsia" w:cs="宋体"/>
                <w:color w:val="000000"/>
                <w:sz w:val="21"/>
                <w:szCs w:val="21"/>
                <w:highlight w:val="none"/>
              </w:rPr>
            </w:pPr>
            <w:r>
              <w:rPr>
                <w:rFonts w:hint="eastAsia" w:cs="宋体"/>
                <w:color w:val="000000"/>
                <w:sz w:val="21"/>
                <w:szCs w:val="21"/>
                <w:highlight w:val="none"/>
              </w:rPr>
              <w:t>①在货物采购项目中，货物由中小企业制造，即货物由中小企业生产且使用该中小企业商号或者注册商标；</w:t>
            </w:r>
          </w:p>
          <w:p w14:paraId="789BC167">
            <w:pPr>
              <w:spacing w:line="400" w:lineRule="exact"/>
              <w:rPr>
                <w:rFonts w:hint="eastAsia" w:cs="宋体"/>
                <w:color w:val="000000"/>
                <w:sz w:val="21"/>
                <w:szCs w:val="21"/>
                <w:highlight w:val="none"/>
              </w:rPr>
            </w:pPr>
            <w:r>
              <w:rPr>
                <w:rFonts w:hint="eastAsia" w:cs="宋体"/>
                <w:color w:val="000000"/>
                <w:sz w:val="21"/>
                <w:szCs w:val="21"/>
                <w:highlight w:val="none"/>
              </w:rPr>
              <w:t>在货物采购项目中，供应商提供的货物既有中小企业制造货物，也有大型企业制造货物的，不享受本办法规定的中小企业扶持政策。</w:t>
            </w:r>
          </w:p>
          <w:p w14:paraId="0A57849B">
            <w:pPr>
              <w:spacing w:line="400" w:lineRule="exact"/>
              <w:rPr>
                <w:rFonts w:hint="eastAsia" w:cs="宋体"/>
                <w:color w:val="000000"/>
                <w:sz w:val="21"/>
                <w:szCs w:val="21"/>
                <w:highlight w:val="none"/>
              </w:rPr>
            </w:pPr>
            <w:r>
              <w:rPr>
                <w:rFonts w:hint="eastAsia" w:cs="宋体"/>
                <w:color w:val="000000"/>
                <w:sz w:val="21"/>
                <w:szCs w:val="21"/>
                <w:highlight w:val="none"/>
              </w:rPr>
              <w:t>以联合体形式参加政府采购活动，联合体各方均为中小企业的，联合体视同中小企业。</w:t>
            </w:r>
          </w:p>
          <w:p w14:paraId="5A86EF45">
            <w:pPr>
              <w:spacing w:line="400" w:lineRule="exact"/>
              <w:rPr>
                <w:rFonts w:hint="eastAsia" w:cs="宋体"/>
                <w:color w:val="000000"/>
                <w:sz w:val="21"/>
                <w:szCs w:val="21"/>
                <w:highlight w:val="none"/>
              </w:rPr>
            </w:pPr>
            <w:r>
              <w:rPr>
                <w:rFonts w:hint="eastAsia" w:cs="宋体"/>
                <w:color w:val="000000"/>
                <w:sz w:val="21"/>
                <w:szCs w:val="21"/>
                <w:highlight w:val="none"/>
              </w:rPr>
              <w:t>其中，联合体各方均为小微企业的，联合体视同小微企业。</w:t>
            </w:r>
          </w:p>
          <w:p w14:paraId="0596166B">
            <w:pPr>
              <w:spacing w:line="400" w:lineRule="exact"/>
              <w:rPr>
                <w:rFonts w:hint="eastAsia" w:cs="宋体"/>
                <w:color w:val="000000"/>
                <w:sz w:val="21"/>
                <w:szCs w:val="21"/>
                <w:highlight w:val="none"/>
              </w:rPr>
            </w:pPr>
            <w:r>
              <w:rPr>
                <w:rFonts w:hint="eastAsia" w:cs="宋体"/>
                <w:color w:val="000000"/>
                <w:sz w:val="21"/>
                <w:szCs w:val="21"/>
                <w:highlight w:val="none"/>
              </w:rPr>
              <w:t>（）价格扣除办法：</w:t>
            </w:r>
          </w:p>
          <w:p w14:paraId="69E6AD02">
            <w:pPr>
              <w:spacing w:line="400" w:lineRule="exact"/>
              <w:rPr>
                <w:rFonts w:hint="eastAsia" w:cs="宋体"/>
                <w:color w:val="000000"/>
                <w:sz w:val="21"/>
                <w:szCs w:val="21"/>
                <w:highlight w:val="none"/>
              </w:rPr>
            </w:pPr>
            <w:r>
              <w:rPr>
                <w:rFonts w:hint="eastAsia" w:cs="宋体"/>
                <w:color w:val="000000"/>
                <w:sz w:val="21"/>
                <w:szCs w:val="21"/>
                <w:highlight w:val="none"/>
              </w:rPr>
              <w:t>①对于非专门面向中小企业的项目，对小型和微型企业（或联合体各方均为小型、微型企业的）产品的价格给予10%的扣除，用扣除后的价格参与价格分的评审。</w:t>
            </w:r>
          </w:p>
          <w:p w14:paraId="51881106">
            <w:pPr>
              <w:spacing w:line="400" w:lineRule="exact"/>
              <w:rPr>
                <w:rFonts w:hint="eastAsia" w:cs="宋体"/>
                <w:color w:val="000000"/>
                <w:sz w:val="21"/>
                <w:szCs w:val="21"/>
                <w:highlight w:val="none"/>
              </w:rPr>
            </w:pPr>
            <w:r>
              <w:rPr>
                <w:rFonts w:hint="eastAsia" w:cs="宋体"/>
                <w:color w:val="000000"/>
                <w:sz w:val="21"/>
                <w:szCs w:val="21"/>
                <w:highlight w:val="none"/>
              </w:rPr>
              <w:t>（三）小型和微型企业适用价格扣除办法时应提供的相关资料：</w:t>
            </w:r>
          </w:p>
          <w:p w14:paraId="6C01F136">
            <w:pPr>
              <w:spacing w:line="400" w:lineRule="exact"/>
              <w:rPr>
                <w:rFonts w:hint="eastAsia" w:cs="宋体"/>
                <w:color w:val="000000"/>
                <w:sz w:val="21"/>
                <w:szCs w:val="21"/>
                <w:highlight w:val="none"/>
              </w:rPr>
            </w:pPr>
            <w:r>
              <w:rPr>
                <w:rFonts w:hint="eastAsia" w:cs="宋体"/>
                <w:color w:val="000000"/>
                <w:sz w:val="21"/>
                <w:szCs w:val="21"/>
                <w:highlight w:val="none"/>
              </w:rPr>
              <w:t>①、《中小企业声明函》</w:t>
            </w:r>
          </w:p>
          <w:p w14:paraId="218FA340">
            <w:pPr>
              <w:spacing w:line="400" w:lineRule="exact"/>
              <w:rPr>
                <w:rFonts w:hint="eastAsia" w:cs="宋体"/>
                <w:color w:val="000000"/>
                <w:sz w:val="21"/>
                <w:szCs w:val="21"/>
                <w:highlight w:val="none"/>
              </w:rPr>
            </w:pPr>
            <w:r>
              <w:rPr>
                <w:rFonts w:hint="eastAsia" w:cs="宋体"/>
                <w:color w:val="000000"/>
                <w:sz w:val="21"/>
                <w:szCs w:val="21"/>
                <w:highlight w:val="none"/>
              </w:rPr>
              <w:t>注：监狱企业、残疾人福利性单位视同为小微企业。</w:t>
            </w:r>
          </w:p>
          <w:p w14:paraId="1E7680D4">
            <w:pPr>
              <w:spacing w:line="400" w:lineRule="exact"/>
              <w:rPr>
                <w:rFonts w:hint="eastAsia" w:cs="宋体"/>
                <w:sz w:val="21"/>
                <w:szCs w:val="21"/>
                <w:highlight w:val="none"/>
              </w:rPr>
            </w:pPr>
            <w:r>
              <w:rPr>
                <w:rFonts w:hint="eastAsia" w:cs="宋体"/>
                <w:color w:val="000000"/>
                <w:sz w:val="21"/>
                <w:szCs w:val="21"/>
                <w:highlight w:val="none"/>
              </w:rPr>
              <w:t>对外援助项目、国家相关资格或者资质管理制度另有规定的项目，不适用本办法。</w:t>
            </w:r>
          </w:p>
        </w:tc>
      </w:tr>
    </w:tbl>
    <w:p w14:paraId="49C76321">
      <w:pPr>
        <w:rPr>
          <w:rFonts w:hint="eastAsia" w:cs="宋体"/>
          <w:kern w:val="0"/>
          <w:highlight w:val="none"/>
        </w:rPr>
      </w:pPr>
    </w:p>
    <w:tbl>
      <w:tblPr>
        <w:tblStyle w:val="44"/>
        <w:tblW w:w="92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4"/>
      </w:tblGrid>
      <w:tr w14:paraId="130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84" w:type="dxa"/>
            <w:vAlign w:val="center"/>
          </w:tcPr>
          <w:p w14:paraId="0132C082">
            <w:pPr>
              <w:pStyle w:val="24"/>
              <w:snapToGrid w:val="0"/>
              <w:spacing w:line="360" w:lineRule="exact"/>
              <w:rPr>
                <w:rFonts w:hint="eastAsia" w:ascii="宋体" w:hAnsi="宋体" w:cs="Courier New"/>
                <w:b/>
                <w:sz w:val="21"/>
                <w:szCs w:val="21"/>
                <w:highlight w:val="none"/>
              </w:rPr>
            </w:pPr>
            <w:r>
              <w:rPr>
                <w:rFonts w:hint="eastAsia" w:ascii="宋体" w:hAnsi="宋体" w:cs="Courier New"/>
                <w:b/>
                <w:sz w:val="21"/>
                <w:szCs w:val="21"/>
                <w:highlight w:val="none"/>
              </w:rPr>
              <w:t>E: 节能、环境标志产品评审优惠内容及加分幅度：</w:t>
            </w:r>
          </w:p>
        </w:tc>
      </w:tr>
      <w:tr w14:paraId="1F6A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84" w:type="dxa"/>
            <w:vAlign w:val="center"/>
          </w:tcPr>
          <w:p w14:paraId="662B36B7">
            <w:pPr>
              <w:pStyle w:val="24"/>
              <w:snapToGrid w:val="0"/>
              <w:spacing w:line="360" w:lineRule="exact"/>
              <w:rPr>
                <w:rFonts w:hint="eastAsia" w:ascii="宋体" w:hAnsi="宋体" w:cs="Courier New"/>
                <w:sz w:val="21"/>
                <w:szCs w:val="21"/>
                <w:highlight w:val="none"/>
              </w:rPr>
            </w:pPr>
            <w:r>
              <w:rPr>
                <w:rFonts w:hint="eastAsia" w:ascii="宋体" w:hAnsi="宋体" w:cs="Courier New"/>
                <w:sz w:val="21"/>
                <w:szCs w:val="21"/>
                <w:highlight w:val="none"/>
              </w:rPr>
              <w:t>投标人所投设备满足下述要求其中之一的，即得1分；均不满足的，得0分。</w:t>
            </w:r>
          </w:p>
          <w:p w14:paraId="22DEFEF5">
            <w:pPr>
              <w:pStyle w:val="24"/>
              <w:snapToGrid w:val="0"/>
              <w:spacing w:line="360" w:lineRule="exact"/>
              <w:rPr>
                <w:rFonts w:hint="eastAsia" w:ascii="宋体" w:hAnsi="宋体" w:cs="Courier New"/>
                <w:sz w:val="21"/>
                <w:szCs w:val="21"/>
                <w:highlight w:val="none"/>
              </w:rPr>
            </w:pPr>
            <w:r>
              <w:rPr>
                <w:rFonts w:hint="eastAsia" w:ascii="宋体" w:hAnsi="宋体" w:cs="Courier New"/>
                <w:sz w:val="21"/>
                <w:szCs w:val="21"/>
                <w:highlight w:val="none"/>
              </w:rPr>
              <w:t>（1）、财政部 发展改革委印发的《节能产品政府采购品目清单》；</w:t>
            </w:r>
          </w:p>
          <w:p w14:paraId="5FE7D185">
            <w:pPr>
              <w:pStyle w:val="24"/>
              <w:snapToGrid w:val="0"/>
              <w:spacing w:line="360" w:lineRule="exact"/>
              <w:rPr>
                <w:rFonts w:hint="eastAsia" w:ascii="宋体" w:hAnsi="宋体" w:cs="Courier New"/>
                <w:sz w:val="21"/>
                <w:szCs w:val="21"/>
                <w:highlight w:val="none"/>
              </w:rPr>
            </w:pPr>
            <w:r>
              <w:rPr>
                <w:rFonts w:hint="eastAsia" w:ascii="宋体" w:hAnsi="宋体" w:cs="Courier New"/>
                <w:sz w:val="21"/>
                <w:szCs w:val="21"/>
                <w:highlight w:val="none"/>
              </w:rPr>
              <w:t>（2）、财政部 生态环境部印发的《环境标志产品政府采购品目清单》。</w:t>
            </w:r>
          </w:p>
          <w:p w14:paraId="5B5DD752">
            <w:pPr>
              <w:pStyle w:val="24"/>
              <w:snapToGrid w:val="0"/>
              <w:spacing w:line="360" w:lineRule="exact"/>
              <w:rPr>
                <w:rFonts w:hint="eastAsia" w:ascii="宋体" w:hAnsi="宋体" w:cs="Courier New"/>
                <w:sz w:val="21"/>
                <w:szCs w:val="21"/>
                <w:highlight w:val="none"/>
              </w:rPr>
            </w:pPr>
            <w:r>
              <w:rPr>
                <w:rFonts w:hint="eastAsia" w:ascii="宋体" w:hAnsi="宋体" w:cs="Courier New"/>
                <w:sz w:val="21"/>
                <w:szCs w:val="21"/>
                <w:highlight w:val="none"/>
              </w:rPr>
              <w:t>证明文件：须提供清单截图及在有效期内的产品认证证书扫描件，未提供不得分。</w:t>
            </w:r>
          </w:p>
          <w:p w14:paraId="3A1A563B">
            <w:pPr>
              <w:pStyle w:val="24"/>
              <w:snapToGrid w:val="0"/>
              <w:spacing w:line="360" w:lineRule="exact"/>
              <w:rPr>
                <w:rFonts w:hint="eastAsia" w:ascii="宋体" w:hAnsi="宋体" w:cs="Courier New"/>
                <w:sz w:val="21"/>
                <w:szCs w:val="21"/>
                <w:highlight w:val="none"/>
              </w:rPr>
            </w:pPr>
            <w:r>
              <w:rPr>
                <w:rFonts w:hint="eastAsia" w:ascii="宋体" w:hAnsi="宋体" w:cs="Courier New"/>
                <w:sz w:val="21"/>
                <w:szCs w:val="21"/>
                <w:highlight w:val="none"/>
              </w:rPr>
              <w:t>对该项的评审，评审专家须核认证证书中的产品是否为所投产品的规格型号，另证书中所出具的认证依据标准是否与《品目清单》中的一致；以上两点都符合，才能得相应分值。</w:t>
            </w:r>
          </w:p>
        </w:tc>
      </w:tr>
      <w:bookmarkEnd w:id="57"/>
    </w:tbl>
    <w:p w14:paraId="646FE1D7">
      <w:pPr>
        <w:tabs>
          <w:tab w:val="left" w:pos="0"/>
        </w:tabs>
        <w:adjustRightInd w:val="0"/>
        <w:snapToGrid w:val="0"/>
        <w:spacing w:before="120" w:beforeLines="50"/>
        <w:rPr>
          <w:rFonts w:hint="eastAsia"/>
          <w:b/>
          <w:szCs w:val="21"/>
          <w:highlight w:val="none"/>
        </w:rPr>
      </w:pPr>
      <w:r>
        <w:rPr>
          <w:rFonts w:hint="eastAsia"/>
          <w:b/>
          <w:szCs w:val="21"/>
          <w:highlight w:val="none"/>
        </w:rPr>
        <w:t>6.推荐中标候选人名单</w:t>
      </w:r>
    </w:p>
    <w:p w14:paraId="3337EC9E">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6.1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得分仍相同，由评标委员会根据技术/服务优势排序。评标委员会将根据评标标准和评标排序，推荐不超过三名中标候选人，并形成评标报告。</w:t>
      </w:r>
    </w:p>
    <w:p w14:paraId="037D3860">
      <w:pPr>
        <w:pStyle w:val="24"/>
        <w:adjustRightInd w:val="0"/>
        <w:snapToGrid w:val="0"/>
        <w:spacing w:line="360" w:lineRule="auto"/>
        <w:ind w:firstLine="420" w:firstLineChars="200"/>
        <w:rPr>
          <w:rFonts w:hint="eastAsia" w:hAnsi="宋体"/>
          <w:sz w:val="21"/>
          <w:szCs w:val="21"/>
          <w:highlight w:val="none"/>
        </w:rPr>
      </w:pPr>
    </w:p>
    <w:p w14:paraId="75E87F95">
      <w:pPr>
        <w:pStyle w:val="24"/>
        <w:adjustRightInd w:val="0"/>
        <w:snapToGrid w:val="0"/>
        <w:spacing w:line="360" w:lineRule="auto"/>
        <w:ind w:firstLine="420" w:firstLineChars="200"/>
        <w:rPr>
          <w:rFonts w:hint="eastAsia" w:hAnsi="宋体"/>
          <w:sz w:val="21"/>
          <w:szCs w:val="21"/>
          <w:highlight w:val="none"/>
        </w:rPr>
      </w:pPr>
    </w:p>
    <w:p w14:paraId="7373669F">
      <w:pPr>
        <w:pStyle w:val="24"/>
        <w:adjustRightInd w:val="0"/>
        <w:snapToGrid w:val="0"/>
        <w:spacing w:line="360" w:lineRule="auto"/>
        <w:rPr>
          <w:rFonts w:hint="eastAsia" w:hAnsi="宋体"/>
          <w:sz w:val="21"/>
          <w:szCs w:val="21"/>
          <w:highlight w:val="none"/>
        </w:rPr>
      </w:pPr>
    </w:p>
    <w:p w14:paraId="2D34C664">
      <w:pPr>
        <w:pStyle w:val="24"/>
        <w:adjustRightInd w:val="0"/>
        <w:snapToGrid w:val="0"/>
        <w:spacing w:line="360" w:lineRule="auto"/>
        <w:ind w:firstLine="420" w:firstLineChars="200"/>
        <w:rPr>
          <w:rFonts w:hint="eastAsia" w:hAnsi="宋体"/>
          <w:sz w:val="21"/>
          <w:szCs w:val="21"/>
          <w:highlight w:val="none"/>
        </w:rPr>
      </w:pPr>
    </w:p>
    <w:p w14:paraId="5CABC211">
      <w:pPr>
        <w:pStyle w:val="24"/>
        <w:adjustRightInd w:val="0"/>
        <w:snapToGrid w:val="0"/>
        <w:spacing w:line="360" w:lineRule="auto"/>
        <w:rPr>
          <w:rFonts w:hint="eastAsia" w:hAnsi="宋体"/>
          <w:sz w:val="21"/>
          <w:szCs w:val="21"/>
          <w:highlight w:val="none"/>
        </w:rPr>
      </w:pPr>
    </w:p>
    <w:p w14:paraId="4440FAEA">
      <w:pPr>
        <w:pStyle w:val="2"/>
        <w:numPr>
          <w:ilvl w:val="0"/>
          <w:numId w:val="0"/>
        </w:numPr>
        <w:ind w:left="420" w:hanging="420"/>
        <w:rPr>
          <w:rFonts w:hint="eastAsia" w:ascii="宋体" w:hAnsi="宋体"/>
          <w:highlight w:val="none"/>
        </w:rPr>
      </w:pPr>
      <w:bookmarkStart w:id="58" w:name="_Toc38878769"/>
      <w:r>
        <w:rPr>
          <w:rFonts w:ascii="宋体" w:hAnsi="宋体"/>
          <w:highlight w:val="none"/>
        </w:rPr>
        <w:br w:type="page"/>
      </w:r>
      <w:r>
        <w:rPr>
          <w:rFonts w:hint="eastAsia" w:ascii="宋体" w:hAnsi="宋体"/>
          <w:highlight w:val="none"/>
        </w:rPr>
        <w:t>第四章  采购合同格式</w:t>
      </w:r>
      <w:bookmarkEnd w:id="54"/>
      <w:bookmarkEnd w:id="58"/>
    </w:p>
    <w:p w14:paraId="0BE6BCB3">
      <w:pPr>
        <w:jc w:val="center"/>
        <w:rPr>
          <w:rFonts w:hint="eastAsia"/>
          <w:sz w:val="28"/>
          <w:szCs w:val="28"/>
          <w:highlight w:val="none"/>
        </w:rPr>
      </w:pPr>
    </w:p>
    <w:p w14:paraId="2DE1E2C4">
      <w:pPr>
        <w:ind w:firstLine="2800" w:firstLineChars="1000"/>
        <w:rPr>
          <w:rFonts w:hint="eastAsia"/>
          <w:sz w:val="28"/>
          <w:highlight w:val="none"/>
        </w:rPr>
      </w:pPr>
      <w:bookmarkStart w:id="59" w:name="_Toc420948021"/>
      <w:r>
        <w:rPr>
          <w:sz w:val="28"/>
          <w:highlight w:val="none"/>
        </w:rPr>
        <w:t>（具体以实际签订合同为主）</w:t>
      </w:r>
    </w:p>
    <w:p w14:paraId="4DC53479">
      <w:pPr>
        <w:snapToGrid w:val="0"/>
        <w:spacing w:line="500" w:lineRule="atLeast"/>
        <w:jc w:val="center"/>
        <w:rPr>
          <w:rStyle w:val="356"/>
          <w:rFonts w:hAnsi="Calibri"/>
          <w:b/>
          <w:kern w:val="0"/>
          <w:sz w:val="44"/>
          <w:szCs w:val="44"/>
          <w:highlight w:val="none"/>
        </w:rPr>
      </w:pPr>
      <w:r>
        <w:rPr>
          <w:rStyle w:val="356"/>
          <w:rFonts w:hint="eastAsia"/>
          <w:b/>
          <w:kern w:val="0"/>
          <w:sz w:val="44"/>
          <w:szCs w:val="44"/>
          <w:highlight w:val="none"/>
        </w:rPr>
        <w:t>设备购销合同</w:t>
      </w:r>
    </w:p>
    <w:p w14:paraId="217AD36F">
      <w:pPr>
        <w:spacing w:line="360" w:lineRule="exact"/>
        <w:jc w:val="left"/>
        <w:rPr>
          <w:rStyle w:val="356"/>
          <w:szCs w:val="21"/>
          <w:highlight w:val="none"/>
        </w:rPr>
      </w:pPr>
      <w:r>
        <w:rPr>
          <w:rStyle w:val="356"/>
          <w:rFonts w:hint="eastAsia"/>
          <w:szCs w:val="21"/>
          <w:highlight w:val="none"/>
        </w:rPr>
        <w:t>合同编号：</w:t>
      </w:r>
    </w:p>
    <w:p w14:paraId="000E1C20">
      <w:pPr>
        <w:spacing w:line="360" w:lineRule="exact"/>
        <w:jc w:val="left"/>
        <w:rPr>
          <w:rStyle w:val="356"/>
          <w:szCs w:val="21"/>
          <w:highlight w:val="none"/>
        </w:rPr>
      </w:pPr>
      <w:r>
        <w:rPr>
          <w:rStyle w:val="356"/>
          <w:rFonts w:hint="eastAsia"/>
          <w:szCs w:val="21"/>
          <w:highlight w:val="none"/>
        </w:rPr>
        <w:t xml:space="preserve"> </w:t>
      </w:r>
    </w:p>
    <w:p w14:paraId="3859A016">
      <w:pPr>
        <w:spacing w:line="360" w:lineRule="exact"/>
        <w:ind w:firstLine="482" w:firstLineChars="200"/>
        <w:jc w:val="left"/>
        <w:rPr>
          <w:rStyle w:val="356"/>
          <w:rFonts w:hAnsi="Calibri"/>
          <w:b/>
          <w:szCs w:val="21"/>
          <w:highlight w:val="none"/>
        </w:rPr>
      </w:pPr>
      <w:r>
        <w:rPr>
          <w:rStyle w:val="356"/>
          <w:rFonts w:hint="eastAsia"/>
          <w:b/>
          <w:szCs w:val="21"/>
          <w:highlight w:val="none"/>
        </w:rPr>
        <w:t xml:space="preserve">采购人（甲方）： </w:t>
      </w:r>
    </w:p>
    <w:p w14:paraId="615F4921">
      <w:pPr>
        <w:spacing w:line="360" w:lineRule="exact"/>
        <w:ind w:firstLine="482" w:firstLineChars="200"/>
        <w:jc w:val="left"/>
        <w:rPr>
          <w:rStyle w:val="356"/>
          <w:rFonts w:hAnsi="Calibri"/>
          <w:b/>
          <w:szCs w:val="21"/>
          <w:highlight w:val="none"/>
        </w:rPr>
      </w:pPr>
      <w:r>
        <w:rPr>
          <w:rStyle w:val="356"/>
          <w:rFonts w:hint="eastAsia"/>
          <w:b/>
          <w:szCs w:val="21"/>
          <w:highlight w:val="none"/>
        </w:rPr>
        <w:t>供应商（乙方）：</w:t>
      </w:r>
    </w:p>
    <w:p w14:paraId="1F855600">
      <w:pPr>
        <w:snapToGrid w:val="0"/>
        <w:spacing w:line="360" w:lineRule="exact"/>
        <w:ind w:firstLine="480" w:firstLineChars="200"/>
        <w:jc w:val="left"/>
        <w:rPr>
          <w:rStyle w:val="356"/>
          <w:szCs w:val="21"/>
          <w:highlight w:val="none"/>
        </w:rPr>
      </w:pPr>
      <w:r>
        <w:rPr>
          <w:rStyle w:val="356"/>
          <w:rFonts w:hint="eastAsia"/>
          <w:szCs w:val="21"/>
          <w:highlight w:val="none"/>
        </w:rPr>
        <w:t xml:space="preserve"> </w:t>
      </w:r>
    </w:p>
    <w:p w14:paraId="5940FDC3">
      <w:pPr>
        <w:snapToGrid w:val="0"/>
        <w:spacing w:line="360" w:lineRule="exact"/>
        <w:ind w:firstLine="480" w:firstLineChars="200"/>
        <w:jc w:val="left"/>
        <w:rPr>
          <w:rStyle w:val="356"/>
          <w:szCs w:val="21"/>
          <w:highlight w:val="none"/>
        </w:rPr>
      </w:pPr>
      <w:r>
        <w:rPr>
          <w:rStyle w:val="356"/>
          <w:rFonts w:hint="eastAsia"/>
          <w:szCs w:val="21"/>
          <w:highlight w:val="none"/>
        </w:rPr>
        <w:t>根据《中华人民共和国政府采购法》《中华人民共和国民法典》</w:t>
      </w:r>
      <w:r>
        <w:rPr>
          <w:rFonts w:hint="eastAsia" w:cs="宋体"/>
          <w:sz w:val="22"/>
          <w:szCs w:val="22"/>
          <w:highlight w:val="none"/>
        </w:rPr>
        <w:t>及有关法律规定</w:t>
      </w:r>
      <w:r>
        <w:rPr>
          <w:rStyle w:val="356"/>
          <w:rFonts w:hint="eastAsia"/>
          <w:szCs w:val="21"/>
          <w:highlight w:val="none"/>
        </w:rPr>
        <w:t>，委托______</w:t>
      </w:r>
      <w:r>
        <w:rPr>
          <w:rStyle w:val="356"/>
          <w:rFonts w:hint="eastAsia"/>
          <w:szCs w:val="21"/>
          <w:highlight w:val="none"/>
          <w:u w:val="single" w:color="000000"/>
        </w:rPr>
        <w:t xml:space="preserve">              </w:t>
      </w:r>
      <w:r>
        <w:rPr>
          <w:rStyle w:val="356"/>
          <w:rFonts w:hint="eastAsia"/>
          <w:szCs w:val="21"/>
          <w:highlight w:val="none"/>
        </w:rPr>
        <w:t>进行招标</w:t>
      </w:r>
      <w:r>
        <w:rPr>
          <w:rStyle w:val="356"/>
          <w:rFonts w:hint="eastAsia"/>
          <w:szCs w:val="21"/>
          <w:highlight w:val="none"/>
          <w:u w:val="single" w:color="000000"/>
        </w:rPr>
        <w:t xml:space="preserve">           </w:t>
      </w:r>
      <w:r>
        <w:rPr>
          <w:rStyle w:val="356"/>
          <w:rFonts w:hint="eastAsia"/>
          <w:szCs w:val="21"/>
          <w:highlight w:val="none"/>
        </w:rPr>
        <w:t>采购项目，[项目编号：</w:t>
      </w:r>
      <w:r>
        <w:rPr>
          <w:rStyle w:val="356"/>
          <w:rFonts w:hint="eastAsia"/>
          <w:szCs w:val="21"/>
          <w:highlight w:val="none"/>
          <w:u w:val="single" w:color="000000"/>
        </w:rPr>
        <w:t xml:space="preserve">            </w:t>
      </w:r>
      <w:r>
        <w:rPr>
          <w:rStyle w:val="356"/>
          <w:rFonts w:hint="eastAsia"/>
          <w:szCs w:val="21"/>
          <w:highlight w:val="none"/>
        </w:rPr>
        <w:t>]，乙方取得该项目的中标资格，双方在平等互利、协商一致的基础上，坚持公平、公开、公正、诚实信用的原则订立本合同。详细技术说明及其他有关合同项目的特定信息由合同附件予以说明，合同附件及本项目的招标文件、投标文件、《中标通知书》等均为本合同不可分割的部分。</w:t>
      </w:r>
    </w:p>
    <w:p w14:paraId="2D5411C9">
      <w:pPr>
        <w:spacing w:line="360" w:lineRule="exact"/>
        <w:ind w:firstLine="482" w:firstLineChars="200"/>
        <w:jc w:val="left"/>
        <w:rPr>
          <w:rStyle w:val="356"/>
          <w:rFonts w:hAnsi="Calibri"/>
          <w:b/>
          <w:szCs w:val="21"/>
          <w:highlight w:val="none"/>
        </w:rPr>
      </w:pPr>
      <w:r>
        <w:rPr>
          <w:rStyle w:val="356"/>
          <w:rFonts w:hint="eastAsia"/>
          <w:b/>
          <w:szCs w:val="21"/>
          <w:highlight w:val="none"/>
        </w:rPr>
        <w:t xml:space="preserve">一、货币种类：人民币（元）        </w:t>
      </w:r>
    </w:p>
    <w:tbl>
      <w:tblPr>
        <w:tblStyle w:val="44"/>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1"/>
        <w:gridCol w:w="1191"/>
        <w:gridCol w:w="1191"/>
        <w:gridCol w:w="942"/>
        <w:gridCol w:w="1191"/>
        <w:gridCol w:w="1191"/>
        <w:gridCol w:w="1368"/>
        <w:gridCol w:w="693"/>
        <w:gridCol w:w="693"/>
      </w:tblGrid>
      <w:tr w14:paraId="3506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D3B0DBC">
            <w:pPr>
              <w:spacing w:line="280" w:lineRule="exact"/>
              <w:ind w:left="-238" w:leftChars="-99"/>
              <w:jc w:val="center"/>
              <w:textAlignment w:val="baseline"/>
              <w:rPr>
                <w:rStyle w:val="356"/>
                <w:rFonts w:hAnsi="Calibri"/>
                <w:szCs w:val="21"/>
                <w:highlight w:val="none"/>
              </w:rPr>
            </w:pPr>
            <w:r>
              <w:rPr>
                <w:rStyle w:val="356"/>
                <w:rFonts w:hint="eastAsia"/>
                <w:szCs w:val="21"/>
                <w:highlight w:val="none"/>
              </w:rPr>
              <w:t xml:space="preserve"> 序号</w:t>
            </w:r>
          </w:p>
        </w:tc>
        <w:tc>
          <w:tcPr>
            <w:tcW w:w="0" w:type="auto"/>
            <w:tcBorders>
              <w:top w:val="single" w:color="000000" w:sz="4" w:space="0"/>
              <w:left w:val="nil"/>
              <w:bottom w:val="single" w:color="000000" w:sz="4" w:space="0"/>
              <w:right w:val="single" w:color="000000" w:sz="4" w:space="0"/>
            </w:tcBorders>
            <w:vAlign w:val="center"/>
          </w:tcPr>
          <w:p w14:paraId="2D8AA43D">
            <w:pPr>
              <w:spacing w:line="280" w:lineRule="exact"/>
              <w:jc w:val="center"/>
              <w:textAlignment w:val="baseline"/>
              <w:rPr>
                <w:rStyle w:val="356"/>
                <w:rFonts w:hAnsi="Calibri"/>
                <w:szCs w:val="21"/>
                <w:highlight w:val="none"/>
              </w:rPr>
            </w:pPr>
            <w:r>
              <w:rPr>
                <w:rStyle w:val="356"/>
                <w:rFonts w:hint="eastAsia"/>
                <w:szCs w:val="21"/>
                <w:highlight w:val="none"/>
              </w:rPr>
              <w:t>产品名称</w:t>
            </w:r>
          </w:p>
        </w:tc>
        <w:tc>
          <w:tcPr>
            <w:tcW w:w="0" w:type="auto"/>
            <w:tcBorders>
              <w:top w:val="single" w:color="000000" w:sz="4" w:space="0"/>
              <w:left w:val="nil"/>
              <w:bottom w:val="single" w:color="000000" w:sz="4" w:space="0"/>
              <w:right w:val="single" w:color="000000" w:sz="4" w:space="0"/>
            </w:tcBorders>
            <w:vAlign w:val="center"/>
          </w:tcPr>
          <w:p w14:paraId="3ACB81D1">
            <w:pPr>
              <w:spacing w:line="280" w:lineRule="exact"/>
              <w:jc w:val="center"/>
              <w:textAlignment w:val="baseline"/>
              <w:rPr>
                <w:rStyle w:val="356"/>
                <w:rFonts w:hAnsi="Calibri"/>
                <w:szCs w:val="21"/>
                <w:highlight w:val="none"/>
              </w:rPr>
            </w:pPr>
            <w:r>
              <w:rPr>
                <w:rStyle w:val="356"/>
                <w:rFonts w:hint="eastAsia"/>
                <w:szCs w:val="21"/>
                <w:highlight w:val="none"/>
              </w:rPr>
              <w:t>规格型号</w:t>
            </w:r>
          </w:p>
        </w:tc>
        <w:tc>
          <w:tcPr>
            <w:tcW w:w="0" w:type="auto"/>
            <w:tcBorders>
              <w:top w:val="single" w:color="000000" w:sz="4" w:space="0"/>
              <w:left w:val="nil"/>
              <w:bottom w:val="single" w:color="000000" w:sz="4" w:space="0"/>
              <w:right w:val="single" w:color="000000" w:sz="4" w:space="0"/>
            </w:tcBorders>
            <w:vAlign w:val="center"/>
          </w:tcPr>
          <w:p w14:paraId="2C3FF79C">
            <w:pPr>
              <w:spacing w:line="280" w:lineRule="exact"/>
              <w:jc w:val="center"/>
              <w:textAlignment w:val="baseline"/>
              <w:rPr>
                <w:rStyle w:val="356"/>
                <w:rFonts w:hAnsi="Calibri"/>
                <w:szCs w:val="21"/>
                <w:highlight w:val="none"/>
              </w:rPr>
            </w:pPr>
            <w:r>
              <w:rPr>
                <w:rStyle w:val="356"/>
                <w:rFonts w:hint="eastAsia"/>
                <w:szCs w:val="21"/>
                <w:highlight w:val="none"/>
              </w:rPr>
              <w:t>生产国</w:t>
            </w:r>
          </w:p>
        </w:tc>
        <w:tc>
          <w:tcPr>
            <w:tcW w:w="0" w:type="auto"/>
            <w:tcBorders>
              <w:top w:val="single" w:color="000000" w:sz="4" w:space="0"/>
              <w:left w:val="nil"/>
              <w:bottom w:val="single" w:color="000000" w:sz="4" w:space="0"/>
              <w:right w:val="single" w:color="000000" w:sz="4" w:space="0"/>
            </w:tcBorders>
            <w:vAlign w:val="center"/>
          </w:tcPr>
          <w:p w14:paraId="2D0AD67E">
            <w:pPr>
              <w:spacing w:line="280" w:lineRule="exact"/>
              <w:jc w:val="center"/>
              <w:textAlignment w:val="baseline"/>
              <w:rPr>
                <w:rStyle w:val="356"/>
                <w:rFonts w:hAnsi="Calibri"/>
                <w:szCs w:val="21"/>
                <w:highlight w:val="none"/>
              </w:rPr>
            </w:pPr>
            <w:r>
              <w:rPr>
                <w:rStyle w:val="356"/>
                <w:rFonts w:hint="eastAsia"/>
                <w:szCs w:val="21"/>
                <w:highlight w:val="none"/>
              </w:rPr>
              <w:t>生产厂商</w:t>
            </w:r>
          </w:p>
        </w:tc>
        <w:tc>
          <w:tcPr>
            <w:tcW w:w="0" w:type="auto"/>
            <w:tcBorders>
              <w:top w:val="single" w:color="000000" w:sz="4" w:space="0"/>
              <w:left w:val="nil"/>
              <w:bottom w:val="single" w:color="000000" w:sz="4" w:space="0"/>
              <w:right w:val="single" w:color="000000" w:sz="4" w:space="0"/>
            </w:tcBorders>
            <w:vAlign w:val="center"/>
          </w:tcPr>
          <w:p w14:paraId="13D369CE">
            <w:pPr>
              <w:spacing w:line="280" w:lineRule="exact"/>
              <w:textAlignment w:val="baseline"/>
              <w:rPr>
                <w:rStyle w:val="356"/>
                <w:rFonts w:hAnsi="Calibri"/>
                <w:szCs w:val="21"/>
                <w:highlight w:val="none"/>
              </w:rPr>
            </w:pPr>
            <w:r>
              <w:rPr>
                <w:rStyle w:val="356"/>
                <w:rFonts w:hint="eastAsia"/>
                <w:szCs w:val="21"/>
                <w:highlight w:val="none"/>
              </w:rPr>
              <w:t>注册证号</w:t>
            </w:r>
          </w:p>
        </w:tc>
        <w:tc>
          <w:tcPr>
            <w:tcW w:w="0" w:type="auto"/>
            <w:tcBorders>
              <w:top w:val="single" w:color="000000" w:sz="4" w:space="0"/>
              <w:left w:val="nil"/>
              <w:bottom w:val="single" w:color="000000" w:sz="4" w:space="0"/>
              <w:right w:val="single" w:color="000000" w:sz="4" w:space="0"/>
            </w:tcBorders>
            <w:vAlign w:val="center"/>
          </w:tcPr>
          <w:p w14:paraId="308EC8FF">
            <w:pPr>
              <w:spacing w:line="280" w:lineRule="exact"/>
              <w:jc w:val="center"/>
              <w:rPr>
                <w:rStyle w:val="356"/>
                <w:rFonts w:hAnsi="Calibri"/>
                <w:szCs w:val="21"/>
                <w:highlight w:val="none"/>
              </w:rPr>
            </w:pPr>
            <w:r>
              <w:rPr>
                <w:rStyle w:val="356"/>
                <w:rFonts w:hint="eastAsia"/>
                <w:szCs w:val="21"/>
                <w:highlight w:val="none"/>
              </w:rPr>
              <w:t>数量</w:t>
            </w:r>
          </w:p>
          <w:p w14:paraId="70C1AB36">
            <w:pPr>
              <w:spacing w:line="280" w:lineRule="exact"/>
              <w:jc w:val="center"/>
              <w:textAlignment w:val="baseline"/>
              <w:rPr>
                <w:rStyle w:val="356"/>
                <w:rFonts w:hAnsi="Calibri"/>
                <w:szCs w:val="21"/>
                <w:highlight w:val="none"/>
              </w:rPr>
            </w:pPr>
            <w:r>
              <w:rPr>
                <w:rStyle w:val="356"/>
                <w:rFonts w:hint="eastAsia"/>
                <w:szCs w:val="21"/>
                <w:highlight w:val="none"/>
              </w:rPr>
              <w:t>（单位）</w:t>
            </w:r>
          </w:p>
        </w:tc>
        <w:tc>
          <w:tcPr>
            <w:tcW w:w="0" w:type="auto"/>
            <w:tcBorders>
              <w:top w:val="single" w:color="000000" w:sz="4" w:space="0"/>
              <w:left w:val="nil"/>
              <w:bottom w:val="single" w:color="000000" w:sz="4" w:space="0"/>
              <w:right w:val="single" w:color="000000" w:sz="4" w:space="0"/>
            </w:tcBorders>
            <w:vAlign w:val="center"/>
          </w:tcPr>
          <w:p w14:paraId="50D228E2">
            <w:pPr>
              <w:spacing w:line="280" w:lineRule="exact"/>
              <w:jc w:val="center"/>
              <w:textAlignment w:val="baseline"/>
              <w:rPr>
                <w:rStyle w:val="356"/>
                <w:rFonts w:hAnsi="Calibri"/>
                <w:szCs w:val="21"/>
                <w:highlight w:val="none"/>
              </w:rPr>
            </w:pPr>
            <w:r>
              <w:rPr>
                <w:rStyle w:val="356"/>
                <w:rFonts w:hint="eastAsia"/>
                <w:szCs w:val="21"/>
                <w:highlight w:val="none"/>
              </w:rPr>
              <w:t>单价</w:t>
            </w:r>
          </w:p>
        </w:tc>
        <w:tc>
          <w:tcPr>
            <w:tcW w:w="0" w:type="auto"/>
            <w:tcBorders>
              <w:top w:val="single" w:color="000000" w:sz="4" w:space="0"/>
              <w:left w:val="nil"/>
              <w:bottom w:val="single" w:color="000000" w:sz="4" w:space="0"/>
              <w:right w:val="single" w:color="000000" w:sz="4" w:space="0"/>
            </w:tcBorders>
            <w:vAlign w:val="center"/>
          </w:tcPr>
          <w:p w14:paraId="29774018">
            <w:pPr>
              <w:spacing w:line="280" w:lineRule="exact"/>
              <w:jc w:val="center"/>
              <w:rPr>
                <w:rStyle w:val="356"/>
                <w:rFonts w:hAnsi="Calibri"/>
                <w:szCs w:val="21"/>
                <w:highlight w:val="none"/>
              </w:rPr>
            </w:pPr>
            <w:r>
              <w:rPr>
                <w:rStyle w:val="356"/>
                <w:rFonts w:hint="eastAsia"/>
                <w:szCs w:val="21"/>
                <w:highlight w:val="none"/>
              </w:rPr>
              <w:t>单项</w:t>
            </w:r>
          </w:p>
          <w:p w14:paraId="5EE291F6">
            <w:pPr>
              <w:spacing w:line="280" w:lineRule="exact"/>
              <w:jc w:val="center"/>
              <w:textAlignment w:val="baseline"/>
              <w:rPr>
                <w:rStyle w:val="356"/>
                <w:rFonts w:hAnsi="Calibri"/>
                <w:szCs w:val="21"/>
                <w:highlight w:val="none"/>
              </w:rPr>
            </w:pPr>
            <w:r>
              <w:rPr>
                <w:rStyle w:val="356"/>
                <w:rFonts w:hint="eastAsia"/>
                <w:szCs w:val="21"/>
                <w:highlight w:val="none"/>
              </w:rPr>
              <w:t>合计</w:t>
            </w:r>
          </w:p>
        </w:tc>
      </w:tr>
      <w:tr w14:paraId="3346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5B163B6">
            <w:pPr>
              <w:spacing w:line="280" w:lineRule="exact"/>
              <w:jc w:val="center"/>
              <w:textAlignment w:val="baseline"/>
              <w:rPr>
                <w:rStyle w:val="356"/>
                <w:rFonts w:hAnsi="Calibri"/>
                <w:szCs w:val="21"/>
                <w:highlight w:val="none"/>
              </w:rPr>
            </w:pPr>
            <w:r>
              <w:rPr>
                <w:rStyle w:val="356"/>
                <w:rFonts w:hint="eastAsia" w:hAnsi="Calibri"/>
                <w:szCs w:val="21"/>
                <w:highlight w:val="none"/>
              </w:rPr>
              <w:t>1</w:t>
            </w:r>
          </w:p>
        </w:tc>
        <w:tc>
          <w:tcPr>
            <w:tcW w:w="0" w:type="auto"/>
            <w:tcBorders>
              <w:top w:val="single" w:color="000000" w:sz="4" w:space="0"/>
              <w:left w:val="nil"/>
              <w:bottom w:val="single" w:color="000000" w:sz="4" w:space="0"/>
              <w:right w:val="single" w:color="000000" w:sz="4" w:space="0"/>
            </w:tcBorders>
            <w:vAlign w:val="center"/>
          </w:tcPr>
          <w:p w14:paraId="114B2831">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0B51A8EF">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56CA9717">
            <w:pP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35132506">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3A801E96">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60223E4D">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1CBCF9B3">
            <w:pPr>
              <w:jc w:val="center"/>
              <w:textAlignment w:val="baseline"/>
              <w:rPr>
                <w:rStyle w:val="356"/>
                <w:rFonts w:ascii="Calibri" w:hAnsi="Calibri"/>
                <w:szCs w:val="21"/>
                <w:highlight w:val="none"/>
              </w:rPr>
            </w:pPr>
          </w:p>
        </w:tc>
        <w:tc>
          <w:tcPr>
            <w:tcW w:w="0" w:type="auto"/>
            <w:tcBorders>
              <w:top w:val="single" w:color="000000" w:sz="4" w:space="0"/>
              <w:left w:val="nil"/>
              <w:bottom w:val="single" w:color="000000" w:sz="4" w:space="0"/>
              <w:right w:val="single" w:color="000000" w:sz="4" w:space="0"/>
            </w:tcBorders>
            <w:vAlign w:val="center"/>
          </w:tcPr>
          <w:p w14:paraId="18C406D2">
            <w:pPr>
              <w:jc w:val="center"/>
              <w:textAlignment w:val="baseline"/>
              <w:rPr>
                <w:rStyle w:val="356"/>
                <w:rFonts w:ascii="Calibri" w:hAnsi="Calibri"/>
                <w:szCs w:val="21"/>
                <w:highlight w:val="none"/>
              </w:rPr>
            </w:pPr>
          </w:p>
        </w:tc>
      </w:tr>
      <w:tr w14:paraId="6404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14:paraId="2E2AB7A7">
            <w:pPr>
              <w:spacing w:line="280" w:lineRule="exact"/>
              <w:rPr>
                <w:rStyle w:val="356"/>
                <w:szCs w:val="21"/>
                <w:highlight w:val="none"/>
              </w:rPr>
            </w:pPr>
            <w:r>
              <w:rPr>
                <w:rStyle w:val="356"/>
                <w:rFonts w:hint="eastAsia"/>
                <w:szCs w:val="21"/>
                <w:highlight w:val="none"/>
              </w:rPr>
              <w:t>成交总价（大写）：</w:t>
            </w:r>
          </w:p>
          <w:p w14:paraId="37D43BBD">
            <w:pPr>
              <w:spacing w:line="280" w:lineRule="exact"/>
              <w:jc w:val="left"/>
              <w:textAlignment w:val="baseline"/>
              <w:rPr>
                <w:rStyle w:val="356"/>
                <w:rFonts w:hAnsi="Calibri"/>
                <w:szCs w:val="21"/>
                <w:highlight w:val="none"/>
              </w:rPr>
            </w:pPr>
            <w:r>
              <w:rPr>
                <w:rStyle w:val="356"/>
                <w:rFonts w:hint="eastAsia"/>
                <w:szCs w:val="21"/>
                <w:highlight w:val="none"/>
              </w:rPr>
              <w:t>总计（小写）：</w:t>
            </w:r>
          </w:p>
        </w:tc>
      </w:tr>
      <w:tr w14:paraId="6291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14:paraId="1E7DFE4E">
            <w:pPr>
              <w:spacing w:line="280" w:lineRule="exact"/>
              <w:textAlignment w:val="baseline"/>
              <w:rPr>
                <w:rStyle w:val="356"/>
                <w:rFonts w:hAnsi="Calibri"/>
                <w:szCs w:val="21"/>
                <w:highlight w:val="none"/>
              </w:rPr>
            </w:pPr>
            <w:r>
              <w:rPr>
                <w:rStyle w:val="356"/>
                <w:rFonts w:hint="eastAsia"/>
                <w:szCs w:val="21"/>
                <w:highlight w:val="none"/>
              </w:rPr>
              <w:t>备注：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tc>
      </w:tr>
      <w:tr w14:paraId="4B25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14:paraId="0C5F9D61">
            <w:pPr>
              <w:spacing w:line="280" w:lineRule="exact"/>
              <w:textAlignment w:val="baseline"/>
              <w:rPr>
                <w:rStyle w:val="356"/>
                <w:rFonts w:hAnsi="Calibri"/>
                <w:szCs w:val="21"/>
                <w:highlight w:val="none"/>
              </w:rPr>
            </w:pPr>
            <w:r>
              <w:rPr>
                <w:rStyle w:val="356"/>
                <w:rFonts w:hint="eastAsia"/>
                <w:szCs w:val="21"/>
                <w:highlight w:val="none"/>
              </w:rPr>
              <w:t>设备附件及备品备件（耗材）清单：（见附页） 共   页 ，以医院科室验收签字认可的配置为准。</w:t>
            </w:r>
          </w:p>
        </w:tc>
      </w:tr>
    </w:tbl>
    <w:p w14:paraId="72155673">
      <w:pPr>
        <w:spacing w:line="360" w:lineRule="exact"/>
        <w:ind w:firstLine="480" w:firstLineChars="200"/>
        <w:jc w:val="left"/>
        <w:rPr>
          <w:rStyle w:val="356"/>
          <w:szCs w:val="21"/>
          <w:highlight w:val="none"/>
        </w:rPr>
      </w:pPr>
      <w:r>
        <w:rPr>
          <w:rStyle w:val="356"/>
          <w:rFonts w:hint="eastAsia"/>
          <w:szCs w:val="21"/>
          <w:highlight w:val="none"/>
        </w:rPr>
        <w:t xml:space="preserve">   </w:t>
      </w:r>
    </w:p>
    <w:p w14:paraId="37A265AD">
      <w:pPr>
        <w:spacing w:line="360" w:lineRule="exact"/>
        <w:ind w:firstLine="480" w:firstLineChars="200"/>
        <w:jc w:val="left"/>
        <w:rPr>
          <w:rStyle w:val="356"/>
          <w:szCs w:val="21"/>
          <w:highlight w:val="none"/>
        </w:rPr>
      </w:pPr>
      <w:r>
        <w:rPr>
          <w:rStyle w:val="356"/>
          <w:rFonts w:hint="eastAsia"/>
          <w:szCs w:val="21"/>
          <w:highlight w:val="none"/>
        </w:rPr>
        <w:t xml:space="preserve"> 注：产品名称、型号、生产国应与注册证中注册相同；属于法定商检的需进行商检；乙方保证成交价格不高于市场成交价，若高于市场成交价乙方应承担超出部分。属于计量器具的需提交计量检定证书或进口型式批准证书，乙方提供的产品应能保证计量合格，乙方应承担初次计量检测费用。若不能达到上述要求，一切相关违约责任由乙方承担。</w:t>
      </w:r>
    </w:p>
    <w:p w14:paraId="6C2366E6">
      <w:pPr>
        <w:spacing w:line="360" w:lineRule="exact"/>
        <w:ind w:firstLine="482" w:firstLineChars="200"/>
        <w:jc w:val="left"/>
        <w:rPr>
          <w:rStyle w:val="356"/>
          <w:szCs w:val="21"/>
          <w:highlight w:val="none"/>
        </w:rPr>
      </w:pPr>
      <w:r>
        <w:rPr>
          <w:rStyle w:val="356"/>
          <w:rFonts w:hint="eastAsia"/>
          <w:b/>
          <w:szCs w:val="21"/>
          <w:highlight w:val="none"/>
        </w:rPr>
        <w:t>二、 设备的交付期</w:t>
      </w:r>
      <w:r>
        <w:rPr>
          <w:rStyle w:val="356"/>
          <w:b/>
          <w:szCs w:val="21"/>
          <w:highlight w:val="none"/>
        </w:rPr>
        <w:t>：</w:t>
      </w:r>
      <w:r>
        <w:rPr>
          <w:rStyle w:val="356"/>
          <w:rFonts w:hint="eastAsia"/>
          <w:szCs w:val="21"/>
          <w:highlight w:val="none"/>
        </w:rPr>
        <w:t xml:space="preserve"> 乙方在合同生效的</w:t>
      </w:r>
      <w:r>
        <w:rPr>
          <w:rStyle w:val="356"/>
          <w:rFonts w:hint="eastAsia"/>
          <w:szCs w:val="21"/>
          <w:highlight w:val="none"/>
          <w:u w:val="single" w:color="000000"/>
        </w:rPr>
        <w:t xml:space="preserve">   </w:t>
      </w:r>
      <w:r>
        <w:rPr>
          <w:rStyle w:val="356"/>
          <w:rFonts w:hint="eastAsia"/>
          <w:szCs w:val="21"/>
          <w:highlight w:val="none"/>
        </w:rPr>
        <w:t xml:space="preserve">天内向甲方交付上述设备（部分设备受场地限制，需按甲方要求时间延期交付），逾期将按照第三条和第六条规定执行。 </w:t>
      </w:r>
    </w:p>
    <w:p w14:paraId="252F8995">
      <w:pPr>
        <w:spacing w:line="360" w:lineRule="exact"/>
        <w:ind w:firstLine="482" w:firstLineChars="200"/>
        <w:jc w:val="left"/>
        <w:rPr>
          <w:rStyle w:val="356"/>
          <w:b/>
          <w:szCs w:val="21"/>
          <w:highlight w:val="none"/>
        </w:rPr>
      </w:pPr>
      <w:r>
        <w:rPr>
          <w:rStyle w:val="356"/>
          <w:rFonts w:hint="eastAsia"/>
          <w:b/>
          <w:szCs w:val="21"/>
          <w:highlight w:val="none"/>
        </w:rPr>
        <w:t xml:space="preserve">三、 设备运输、安装和验收 </w:t>
      </w:r>
    </w:p>
    <w:p w14:paraId="2BBDCEB4">
      <w:pPr>
        <w:spacing w:line="360" w:lineRule="exact"/>
        <w:ind w:firstLine="480" w:firstLineChars="200"/>
        <w:jc w:val="left"/>
        <w:rPr>
          <w:rStyle w:val="356"/>
          <w:szCs w:val="21"/>
          <w:highlight w:val="none"/>
        </w:rPr>
      </w:pPr>
      <w:r>
        <w:rPr>
          <w:rStyle w:val="356"/>
          <w:rFonts w:hint="eastAsia"/>
          <w:szCs w:val="21"/>
          <w:highlight w:val="none"/>
        </w:rPr>
        <w:t>3.1乙方按甲方约定的时间将货物送到甲方指定地点。乙方确保设备安全无损地运抵甲方指定现场，并承担设备的运费、保险费、装卸费等费用。超期承担甲方业务损失，每晚到1天扣除0.2%设备款。</w:t>
      </w:r>
    </w:p>
    <w:p w14:paraId="2BAFA45C">
      <w:pPr>
        <w:spacing w:line="360" w:lineRule="exact"/>
        <w:ind w:firstLine="480" w:firstLineChars="200"/>
        <w:jc w:val="left"/>
        <w:rPr>
          <w:rStyle w:val="356"/>
          <w:szCs w:val="21"/>
          <w:highlight w:val="none"/>
        </w:rPr>
      </w:pPr>
      <w:r>
        <w:rPr>
          <w:rStyle w:val="356"/>
          <w:rFonts w:hint="eastAsia"/>
          <w:szCs w:val="21"/>
          <w:highlight w:val="none"/>
        </w:rPr>
        <w:t>3.2甲乙双方对设备进行开箱清点检查验收，如果发现数量不足或有质量、技术等问题，乙方应在10天内，按照甲方的要求，采取补足、更换或退货等处理措施，并承担由此发生的一切损失和费用。</w:t>
      </w:r>
    </w:p>
    <w:p w14:paraId="0C413684">
      <w:pPr>
        <w:spacing w:line="360" w:lineRule="exact"/>
        <w:ind w:firstLine="480" w:firstLineChars="200"/>
        <w:jc w:val="left"/>
        <w:rPr>
          <w:rStyle w:val="356"/>
          <w:szCs w:val="21"/>
          <w:highlight w:val="none"/>
        </w:rPr>
      </w:pPr>
      <w:r>
        <w:rPr>
          <w:rStyle w:val="356"/>
          <w:rFonts w:hint="eastAsia"/>
          <w:szCs w:val="21"/>
          <w:highlight w:val="none"/>
        </w:rPr>
        <w:t>3.3设备到货后，甲、乙双方在符合国家相关技术标准的基础上，根据招标的技术文件及合同约定的内容进行设备验收，验收合格后，双方在验收合格单上签字确认。如果提供产品不能满足招标技术要求以及招标文件未提及的法律或行业规范，甲方无条件退货</w:t>
      </w:r>
      <w:r>
        <w:rPr>
          <w:rStyle w:val="356"/>
          <w:rFonts w:hint="eastAsia"/>
          <w:szCs w:val="21"/>
          <w:highlight w:val="none"/>
        </w:rPr>
        <w:t>，并追究乙方责任。</w:t>
      </w:r>
    </w:p>
    <w:p w14:paraId="3CD5184E">
      <w:pPr>
        <w:spacing w:line="360" w:lineRule="exact"/>
        <w:ind w:firstLine="480" w:firstLineChars="200"/>
        <w:jc w:val="left"/>
        <w:rPr>
          <w:rStyle w:val="356"/>
          <w:szCs w:val="21"/>
          <w:highlight w:val="none"/>
        </w:rPr>
      </w:pPr>
      <w:r>
        <w:rPr>
          <w:rStyle w:val="356"/>
          <w:rFonts w:hint="eastAsia"/>
          <w:szCs w:val="21"/>
          <w:highlight w:val="none"/>
        </w:rPr>
        <w:t>3.4乙方应在接到甲方通知后安装调试设备，安装完成组织人员培训。正常使用1周以上，得到使用科室的认可签字后办理入库手续。</w:t>
      </w:r>
    </w:p>
    <w:p w14:paraId="56124492">
      <w:pPr>
        <w:spacing w:line="360" w:lineRule="exact"/>
        <w:ind w:firstLine="482" w:firstLineChars="200"/>
        <w:jc w:val="left"/>
        <w:rPr>
          <w:rStyle w:val="356"/>
          <w:b/>
          <w:szCs w:val="21"/>
          <w:highlight w:val="none"/>
        </w:rPr>
      </w:pPr>
      <w:r>
        <w:rPr>
          <w:rStyle w:val="356"/>
          <w:rFonts w:hint="eastAsia"/>
          <w:b/>
          <w:szCs w:val="21"/>
          <w:highlight w:val="none"/>
        </w:rPr>
        <w:t xml:space="preserve">4、付款方式 </w:t>
      </w:r>
    </w:p>
    <w:p w14:paraId="15DD85E2">
      <w:pPr>
        <w:spacing w:line="360" w:lineRule="exact"/>
        <w:ind w:firstLine="480" w:firstLineChars="200"/>
        <w:jc w:val="left"/>
        <w:rPr>
          <w:rStyle w:val="356"/>
          <w:szCs w:val="21"/>
          <w:highlight w:val="none"/>
        </w:rPr>
      </w:pPr>
      <w:r>
        <w:rPr>
          <w:rFonts w:hint="eastAsia"/>
          <w:szCs w:val="21"/>
          <w:highlight w:val="none"/>
        </w:rPr>
        <w:t>合同签订付30%，项目组人员进场付30%，验收后支付40%，验收合格后，乙方向甲方支付10%履约保证金，质保期满后，甲方向乙方不计利息返还履约保证金。</w:t>
      </w:r>
    </w:p>
    <w:p w14:paraId="6E65F7B4">
      <w:pPr>
        <w:spacing w:line="360" w:lineRule="exact"/>
        <w:ind w:firstLine="482" w:firstLineChars="200"/>
        <w:jc w:val="left"/>
        <w:rPr>
          <w:rStyle w:val="356"/>
          <w:b/>
          <w:szCs w:val="21"/>
          <w:highlight w:val="none"/>
        </w:rPr>
      </w:pPr>
      <w:r>
        <w:rPr>
          <w:rStyle w:val="356"/>
          <w:rFonts w:hint="eastAsia"/>
          <w:b/>
          <w:szCs w:val="21"/>
          <w:highlight w:val="none"/>
        </w:rPr>
        <w:t>5、质量保证及售后服务</w:t>
      </w:r>
    </w:p>
    <w:p w14:paraId="58DCB4F7">
      <w:pPr>
        <w:spacing w:line="360" w:lineRule="exact"/>
        <w:ind w:firstLine="480" w:firstLineChars="200"/>
        <w:jc w:val="left"/>
        <w:rPr>
          <w:rStyle w:val="356"/>
          <w:szCs w:val="21"/>
          <w:highlight w:val="none"/>
        </w:rPr>
      </w:pPr>
      <w:r>
        <w:rPr>
          <w:rStyle w:val="356"/>
          <w:rFonts w:hint="eastAsia"/>
          <w:szCs w:val="21"/>
          <w:highlight w:val="none"/>
        </w:rPr>
        <w:t>5.1乙方应提供免费保修期为</w:t>
      </w:r>
      <w:r>
        <w:rPr>
          <w:rStyle w:val="356"/>
          <w:rFonts w:hint="eastAsia"/>
          <w:szCs w:val="21"/>
          <w:highlight w:val="none"/>
          <w:u w:val="single"/>
        </w:rPr>
        <w:t xml:space="preserve">  </w:t>
      </w:r>
      <w:r>
        <w:rPr>
          <w:rStyle w:val="356"/>
          <w:rFonts w:hint="eastAsia"/>
          <w:szCs w:val="21"/>
          <w:highlight w:val="none"/>
        </w:rPr>
        <w:t>个月，保修期的期限应以甲乙双方的验收合格之日起计算，保修期内免费更换零配件及工时费，若因机器本身的质量而不能正常使用，乙方应免费更换货物。开机率≥98%，乙方需要在当地设有售后服务机构，并配备受过专业培训的售后服务人员。</w:t>
      </w:r>
    </w:p>
    <w:p w14:paraId="26175C3F">
      <w:pPr>
        <w:spacing w:line="360" w:lineRule="exact"/>
        <w:ind w:firstLine="480" w:firstLineChars="200"/>
        <w:jc w:val="left"/>
        <w:rPr>
          <w:rStyle w:val="356"/>
          <w:szCs w:val="21"/>
          <w:highlight w:val="none"/>
        </w:rPr>
      </w:pPr>
      <w:r>
        <w:rPr>
          <w:rStyle w:val="356"/>
          <w:rFonts w:hint="eastAsia"/>
          <w:szCs w:val="21"/>
          <w:highlight w:val="none"/>
        </w:rPr>
        <w:t>5.2报修响应时间</w:t>
      </w:r>
      <w:r>
        <w:rPr>
          <w:rStyle w:val="356"/>
          <w:rFonts w:hint="eastAsia"/>
          <w:szCs w:val="21"/>
          <w:highlight w:val="none"/>
          <w:u w:val="single"/>
        </w:rPr>
        <w:t xml:space="preserve">   </w:t>
      </w:r>
      <w:r>
        <w:rPr>
          <w:rStyle w:val="356"/>
          <w:rFonts w:hint="eastAsia"/>
          <w:szCs w:val="21"/>
          <w:highlight w:val="none"/>
        </w:rPr>
        <w:t>小时，到场时间</w:t>
      </w:r>
      <w:r>
        <w:rPr>
          <w:rStyle w:val="356"/>
          <w:rFonts w:hint="eastAsia"/>
          <w:szCs w:val="21"/>
          <w:highlight w:val="none"/>
          <w:u w:val="single"/>
        </w:rPr>
        <w:t xml:space="preserve">   </w:t>
      </w:r>
      <w:r>
        <w:rPr>
          <w:rStyle w:val="356"/>
          <w:rFonts w:hint="eastAsia"/>
          <w:szCs w:val="21"/>
          <w:highlight w:val="none"/>
        </w:rPr>
        <w:t>小时（不可抗拒力量下除外）。若乙方未在约定时间内响应或到场，甲方有权聘请第三方展开维修，产生的费用由乙方承担。</w:t>
      </w:r>
    </w:p>
    <w:p w14:paraId="693AA1AB">
      <w:pPr>
        <w:spacing w:line="360" w:lineRule="exact"/>
        <w:ind w:firstLine="480" w:firstLineChars="200"/>
        <w:jc w:val="left"/>
        <w:rPr>
          <w:rStyle w:val="356"/>
          <w:szCs w:val="21"/>
          <w:highlight w:val="none"/>
        </w:rPr>
      </w:pPr>
      <w:r>
        <w:rPr>
          <w:rStyle w:val="356"/>
          <w:rFonts w:hint="eastAsia"/>
          <w:szCs w:val="21"/>
          <w:highlight w:val="none"/>
        </w:rPr>
        <w:t>5.3乙方负责设备的终身维修并应提供优质的服务，储备足够的零配件备库，免费保修期经过后只收取零配件费用。</w:t>
      </w:r>
    </w:p>
    <w:p w14:paraId="09591396">
      <w:pPr>
        <w:spacing w:line="360" w:lineRule="exact"/>
        <w:ind w:firstLine="482" w:firstLineChars="200"/>
        <w:jc w:val="left"/>
        <w:rPr>
          <w:rStyle w:val="356"/>
          <w:b/>
          <w:szCs w:val="21"/>
          <w:highlight w:val="none"/>
        </w:rPr>
      </w:pPr>
      <w:r>
        <w:rPr>
          <w:rStyle w:val="356"/>
          <w:rFonts w:hint="eastAsia"/>
          <w:b/>
          <w:szCs w:val="21"/>
          <w:highlight w:val="none"/>
        </w:rPr>
        <w:t xml:space="preserve">6、索赔条款 </w:t>
      </w:r>
    </w:p>
    <w:p w14:paraId="39511BA3">
      <w:pPr>
        <w:spacing w:line="360" w:lineRule="exact"/>
        <w:ind w:firstLine="480" w:firstLineChars="200"/>
        <w:jc w:val="left"/>
        <w:rPr>
          <w:rStyle w:val="356"/>
          <w:szCs w:val="21"/>
          <w:highlight w:val="none"/>
        </w:rPr>
      </w:pPr>
      <w:r>
        <w:rPr>
          <w:rStyle w:val="356"/>
          <w:rFonts w:hint="eastAsia"/>
          <w:szCs w:val="21"/>
          <w:highlight w:val="none"/>
        </w:rPr>
        <w:t>6.1 乙方应在规定时间内向甲方提供以上产品并符合招标技术文件。如需换货，换货必须全新并符合本合同规定的规格，质量和性能，卖方并负责因此而产生的一切费用和买方的一切直接损失。</w:t>
      </w:r>
    </w:p>
    <w:p w14:paraId="779E1441">
      <w:pPr>
        <w:spacing w:line="360" w:lineRule="exact"/>
        <w:ind w:firstLine="480" w:firstLineChars="200"/>
        <w:jc w:val="left"/>
        <w:rPr>
          <w:rStyle w:val="356"/>
          <w:szCs w:val="21"/>
          <w:highlight w:val="none"/>
        </w:rPr>
      </w:pPr>
      <w:r>
        <w:rPr>
          <w:rStyle w:val="356"/>
          <w:rFonts w:hint="eastAsia"/>
          <w:szCs w:val="21"/>
          <w:highlight w:val="none"/>
        </w:rPr>
        <w:t>6.2乙方应保证甲方和使用单位在使用该设备或其任何一部分时免受第三方提出侵犯其专利权、商标权或工业产权的起诉。</w:t>
      </w:r>
    </w:p>
    <w:p w14:paraId="067BEBDE">
      <w:pPr>
        <w:spacing w:line="360" w:lineRule="exact"/>
        <w:ind w:firstLine="482" w:firstLineChars="200"/>
        <w:jc w:val="left"/>
        <w:rPr>
          <w:rStyle w:val="356"/>
          <w:b/>
          <w:szCs w:val="21"/>
          <w:highlight w:val="none"/>
        </w:rPr>
      </w:pPr>
      <w:r>
        <w:rPr>
          <w:rStyle w:val="356"/>
          <w:rFonts w:hint="eastAsia"/>
          <w:b/>
          <w:szCs w:val="21"/>
          <w:highlight w:val="none"/>
        </w:rPr>
        <w:t>7、培训</w:t>
      </w:r>
    </w:p>
    <w:p w14:paraId="5B1446A3">
      <w:pPr>
        <w:spacing w:line="360" w:lineRule="exact"/>
        <w:ind w:firstLine="480" w:firstLineChars="200"/>
        <w:jc w:val="left"/>
        <w:rPr>
          <w:rStyle w:val="356"/>
          <w:szCs w:val="21"/>
          <w:highlight w:val="none"/>
        </w:rPr>
      </w:pPr>
      <w:r>
        <w:rPr>
          <w:rStyle w:val="356"/>
          <w:rFonts w:hint="eastAsia"/>
          <w:szCs w:val="21"/>
          <w:highlight w:val="none"/>
        </w:rPr>
        <w:t>7.1乙方负责对甲方使用人员现场培训，学会为止；</w:t>
      </w:r>
    </w:p>
    <w:p w14:paraId="33E6D4C0">
      <w:pPr>
        <w:spacing w:line="360" w:lineRule="exact"/>
        <w:ind w:firstLine="480" w:firstLineChars="200"/>
        <w:jc w:val="left"/>
        <w:rPr>
          <w:rStyle w:val="356"/>
          <w:szCs w:val="21"/>
          <w:highlight w:val="none"/>
        </w:rPr>
      </w:pPr>
      <w:r>
        <w:rPr>
          <w:rStyle w:val="356"/>
          <w:rFonts w:hint="eastAsia"/>
          <w:szCs w:val="21"/>
          <w:highlight w:val="none"/>
        </w:rPr>
        <w:t xml:space="preserve">8、争端的解决 </w:t>
      </w:r>
    </w:p>
    <w:p w14:paraId="397C950E">
      <w:pPr>
        <w:spacing w:line="360" w:lineRule="exact"/>
        <w:ind w:firstLine="480" w:firstLineChars="200"/>
        <w:jc w:val="left"/>
        <w:rPr>
          <w:rStyle w:val="356"/>
          <w:szCs w:val="21"/>
          <w:highlight w:val="none"/>
        </w:rPr>
      </w:pPr>
      <w:r>
        <w:rPr>
          <w:rStyle w:val="356"/>
          <w:rFonts w:hint="eastAsia"/>
          <w:szCs w:val="21"/>
          <w:highlight w:val="none"/>
        </w:rPr>
        <w:t>8.1合同双方如有一方不履行合同义务或者履行合同义务不符合合同约定给对方造成损失，则全部损失及责任由违约方承担，守约方为维护自身合法权益支出的诉讼费、保全费、律师费、交通费等费用均由违约方承担。</w:t>
      </w:r>
    </w:p>
    <w:p w14:paraId="7B6F029D">
      <w:pPr>
        <w:spacing w:line="360" w:lineRule="exact"/>
        <w:ind w:firstLine="480" w:firstLineChars="200"/>
        <w:jc w:val="left"/>
        <w:rPr>
          <w:rStyle w:val="356"/>
          <w:szCs w:val="21"/>
          <w:highlight w:val="none"/>
        </w:rPr>
      </w:pPr>
      <w:r>
        <w:rPr>
          <w:rStyle w:val="356"/>
          <w:rFonts w:hint="eastAsia"/>
          <w:szCs w:val="21"/>
          <w:highlight w:val="none"/>
        </w:rPr>
        <w:t>8.2双方如在履行合同中发生纠纷，首先应友好协商，协商不成，双方均应向合同签订地乌鲁木齐市人民法院起诉。</w:t>
      </w:r>
    </w:p>
    <w:p w14:paraId="6CC43AA4">
      <w:pPr>
        <w:spacing w:line="360" w:lineRule="exact"/>
        <w:ind w:firstLine="482" w:firstLineChars="200"/>
        <w:jc w:val="left"/>
        <w:rPr>
          <w:rStyle w:val="356"/>
          <w:b/>
          <w:szCs w:val="21"/>
          <w:highlight w:val="none"/>
        </w:rPr>
      </w:pPr>
      <w:r>
        <w:rPr>
          <w:rStyle w:val="356"/>
          <w:rFonts w:hint="eastAsia"/>
          <w:b/>
          <w:szCs w:val="21"/>
          <w:highlight w:val="none"/>
        </w:rPr>
        <w:t xml:space="preserve">9、合同生效 </w:t>
      </w:r>
    </w:p>
    <w:p w14:paraId="3F0A9E4A">
      <w:pPr>
        <w:spacing w:line="360" w:lineRule="exact"/>
        <w:ind w:firstLine="480" w:firstLineChars="200"/>
        <w:jc w:val="left"/>
        <w:rPr>
          <w:rStyle w:val="356"/>
          <w:szCs w:val="21"/>
          <w:highlight w:val="none"/>
        </w:rPr>
      </w:pPr>
      <w:r>
        <w:rPr>
          <w:rStyle w:val="356"/>
          <w:rFonts w:hint="eastAsia"/>
          <w:szCs w:val="21"/>
          <w:highlight w:val="none"/>
        </w:rPr>
        <w:t>9.1 本合同在甲、乙双方签章后生效。</w:t>
      </w:r>
    </w:p>
    <w:p w14:paraId="15674857">
      <w:pPr>
        <w:spacing w:line="360" w:lineRule="exact"/>
        <w:ind w:firstLine="480" w:firstLineChars="200"/>
        <w:jc w:val="left"/>
        <w:rPr>
          <w:rStyle w:val="356"/>
          <w:szCs w:val="21"/>
          <w:highlight w:val="none"/>
        </w:rPr>
      </w:pPr>
      <w:r>
        <w:rPr>
          <w:rStyle w:val="356"/>
          <w:rFonts w:hint="eastAsia"/>
          <w:szCs w:val="21"/>
          <w:highlight w:val="none"/>
        </w:rPr>
        <w:t>9.2 本合同一式3份，甲方执1份、乙方执2份，具有相同的法律效应。</w:t>
      </w:r>
    </w:p>
    <w:p w14:paraId="364EE1B6">
      <w:pPr>
        <w:spacing w:line="360" w:lineRule="exact"/>
        <w:ind w:left="638" w:leftChars="266"/>
        <w:jc w:val="left"/>
        <w:rPr>
          <w:rStyle w:val="356"/>
          <w:szCs w:val="21"/>
          <w:highlight w:val="none"/>
        </w:rPr>
      </w:pPr>
      <w:r>
        <w:rPr>
          <w:rStyle w:val="356"/>
          <w:rFonts w:hint="eastAsia"/>
          <w:szCs w:val="21"/>
          <w:highlight w:val="none"/>
        </w:rPr>
        <w:t xml:space="preserve"> </w:t>
      </w:r>
    </w:p>
    <w:p w14:paraId="0B35CE20">
      <w:pPr>
        <w:spacing w:line="360" w:lineRule="exact"/>
        <w:ind w:firstLine="480" w:firstLineChars="200"/>
        <w:jc w:val="left"/>
        <w:rPr>
          <w:rStyle w:val="356"/>
          <w:szCs w:val="21"/>
          <w:highlight w:val="none"/>
        </w:rPr>
      </w:pPr>
      <w:r>
        <w:rPr>
          <w:rStyle w:val="356"/>
          <w:rFonts w:hint="eastAsia"/>
          <w:szCs w:val="21"/>
          <w:highlight w:val="none"/>
        </w:rPr>
        <w:t xml:space="preserve"> </w:t>
      </w:r>
    </w:p>
    <w:p w14:paraId="2A314E49">
      <w:pPr>
        <w:rPr>
          <w:rFonts w:hint="eastAsia"/>
          <w:highlight w:val="none"/>
        </w:rPr>
      </w:pPr>
      <w:r>
        <w:rPr>
          <w:highlight w:val="none"/>
        </w:rPr>
        <w:br w:type="page"/>
      </w:r>
    </w:p>
    <w:tbl>
      <w:tblPr>
        <w:tblStyle w:val="44"/>
        <w:tblW w:w="9962" w:type="dxa"/>
        <w:tblInd w:w="135" w:type="dxa"/>
        <w:tblLayout w:type="fixed"/>
        <w:tblCellMar>
          <w:top w:w="0" w:type="dxa"/>
          <w:left w:w="0" w:type="dxa"/>
          <w:bottom w:w="0" w:type="dxa"/>
          <w:right w:w="0" w:type="dxa"/>
        </w:tblCellMar>
      </w:tblPr>
      <w:tblGrid>
        <w:gridCol w:w="4981"/>
        <w:gridCol w:w="4981"/>
      </w:tblGrid>
      <w:tr w14:paraId="5E41CE68">
        <w:tblPrEx>
          <w:tblCellMar>
            <w:top w:w="0" w:type="dxa"/>
            <w:left w:w="0" w:type="dxa"/>
            <w:bottom w:w="0" w:type="dxa"/>
            <w:right w:w="0" w:type="dxa"/>
          </w:tblCellMar>
        </w:tblPrEx>
        <w:tc>
          <w:tcPr>
            <w:tcW w:w="4981" w:type="dxa"/>
            <w:tcBorders>
              <w:top w:val="nil"/>
              <w:left w:val="nil"/>
              <w:bottom w:val="nil"/>
              <w:right w:val="nil"/>
            </w:tcBorders>
          </w:tcPr>
          <w:p w14:paraId="409503E3">
            <w:pPr>
              <w:spacing w:line="360" w:lineRule="exact"/>
              <w:ind w:firstLine="480" w:firstLineChars="200"/>
              <w:jc w:val="left"/>
              <w:rPr>
                <w:rStyle w:val="356"/>
                <w:rFonts w:hAnsi="Calibri"/>
                <w:szCs w:val="21"/>
                <w:highlight w:val="none"/>
              </w:rPr>
            </w:pPr>
            <w:r>
              <w:rPr>
                <w:rStyle w:val="356"/>
                <w:rFonts w:hint="eastAsia"/>
                <w:szCs w:val="21"/>
                <w:highlight w:val="none"/>
              </w:rPr>
              <w:t>甲方：</w:t>
            </w:r>
            <w:r>
              <w:rPr>
                <w:rStyle w:val="356"/>
                <w:rFonts w:hint="eastAsia"/>
                <w:b/>
                <w:szCs w:val="21"/>
                <w:highlight w:val="none"/>
              </w:rPr>
              <w:t xml:space="preserve"> </w:t>
            </w:r>
          </w:p>
          <w:p w14:paraId="2FC2EC3D">
            <w:pPr>
              <w:spacing w:line="360" w:lineRule="exact"/>
              <w:ind w:firstLine="480" w:firstLineChars="200"/>
              <w:jc w:val="left"/>
              <w:rPr>
                <w:rStyle w:val="356"/>
                <w:szCs w:val="21"/>
                <w:highlight w:val="none"/>
              </w:rPr>
            </w:pPr>
            <w:r>
              <w:rPr>
                <w:rStyle w:val="356"/>
                <w:rFonts w:hint="eastAsia"/>
                <w:szCs w:val="21"/>
                <w:highlight w:val="none"/>
              </w:rPr>
              <w:t xml:space="preserve">（盖章）                                                             </w:t>
            </w:r>
          </w:p>
          <w:p w14:paraId="63EDB2A8">
            <w:pPr>
              <w:spacing w:line="360" w:lineRule="exact"/>
              <w:ind w:firstLine="480" w:firstLineChars="200"/>
              <w:jc w:val="left"/>
              <w:rPr>
                <w:rStyle w:val="356"/>
                <w:szCs w:val="21"/>
                <w:highlight w:val="none"/>
              </w:rPr>
            </w:pPr>
            <w:r>
              <w:rPr>
                <w:rStyle w:val="356"/>
                <w:rFonts w:hint="eastAsia"/>
                <w:szCs w:val="21"/>
                <w:highlight w:val="none"/>
              </w:rPr>
              <w:t xml:space="preserve">                                                                                         </w:t>
            </w:r>
          </w:p>
          <w:p w14:paraId="30EBB059">
            <w:pPr>
              <w:spacing w:line="360" w:lineRule="exact"/>
              <w:ind w:firstLine="480" w:firstLineChars="200"/>
              <w:jc w:val="left"/>
              <w:rPr>
                <w:rStyle w:val="356"/>
                <w:szCs w:val="21"/>
                <w:highlight w:val="none"/>
              </w:rPr>
            </w:pPr>
            <w:r>
              <w:rPr>
                <w:rStyle w:val="356"/>
                <w:rFonts w:hint="eastAsia"/>
                <w:szCs w:val="21"/>
                <w:highlight w:val="none"/>
              </w:rPr>
              <w:t xml:space="preserve">单位地址 :                                                                            </w:t>
            </w:r>
          </w:p>
          <w:p w14:paraId="5CD90D96">
            <w:pPr>
              <w:spacing w:line="360" w:lineRule="exact"/>
              <w:ind w:firstLine="480" w:firstLineChars="200"/>
              <w:jc w:val="left"/>
              <w:rPr>
                <w:rStyle w:val="356"/>
                <w:szCs w:val="21"/>
                <w:highlight w:val="none"/>
              </w:rPr>
            </w:pPr>
          </w:p>
          <w:p w14:paraId="0DEB29BB">
            <w:pPr>
              <w:spacing w:line="360" w:lineRule="exact"/>
              <w:ind w:firstLine="480" w:firstLineChars="200"/>
              <w:jc w:val="left"/>
              <w:rPr>
                <w:rFonts w:hint="eastAsia"/>
                <w:szCs w:val="21"/>
                <w:highlight w:val="none"/>
              </w:rPr>
            </w:pPr>
          </w:p>
          <w:p w14:paraId="11ACB68A">
            <w:pPr>
              <w:spacing w:line="360" w:lineRule="exact"/>
              <w:ind w:firstLine="480" w:firstLineChars="200"/>
              <w:jc w:val="left"/>
              <w:rPr>
                <w:rStyle w:val="356"/>
                <w:szCs w:val="21"/>
                <w:highlight w:val="none"/>
              </w:rPr>
            </w:pPr>
            <w:r>
              <w:rPr>
                <w:rStyle w:val="356"/>
                <w:rFonts w:hint="eastAsia"/>
                <w:szCs w:val="21"/>
                <w:highlight w:val="none"/>
              </w:rPr>
              <w:t>法人代表（签章）</w:t>
            </w:r>
            <w:r>
              <w:rPr>
                <w:rStyle w:val="356"/>
                <w:szCs w:val="21"/>
                <w:highlight w:val="none"/>
              </w:rPr>
              <w:t>：</w:t>
            </w:r>
          </w:p>
          <w:p w14:paraId="29E38A2D">
            <w:pPr>
              <w:spacing w:line="360" w:lineRule="exact"/>
              <w:ind w:firstLine="480" w:firstLineChars="200"/>
              <w:jc w:val="left"/>
              <w:rPr>
                <w:rStyle w:val="356"/>
                <w:szCs w:val="21"/>
                <w:highlight w:val="none"/>
              </w:rPr>
            </w:pPr>
          </w:p>
          <w:p w14:paraId="1938A31D">
            <w:pPr>
              <w:spacing w:line="360" w:lineRule="exact"/>
              <w:ind w:firstLine="480" w:firstLineChars="200"/>
              <w:jc w:val="left"/>
              <w:rPr>
                <w:rStyle w:val="356"/>
                <w:szCs w:val="21"/>
                <w:highlight w:val="none"/>
              </w:rPr>
            </w:pPr>
          </w:p>
          <w:p w14:paraId="2CD63CF1">
            <w:pPr>
              <w:spacing w:line="360" w:lineRule="exact"/>
              <w:ind w:firstLine="480" w:firstLineChars="200"/>
              <w:jc w:val="left"/>
              <w:rPr>
                <w:rStyle w:val="356"/>
                <w:szCs w:val="21"/>
                <w:highlight w:val="none"/>
              </w:rPr>
            </w:pPr>
            <w:r>
              <w:rPr>
                <w:rStyle w:val="356"/>
                <w:rFonts w:hint="eastAsia"/>
                <w:szCs w:val="21"/>
                <w:highlight w:val="none"/>
              </w:rPr>
              <w:t>法人委托人（签章）</w:t>
            </w:r>
            <w:r>
              <w:rPr>
                <w:rStyle w:val="356"/>
                <w:szCs w:val="21"/>
                <w:highlight w:val="none"/>
              </w:rPr>
              <w:t>：</w:t>
            </w:r>
          </w:p>
          <w:p w14:paraId="31ECC63D">
            <w:pPr>
              <w:spacing w:line="360" w:lineRule="exact"/>
              <w:ind w:firstLine="480" w:firstLineChars="200"/>
              <w:jc w:val="left"/>
              <w:rPr>
                <w:rStyle w:val="356"/>
                <w:szCs w:val="21"/>
                <w:highlight w:val="none"/>
              </w:rPr>
            </w:pPr>
            <w:r>
              <w:rPr>
                <w:rStyle w:val="356"/>
                <w:rFonts w:hint="eastAsia"/>
                <w:szCs w:val="21"/>
                <w:highlight w:val="none"/>
              </w:rPr>
              <w:t xml:space="preserve">                                    </w:t>
            </w:r>
          </w:p>
          <w:p w14:paraId="637DE015">
            <w:pPr>
              <w:spacing w:line="360" w:lineRule="exact"/>
              <w:ind w:firstLine="480" w:firstLineChars="200"/>
              <w:jc w:val="left"/>
              <w:rPr>
                <w:rStyle w:val="356"/>
                <w:szCs w:val="21"/>
                <w:highlight w:val="none"/>
              </w:rPr>
            </w:pPr>
            <w:r>
              <w:rPr>
                <w:rStyle w:val="356"/>
                <w:rFonts w:hint="eastAsia"/>
                <w:szCs w:val="21"/>
                <w:highlight w:val="none"/>
              </w:rPr>
              <w:t>邮政编码</w:t>
            </w:r>
            <w:r>
              <w:rPr>
                <w:rStyle w:val="356"/>
                <w:szCs w:val="21"/>
                <w:highlight w:val="none"/>
              </w:rPr>
              <w:t>：</w:t>
            </w:r>
            <w:r>
              <w:rPr>
                <w:rStyle w:val="356"/>
                <w:rFonts w:hint="eastAsia"/>
                <w:szCs w:val="21"/>
                <w:highlight w:val="none"/>
              </w:rPr>
              <w:t xml:space="preserve">            </w:t>
            </w:r>
          </w:p>
          <w:p w14:paraId="6F0A823B">
            <w:pPr>
              <w:spacing w:line="360" w:lineRule="exact"/>
              <w:ind w:firstLine="480" w:firstLineChars="200"/>
              <w:jc w:val="left"/>
              <w:rPr>
                <w:rFonts w:hint="eastAsia"/>
                <w:szCs w:val="21"/>
                <w:highlight w:val="none"/>
              </w:rPr>
            </w:pPr>
            <w:r>
              <w:rPr>
                <w:rStyle w:val="356"/>
                <w:rFonts w:hint="eastAsia"/>
                <w:szCs w:val="21"/>
                <w:highlight w:val="none"/>
              </w:rPr>
              <w:t>电话号码</w:t>
            </w:r>
            <w:r>
              <w:rPr>
                <w:rStyle w:val="356"/>
                <w:szCs w:val="21"/>
                <w:highlight w:val="none"/>
              </w:rPr>
              <w:t>：</w:t>
            </w:r>
            <w:r>
              <w:rPr>
                <w:rStyle w:val="356"/>
                <w:rFonts w:hint="eastAsia"/>
                <w:szCs w:val="21"/>
                <w:highlight w:val="none"/>
              </w:rPr>
              <w:t xml:space="preserve"> </w:t>
            </w:r>
          </w:p>
          <w:p w14:paraId="01331443">
            <w:pPr>
              <w:spacing w:line="360" w:lineRule="exact"/>
              <w:ind w:firstLine="480" w:firstLineChars="200"/>
              <w:jc w:val="left"/>
              <w:rPr>
                <w:rFonts w:hint="eastAsia"/>
                <w:szCs w:val="21"/>
                <w:highlight w:val="none"/>
              </w:rPr>
            </w:pPr>
            <w:r>
              <w:rPr>
                <w:rStyle w:val="356"/>
                <w:rFonts w:hint="eastAsia"/>
                <w:szCs w:val="21"/>
                <w:highlight w:val="none"/>
              </w:rPr>
              <w:t xml:space="preserve">开户行： </w:t>
            </w:r>
          </w:p>
          <w:p w14:paraId="1F9D0783">
            <w:pPr>
              <w:spacing w:line="360" w:lineRule="exact"/>
              <w:ind w:firstLine="480" w:firstLineChars="200"/>
              <w:jc w:val="left"/>
              <w:rPr>
                <w:rStyle w:val="356"/>
                <w:szCs w:val="21"/>
                <w:highlight w:val="none"/>
              </w:rPr>
            </w:pPr>
            <w:r>
              <w:rPr>
                <w:rStyle w:val="356"/>
                <w:rFonts w:hint="eastAsia"/>
                <w:szCs w:val="21"/>
                <w:highlight w:val="none"/>
              </w:rPr>
              <w:t xml:space="preserve">账号：                                    </w:t>
            </w:r>
          </w:p>
          <w:p w14:paraId="6635F6C5">
            <w:pPr>
              <w:spacing w:line="360" w:lineRule="exact"/>
              <w:ind w:firstLine="480" w:firstLineChars="200"/>
              <w:jc w:val="left"/>
              <w:rPr>
                <w:rStyle w:val="356"/>
                <w:szCs w:val="21"/>
                <w:highlight w:val="none"/>
              </w:rPr>
            </w:pPr>
            <w:r>
              <w:rPr>
                <w:rStyle w:val="356"/>
                <w:rFonts w:hint="eastAsia"/>
                <w:szCs w:val="21"/>
                <w:highlight w:val="none"/>
              </w:rPr>
              <w:t xml:space="preserve">                     </w:t>
            </w:r>
          </w:p>
          <w:p w14:paraId="3F48C22A">
            <w:pPr>
              <w:spacing w:line="360" w:lineRule="exact"/>
              <w:ind w:firstLine="480" w:firstLineChars="200"/>
              <w:jc w:val="left"/>
              <w:rPr>
                <w:rStyle w:val="356"/>
                <w:szCs w:val="21"/>
                <w:highlight w:val="none"/>
              </w:rPr>
            </w:pPr>
          </w:p>
          <w:p w14:paraId="654D9847">
            <w:pPr>
              <w:spacing w:line="360" w:lineRule="exact"/>
              <w:ind w:firstLine="2160" w:firstLineChars="900"/>
              <w:jc w:val="left"/>
              <w:rPr>
                <w:rStyle w:val="356"/>
                <w:szCs w:val="21"/>
                <w:highlight w:val="none"/>
              </w:rPr>
            </w:pPr>
            <w:r>
              <w:rPr>
                <w:rStyle w:val="356"/>
                <w:rFonts w:hint="eastAsia"/>
                <w:szCs w:val="21"/>
                <w:highlight w:val="none"/>
              </w:rPr>
              <w:t xml:space="preserve">年    月 　  日 </w:t>
            </w:r>
          </w:p>
          <w:p w14:paraId="6CD7BF85">
            <w:pPr>
              <w:spacing w:line="360" w:lineRule="exact"/>
              <w:ind w:firstLine="480" w:firstLineChars="200"/>
              <w:jc w:val="left"/>
              <w:textAlignment w:val="baseline"/>
              <w:rPr>
                <w:rStyle w:val="356"/>
                <w:szCs w:val="21"/>
                <w:highlight w:val="none"/>
              </w:rPr>
            </w:pPr>
            <w:r>
              <w:rPr>
                <w:rStyle w:val="356"/>
                <w:rFonts w:hint="eastAsia"/>
                <w:szCs w:val="21"/>
                <w:highlight w:val="none"/>
              </w:rPr>
              <w:t xml:space="preserve">                                  　　　　            </w:t>
            </w:r>
          </w:p>
        </w:tc>
        <w:tc>
          <w:tcPr>
            <w:tcW w:w="4981" w:type="dxa"/>
            <w:tcBorders>
              <w:top w:val="nil"/>
              <w:left w:val="nil"/>
              <w:bottom w:val="nil"/>
              <w:right w:val="nil"/>
            </w:tcBorders>
          </w:tcPr>
          <w:p w14:paraId="2BDB4874">
            <w:pPr>
              <w:spacing w:line="360" w:lineRule="exact"/>
              <w:ind w:firstLine="480" w:firstLineChars="200"/>
              <w:jc w:val="left"/>
              <w:rPr>
                <w:rStyle w:val="356"/>
                <w:rFonts w:hAnsi="Calibri"/>
                <w:b/>
                <w:szCs w:val="21"/>
                <w:highlight w:val="none"/>
              </w:rPr>
            </w:pPr>
            <w:r>
              <w:rPr>
                <w:rStyle w:val="356"/>
                <w:rFonts w:hint="eastAsia"/>
                <w:szCs w:val="21"/>
                <w:highlight w:val="none"/>
              </w:rPr>
              <w:t>乙方：</w:t>
            </w:r>
          </w:p>
          <w:p w14:paraId="16775CCA">
            <w:pPr>
              <w:spacing w:line="360" w:lineRule="exact"/>
              <w:ind w:left="319" w:leftChars="133" w:firstLine="240" w:firstLineChars="100"/>
              <w:jc w:val="left"/>
              <w:rPr>
                <w:rStyle w:val="356"/>
                <w:szCs w:val="21"/>
                <w:highlight w:val="none"/>
              </w:rPr>
            </w:pPr>
            <w:r>
              <w:rPr>
                <w:rStyle w:val="356"/>
                <w:rFonts w:hint="eastAsia"/>
                <w:szCs w:val="21"/>
                <w:highlight w:val="none"/>
              </w:rPr>
              <w:t>（盖章）</w:t>
            </w:r>
          </w:p>
          <w:p w14:paraId="7C2F7244">
            <w:pPr>
              <w:spacing w:line="360" w:lineRule="exact"/>
              <w:ind w:firstLine="480" w:firstLineChars="200"/>
              <w:jc w:val="left"/>
              <w:rPr>
                <w:rStyle w:val="356"/>
                <w:szCs w:val="21"/>
                <w:highlight w:val="none"/>
              </w:rPr>
            </w:pPr>
            <w:r>
              <w:rPr>
                <w:rStyle w:val="356"/>
                <w:rFonts w:hint="eastAsia"/>
                <w:szCs w:val="21"/>
                <w:highlight w:val="none"/>
              </w:rPr>
              <w:t xml:space="preserve">                                 </w:t>
            </w:r>
          </w:p>
          <w:p w14:paraId="433FA672">
            <w:pPr>
              <w:spacing w:line="360" w:lineRule="exact"/>
              <w:ind w:left="2041" w:leftChars="267" w:hanging="1400"/>
              <w:jc w:val="left"/>
              <w:rPr>
                <w:rStyle w:val="356"/>
                <w:szCs w:val="21"/>
                <w:highlight w:val="none"/>
              </w:rPr>
            </w:pPr>
            <w:r>
              <w:rPr>
                <w:rStyle w:val="356"/>
                <w:rFonts w:hint="eastAsia"/>
                <w:szCs w:val="21"/>
                <w:highlight w:val="none"/>
              </w:rPr>
              <w:t>单位地址</w:t>
            </w:r>
            <w:r>
              <w:rPr>
                <w:rStyle w:val="356"/>
                <w:szCs w:val="21"/>
                <w:highlight w:val="none"/>
              </w:rPr>
              <w:t>：</w:t>
            </w:r>
            <w:r>
              <w:rPr>
                <w:rStyle w:val="356"/>
                <w:rFonts w:hint="eastAsia"/>
                <w:szCs w:val="21"/>
                <w:highlight w:val="none"/>
              </w:rPr>
              <w:t xml:space="preserve"> </w:t>
            </w:r>
          </w:p>
          <w:p w14:paraId="7BE1341C">
            <w:pPr>
              <w:spacing w:line="360" w:lineRule="exact"/>
              <w:ind w:firstLine="480" w:firstLineChars="200"/>
              <w:jc w:val="left"/>
              <w:rPr>
                <w:rStyle w:val="356"/>
                <w:szCs w:val="21"/>
                <w:highlight w:val="none"/>
              </w:rPr>
            </w:pPr>
            <w:r>
              <w:rPr>
                <w:rStyle w:val="356"/>
                <w:rFonts w:hint="eastAsia"/>
                <w:szCs w:val="21"/>
                <w:highlight w:val="none"/>
              </w:rPr>
              <w:t xml:space="preserve">                               </w:t>
            </w:r>
          </w:p>
          <w:p w14:paraId="09990811">
            <w:pPr>
              <w:spacing w:line="360" w:lineRule="exact"/>
              <w:ind w:firstLine="480" w:firstLineChars="200"/>
              <w:jc w:val="left"/>
              <w:rPr>
                <w:rFonts w:hint="eastAsia"/>
                <w:szCs w:val="21"/>
                <w:highlight w:val="none"/>
              </w:rPr>
            </w:pPr>
          </w:p>
          <w:p w14:paraId="4ED72B3F">
            <w:pPr>
              <w:spacing w:line="360" w:lineRule="exact"/>
              <w:ind w:firstLine="480" w:firstLineChars="200"/>
              <w:jc w:val="left"/>
              <w:rPr>
                <w:rStyle w:val="356"/>
                <w:szCs w:val="21"/>
                <w:highlight w:val="none"/>
              </w:rPr>
            </w:pPr>
            <w:r>
              <w:rPr>
                <w:rStyle w:val="356"/>
                <w:rFonts w:hint="eastAsia"/>
                <w:szCs w:val="21"/>
                <w:highlight w:val="none"/>
              </w:rPr>
              <w:t>法人代表（签章）</w:t>
            </w:r>
            <w:r>
              <w:rPr>
                <w:rStyle w:val="356"/>
                <w:szCs w:val="21"/>
                <w:highlight w:val="none"/>
              </w:rPr>
              <w:t>：</w:t>
            </w:r>
            <w:r>
              <w:rPr>
                <w:rStyle w:val="356"/>
                <w:rFonts w:hint="eastAsia"/>
                <w:szCs w:val="21"/>
                <w:highlight w:val="none"/>
              </w:rPr>
              <w:t xml:space="preserve">    </w:t>
            </w:r>
          </w:p>
          <w:p w14:paraId="2FA2FD22">
            <w:pPr>
              <w:spacing w:line="360" w:lineRule="exact"/>
              <w:ind w:firstLine="480" w:firstLineChars="200"/>
              <w:jc w:val="left"/>
              <w:rPr>
                <w:rStyle w:val="356"/>
                <w:szCs w:val="21"/>
                <w:highlight w:val="none"/>
              </w:rPr>
            </w:pPr>
          </w:p>
          <w:p w14:paraId="1AD5D4C0">
            <w:pPr>
              <w:spacing w:line="360" w:lineRule="exact"/>
              <w:ind w:firstLine="480" w:firstLineChars="200"/>
              <w:jc w:val="left"/>
              <w:rPr>
                <w:rStyle w:val="356"/>
                <w:szCs w:val="21"/>
                <w:highlight w:val="none"/>
              </w:rPr>
            </w:pPr>
          </w:p>
          <w:p w14:paraId="184F8399">
            <w:pPr>
              <w:spacing w:line="360" w:lineRule="exact"/>
              <w:ind w:firstLine="480" w:firstLineChars="200"/>
              <w:jc w:val="left"/>
              <w:rPr>
                <w:rStyle w:val="356"/>
                <w:szCs w:val="21"/>
                <w:highlight w:val="none"/>
              </w:rPr>
            </w:pPr>
            <w:r>
              <w:rPr>
                <w:rStyle w:val="356"/>
                <w:rFonts w:hint="eastAsia"/>
                <w:szCs w:val="21"/>
                <w:highlight w:val="none"/>
              </w:rPr>
              <w:t>法人委托人（签章）</w:t>
            </w:r>
            <w:r>
              <w:rPr>
                <w:rStyle w:val="356"/>
                <w:szCs w:val="21"/>
                <w:highlight w:val="none"/>
              </w:rPr>
              <w:t>：</w:t>
            </w:r>
          </w:p>
          <w:p w14:paraId="3D7840C0">
            <w:pPr>
              <w:spacing w:line="360" w:lineRule="exact"/>
              <w:ind w:firstLine="480" w:firstLineChars="200"/>
              <w:jc w:val="left"/>
              <w:rPr>
                <w:rStyle w:val="356"/>
                <w:szCs w:val="21"/>
                <w:highlight w:val="none"/>
              </w:rPr>
            </w:pPr>
            <w:r>
              <w:rPr>
                <w:rStyle w:val="356"/>
                <w:rFonts w:hint="eastAsia"/>
                <w:szCs w:val="21"/>
                <w:highlight w:val="none"/>
              </w:rPr>
              <w:t xml:space="preserve">                </w:t>
            </w:r>
          </w:p>
          <w:p w14:paraId="4958DA1E">
            <w:pPr>
              <w:spacing w:line="360" w:lineRule="exact"/>
              <w:ind w:firstLine="480" w:firstLineChars="200"/>
              <w:jc w:val="left"/>
              <w:rPr>
                <w:rStyle w:val="356"/>
                <w:szCs w:val="21"/>
                <w:highlight w:val="none"/>
              </w:rPr>
            </w:pPr>
            <w:r>
              <w:rPr>
                <w:rStyle w:val="356"/>
                <w:rFonts w:hint="eastAsia"/>
                <w:szCs w:val="21"/>
                <w:highlight w:val="none"/>
              </w:rPr>
              <w:t xml:space="preserve">邮政编码 :  </w:t>
            </w:r>
          </w:p>
          <w:p w14:paraId="70B49EF7">
            <w:pPr>
              <w:spacing w:line="360" w:lineRule="exact"/>
              <w:ind w:firstLine="480" w:firstLineChars="200"/>
              <w:jc w:val="left"/>
              <w:rPr>
                <w:rStyle w:val="356"/>
                <w:szCs w:val="21"/>
                <w:highlight w:val="none"/>
              </w:rPr>
            </w:pPr>
            <w:r>
              <w:rPr>
                <w:rStyle w:val="356"/>
                <w:rFonts w:hint="eastAsia"/>
                <w:szCs w:val="21"/>
                <w:highlight w:val="none"/>
              </w:rPr>
              <w:t>电话及传真</w:t>
            </w:r>
            <w:r>
              <w:rPr>
                <w:rStyle w:val="356"/>
                <w:szCs w:val="21"/>
                <w:highlight w:val="none"/>
              </w:rPr>
              <w:t>：</w:t>
            </w:r>
            <w:r>
              <w:rPr>
                <w:rStyle w:val="356"/>
                <w:rFonts w:hint="eastAsia"/>
                <w:szCs w:val="21"/>
                <w:highlight w:val="none"/>
              </w:rPr>
              <w:t xml:space="preserve">              </w:t>
            </w:r>
          </w:p>
          <w:p w14:paraId="5C43636A">
            <w:pPr>
              <w:spacing w:line="360" w:lineRule="exact"/>
              <w:ind w:firstLine="480" w:firstLineChars="200"/>
              <w:jc w:val="left"/>
              <w:rPr>
                <w:rFonts w:hint="eastAsia"/>
                <w:szCs w:val="21"/>
                <w:highlight w:val="none"/>
              </w:rPr>
            </w:pPr>
            <w:r>
              <w:rPr>
                <w:rStyle w:val="356"/>
                <w:rFonts w:hint="eastAsia"/>
                <w:szCs w:val="21"/>
                <w:highlight w:val="none"/>
              </w:rPr>
              <w:t>开户行：</w:t>
            </w:r>
          </w:p>
          <w:p w14:paraId="2049B2C0">
            <w:pPr>
              <w:spacing w:line="360" w:lineRule="exact"/>
              <w:ind w:firstLine="480" w:firstLineChars="200"/>
              <w:jc w:val="left"/>
              <w:rPr>
                <w:rStyle w:val="356"/>
                <w:szCs w:val="21"/>
                <w:highlight w:val="none"/>
              </w:rPr>
            </w:pPr>
            <w:r>
              <w:rPr>
                <w:rStyle w:val="356"/>
                <w:rFonts w:hint="eastAsia"/>
                <w:szCs w:val="21"/>
                <w:highlight w:val="none"/>
              </w:rPr>
              <w:t>账号：</w:t>
            </w:r>
          </w:p>
          <w:p w14:paraId="465B300A">
            <w:pPr>
              <w:spacing w:line="360" w:lineRule="exact"/>
              <w:ind w:firstLine="480" w:firstLineChars="200"/>
              <w:jc w:val="left"/>
              <w:rPr>
                <w:rFonts w:hint="eastAsia"/>
                <w:szCs w:val="21"/>
                <w:highlight w:val="none"/>
              </w:rPr>
            </w:pPr>
          </w:p>
          <w:p w14:paraId="334EC3A1">
            <w:pPr>
              <w:spacing w:line="360" w:lineRule="exact"/>
              <w:ind w:firstLine="480" w:firstLineChars="200"/>
              <w:jc w:val="left"/>
              <w:rPr>
                <w:rFonts w:hint="eastAsia"/>
                <w:szCs w:val="21"/>
                <w:highlight w:val="none"/>
              </w:rPr>
            </w:pPr>
          </w:p>
          <w:p w14:paraId="6FB3C2B7">
            <w:pPr>
              <w:spacing w:line="360" w:lineRule="exact"/>
              <w:ind w:firstLine="2160" w:firstLineChars="900"/>
              <w:jc w:val="left"/>
              <w:textAlignment w:val="baseline"/>
              <w:rPr>
                <w:rStyle w:val="356"/>
                <w:szCs w:val="21"/>
                <w:highlight w:val="none"/>
              </w:rPr>
            </w:pPr>
            <w:r>
              <w:rPr>
                <w:rStyle w:val="356"/>
                <w:rFonts w:hint="eastAsia"/>
                <w:szCs w:val="21"/>
                <w:highlight w:val="none"/>
              </w:rPr>
              <w:t xml:space="preserve">年    月 　  日       </w:t>
            </w:r>
          </w:p>
        </w:tc>
      </w:tr>
    </w:tbl>
    <w:p w14:paraId="1D98433A">
      <w:pPr>
        <w:rPr>
          <w:rFonts w:hint="eastAsia"/>
          <w:highlight w:val="none"/>
        </w:rPr>
      </w:pPr>
    </w:p>
    <w:p w14:paraId="7557BA92">
      <w:pPr>
        <w:spacing w:line="360" w:lineRule="exact"/>
        <w:ind w:firstLine="560" w:firstLineChars="200"/>
        <w:jc w:val="left"/>
        <w:rPr>
          <w:rStyle w:val="356"/>
          <w:sz w:val="28"/>
          <w:szCs w:val="28"/>
          <w:highlight w:val="none"/>
        </w:rPr>
      </w:pPr>
      <w:r>
        <w:rPr>
          <w:rStyle w:val="356"/>
          <w:rFonts w:hint="eastAsia"/>
          <w:sz w:val="28"/>
          <w:szCs w:val="28"/>
          <w:highlight w:val="none"/>
        </w:rPr>
        <w:t xml:space="preserve"> </w:t>
      </w:r>
    </w:p>
    <w:p w14:paraId="419D5D36">
      <w:pPr>
        <w:pStyle w:val="14"/>
        <w:ind w:firstLine="480"/>
        <w:rPr>
          <w:rFonts w:eastAsia="仿宋_GB2312"/>
          <w:highlight w:val="none"/>
        </w:rPr>
      </w:pPr>
    </w:p>
    <w:p w14:paraId="4D0DC94B">
      <w:pPr>
        <w:pStyle w:val="14"/>
        <w:ind w:firstLine="480"/>
        <w:rPr>
          <w:highlight w:val="none"/>
        </w:rPr>
      </w:pPr>
    </w:p>
    <w:p w14:paraId="5DF46C23">
      <w:pPr>
        <w:rPr>
          <w:rFonts w:hint="eastAsia"/>
          <w:highlight w:val="none"/>
        </w:rPr>
        <w:sectPr>
          <w:footerReference r:id="rId10" w:type="first"/>
          <w:footerReference r:id="rId9" w:type="even"/>
          <w:pgSz w:w="11907" w:h="16840"/>
          <w:pgMar w:top="1400" w:right="1418" w:bottom="1089" w:left="1418" w:header="851" w:footer="1117" w:gutter="0"/>
          <w:cols w:space="720" w:num="1"/>
          <w:titlePg/>
          <w:docGrid w:linePitch="312" w:charSpace="0"/>
        </w:sectPr>
      </w:pPr>
    </w:p>
    <w:p w14:paraId="29053A17">
      <w:pPr>
        <w:pStyle w:val="2"/>
        <w:numPr>
          <w:ilvl w:val="0"/>
          <w:numId w:val="0"/>
        </w:numPr>
        <w:ind w:left="420" w:hanging="420"/>
        <w:rPr>
          <w:rFonts w:hint="eastAsia" w:ascii="宋体" w:hAnsi="宋体"/>
          <w:highlight w:val="none"/>
        </w:rPr>
      </w:pPr>
      <w:bookmarkStart w:id="60" w:name="_Toc38878799"/>
      <w:r>
        <w:rPr>
          <w:rFonts w:hint="eastAsia" w:ascii="宋体" w:hAnsi="宋体"/>
          <w:highlight w:val="none"/>
        </w:rPr>
        <w:t>第五章 采购需求</w:t>
      </w:r>
      <w:bookmarkEnd w:id="59"/>
      <w:bookmarkEnd w:id="60"/>
    </w:p>
    <w:p w14:paraId="48925008">
      <w:pPr>
        <w:adjustRightInd w:val="0"/>
        <w:snapToGrid w:val="0"/>
        <w:ind w:firstLine="420" w:firstLineChars="200"/>
        <w:rPr>
          <w:rFonts w:hint="eastAsia"/>
          <w:sz w:val="21"/>
          <w:szCs w:val="21"/>
          <w:highlight w:val="none"/>
        </w:rPr>
      </w:pPr>
    </w:p>
    <w:p w14:paraId="30152E48">
      <w:pPr>
        <w:adjustRightInd w:val="0"/>
        <w:snapToGrid w:val="0"/>
        <w:rPr>
          <w:rFonts w:hint="eastAsia"/>
          <w:b/>
          <w:color w:val="000000"/>
          <w:sz w:val="21"/>
          <w:szCs w:val="21"/>
          <w:highlight w:val="none"/>
        </w:rPr>
      </w:pPr>
      <w:r>
        <w:rPr>
          <w:rFonts w:hint="eastAsia"/>
          <w:b/>
          <w:color w:val="000000"/>
          <w:sz w:val="21"/>
          <w:szCs w:val="21"/>
          <w:highlight w:val="none"/>
        </w:rPr>
        <w:t>（一</w:t>
      </w:r>
      <w:r>
        <w:rPr>
          <w:b/>
          <w:color w:val="000000"/>
          <w:sz w:val="21"/>
          <w:szCs w:val="21"/>
          <w:highlight w:val="none"/>
        </w:rPr>
        <w:t>）</w:t>
      </w:r>
      <w:r>
        <w:rPr>
          <w:rFonts w:hint="eastAsia"/>
          <w:b/>
          <w:color w:val="000000"/>
          <w:sz w:val="21"/>
          <w:szCs w:val="21"/>
          <w:highlight w:val="none"/>
        </w:rPr>
        <w:t>采购项目名称</w:t>
      </w:r>
    </w:p>
    <w:p w14:paraId="379D3ECC">
      <w:pPr>
        <w:adjustRightInd w:val="0"/>
        <w:snapToGrid w:val="0"/>
        <w:ind w:firstLine="420" w:firstLineChars="200"/>
        <w:rPr>
          <w:rFonts w:hint="eastAsia"/>
          <w:color w:val="000000"/>
          <w:kern w:val="0"/>
          <w:sz w:val="21"/>
          <w:szCs w:val="21"/>
          <w:highlight w:val="none"/>
        </w:rPr>
      </w:pPr>
      <w:r>
        <w:rPr>
          <w:rFonts w:hint="eastAsia"/>
          <w:color w:val="000000"/>
          <w:kern w:val="0"/>
          <w:sz w:val="21"/>
          <w:szCs w:val="21"/>
          <w:highlight w:val="none"/>
        </w:rPr>
        <w:t>自治区第六人民医院信息系统（HIS、EMR、集成平台等）升级改造建设项目</w:t>
      </w:r>
    </w:p>
    <w:p w14:paraId="267EEC41">
      <w:pPr>
        <w:adjustRightInd w:val="0"/>
        <w:snapToGrid w:val="0"/>
        <w:rPr>
          <w:rFonts w:hint="eastAsia"/>
          <w:b/>
          <w:color w:val="000000"/>
          <w:sz w:val="21"/>
          <w:szCs w:val="21"/>
          <w:highlight w:val="none"/>
        </w:rPr>
      </w:pPr>
      <w:r>
        <w:rPr>
          <w:rFonts w:hint="eastAsia"/>
          <w:b/>
          <w:color w:val="000000"/>
          <w:sz w:val="21"/>
          <w:szCs w:val="21"/>
          <w:highlight w:val="none"/>
        </w:rPr>
        <w:t>（二</w:t>
      </w:r>
      <w:r>
        <w:rPr>
          <w:b/>
          <w:color w:val="000000"/>
          <w:sz w:val="21"/>
          <w:szCs w:val="21"/>
          <w:highlight w:val="none"/>
        </w:rPr>
        <w:t>）</w:t>
      </w:r>
      <w:r>
        <w:rPr>
          <w:rFonts w:hint="eastAsia"/>
          <w:b/>
          <w:color w:val="000000"/>
          <w:sz w:val="21"/>
          <w:szCs w:val="21"/>
          <w:highlight w:val="none"/>
        </w:rPr>
        <w:t>采购预算</w:t>
      </w:r>
    </w:p>
    <w:p w14:paraId="6E3A52C7">
      <w:pPr>
        <w:adjustRightInd w:val="0"/>
        <w:snapToGrid w:val="0"/>
        <w:ind w:firstLine="420" w:firstLineChars="200"/>
        <w:rPr>
          <w:rFonts w:hint="eastAsia"/>
          <w:color w:val="000000"/>
          <w:sz w:val="21"/>
          <w:szCs w:val="21"/>
          <w:highlight w:val="none"/>
        </w:rPr>
      </w:pPr>
      <w:r>
        <w:rPr>
          <w:color w:val="000000"/>
          <w:sz w:val="21"/>
          <w:szCs w:val="21"/>
          <w:highlight w:val="none"/>
        </w:rPr>
        <w:t>1396</w:t>
      </w:r>
      <w:r>
        <w:rPr>
          <w:rFonts w:hint="eastAsia"/>
          <w:color w:val="000000"/>
          <w:sz w:val="21"/>
          <w:szCs w:val="21"/>
          <w:highlight w:val="none"/>
        </w:rPr>
        <w:t>万</w:t>
      </w:r>
    </w:p>
    <w:p w14:paraId="4E867BFA">
      <w:pPr>
        <w:adjustRightInd w:val="0"/>
        <w:snapToGrid w:val="0"/>
        <w:rPr>
          <w:rFonts w:hint="eastAsia" w:cs="宋体"/>
          <w:b/>
          <w:color w:val="000000"/>
          <w:kern w:val="0"/>
          <w:sz w:val="21"/>
          <w:szCs w:val="21"/>
          <w:highlight w:val="none"/>
        </w:rPr>
      </w:pPr>
      <w:r>
        <w:rPr>
          <w:rFonts w:hint="eastAsia" w:cs="宋体"/>
          <w:b/>
          <w:color w:val="000000"/>
          <w:kern w:val="0"/>
          <w:sz w:val="21"/>
          <w:szCs w:val="21"/>
          <w:highlight w:val="none"/>
        </w:rPr>
        <w:t>（三）付款方式</w:t>
      </w:r>
    </w:p>
    <w:p w14:paraId="184EFE03">
      <w:pPr>
        <w:adjustRightInd w:val="0"/>
        <w:snapToGrid w:val="0"/>
        <w:ind w:firstLine="420" w:firstLineChars="200"/>
        <w:rPr>
          <w:rFonts w:hint="eastAsia"/>
          <w:bCs/>
          <w:kern w:val="0"/>
          <w:sz w:val="21"/>
          <w:szCs w:val="21"/>
          <w:highlight w:val="none"/>
        </w:rPr>
      </w:pPr>
      <w:r>
        <w:rPr>
          <w:rFonts w:hint="eastAsia" w:cs="宋体"/>
          <w:color w:val="000000"/>
          <w:kern w:val="0"/>
          <w:sz w:val="21"/>
          <w:szCs w:val="21"/>
          <w:highlight w:val="none"/>
        </w:rPr>
        <w:t>合同签订付30%，项目组人员进场付30%，验收后支付40%，验收合格后，乙方向甲方支付10%履约保证金，质保期满后，甲方向乙方不计利息返还履约保证金。</w:t>
      </w:r>
    </w:p>
    <w:p w14:paraId="29738AEA">
      <w:pPr>
        <w:adjustRightInd w:val="0"/>
        <w:snapToGrid w:val="0"/>
        <w:rPr>
          <w:rFonts w:hint="eastAsia"/>
          <w:b/>
          <w:bCs/>
          <w:kern w:val="0"/>
          <w:sz w:val="21"/>
          <w:szCs w:val="21"/>
          <w:highlight w:val="none"/>
        </w:rPr>
      </w:pPr>
      <w:r>
        <w:rPr>
          <w:rFonts w:hint="eastAsia"/>
          <w:b/>
          <w:bCs/>
          <w:kern w:val="0"/>
          <w:sz w:val="21"/>
          <w:szCs w:val="21"/>
          <w:highlight w:val="none"/>
        </w:rPr>
        <w:t>（四）质保期</w:t>
      </w:r>
    </w:p>
    <w:p w14:paraId="50A4F3F8">
      <w:pPr>
        <w:adjustRightInd w:val="0"/>
        <w:snapToGrid w:val="0"/>
        <w:ind w:firstLine="420" w:firstLineChars="200"/>
        <w:rPr>
          <w:rFonts w:hint="eastAsia"/>
          <w:bCs/>
          <w:kern w:val="0"/>
          <w:sz w:val="21"/>
          <w:szCs w:val="21"/>
          <w:highlight w:val="none"/>
        </w:rPr>
      </w:pPr>
      <w:r>
        <w:rPr>
          <w:rFonts w:hint="eastAsia"/>
          <w:bCs/>
          <w:kern w:val="0"/>
          <w:sz w:val="21"/>
          <w:szCs w:val="21"/>
          <w:highlight w:val="none"/>
          <w:lang w:val="en-US" w:eastAsia="zh-CN"/>
        </w:rPr>
        <w:t>验收合格后</w:t>
      </w:r>
      <w:r>
        <w:rPr>
          <w:rFonts w:hint="eastAsia"/>
          <w:bCs/>
          <w:kern w:val="0"/>
          <w:sz w:val="21"/>
          <w:szCs w:val="21"/>
          <w:highlight w:val="none"/>
        </w:rPr>
        <w:t>2年</w:t>
      </w:r>
    </w:p>
    <w:p w14:paraId="63305D70">
      <w:pPr>
        <w:adjustRightInd w:val="0"/>
        <w:snapToGrid w:val="0"/>
        <w:rPr>
          <w:rFonts w:hint="eastAsia"/>
          <w:b/>
          <w:bCs/>
          <w:kern w:val="0"/>
          <w:sz w:val="21"/>
          <w:szCs w:val="21"/>
          <w:highlight w:val="none"/>
        </w:rPr>
      </w:pPr>
      <w:r>
        <w:rPr>
          <w:rFonts w:hint="eastAsia"/>
          <w:b/>
          <w:bCs/>
          <w:kern w:val="0"/>
          <w:sz w:val="21"/>
          <w:szCs w:val="21"/>
          <w:highlight w:val="none"/>
        </w:rPr>
        <w:t>（五）售后要求</w:t>
      </w:r>
    </w:p>
    <w:p w14:paraId="517D848D">
      <w:pPr>
        <w:adjustRightInd w:val="0"/>
        <w:snapToGrid w:val="0"/>
        <w:ind w:firstLine="420" w:firstLineChars="200"/>
        <w:rPr>
          <w:rFonts w:hint="eastAsia"/>
          <w:kern w:val="0"/>
          <w:sz w:val="21"/>
          <w:szCs w:val="21"/>
          <w:highlight w:val="none"/>
        </w:rPr>
      </w:pPr>
      <w:r>
        <w:rPr>
          <w:rFonts w:hint="eastAsia"/>
          <w:kern w:val="0"/>
          <w:sz w:val="21"/>
          <w:szCs w:val="21"/>
          <w:highlight w:val="none"/>
        </w:rPr>
        <w:t>1、质保期内的技术服务</w:t>
      </w:r>
    </w:p>
    <w:p w14:paraId="57530085">
      <w:pPr>
        <w:adjustRightInd w:val="0"/>
        <w:snapToGrid w:val="0"/>
        <w:ind w:firstLine="420" w:firstLineChars="200"/>
        <w:rPr>
          <w:rFonts w:hint="eastAsia"/>
          <w:kern w:val="0"/>
          <w:sz w:val="21"/>
          <w:szCs w:val="21"/>
          <w:highlight w:val="none"/>
        </w:rPr>
      </w:pPr>
      <w:r>
        <w:rPr>
          <w:kern w:val="0"/>
          <w:sz w:val="21"/>
          <w:szCs w:val="21"/>
          <w:highlight w:val="none"/>
        </w:rPr>
        <w:t></w:t>
      </w:r>
      <w:r>
        <w:rPr>
          <w:rFonts w:hint="eastAsia"/>
          <w:kern w:val="0"/>
          <w:sz w:val="21"/>
          <w:szCs w:val="21"/>
          <w:highlight w:val="none"/>
        </w:rPr>
        <w:t>1.1升级服务。提供在正常条件下保证系统正常稳定运行的系统更新升级服务。</w:t>
      </w:r>
    </w:p>
    <w:p w14:paraId="2647CC5A">
      <w:pPr>
        <w:adjustRightInd w:val="0"/>
        <w:snapToGrid w:val="0"/>
        <w:ind w:firstLine="420" w:firstLineChars="200"/>
        <w:rPr>
          <w:rFonts w:hint="eastAsia"/>
          <w:kern w:val="0"/>
          <w:sz w:val="21"/>
          <w:szCs w:val="21"/>
          <w:highlight w:val="none"/>
        </w:rPr>
      </w:pPr>
      <w:r>
        <w:rPr>
          <w:kern w:val="0"/>
          <w:sz w:val="21"/>
          <w:szCs w:val="21"/>
          <w:highlight w:val="none"/>
        </w:rPr>
        <w:t></w:t>
      </w:r>
      <w:r>
        <w:rPr>
          <w:rFonts w:hint="eastAsia"/>
          <w:kern w:val="0"/>
          <w:sz w:val="21"/>
          <w:szCs w:val="21"/>
          <w:highlight w:val="none"/>
        </w:rPr>
        <w:t>1.2优化服务。提供在正常条件下改进系统性能的各项建议，包括系统资源分配与效率改进建议、软件配置规划和性能优化建议、系统容量预测建议等。</w:t>
      </w:r>
    </w:p>
    <w:p w14:paraId="2B7770F6">
      <w:pPr>
        <w:adjustRightInd w:val="0"/>
        <w:snapToGrid w:val="0"/>
        <w:ind w:firstLine="420" w:firstLineChars="200"/>
        <w:rPr>
          <w:rFonts w:hint="eastAsia"/>
          <w:color w:val="auto"/>
          <w:kern w:val="0"/>
          <w:sz w:val="21"/>
          <w:szCs w:val="21"/>
          <w:highlight w:val="none"/>
        </w:rPr>
      </w:pPr>
      <w:r>
        <w:rPr>
          <w:color w:val="auto"/>
          <w:kern w:val="0"/>
          <w:sz w:val="21"/>
          <w:szCs w:val="21"/>
          <w:highlight w:val="none"/>
        </w:rPr>
        <w:t></w:t>
      </w:r>
      <w:r>
        <w:rPr>
          <w:rFonts w:hint="eastAsia"/>
          <w:color w:val="auto"/>
          <w:kern w:val="0"/>
          <w:sz w:val="21"/>
          <w:szCs w:val="21"/>
          <w:highlight w:val="none"/>
        </w:rPr>
        <w:t>1.3咨询服务。提供系统软件应用和维护技术咨询服务。</w:t>
      </w:r>
    </w:p>
    <w:p w14:paraId="20356629">
      <w:pPr>
        <w:adjustRightInd w:val="0"/>
        <w:snapToGrid w:val="0"/>
        <w:ind w:firstLine="210" w:firstLineChars="100"/>
        <w:rPr>
          <w:rFonts w:hint="eastAsia"/>
          <w:color w:val="auto"/>
          <w:kern w:val="0"/>
          <w:sz w:val="21"/>
          <w:szCs w:val="21"/>
          <w:highlight w:val="none"/>
        </w:rPr>
      </w:pPr>
      <w:r>
        <w:rPr>
          <w:color w:val="auto"/>
          <w:kern w:val="0"/>
          <w:sz w:val="21"/>
          <w:szCs w:val="21"/>
          <w:highlight w:val="none"/>
        </w:rPr>
        <w:tab/>
      </w:r>
      <w:r>
        <w:rPr>
          <w:rFonts w:hint="eastAsia"/>
          <w:color w:val="auto"/>
          <w:kern w:val="0"/>
          <w:sz w:val="21"/>
          <w:szCs w:val="21"/>
          <w:highlight w:val="none"/>
        </w:rPr>
        <w:t xml:space="preserve">  1.4电话或现场技术服务。提供电话或现场技术服务。</w:t>
      </w:r>
    </w:p>
    <w:p w14:paraId="0EA5EC05">
      <w:pPr>
        <w:adjustRightInd w:val="0"/>
        <w:snapToGrid w:val="0"/>
        <w:ind w:firstLine="420" w:firstLineChars="200"/>
        <w:rPr>
          <w:rFonts w:hint="eastAsia"/>
          <w:color w:val="auto"/>
          <w:kern w:val="0"/>
          <w:sz w:val="21"/>
          <w:szCs w:val="21"/>
          <w:highlight w:val="none"/>
        </w:rPr>
      </w:pPr>
      <w:r>
        <w:rPr>
          <w:rFonts w:hint="eastAsia"/>
          <w:color w:val="auto"/>
          <w:kern w:val="0"/>
          <w:sz w:val="21"/>
          <w:szCs w:val="21"/>
          <w:highlight w:val="none"/>
          <w:lang w:val="en-US" w:eastAsia="zh-CN"/>
        </w:rPr>
        <w:t>2</w:t>
      </w:r>
      <w:r>
        <w:rPr>
          <w:rFonts w:hint="eastAsia"/>
          <w:color w:val="auto"/>
          <w:kern w:val="0"/>
          <w:sz w:val="21"/>
          <w:szCs w:val="21"/>
          <w:highlight w:val="none"/>
        </w:rPr>
        <w:t>、需根据院方实际工作需要提出的功能需求，积极响应，进行本地化修改并满足工作要求。并在实施及免费维护</w:t>
      </w:r>
      <w:r>
        <w:rPr>
          <w:rFonts w:hint="eastAsia"/>
          <w:color w:val="auto"/>
          <w:kern w:val="0"/>
          <w:sz w:val="21"/>
          <w:szCs w:val="21"/>
          <w:highlight w:val="none"/>
        </w:rPr>
        <w:t>期内，保证合同范围内功能模块满足客户化需求。</w:t>
      </w:r>
    </w:p>
    <w:p w14:paraId="0E5C44CD">
      <w:pPr>
        <w:adjustRightInd w:val="0"/>
        <w:snapToGrid w:val="0"/>
        <w:ind w:firstLine="420" w:firstLineChars="200"/>
        <w:rPr>
          <w:rFonts w:hint="eastAsia"/>
          <w:color w:val="auto"/>
          <w:kern w:val="0"/>
          <w:sz w:val="21"/>
          <w:szCs w:val="21"/>
          <w:highlight w:val="none"/>
        </w:rPr>
      </w:pPr>
      <w:r>
        <w:rPr>
          <w:rFonts w:hint="eastAsia"/>
          <w:color w:val="auto"/>
          <w:kern w:val="0"/>
          <w:sz w:val="21"/>
          <w:szCs w:val="21"/>
          <w:highlight w:val="none"/>
          <w:lang w:val="en-US" w:eastAsia="zh-CN"/>
        </w:rPr>
        <w:t>3、</w:t>
      </w:r>
      <w:r>
        <w:rPr>
          <w:rFonts w:hint="eastAsia"/>
          <w:color w:val="auto"/>
          <w:kern w:val="0"/>
          <w:sz w:val="21"/>
          <w:szCs w:val="21"/>
          <w:highlight w:val="none"/>
        </w:rPr>
        <w:t>必须按院方指定的方式提供7×24小时支持维护服务并在30分钟内响应，维护方式包括邮件、电话、远程维护、现场服务等方式。必须保证有足够的人员及技术支持电话负责本系统运维工作，对于与所供产品有关的问题无法远程解决的必须派人现场解决的问题，保证在收到现场服务通知后，24小时内到达现场，2小时内未解决的成交供应商应提供详细的应急解决方案。</w:t>
      </w:r>
    </w:p>
    <w:p w14:paraId="04C81CCE">
      <w:pPr>
        <w:adjustRightInd w:val="0"/>
        <w:snapToGrid w:val="0"/>
        <w:rPr>
          <w:rFonts w:hint="eastAsia"/>
          <w:b/>
          <w:bCs/>
          <w:color w:val="auto"/>
          <w:kern w:val="0"/>
          <w:sz w:val="21"/>
          <w:szCs w:val="21"/>
          <w:highlight w:val="none"/>
        </w:rPr>
      </w:pPr>
      <w:r>
        <w:rPr>
          <w:rFonts w:hint="eastAsia"/>
          <w:b/>
          <w:bCs/>
          <w:color w:val="auto"/>
          <w:kern w:val="0"/>
          <w:sz w:val="21"/>
          <w:szCs w:val="21"/>
          <w:highlight w:val="none"/>
        </w:rPr>
        <w:t>（六）历史数据连续性要求</w:t>
      </w:r>
    </w:p>
    <w:p w14:paraId="0C05C462">
      <w:pPr>
        <w:adjustRightInd w:val="0"/>
        <w:snapToGrid w:val="0"/>
        <w:ind w:firstLine="420" w:firstLineChars="200"/>
        <w:rPr>
          <w:rFonts w:hint="eastAsia"/>
          <w:color w:val="auto"/>
          <w:kern w:val="0"/>
          <w:sz w:val="21"/>
          <w:szCs w:val="21"/>
          <w:highlight w:val="none"/>
        </w:rPr>
      </w:pPr>
      <w:r>
        <w:rPr>
          <w:rFonts w:hint="eastAsia"/>
          <w:color w:val="auto"/>
          <w:kern w:val="0"/>
          <w:sz w:val="21"/>
          <w:szCs w:val="21"/>
          <w:highlight w:val="none"/>
        </w:rPr>
        <w:t>为保证医院历史数据的连续性，满足国家卫健委、医保局等的数据提取和统计要求，升级后系统能够确保与原有HIS</w:t>
      </w:r>
      <w:r>
        <w:rPr>
          <w:rFonts w:hint="eastAsia"/>
          <w:color w:val="auto"/>
          <w:kern w:val="0"/>
          <w:sz w:val="21"/>
          <w:szCs w:val="21"/>
          <w:highlight w:val="none"/>
        </w:rPr>
        <w:t>（医院信息系统）、EMR（电子病历系统）及集成平台的数据格式和结构保持高度兼容，并承诺实现院内五年以上历史数</w:t>
      </w:r>
      <w:r>
        <w:rPr>
          <w:rFonts w:hint="eastAsia"/>
          <w:color w:val="auto"/>
          <w:kern w:val="0"/>
          <w:sz w:val="21"/>
          <w:szCs w:val="21"/>
          <w:highlight w:val="none"/>
        </w:rPr>
        <w:t>据的完整迁移和无缝衔接。</w:t>
      </w:r>
    </w:p>
    <w:p w14:paraId="5101ADDE">
      <w:pPr>
        <w:adjustRightInd w:val="0"/>
        <w:snapToGrid w:val="0"/>
        <w:rPr>
          <w:rFonts w:hint="eastAsia"/>
          <w:b/>
          <w:bCs/>
          <w:kern w:val="0"/>
          <w:sz w:val="21"/>
          <w:szCs w:val="21"/>
          <w:highlight w:val="none"/>
        </w:rPr>
      </w:pPr>
      <w:r>
        <w:rPr>
          <w:rFonts w:hint="eastAsia"/>
          <w:b/>
          <w:bCs/>
          <w:kern w:val="0"/>
          <w:sz w:val="21"/>
          <w:szCs w:val="21"/>
          <w:highlight w:val="none"/>
        </w:rPr>
        <w:t>（七）系统演示要求</w:t>
      </w:r>
      <w:r>
        <w:rPr>
          <w:rFonts w:hint="eastAsia"/>
          <w:b/>
          <w:bCs/>
          <w:kern w:val="0"/>
          <w:sz w:val="21"/>
          <w:szCs w:val="21"/>
          <w:highlight w:val="none"/>
        </w:rPr>
        <w:t>（共10项）</w:t>
      </w:r>
    </w:p>
    <w:p w14:paraId="3C4C15DA">
      <w:pPr>
        <w:adjustRightInd w:val="0"/>
        <w:snapToGrid w:val="0"/>
        <w:ind w:firstLine="422" w:firstLineChars="200"/>
        <w:rPr>
          <w:rFonts w:hint="eastAsia"/>
          <w:kern w:val="0"/>
          <w:sz w:val="21"/>
          <w:szCs w:val="21"/>
          <w:highlight w:val="none"/>
        </w:rPr>
      </w:pPr>
      <w:r>
        <w:rPr>
          <w:rFonts w:hint="eastAsia"/>
          <w:b/>
          <w:bCs/>
          <w:kern w:val="0"/>
          <w:sz w:val="21"/>
          <w:szCs w:val="21"/>
          <w:highlight w:val="none"/>
        </w:rPr>
        <w:t>1.【需要演示】</w:t>
      </w:r>
      <w:r>
        <w:rPr>
          <w:rFonts w:hint="eastAsia"/>
          <w:kern w:val="0"/>
          <w:sz w:val="21"/>
          <w:szCs w:val="21"/>
          <w:highlight w:val="none"/>
        </w:rPr>
        <w:t xml:space="preserve">专用BS架构程序展示： </w:t>
      </w:r>
    </w:p>
    <w:p w14:paraId="4DEF2536">
      <w:pPr>
        <w:adjustRightInd w:val="0"/>
        <w:snapToGrid w:val="0"/>
        <w:ind w:firstLine="420" w:firstLineChars="200"/>
        <w:rPr>
          <w:rFonts w:hint="eastAsia"/>
          <w:kern w:val="0"/>
          <w:sz w:val="21"/>
          <w:szCs w:val="21"/>
          <w:highlight w:val="none"/>
        </w:rPr>
      </w:pPr>
      <w:r>
        <w:rPr>
          <w:rFonts w:hint="eastAsia"/>
          <w:kern w:val="0"/>
          <w:sz w:val="21"/>
          <w:szCs w:val="21"/>
          <w:highlight w:val="none"/>
        </w:rPr>
        <w:t>产品基于BS架构研发，可通过浏览器实现系统登陆访问，无需进行客户端配置；系统具备插件扩展功能，程序内支持对接不同厂商、多类型读卡器、手写板及多元化接口（医保、合理用药等）医疗专用基础插件、控件、驱动程序。</w:t>
      </w:r>
    </w:p>
    <w:p w14:paraId="6A735A5D">
      <w:pPr>
        <w:adjustRightInd w:val="0"/>
        <w:snapToGrid w:val="0"/>
        <w:ind w:firstLine="422" w:firstLineChars="200"/>
        <w:rPr>
          <w:rFonts w:hint="eastAsia"/>
          <w:kern w:val="0"/>
          <w:sz w:val="21"/>
          <w:szCs w:val="21"/>
          <w:highlight w:val="none"/>
        </w:rPr>
      </w:pPr>
      <w:r>
        <w:rPr>
          <w:rFonts w:hint="eastAsia"/>
          <w:b/>
          <w:bCs/>
          <w:kern w:val="0"/>
          <w:sz w:val="21"/>
          <w:szCs w:val="21"/>
          <w:highlight w:val="none"/>
        </w:rPr>
        <w:t>2.【需要演示】</w:t>
      </w:r>
      <w:r>
        <w:rPr>
          <w:rFonts w:hint="eastAsia"/>
          <w:kern w:val="0"/>
          <w:sz w:val="21"/>
          <w:szCs w:val="21"/>
          <w:highlight w:val="none"/>
        </w:rPr>
        <w:t>一体化和个性化设置：</w:t>
      </w:r>
    </w:p>
    <w:p w14:paraId="665E8224">
      <w:pPr>
        <w:adjustRightInd w:val="0"/>
        <w:snapToGrid w:val="0"/>
        <w:ind w:firstLine="420" w:firstLineChars="200"/>
        <w:rPr>
          <w:rFonts w:hint="eastAsia"/>
          <w:kern w:val="0"/>
          <w:sz w:val="21"/>
          <w:szCs w:val="21"/>
          <w:highlight w:val="none"/>
        </w:rPr>
      </w:pPr>
      <w:r>
        <w:rPr>
          <w:rFonts w:hint="eastAsia"/>
          <w:kern w:val="0"/>
          <w:sz w:val="21"/>
          <w:szCs w:val="21"/>
          <w:highlight w:val="none"/>
        </w:rPr>
        <w:t>1）系统支持一体化设计功能，可在同一界面展示所有业务系统的功能菜单，用户登录系统后可访问授权范围内所有应用。</w:t>
      </w:r>
    </w:p>
    <w:p w14:paraId="52B38F8B">
      <w:pPr>
        <w:adjustRightInd w:val="0"/>
        <w:snapToGrid w:val="0"/>
        <w:ind w:firstLine="420" w:firstLineChars="200"/>
        <w:rPr>
          <w:rFonts w:hint="eastAsia"/>
          <w:kern w:val="0"/>
          <w:sz w:val="21"/>
          <w:szCs w:val="21"/>
          <w:highlight w:val="none"/>
        </w:rPr>
      </w:pPr>
      <w:r>
        <w:rPr>
          <w:rFonts w:hint="eastAsia"/>
          <w:kern w:val="0"/>
          <w:sz w:val="21"/>
          <w:szCs w:val="21"/>
          <w:highlight w:val="none"/>
        </w:rPr>
        <w:t>2）支持一个用户可根据工作场景配置多个角色的工作桌面。</w:t>
      </w:r>
    </w:p>
    <w:p w14:paraId="4D96B9FC">
      <w:pPr>
        <w:adjustRightInd w:val="0"/>
        <w:snapToGrid w:val="0"/>
        <w:ind w:firstLine="420" w:firstLineChars="200"/>
        <w:rPr>
          <w:rFonts w:hint="eastAsia"/>
          <w:kern w:val="0"/>
          <w:sz w:val="21"/>
          <w:szCs w:val="21"/>
          <w:highlight w:val="none"/>
        </w:rPr>
      </w:pPr>
      <w:r>
        <w:rPr>
          <w:rFonts w:hint="eastAsia"/>
          <w:kern w:val="0"/>
          <w:sz w:val="21"/>
          <w:szCs w:val="21"/>
          <w:highlight w:val="none"/>
        </w:rPr>
        <w:t>3）不同工作角色工作桌面支持自定义配置包括常用菜单、门户组件。</w:t>
      </w:r>
    </w:p>
    <w:p w14:paraId="2A69E75E">
      <w:pPr>
        <w:adjustRightInd w:val="0"/>
        <w:snapToGrid w:val="0"/>
        <w:ind w:firstLine="422" w:firstLineChars="200"/>
        <w:rPr>
          <w:rFonts w:hint="eastAsia"/>
          <w:kern w:val="0"/>
          <w:sz w:val="21"/>
          <w:szCs w:val="21"/>
          <w:highlight w:val="none"/>
        </w:rPr>
      </w:pPr>
      <w:r>
        <w:rPr>
          <w:rFonts w:hint="eastAsia"/>
          <w:b/>
          <w:bCs/>
          <w:kern w:val="0"/>
          <w:sz w:val="21"/>
          <w:szCs w:val="21"/>
          <w:highlight w:val="none"/>
        </w:rPr>
        <w:t>3.【需要演示】</w:t>
      </w:r>
      <w:r>
        <w:rPr>
          <w:rFonts w:hint="eastAsia"/>
          <w:kern w:val="0"/>
          <w:sz w:val="21"/>
          <w:szCs w:val="21"/>
          <w:highlight w:val="none"/>
        </w:rPr>
        <w:t>系统角色个性化设置：</w:t>
      </w:r>
    </w:p>
    <w:p w14:paraId="3BDDCD6D">
      <w:pPr>
        <w:adjustRightInd w:val="0"/>
        <w:snapToGrid w:val="0"/>
        <w:ind w:firstLine="420" w:firstLineChars="200"/>
        <w:rPr>
          <w:rFonts w:hint="eastAsia"/>
          <w:kern w:val="0"/>
          <w:sz w:val="21"/>
          <w:szCs w:val="21"/>
          <w:highlight w:val="none"/>
        </w:rPr>
      </w:pPr>
      <w:r>
        <w:rPr>
          <w:rFonts w:hint="eastAsia"/>
          <w:kern w:val="0"/>
          <w:sz w:val="21"/>
          <w:szCs w:val="21"/>
          <w:highlight w:val="none"/>
        </w:rPr>
        <w:t>1）系统可为不同角色（门诊医生、住院医生、收费员、科室主任、住院护士等）定制不同的个性化门户，定制化的内容包括：功能链接、门户组件、桌面主题；</w:t>
      </w:r>
    </w:p>
    <w:p w14:paraId="471EA4FD">
      <w:pPr>
        <w:adjustRightInd w:val="0"/>
        <w:snapToGrid w:val="0"/>
        <w:ind w:firstLine="420" w:firstLineChars="200"/>
        <w:rPr>
          <w:rFonts w:hint="eastAsia"/>
          <w:kern w:val="0"/>
          <w:sz w:val="21"/>
          <w:szCs w:val="21"/>
          <w:highlight w:val="none"/>
        </w:rPr>
      </w:pPr>
      <w:r>
        <w:rPr>
          <w:rFonts w:hint="eastAsia"/>
          <w:kern w:val="0"/>
          <w:sz w:val="21"/>
          <w:szCs w:val="21"/>
          <w:highlight w:val="none"/>
        </w:rPr>
        <w:t>2）门诊医生门户可查看医生个人收入、科室收入、费用占比、绩效考核情况等，科主任门户可查看出入院人次、收入占比情况、工作量情况、手术占比、药占比、临床路径完成率可以下钻查看各类疾病分类患者平均住院日。</w:t>
      </w:r>
    </w:p>
    <w:p w14:paraId="7DAC684E">
      <w:pPr>
        <w:adjustRightInd w:val="0"/>
        <w:snapToGrid w:val="0"/>
        <w:ind w:firstLine="420" w:firstLineChars="200"/>
        <w:rPr>
          <w:rFonts w:hint="eastAsia"/>
          <w:kern w:val="0"/>
          <w:sz w:val="21"/>
          <w:szCs w:val="21"/>
          <w:highlight w:val="none"/>
        </w:rPr>
      </w:pPr>
      <w:r>
        <w:rPr>
          <w:rFonts w:hint="eastAsia"/>
          <w:kern w:val="0"/>
          <w:sz w:val="21"/>
          <w:szCs w:val="21"/>
          <w:highlight w:val="none"/>
        </w:rPr>
        <w:t>3）门诊医生工作站同屏完成门诊病历、医嘱开具、检查治疗预约等操作及患者标签显示、诊前信息查看、历史诊疗记录查看、检验检查报告、结果趋势查看等操作功能；</w:t>
      </w:r>
    </w:p>
    <w:p w14:paraId="5A2A75D7">
      <w:pPr>
        <w:adjustRightInd w:val="0"/>
        <w:snapToGrid w:val="0"/>
        <w:ind w:firstLine="420" w:firstLineChars="200"/>
        <w:rPr>
          <w:rFonts w:hint="eastAsia"/>
          <w:kern w:val="0"/>
          <w:sz w:val="21"/>
          <w:szCs w:val="21"/>
          <w:highlight w:val="none"/>
        </w:rPr>
      </w:pPr>
      <w:r>
        <w:rPr>
          <w:rFonts w:hint="eastAsia"/>
          <w:kern w:val="0"/>
          <w:sz w:val="21"/>
          <w:szCs w:val="21"/>
          <w:highlight w:val="none"/>
        </w:rPr>
        <w:t>4）住院医生工作站同屏完成医嘱开立、病历书写、检查检验结果引用等操作。</w:t>
      </w:r>
    </w:p>
    <w:p w14:paraId="29F79C89">
      <w:pPr>
        <w:adjustRightInd w:val="0"/>
        <w:snapToGrid w:val="0"/>
        <w:ind w:firstLine="422" w:firstLineChars="200"/>
        <w:rPr>
          <w:rFonts w:hint="eastAsia"/>
          <w:kern w:val="0"/>
          <w:sz w:val="21"/>
          <w:szCs w:val="21"/>
          <w:highlight w:val="none"/>
        </w:rPr>
      </w:pPr>
      <w:r>
        <w:rPr>
          <w:rFonts w:hint="eastAsia"/>
          <w:b/>
          <w:bCs/>
          <w:kern w:val="0"/>
          <w:sz w:val="21"/>
          <w:szCs w:val="21"/>
          <w:highlight w:val="none"/>
        </w:rPr>
        <w:t>4.【需要演示】</w:t>
      </w:r>
      <w:r>
        <w:rPr>
          <w:rFonts w:hint="eastAsia"/>
          <w:kern w:val="0"/>
          <w:sz w:val="21"/>
          <w:szCs w:val="21"/>
          <w:highlight w:val="none"/>
        </w:rPr>
        <w:t>流程引擎完成可视化配置功能：</w:t>
      </w:r>
    </w:p>
    <w:p w14:paraId="1B3D0F09">
      <w:pPr>
        <w:adjustRightInd w:val="0"/>
        <w:snapToGrid w:val="0"/>
        <w:ind w:firstLine="420" w:firstLineChars="200"/>
        <w:rPr>
          <w:rFonts w:hint="eastAsia"/>
          <w:kern w:val="0"/>
          <w:sz w:val="21"/>
          <w:szCs w:val="21"/>
          <w:highlight w:val="none"/>
        </w:rPr>
      </w:pPr>
      <w:r>
        <w:rPr>
          <w:rFonts w:hint="eastAsia"/>
          <w:kern w:val="0"/>
          <w:sz w:val="21"/>
          <w:szCs w:val="21"/>
          <w:highlight w:val="none"/>
        </w:rPr>
        <w:t>通过流程引擎完成可视化的流程配置，提供输血流程的关联配置、判断节点的脚本编辑等功能。</w:t>
      </w:r>
    </w:p>
    <w:p w14:paraId="107688E4">
      <w:pPr>
        <w:adjustRightInd w:val="0"/>
        <w:snapToGrid w:val="0"/>
        <w:ind w:firstLine="422" w:firstLineChars="200"/>
        <w:rPr>
          <w:rFonts w:hint="eastAsia"/>
          <w:kern w:val="0"/>
          <w:sz w:val="21"/>
          <w:szCs w:val="21"/>
          <w:highlight w:val="none"/>
        </w:rPr>
      </w:pPr>
      <w:r>
        <w:rPr>
          <w:rFonts w:hint="eastAsia"/>
          <w:b/>
          <w:bCs/>
          <w:kern w:val="0"/>
          <w:sz w:val="21"/>
          <w:szCs w:val="21"/>
          <w:highlight w:val="none"/>
        </w:rPr>
        <w:t>5.【需要演示】</w:t>
      </w:r>
      <w:r>
        <w:rPr>
          <w:rFonts w:hint="eastAsia"/>
          <w:kern w:val="0"/>
          <w:sz w:val="21"/>
          <w:szCs w:val="21"/>
          <w:highlight w:val="none"/>
        </w:rPr>
        <w:t>患者标签可视化配置功能：</w:t>
      </w:r>
    </w:p>
    <w:p w14:paraId="2E6E4448">
      <w:pPr>
        <w:adjustRightInd w:val="0"/>
        <w:snapToGrid w:val="0"/>
        <w:ind w:firstLine="420" w:firstLineChars="200"/>
        <w:rPr>
          <w:rFonts w:hint="eastAsia"/>
          <w:kern w:val="0"/>
          <w:sz w:val="21"/>
          <w:szCs w:val="21"/>
          <w:highlight w:val="none"/>
        </w:rPr>
      </w:pPr>
      <w:r>
        <w:rPr>
          <w:rFonts w:hint="eastAsia"/>
          <w:kern w:val="0"/>
          <w:sz w:val="21"/>
          <w:szCs w:val="21"/>
          <w:highlight w:val="none"/>
        </w:rPr>
        <w:t>提供患者标签的可视化配置，方便新增、删除、修改患者标签，包括标签的名称、颜色、图标、详细信息、展示规则等，并至少提供 20 种以上的患者标签。前台患者标签可动态查看如高血压警示患者的血压趋势、发热患者的体温趋势等。</w:t>
      </w:r>
    </w:p>
    <w:p w14:paraId="573E5380">
      <w:pPr>
        <w:adjustRightInd w:val="0"/>
        <w:snapToGrid w:val="0"/>
        <w:ind w:firstLine="422" w:firstLineChars="200"/>
        <w:rPr>
          <w:rFonts w:hint="eastAsia"/>
          <w:kern w:val="0"/>
          <w:sz w:val="21"/>
          <w:szCs w:val="21"/>
          <w:highlight w:val="none"/>
        </w:rPr>
      </w:pPr>
      <w:r>
        <w:rPr>
          <w:rFonts w:hint="eastAsia"/>
          <w:b/>
          <w:bCs/>
          <w:kern w:val="0"/>
          <w:sz w:val="21"/>
          <w:szCs w:val="21"/>
          <w:highlight w:val="none"/>
        </w:rPr>
        <w:t>6.【需要演示】</w:t>
      </w:r>
      <w:r>
        <w:rPr>
          <w:rFonts w:hint="eastAsia"/>
          <w:kern w:val="0"/>
          <w:sz w:val="21"/>
          <w:szCs w:val="21"/>
          <w:highlight w:val="none"/>
        </w:rPr>
        <w:t>临床仪表盘的可视化配置功能：</w:t>
      </w:r>
    </w:p>
    <w:p w14:paraId="0D162B12">
      <w:pPr>
        <w:adjustRightInd w:val="0"/>
        <w:snapToGrid w:val="0"/>
        <w:ind w:firstLine="420" w:firstLineChars="200"/>
        <w:rPr>
          <w:rFonts w:hint="eastAsia"/>
          <w:kern w:val="0"/>
          <w:sz w:val="21"/>
          <w:szCs w:val="21"/>
          <w:highlight w:val="none"/>
        </w:rPr>
      </w:pPr>
      <w:r>
        <w:rPr>
          <w:rFonts w:hint="eastAsia"/>
          <w:kern w:val="0"/>
          <w:sz w:val="21"/>
          <w:szCs w:val="21"/>
          <w:highlight w:val="none"/>
        </w:rPr>
        <w:t>提供临床仪表盘的可视化配置，包括诊断信息、检查检验指标、生命体征、病情，并可按科室配置个性化临床仪表盘。</w:t>
      </w:r>
    </w:p>
    <w:p w14:paraId="267F15A7">
      <w:pPr>
        <w:adjustRightInd w:val="0"/>
        <w:snapToGrid w:val="0"/>
        <w:ind w:firstLine="422" w:firstLineChars="200"/>
        <w:rPr>
          <w:rFonts w:hint="eastAsia"/>
          <w:kern w:val="0"/>
          <w:sz w:val="21"/>
          <w:szCs w:val="21"/>
          <w:highlight w:val="none"/>
        </w:rPr>
      </w:pPr>
      <w:r>
        <w:rPr>
          <w:rFonts w:hint="eastAsia"/>
          <w:b/>
          <w:bCs/>
          <w:kern w:val="0"/>
          <w:sz w:val="21"/>
          <w:szCs w:val="21"/>
          <w:highlight w:val="none"/>
        </w:rPr>
        <w:t>7.【需要演示】</w:t>
      </w:r>
      <w:r>
        <w:rPr>
          <w:rFonts w:hint="eastAsia"/>
          <w:kern w:val="0"/>
          <w:sz w:val="21"/>
          <w:szCs w:val="21"/>
          <w:highlight w:val="none"/>
        </w:rPr>
        <w:t>闭环流程管理功能：</w:t>
      </w:r>
    </w:p>
    <w:p w14:paraId="746E5F69">
      <w:pPr>
        <w:adjustRightInd w:val="0"/>
        <w:snapToGrid w:val="0"/>
        <w:ind w:firstLine="420" w:firstLineChars="200"/>
        <w:rPr>
          <w:rFonts w:hint="eastAsia"/>
          <w:kern w:val="0"/>
          <w:sz w:val="21"/>
          <w:szCs w:val="21"/>
          <w:highlight w:val="none"/>
        </w:rPr>
      </w:pPr>
      <w:r>
        <w:rPr>
          <w:rFonts w:hint="eastAsia"/>
          <w:kern w:val="0"/>
          <w:sz w:val="21"/>
          <w:szCs w:val="21"/>
          <w:highlight w:val="none"/>
        </w:rPr>
        <w:t>可支持危急值、药品、检查、检验、治疗、手术、临床用血的闭环流程管理，可实时查看医嘱执行闭环的当前节点及超时节点，并能预测闭环完成的时间及耗时。</w:t>
      </w:r>
    </w:p>
    <w:p w14:paraId="494F44BE">
      <w:pPr>
        <w:adjustRightInd w:val="0"/>
        <w:snapToGrid w:val="0"/>
        <w:ind w:firstLine="422" w:firstLineChars="200"/>
        <w:rPr>
          <w:rFonts w:hint="eastAsia"/>
          <w:kern w:val="0"/>
          <w:sz w:val="21"/>
          <w:szCs w:val="21"/>
          <w:highlight w:val="none"/>
        </w:rPr>
      </w:pPr>
      <w:r>
        <w:rPr>
          <w:rFonts w:hint="eastAsia"/>
          <w:b/>
          <w:bCs/>
          <w:kern w:val="0"/>
          <w:sz w:val="21"/>
          <w:szCs w:val="21"/>
          <w:highlight w:val="none"/>
        </w:rPr>
        <w:t>8.【需要演示】</w:t>
      </w:r>
      <w:r>
        <w:rPr>
          <w:rFonts w:hint="eastAsia"/>
          <w:kern w:val="0"/>
          <w:sz w:val="21"/>
          <w:szCs w:val="21"/>
          <w:highlight w:val="none"/>
        </w:rPr>
        <w:t>危急值全流程管理功能：</w:t>
      </w:r>
    </w:p>
    <w:p w14:paraId="010D01C6">
      <w:pPr>
        <w:adjustRightInd w:val="0"/>
        <w:snapToGrid w:val="0"/>
        <w:ind w:firstLine="420" w:firstLineChars="200"/>
        <w:rPr>
          <w:rFonts w:hint="eastAsia"/>
          <w:kern w:val="0"/>
          <w:sz w:val="21"/>
          <w:szCs w:val="21"/>
          <w:highlight w:val="none"/>
        </w:rPr>
      </w:pPr>
      <w:r>
        <w:rPr>
          <w:rFonts w:hint="eastAsia"/>
          <w:kern w:val="0"/>
          <w:sz w:val="21"/>
          <w:szCs w:val="21"/>
          <w:highlight w:val="none"/>
        </w:rPr>
        <w:t>要求具备危急值的全程处置流程，从危急值的提醒、处理、生成文书的环节能通过系统进行处理。</w:t>
      </w:r>
    </w:p>
    <w:p w14:paraId="6B09A6C0">
      <w:pPr>
        <w:adjustRightInd w:val="0"/>
        <w:snapToGrid w:val="0"/>
        <w:ind w:firstLine="422" w:firstLineChars="200"/>
        <w:rPr>
          <w:rFonts w:hint="eastAsia"/>
          <w:kern w:val="0"/>
          <w:sz w:val="21"/>
          <w:szCs w:val="21"/>
          <w:highlight w:val="none"/>
        </w:rPr>
      </w:pPr>
      <w:r>
        <w:rPr>
          <w:rFonts w:hint="eastAsia"/>
          <w:b/>
          <w:bCs/>
          <w:kern w:val="0"/>
          <w:sz w:val="21"/>
          <w:szCs w:val="21"/>
          <w:highlight w:val="none"/>
        </w:rPr>
        <w:t>9.【需要演示】</w:t>
      </w:r>
      <w:r>
        <w:rPr>
          <w:rFonts w:hint="eastAsia"/>
          <w:kern w:val="0"/>
          <w:sz w:val="21"/>
          <w:szCs w:val="21"/>
          <w:highlight w:val="none"/>
        </w:rPr>
        <w:t>智能化运维管理功能：</w:t>
      </w:r>
    </w:p>
    <w:p w14:paraId="6C4EF8D4">
      <w:pPr>
        <w:adjustRightInd w:val="0"/>
        <w:snapToGrid w:val="0"/>
        <w:ind w:firstLine="420" w:firstLineChars="200"/>
        <w:rPr>
          <w:rFonts w:hint="eastAsia"/>
          <w:kern w:val="0"/>
          <w:sz w:val="21"/>
          <w:szCs w:val="21"/>
          <w:highlight w:val="none"/>
        </w:rPr>
      </w:pPr>
      <w:r>
        <w:rPr>
          <w:rFonts w:hint="eastAsia"/>
          <w:kern w:val="0"/>
          <w:sz w:val="21"/>
          <w:szCs w:val="21"/>
          <w:highlight w:val="none"/>
        </w:rPr>
        <w:t>1）要求系统能给实现全面的智能化运维服务。包括提供可视化运维监控管理大屏，能够实现对院内智慧医疗、智慧平台、智慧专科及集成平台的各类前后端服务自动告警、实时监控提醒。同时可查询系统监控报告、近一周告警情况及CPU、内存、磁盘使用情况。</w:t>
      </w:r>
    </w:p>
    <w:p w14:paraId="2CACC3BE">
      <w:pPr>
        <w:adjustRightInd w:val="0"/>
        <w:snapToGrid w:val="0"/>
        <w:ind w:firstLine="420" w:firstLineChars="200"/>
        <w:rPr>
          <w:rFonts w:hint="eastAsia"/>
          <w:kern w:val="0"/>
          <w:sz w:val="21"/>
          <w:szCs w:val="21"/>
          <w:highlight w:val="none"/>
        </w:rPr>
      </w:pPr>
      <w:r>
        <w:rPr>
          <w:rFonts w:hint="eastAsia"/>
          <w:kern w:val="0"/>
          <w:sz w:val="21"/>
          <w:szCs w:val="21"/>
          <w:highlight w:val="none"/>
        </w:rPr>
        <w:t>2）要求系统能够实现院内基础设施监控、运维监控、数据库监控、智能预警、一键巡检等功能。</w:t>
      </w:r>
    </w:p>
    <w:p w14:paraId="7ADE2B0F">
      <w:pPr>
        <w:adjustRightInd w:val="0"/>
        <w:snapToGrid w:val="0"/>
        <w:ind w:firstLine="422" w:firstLineChars="200"/>
        <w:rPr>
          <w:rFonts w:hint="eastAsia"/>
          <w:kern w:val="0"/>
          <w:sz w:val="21"/>
          <w:szCs w:val="21"/>
          <w:highlight w:val="none"/>
        </w:rPr>
      </w:pPr>
      <w:r>
        <w:rPr>
          <w:rFonts w:hint="eastAsia"/>
          <w:b/>
          <w:bCs/>
          <w:kern w:val="0"/>
          <w:sz w:val="21"/>
          <w:szCs w:val="21"/>
          <w:highlight w:val="none"/>
        </w:rPr>
        <w:t>10.【需要演示】</w:t>
      </w:r>
      <w:r>
        <w:rPr>
          <w:rFonts w:hint="eastAsia"/>
          <w:kern w:val="0"/>
          <w:sz w:val="21"/>
          <w:szCs w:val="21"/>
          <w:highlight w:val="none"/>
        </w:rPr>
        <w:t>系统初始化、历史数据迁移工具：</w:t>
      </w:r>
    </w:p>
    <w:p w14:paraId="3826D2E3">
      <w:pPr>
        <w:adjustRightInd w:val="0"/>
        <w:snapToGrid w:val="0"/>
        <w:ind w:firstLine="420" w:firstLineChars="200"/>
        <w:rPr>
          <w:rFonts w:hint="eastAsia"/>
          <w:kern w:val="0"/>
          <w:sz w:val="21"/>
          <w:szCs w:val="21"/>
          <w:highlight w:val="none"/>
        </w:rPr>
      </w:pPr>
      <w:r>
        <w:rPr>
          <w:rFonts w:hint="eastAsia"/>
          <w:kern w:val="0"/>
          <w:sz w:val="21"/>
          <w:szCs w:val="21"/>
          <w:highlight w:val="none"/>
        </w:rPr>
        <w:t>1）支持多任务历史数据同步，可视化迁移配置，可视化迁移过程，支持迁移任务实时监控，实现历史数据的延续。</w:t>
      </w:r>
    </w:p>
    <w:p w14:paraId="12EE16C6">
      <w:pPr>
        <w:adjustRightInd w:val="0"/>
        <w:snapToGrid w:val="0"/>
        <w:ind w:firstLine="420" w:firstLineChars="200"/>
        <w:rPr>
          <w:rFonts w:hint="eastAsia"/>
          <w:b/>
          <w:bCs/>
          <w:kern w:val="0"/>
          <w:sz w:val="21"/>
          <w:szCs w:val="21"/>
          <w:highlight w:val="none"/>
        </w:rPr>
      </w:pPr>
      <w:r>
        <w:rPr>
          <w:rFonts w:hint="eastAsia"/>
          <w:kern w:val="0"/>
          <w:sz w:val="21"/>
          <w:szCs w:val="21"/>
          <w:highlight w:val="none"/>
        </w:rPr>
        <w:t>2)数据迁移平台具有迁移数据校验规则，支持对迁移后异常数据的查询及重新执行。</w:t>
      </w:r>
    </w:p>
    <w:p w14:paraId="544BAA42">
      <w:pPr>
        <w:pStyle w:val="2"/>
        <w:numPr>
          <w:ilvl w:val="0"/>
          <w:numId w:val="0"/>
        </w:numPr>
        <w:ind w:left="420" w:hanging="420"/>
        <w:jc w:val="both"/>
        <w:rPr>
          <w:sz w:val="21"/>
          <w:szCs w:val="21"/>
          <w:highlight w:val="none"/>
        </w:rPr>
      </w:pPr>
      <w:bookmarkStart w:id="61" w:name="_Toc2376"/>
      <w:r>
        <w:rPr>
          <w:rFonts w:hint="eastAsia"/>
          <w:sz w:val="21"/>
          <w:szCs w:val="21"/>
          <w:highlight w:val="none"/>
        </w:rPr>
        <w:t>建设内容清单</w:t>
      </w:r>
      <w:bookmarkEnd w:id="61"/>
    </w:p>
    <w:p w14:paraId="75CF8AD4">
      <w:pPr>
        <w:rPr>
          <w:rFonts w:hint="eastAsia"/>
          <w:szCs w:val="21"/>
          <w:highlight w:val="none"/>
        </w:rPr>
      </w:pPr>
      <w:r>
        <w:rPr>
          <w:rFonts w:hint="eastAsia"/>
          <w:szCs w:val="21"/>
          <w:highlight w:val="none"/>
        </w:rPr>
        <w:t>本期项目详细建设内容清单如下表格：</w:t>
      </w:r>
    </w:p>
    <w:tbl>
      <w:tblPr>
        <w:tblStyle w:val="44"/>
        <w:tblW w:w="8694" w:type="dxa"/>
        <w:tblInd w:w="0" w:type="dxa"/>
        <w:tblLayout w:type="autofit"/>
        <w:tblCellMar>
          <w:top w:w="0" w:type="dxa"/>
          <w:left w:w="108" w:type="dxa"/>
          <w:bottom w:w="0" w:type="dxa"/>
          <w:right w:w="108" w:type="dxa"/>
        </w:tblCellMar>
      </w:tblPr>
      <w:tblGrid>
        <w:gridCol w:w="576"/>
        <w:gridCol w:w="2127"/>
        <w:gridCol w:w="1559"/>
        <w:gridCol w:w="3645"/>
        <w:gridCol w:w="43"/>
        <w:gridCol w:w="706"/>
        <w:gridCol w:w="57"/>
      </w:tblGrid>
      <w:tr w14:paraId="6C1081BB">
        <w:tblPrEx>
          <w:tblCellMar>
            <w:top w:w="0" w:type="dxa"/>
            <w:left w:w="108" w:type="dxa"/>
            <w:bottom w:w="0" w:type="dxa"/>
            <w:right w:w="108" w:type="dxa"/>
          </w:tblCellMar>
        </w:tblPrEx>
        <w:trPr>
          <w:gridAfter w:val="1"/>
          <w:wAfter w:w="57" w:type="dxa"/>
          <w:trHeight w:val="300" w:hRule="atLeast"/>
        </w:trPr>
        <w:tc>
          <w:tcPr>
            <w:tcW w:w="557" w:type="dxa"/>
            <w:tcBorders>
              <w:top w:val="single" w:color="auto" w:sz="8" w:space="0"/>
              <w:left w:val="single" w:color="auto" w:sz="8" w:space="0"/>
              <w:bottom w:val="single" w:color="auto" w:sz="8" w:space="0"/>
              <w:right w:val="single" w:color="auto" w:sz="8" w:space="0"/>
            </w:tcBorders>
            <w:shd w:val="clear" w:color="000000" w:fill="D9D9D9"/>
            <w:noWrap/>
            <w:vAlign w:val="center"/>
          </w:tcPr>
          <w:p w14:paraId="360DD396">
            <w:pPr>
              <w:widowControl/>
              <w:jc w:val="center"/>
              <w:rPr>
                <w:rFonts w:hint="eastAsia" w:cs="宋体"/>
                <w:b/>
                <w:bCs/>
                <w:color w:val="000000"/>
                <w:kern w:val="0"/>
                <w:szCs w:val="21"/>
                <w:highlight w:val="none"/>
              </w:rPr>
            </w:pPr>
            <w:bookmarkStart w:id="62" w:name="_Hlk193705920"/>
            <w:r>
              <w:rPr>
                <w:rFonts w:hint="eastAsia" w:cs="宋体"/>
                <w:b/>
                <w:bCs/>
                <w:color w:val="000000"/>
                <w:kern w:val="0"/>
                <w:szCs w:val="21"/>
                <w:highlight w:val="none"/>
              </w:rPr>
              <w:t>序号</w:t>
            </w:r>
          </w:p>
        </w:tc>
        <w:tc>
          <w:tcPr>
            <w:tcW w:w="2127" w:type="dxa"/>
            <w:tcBorders>
              <w:top w:val="single" w:color="auto" w:sz="8" w:space="0"/>
              <w:left w:val="nil"/>
              <w:bottom w:val="single" w:color="auto" w:sz="8" w:space="0"/>
              <w:right w:val="single" w:color="auto" w:sz="8" w:space="0"/>
            </w:tcBorders>
            <w:shd w:val="clear" w:color="000000" w:fill="D9D9D9"/>
            <w:noWrap/>
            <w:vAlign w:val="center"/>
          </w:tcPr>
          <w:p w14:paraId="4B7B02F9">
            <w:pPr>
              <w:widowControl/>
              <w:jc w:val="center"/>
              <w:rPr>
                <w:rFonts w:hint="eastAsia" w:cs="宋体"/>
                <w:b/>
                <w:bCs/>
                <w:color w:val="000000"/>
                <w:kern w:val="0"/>
                <w:szCs w:val="21"/>
                <w:highlight w:val="none"/>
              </w:rPr>
            </w:pPr>
            <w:r>
              <w:rPr>
                <w:rFonts w:hint="eastAsia" w:cs="宋体"/>
                <w:b/>
                <w:bCs/>
                <w:color w:val="000000"/>
                <w:kern w:val="0"/>
                <w:szCs w:val="21"/>
                <w:highlight w:val="none"/>
              </w:rPr>
              <w:t>产品名称</w:t>
            </w:r>
          </w:p>
        </w:tc>
        <w:tc>
          <w:tcPr>
            <w:tcW w:w="1559" w:type="dxa"/>
            <w:tcBorders>
              <w:top w:val="single" w:color="auto" w:sz="8" w:space="0"/>
              <w:left w:val="nil"/>
              <w:bottom w:val="single" w:color="auto" w:sz="8" w:space="0"/>
              <w:right w:val="single" w:color="auto" w:sz="8" w:space="0"/>
            </w:tcBorders>
            <w:shd w:val="clear" w:color="000000" w:fill="D9D9D9"/>
            <w:noWrap/>
            <w:vAlign w:val="center"/>
          </w:tcPr>
          <w:p w14:paraId="492DF05C">
            <w:pPr>
              <w:widowControl/>
              <w:jc w:val="center"/>
              <w:rPr>
                <w:rFonts w:hint="eastAsia" w:cs="宋体"/>
                <w:b/>
                <w:bCs/>
                <w:color w:val="000000"/>
                <w:kern w:val="0"/>
                <w:szCs w:val="21"/>
                <w:highlight w:val="none"/>
              </w:rPr>
            </w:pPr>
            <w:r>
              <w:rPr>
                <w:rFonts w:hint="eastAsia" w:cs="宋体"/>
                <w:b/>
                <w:bCs/>
                <w:color w:val="000000"/>
                <w:kern w:val="0"/>
                <w:szCs w:val="21"/>
                <w:highlight w:val="none"/>
              </w:rPr>
              <w:t>模块分类</w:t>
            </w:r>
          </w:p>
        </w:tc>
        <w:tc>
          <w:tcPr>
            <w:tcW w:w="3645" w:type="dxa"/>
            <w:tcBorders>
              <w:top w:val="single" w:color="auto" w:sz="8" w:space="0"/>
              <w:left w:val="nil"/>
              <w:bottom w:val="single" w:color="auto" w:sz="8" w:space="0"/>
              <w:right w:val="single" w:color="auto" w:sz="8" w:space="0"/>
            </w:tcBorders>
            <w:shd w:val="clear" w:color="000000" w:fill="D9D9D9"/>
            <w:noWrap/>
            <w:vAlign w:val="center"/>
          </w:tcPr>
          <w:p w14:paraId="026AD477">
            <w:pPr>
              <w:widowControl/>
              <w:jc w:val="center"/>
              <w:rPr>
                <w:rFonts w:hint="eastAsia" w:cs="宋体"/>
                <w:b/>
                <w:bCs/>
                <w:color w:val="000000"/>
                <w:kern w:val="0"/>
                <w:szCs w:val="21"/>
                <w:highlight w:val="none"/>
              </w:rPr>
            </w:pPr>
            <w:r>
              <w:rPr>
                <w:rFonts w:hint="eastAsia" w:cs="宋体"/>
                <w:b/>
                <w:bCs/>
                <w:color w:val="000000"/>
                <w:kern w:val="0"/>
                <w:szCs w:val="21"/>
                <w:highlight w:val="none"/>
              </w:rPr>
              <w:t>模块名称</w:t>
            </w:r>
          </w:p>
        </w:tc>
        <w:tc>
          <w:tcPr>
            <w:tcW w:w="749" w:type="dxa"/>
            <w:gridSpan w:val="2"/>
            <w:tcBorders>
              <w:top w:val="single" w:color="auto" w:sz="8" w:space="0"/>
              <w:left w:val="nil"/>
              <w:bottom w:val="single" w:color="auto" w:sz="8" w:space="0"/>
              <w:right w:val="single" w:color="auto" w:sz="8" w:space="0"/>
            </w:tcBorders>
            <w:shd w:val="clear" w:color="000000" w:fill="D9D9D9"/>
            <w:noWrap/>
            <w:vAlign w:val="center"/>
          </w:tcPr>
          <w:p w14:paraId="576580F1">
            <w:pPr>
              <w:widowControl/>
              <w:jc w:val="center"/>
              <w:rPr>
                <w:rFonts w:hint="eastAsia" w:cs="宋体"/>
                <w:b/>
                <w:bCs/>
                <w:color w:val="000000"/>
                <w:kern w:val="0"/>
                <w:szCs w:val="21"/>
                <w:highlight w:val="none"/>
              </w:rPr>
            </w:pPr>
            <w:r>
              <w:rPr>
                <w:rFonts w:hint="eastAsia" w:cs="宋体"/>
                <w:b/>
                <w:bCs/>
                <w:color w:val="000000"/>
                <w:kern w:val="0"/>
                <w:szCs w:val="21"/>
                <w:highlight w:val="none"/>
              </w:rPr>
              <w:t>备注</w:t>
            </w:r>
          </w:p>
        </w:tc>
      </w:tr>
      <w:tr w14:paraId="03D979E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04DCE28">
            <w:pPr>
              <w:widowControl/>
              <w:jc w:val="right"/>
              <w:rPr>
                <w:rFonts w:hint="eastAsia"/>
                <w:color w:val="000000"/>
                <w:kern w:val="0"/>
                <w:szCs w:val="21"/>
                <w:highlight w:val="none"/>
              </w:rPr>
            </w:pPr>
            <w:r>
              <w:rPr>
                <w:color w:val="000000"/>
                <w:kern w:val="0"/>
                <w:szCs w:val="21"/>
                <w:highlight w:val="none"/>
              </w:rPr>
              <w:t>1</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53EAABAC">
            <w:pPr>
              <w:widowControl/>
              <w:jc w:val="center"/>
              <w:rPr>
                <w:rFonts w:hint="eastAsia" w:cs="宋体"/>
                <w:b/>
                <w:bCs/>
                <w:color w:val="000000"/>
                <w:kern w:val="0"/>
                <w:szCs w:val="21"/>
                <w:highlight w:val="none"/>
              </w:rPr>
            </w:pPr>
            <w:r>
              <w:rPr>
                <w:rFonts w:hint="eastAsia" w:cs="宋体"/>
                <w:b/>
                <w:bCs/>
                <w:color w:val="000000"/>
                <w:kern w:val="0"/>
                <w:szCs w:val="21"/>
                <w:highlight w:val="none"/>
              </w:rPr>
              <w:t>医院信息系统（</w:t>
            </w:r>
            <w:r>
              <w:rPr>
                <w:rFonts w:cs="Calibri"/>
                <w:b/>
                <w:bCs/>
                <w:color w:val="000000"/>
                <w:kern w:val="0"/>
                <w:szCs w:val="21"/>
                <w:highlight w:val="none"/>
              </w:rPr>
              <w:t>HIS</w:t>
            </w:r>
            <w:r>
              <w:rPr>
                <w:rFonts w:hint="eastAsia" w:cs="宋体"/>
                <w:b/>
                <w:bCs/>
                <w:color w:val="000000"/>
                <w:kern w:val="0"/>
                <w:szCs w:val="21"/>
                <w:highlight w:val="none"/>
              </w:rPr>
              <w:t>）升级</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6CC8C8D6">
            <w:pPr>
              <w:widowControl/>
              <w:jc w:val="center"/>
              <w:rPr>
                <w:rFonts w:hint="eastAsia" w:cs="宋体"/>
                <w:b/>
                <w:bCs/>
                <w:color w:val="000000"/>
                <w:kern w:val="0"/>
                <w:szCs w:val="21"/>
                <w:highlight w:val="none"/>
              </w:rPr>
            </w:pPr>
            <w:r>
              <w:rPr>
                <w:rFonts w:hint="eastAsia" w:cs="宋体"/>
                <w:b/>
                <w:bCs/>
                <w:color w:val="000000"/>
                <w:kern w:val="0"/>
                <w:szCs w:val="21"/>
                <w:highlight w:val="none"/>
              </w:rPr>
              <w:t>门诊管理</w:t>
            </w:r>
          </w:p>
        </w:tc>
        <w:tc>
          <w:tcPr>
            <w:tcW w:w="3645" w:type="dxa"/>
            <w:tcBorders>
              <w:top w:val="nil"/>
              <w:left w:val="nil"/>
              <w:bottom w:val="single" w:color="auto" w:sz="8" w:space="0"/>
              <w:right w:val="single" w:color="auto" w:sz="8" w:space="0"/>
            </w:tcBorders>
            <w:shd w:val="clear" w:color="auto" w:fill="auto"/>
            <w:noWrap/>
            <w:vAlign w:val="center"/>
          </w:tcPr>
          <w:p w14:paraId="6DCDB466">
            <w:pPr>
              <w:widowControl/>
              <w:jc w:val="left"/>
              <w:rPr>
                <w:rFonts w:hint="eastAsia" w:cs="宋体"/>
                <w:color w:val="000000"/>
                <w:kern w:val="0"/>
                <w:szCs w:val="21"/>
                <w:highlight w:val="none"/>
              </w:rPr>
            </w:pPr>
            <w:r>
              <w:rPr>
                <w:rFonts w:hint="eastAsia" w:cs="宋体"/>
                <w:color w:val="000000"/>
                <w:kern w:val="0"/>
                <w:szCs w:val="21"/>
                <w:highlight w:val="none"/>
              </w:rPr>
              <w:t>门急诊挂号收费系统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078E943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C49B97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9270815">
            <w:pPr>
              <w:widowControl/>
              <w:jc w:val="right"/>
              <w:rPr>
                <w:rFonts w:hint="eastAsia"/>
                <w:color w:val="000000"/>
                <w:kern w:val="0"/>
                <w:szCs w:val="21"/>
                <w:highlight w:val="none"/>
              </w:rPr>
            </w:pPr>
            <w:r>
              <w:rPr>
                <w:color w:val="000000"/>
                <w:kern w:val="0"/>
                <w:szCs w:val="21"/>
                <w:highlight w:val="none"/>
              </w:rPr>
              <w:t>2</w:t>
            </w:r>
          </w:p>
        </w:tc>
        <w:tc>
          <w:tcPr>
            <w:tcW w:w="2127" w:type="dxa"/>
            <w:vMerge w:val="continue"/>
            <w:tcBorders>
              <w:top w:val="nil"/>
              <w:left w:val="single" w:color="auto" w:sz="8" w:space="0"/>
              <w:bottom w:val="single" w:color="000000" w:sz="8" w:space="0"/>
              <w:right w:val="single" w:color="auto" w:sz="8" w:space="0"/>
            </w:tcBorders>
            <w:vAlign w:val="center"/>
          </w:tcPr>
          <w:p w14:paraId="796DF40D">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A38A28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9C05FE0">
            <w:pPr>
              <w:widowControl/>
              <w:jc w:val="left"/>
              <w:rPr>
                <w:rFonts w:hint="eastAsia" w:cs="宋体"/>
                <w:color w:val="000000"/>
                <w:kern w:val="0"/>
                <w:szCs w:val="21"/>
                <w:highlight w:val="none"/>
              </w:rPr>
            </w:pPr>
            <w:r>
              <w:rPr>
                <w:rFonts w:hint="eastAsia" w:cs="宋体"/>
                <w:color w:val="000000"/>
                <w:kern w:val="0"/>
                <w:szCs w:val="21"/>
                <w:highlight w:val="none"/>
              </w:rPr>
              <w:t>门诊医生工作站</w:t>
            </w:r>
          </w:p>
        </w:tc>
        <w:tc>
          <w:tcPr>
            <w:tcW w:w="749" w:type="dxa"/>
            <w:gridSpan w:val="2"/>
            <w:tcBorders>
              <w:top w:val="nil"/>
              <w:left w:val="nil"/>
              <w:bottom w:val="single" w:color="auto" w:sz="8" w:space="0"/>
              <w:right w:val="single" w:color="auto" w:sz="8" w:space="0"/>
            </w:tcBorders>
            <w:shd w:val="clear" w:color="auto" w:fill="auto"/>
            <w:noWrap/>
            <w:vAlign w:val="center"/>
          </w:tcPr>
          <w:p w14:paraId="242AE2C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F1A633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35BE7C9">
            <w:pPr>
              <w:widowControl/>
              <w:jc w:val="right"/>
              <w:rPr>
                <w:rFonts w:hint="eastAsia"/>
                <w:color w:val="000000"/>
                <w:kern w:val="0"/>
                <w:szCs w:val="21"/>
                <w:highlight w:val="none"/>
              </w:rPr>
            </w:pPr>
            <w:r>
              <w:rPr>
                <w:color w:val="000000"/>
                <w:kern w:val="0"/>
                <w:szCs w:val="21"/>
                <w:highlight w:val="none"/>
              </w:rPr>
              <w:t>3</w:t>
            </w:r>
          </w:p>
        </w:tc>
        <w:tc>
          <w:tcPr>
            <w:tcW w:w="2127" w:type="dxa"/>
            <w:vMerge w:val="continue"/>
            <w:tcBorders>
              <w:top w:val="nil"/>
              <w:left w:val="single" w:color="auto" w:sz="8" w:space="0"/>
              <w:bottom w:val="single" w:color="000000" w:sz="8" w:space="0"/>
              <w:right w:val="single" w:color="auto" w:sz="8" w:space="0"/>
            </w:tcBorders>
            <w:vAlign w:val="center"/>
          </w:tcPr>
          <w:p w14:paraId="07D7EBA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178332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B4EE53C">
            <w:pPr>
              <w:widowControl/>
              <w:jc w:val="left"/>
              <w:rPr>
                <w:rFonts w:hint="eastAsia" w:cs="宋体"/>
                <w:color w:val="000000"/>
                <w:kern w:val="0"/>
                <w:szCs w:val="21"/>
                <w:highlight w:val="none"/>
              </w:rPr>
            </w:pPr>
            <w:r>
              <w:rPr>
                <w:rFonts w:hint="eastAsia" w:cs="宋体"/>
                <w:color w:val="000000"/>
                <w:kern w:val="0"/>
                <w:szCs w:val="21"/>
                <w:highlight w:val="none"/>
              </w:rPr>
              <w:t>门诊护士工作站</w:t>
            </w:r>
          </w:p>
        </w:tc>
        <w:tc>
          <w:tcPr>
            <w:tcW w:w="749" w:type="dxa"/>
            <w:gridSpan w:val="2"/>
            <w:tcBorders>
              <w:top w:val="nil"/>
              <w:left w:val="nil"/>
              <w:bottom w:val="single" w:color="auto" w:sz="8" w:space="0"/>
              <w:right w:val="single" w:color="auto" w:sz="8" w:space="0"/>
            </w:tcBorders>
            <w:shd w:val="clear" w:color="auto" w:fill="auto"/>
            <w:noWrap/>
            <w:vAlign w:val="center"/>
          </w:tcPr>
          <w:p w14:paraId="1CBD23F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771548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25D5208">
            <w:pPr>
              <w:widowControl/>
              <w:jc w:val="right"/>
              <w:rPr>
                <w:rFonts w:hint="eastAsia"/>
                <w:color w:val="000000"/>
                <w:kern w:val="0"/>
                <w:szCs w:val="21"/>
                <w:highlight w:val="none"/>
              </w:rPr>
            </w:pPr>
            <w:r>
              <w:rPr>
                <w:color w:val="000000"/>
                <w:kern w:val="0"/>
                <w:szCs w:val="21"/>
                <w:highlight w:val="none"/>
              </w:rPr>
              <w:t>4</w:t>
            </w:r>
          </w:p>
        </w:tc>
        <w:tc>
          <w:tcPr>
            <w:tcW w:w="2127" w:type="dxa"/>
            <w:vMerge w:val="continue"/>
            <w:tcBorders>
              <w:top w:val="nil"/>
              <w:left w:val="single" w:color="auto" w:sz="8" w:space="0"/>
              <w:bottom w:val="single" w:color="000000" w:sz="8" w:space="0"/>
              <w:right w:val="single" w:color="auto" w:sz="8" w:space="0"/>
            </w:tcBorders>
            <w:vAlign w:val="center"/>
          </w:tcPr>
          <w:p w14:paraId="6120CBF4">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23D41A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30D9B95">
            <w:pPr>
              <w:widowControl/>
              <w:jc w:val="left"/>
              <w:rPr>
                <w:rFonts w:hint="eastAsia" w:cs="宋体"/>
                <w:color w:val="000000"/>
                <w:kern w:val="0"/>
                <w:szCs w:val="21"/>
                <w:highlight w:val="none"/>
              </w:rPr>
            </w:pPr>
            <w:r>
              <w:rPr>
                <w:rFonts w:hint="eastAsia" w:cs="宋体"/>
                <w:color w:val="000000"/>
                <w:kern w:val="0"/>
                <w:szCs w:val="21"/>
                <w:highlight w:val="none"/>
              </w:rPr>
              <w:t>日间手术管理系统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7C16882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4DEDE3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1C36561">
            <w:pPr>
              <w:widowControl/>
              <w:jc w:val="right"/>
              <w:rPr>
                <w:rFonts w:hint="eastAsia"/>
                <w:color w:val="000000"/>
                <w:kern w:val="0"/>
                <w:szCs w:val="21"/>
                <w:highlight w:val="none"/>
              </w:rPr>
            </w:pPr>
            <w:r>
              <w:rPr>
                <w:color w:val="000000"/>
                <w:kern w:val="0"/>
                <w:szCs w:val="21"/>
                <w:highlight w:val="none"/>
              </w:rPr>
              <w:t>5</w:t>
            </w:r>
          </w:p>
        </w:tc>
        <w:tc>
          <w:tcPr>
            <w:tcW w:w="2127" w:type="dxa"/>
            <w:vMerge w:val="continue"/>
            <w:tcBorders>
              <w:top w:val="nil"/>
              <w:left w:val="single" w:color="auto" w:sz="8" w:space="0"/>
              <w:bottom w:val="single" w:color="000000" w:sz="8" w:space="0"/>
              <w:right w:val="single" w:color="auto" w:sz="8" w:space="0"/>
            </w:tcBorders>
            <w:vAlign w:val="center"/>
          </w:tcPr>
          <w:p w14:paraId="6014FA86">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1FDBE10A">
            <w:pPr>
              <w:widowControl/>
              <w:jc w:val="center"/>
              <w:rPr>
                <w:rFonts w:hint="eastAsia" w:cs="宋体"/>
                <w:b/>
                <w:bCs/>
                <w:color w:val="000000"/>
                <w:kern w:val="0"/>
                <w:szCs w:val="21"/>
                <w:highlight w:val="none"/>
              </w:rPr>
            </w:pPr>
            <w:r>
              <w:rPr>
                <w:rFonts w:hint="eastAsia" w:cs="宋体"/>
                <w:b/>
                <w:bCs/>
                <w:color w:val="000000"/>
                <w:kern w:val="0"/>
                <w:szCs w:val="21"/>
                <w:highlight w:val="none"/>
              </w:rPr>
              <w:t>住院管理</w:t>
            </w:r>
          </w:p>
        </w:tc>
        <w:tc>
          <w:tcPr>
            <w:tcW w:w="3645" w:type="dxa"/>
            <w:tcBorders>
              <w:top w:val="nil"/>
              <w:left w:val="nil"/>
              <w:bottom w:val="single" w:color="auto" w:sz="8" w:space="0"/>
              <w:right w:val="single" w:color="auto" w:sz="8" w:space="0"/>
            </w:tcBorders>
            <w:shd w:val="clear" w:color="auto" w:fill="auto"/>
            <w:noWrap/>
            <w:vAlign w:val="center"/>
          </w:tcPr>
          <w:p w14:paraId="515507DC">
            <w:pPr>
              <w:widowControl/>
              <w:jc w:val="left"/>
              <w:rPr>
                <w:rFonts w:hint="eastAsia" w:cs="宋体"/>
                <w:color w:val="000000"/>
                <w:kern w:val="0"/>
                <w:szCs w:val="21"/>
                <w:highlight w:val="none"/>
              </w:rPr>
            </w:pPr>
            <w:r>
              <w:rPr>
                <w:rFonts w:hint="eastAsia" w:cs="宋体"/>
                <w:color w:val="000000"/>
                <w:kern w:val="0"/>
                <w:szCs w:val="21"/>
                <w:highlight w:val="none"/>
              </w:rPr>
              <w:t>住院收费系统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461B6AD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7D7B3B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4FF1C6D">
            <w:pPr>
              <w:widowControl/>
              <w:jc w:val="right"/>
              <w:rPr>
                <w:rFonts w:hint="eastAsia"/>
                <w:color w:val="000000"/>
                <w:kern w:val="0"/>
                <w:szCs w:val="21"/>
                <w:highlight w:val="none"/>
              </w:rPr>
            </w:pPr>
            <w:r>
              <w:rPr>
                <w:color w:val="000000"/>
                <w:kern w:val="0"/>
                <w:szCs w:val="21"/>
                <w:highlight w:val="none"/>
              </w:rPr>
              <w:t>6</w:t>
            </w:r>
          </w:p>
        </w:tc>
        <w:tc>
          <w:tcPr>
            <w:tcW w:w="2127" w:type="dxa"/>
            <w:vMerge w:val="continue"/>
            <w:tcBorders>
              <w:top w:val="nil"/>
              <w:left w:val="single" w:color="auto" w:sz="8" w:space="0"/>
              <w:bottom w:val="single" w:color="000000" w:sz="8" w:space="0"/>
              <w:right w:val="single" w:color="auto" w:sz="8" w:space="0"/>
            </w:tcBorders>
            <w:vAlign w:val="center"/>
          </w:tcPr>
          <w:p w14:paraId="19F2498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EFBA84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7732BF2">
            <w:pPr>
              <w:widowControl/>
              <w:jc w:val="left"/>
              <w:rPr>
                <w:rFonts w:hint="eastAsia" w:cs="宋体"/>
                <w:color w:val="000000"/>
                <w:kern w:val="0"/>
                <w:szCs w:val="21"/>
                <w:highlight w:val="none"/>
              </w:rPr>
            </w:pPr>
            <w:r>
              <w:rPr>
                <w:rFonts w:hint="eastAsia" w:cs="宋体"/>
                <w:color w:val="000000"/>
                <w:kern w:val="0"/>
                <w:szCs w:val="21"/>
                <w:highlight w:val="none"/>
              </w:rPr>
              <w:t>住院入出转管理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869A47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3CBC70B">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91538D6">
            <w:pPr>
              <w:widowControl/>
              <w:jc w:val="right"/>
              <w:rPr>
                <w:rFonts w:hint="eastAsia"/>
                <w:color w:val="000000"/>
                <w:kern w:val="0"/>
                <w:szCs w:val="21"/>
                <w:highlight w:val="none"/>
              </w:rPr>
            </w:pPr>
            <w:r>
              <w:rPr>
                <w:color w:val="000000"/>
                <w:kern w:val="0"/>
                <w:szCs w:val="21"/>
                <w:highlight w:val="none"/>
              </w:rPr>
              <w:t>7</w:t>
            </w:r>
          </w:p>
        </w:tc>
        <w:tc>
          <w:tcPr>
            <w:tcW w:w="2127" w:type="dxa"/>
            <w:vMerge w:val="continue"/>
            <w:tcBorders>
              <w:top w:val="nil"/>
              <w:left w:val="single" w:color="auto" w:sz="8" w:space="0"/>
              <w:bottom w:val="single" w:color="000000" w:sz="8" w:space="0"/>
              <w:right w:val="single" w:color="auto" w:sz="8" w:space="0"/>
            </w:tcBorders>
            <w:vAlign w:val="center"/>
          </w:tcPr>
          <w:p w14:paraId="7E3231A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6A87BB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89EC211">
            <w:pPr>
              <w:widowControl/>
              <w:jc w:val="left"/>
              <w:rPr>
                <w:rFonts w:hint="eastAsia" w:cs="宋体"/>
                <w:color w:val="000000"/>
                <w:kern w:val="0"/>
                <w:szCs w:val="21"/>
                <w:highlight w:val="none"/>
              </w:rPr>
            </w:pPr>
            <w:r>
              <w:rPr>
                <w:rFonts w:hint="eastAsia" w:cs="宋体"/>
                <w:color w:val="000000"/>
                <w:kern w:val="0"/>
                <w:szCs w:val="21"/>
                <w:highlight w:val="none"/>
              </w:rPr>
              <w:t>住院医生工作站</w:t>
            </w:r>
          </w:p>
        </w:tc>
        <w:tc>
          <w:tcPr>
            <w:tcW w:w="749" w:type="dxa"/>
            <w:gridSpan w:val="2"/>
            <w:tcBorders>
              <w:top w:val="nil"/>
              <w:left w:val="nil"/>
              <w:bottom w:val="single" w:color="auto" w:sz="8" w:space="0"/>
              <w:right w:val="single" w:color="auto" w:sz="8" w:space="0"/>
            </w:tcBorders>
            <w:shd w:val="clear" w:color="auto" w:fill="auto"/>
            <w:noWrap/>
            <w:vAlign w:val="center"/>
          </w:tcPr>
          <w:p w14:paraId="2D87F4E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84C3F4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B9FCB82">
            <w:pPr>
              <w:widowControl/>
              <w:jc w:val="right"/>
              <w:rPr>
                <w:rFonts w:hint="eastAsia"/>
                <w:color w:val="000000"/>
                <w:kern w:val="0"/>
                <w:szCs w:val="21"/>
                <w:highlight w:val="none"/>
              </w:rPr>
            </w:pPr>
            <w:r>
              <w:rPr>
                <w:color w:val="000000"/>
                <w:kern w:val="0"/>
                <w:szCs w:val="21"/>
                <w:highlight w:val="none"/>
              </w:rPr>
              <w:t>8</w:t>
            </w:r>
          </w:p>
        </w:tc>
        <w:tc>
          <w:tcPr>
            <w:tcW w:w="2127" w:type="dxa"/>
            <w:vMerge w:val="continue"/>
            <w:tcBorders>
              <w:top w:val="nil"/>
              <w:left w:val="single" w:color="auto" w:sz="8" w:space="0"/>
              <w:bottom w:val="single" w:color="000000" w:sz="8" w:space="0"/>
              <w:right w:val="single" w:color="auto" w:sz="8" w:space="0"/>
            </w:tcBorders>
            <w:vAlign w:val="center"/>
          </w:tcPr>
          <w:p w14:paraId="4C4F244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32E85E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AD4339A">
            <w:pPr>
              <w:widowControl/>
              <w:jc w:val="left"/>
              <w:rPr>
                <w:rFonts w:hint="eastAsia" w:cs="宋体"/>
                <w:color w:val="000000"/>
                <w:kern w:val="0"/>
                <w:szCs w:val="21"/>
                <w:highlight w:val="none"/>
              </w:rPr>
            </w:pPr>
            <w:r>
              <w:rPr>
                <w:rFonts w:hint="eastAsia" w:cs="宋体"/>
                <w:color w:val="000000"/>
                <w:kern w:val="0"/>
                <w:szCs w:val="21"/>
                <w:highlight w:val="none"/>
              </w:rPr>
              <w:t>住院护士工作站</w:t>
            </w:r>
          </w:p>
        </w:tc>
        <w:tc>
          <w:tcPr>
            <w:tcW w:w="749" w:type="dxa"/>
            <w:gridSpan w:val="2"/>
            <w:tcBorders>
              <w:top w:val="nil"/>
              <w:left w:val="nil"/>
              <w:bottom w:val="single" w:color="auto" w:sz="8" w:space="0"/>
              <w:right w:val="single" w:color="auto" w:sz="8" w:space="0"/>
            </w:tcBorders>
            <w:shd w:val="clear" w:color="auto" w:fill="auto"/>
            <w:noWrap/>
            <w:vAlign w:val="center"/>
          </w:tcPr>
          <w:p w14:paraId="39CC93BB">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ACB70D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0247889">
            <w:pPr>
              <w:widowControl/>
              <w:jc w:val="right"/>
              <w:rPr>
                <w:rFonts w:hint="eastAsia"/>
                <w:color w:val="000000"/>
                <w:kern w:val="0"/>
                <w:szCs w:val="21"/>
                <w:highlight w:val="none"/>
              </w:rPr>
            </w:pPr>
            <w:r>
              <w:rPr>
                <w:color w:val="000000"/>
                <w:kern w:val="0"/>
                <w:szCs w:val="21"/>
                <w:highlight w:val="none"/>
              </w:rPr>
              <w:t>9</w:t>
            </w:r>
          </w:p>
        </w:tc>
        <w:tc>
          <w:tcPr>
            <w:tcW w:w="2127" w:type="dxa"/>
            <w:vMerge w:val="continue"/>
            <w:tcBorders>
              <w:top w:val="nil"/>
              <w:left w:val="single" w:color="auto" w:sz="8" w:space="0"/>
              <w:bottom w:val="single" w:color="000000" w:sz="8" w:space="0"/>
              <w:right w:val="single" w:color="auto" w:sz="8" w:space="0"/>
            </w:tcBorders>
            <w:vAlign w:val="center"/>
          </w:tcPr>
          <w:p w14:paraId="3230EF6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A5DB8E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88C733B">
            <w:pPr>
              <w:widowControl/>
              <w:jc w:val="left"/>
              <w:rPr>
                <w:rFonts w:hint="eastAsia" w:cs="宋体"/>
                <w:color w:val="000000"/>
                <w:kern w:val="0"/>
                <w:szCs w:val="21"/>
                <w:highlight w:val="none"/>
              </w:rPr>
            </w:pPr>
            <w:r>
              <w:rPr>
                <w:rFonts w:hint="eastAsia" w:cs="宋体"/>
                <w:color w:val="000000"/>
                <w:kern w:val="0"/>
                <w:szCs w:val="21"/>
                <w:highlight w:val="none"/>
              </w:rPr>
              <w:t>医师组管理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F2D6012">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ED2D96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9B60F27">
            <w:pPr>
              <w:widowControl/>
              <w:jc w:val="right"/>
              <w:rPr>
                <w:rFonts w:hint="eastAsia"/>
                <w:color w:val="000000"/>
                <w:kern w:val="0"/>
                <w:szCs w:val="21"/>
                <w:highlight w:val="none"/>
              </w:rPr>
            </w:pPr>
            <w:r>
              <w:rPr>
                <w:color w:val="000000"/>
                <w:kern w:val="0"/>
                <w:szCs w:val="21"/>
                <w:highlight w:val="none"/>
              </w:rPr>
              <w:t>10</w:t>
            </w:r>
          </w:p>
        </w:tc>
        <w:tc>
          <w:tcPr>
            <w:tcW w:w="2127" w:type="dxa"/>
            <w:vMerge w:val="continue"/>
            <w:tcBorders>
              <w:top w:val="nil"/>
              <w:left w:val="single" w:color="auto" w:sz="8" w:space="0"/>
              <w:bottom w:val="single" w:color="000000" w:sz="8" w:space="0"/>
              <w:right w:val="single" w:color="auto" w:sz="8" w:space="0"/>
            </w:tcBorders>
            <w:vAlign w:val="center"/>
          </w:tcPr>
          <w:p w14:paraId="7870139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EADAD6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7E21EF5">
            <w:pPr>
              <w:widowControl/>
              <w:jc w:val="left"/>
              <w:rPr>
                <w:rFonts w:hint="eastAsia" w:cs="宋体"/>
                <w:color w:val="000000"/>
                <w:kern w:val="0"/>
                <w:szCs w:val="21"/>
                <w:highlight w:val="none"/>
              </w:rPr>
            </w:pPr>
            <w:r>
              <w:rPr>
                <w:rFonts w:hint="eastAsia" w:cs="宋体"/>
                <w:color w:val="000000"/>
                <w:kern w:val="0"/>
                <w:szCs w:val="21"/>
                <w:highlight w:val="none"/>
              </w:rPr>
              <w:t>住院床位预约</w:t>
            </w:r>
          </w:p>
        </w:tc>
        <w:tc>
          <w:tcPr>
            <w:tcW w:w="749" w:type="dxa"/>
            <w:gridSpan w:val="2"/>
            <w:tcBorders>
              <w:top w:val="nil"/>
              <w:left w:val="nil"/>
              <w:bottom w:val="single" w:color="auto" w:sz="8" w:space="0"/>
              <w:right w:val="single" w:color="auto" w:sz="8" w:space="0"/>
            </w:tcBorders>
            <w:shd w:val="clear" w:color="auto" w:fill="auto"/>
            <w:noWrap/>
            <w:vAlign w:val="center"/>
          </w:tcPr>
          <w:p w14:paraId="68CA956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2342DC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9EA17DC">
            <w:pPr>
              <w:widowControl/>
              <w:jc w:val="right"/>
              <w:rPr>
                <w:rFonts w:hint="eastAsia"/>
                <w:color w:val="000000"/>
                <w:kern w:val="0"/>
                <w:szCs w:val="21"/>
                <w:highlight w:val="none"/>
              </w:rPr>
            </w:pPr>
            <w:r>
              <w:rPr>
                <w:color w:val="000000"/>
                <w:kern w:val="0"/>
                <w:szCs w:val="21"/>
                <w:highlight w:val="none"/>
              </w:rPr>
              <w:t>11</w:t>
            </w:r>
          </w:p>
        </w:tc>
        <w:tc>
          <w:tcPr>
            <w:tcW w:w="2127" w:type="dxa"/>
            <w:vMerge w:val="continue"/>
            <w:tcBorders>
              <w:top w:val="nil"/>
              <w:left w:val="single" w:color="auto" w:sz="8" w:space="0"/>
              <w:bottom w:val="single" w:color="000000" w:sz="8" w:space="0"/>
              <w:right w:val="single" w:color="auto" w:sz="8" w:space="0"/>
            </w:tcBorders>
            <w:vAlign w:val="center"/>
          </w:tcPr>
          <w:p w14:paraId="64A2208C">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3AC77B98">
            <w:pPr>
              <w:widowControl/>
              <w:jc w:val="center"/>
              <w:rPr>
                <w:rFonts w:hint="eastAsia" w:cs="宋体"/>
                <w:b/>
                <w:bCs/>
                <w:color w:val="000000"/>
                <w:kern w:val="0"/>
                <w:szCs w:val="21"/>
                <w:highlight w:val="none"/>
              </w:rPr>
            </w:pPr>
            <w:r>
              <w:rPr>
                <w:rFonts w:hint="eastAsia" w:cs="宋体"/>
                <w:b/>
                <w:bCs/>
                <w:color w:val="000000"/>
                <w:kern w:val="0"/>
                <w:szCs w:val="21"/>
                <w:highlight w:val="none"/>
              </w:rPr>
              <w:t>医技管理</w:t>
            </w:r>
          </w:p>
        </w:tc>
        <w:tc>
          <w:tcPr>
            <w:tcW w:w="3645" w:type="dxa"/>
            <w:tcBorders>
              <w:top w:val="nil"/>
              <w:left w:val="nil"/>
              <w:bottom w:val="single" w:color="auto" w:sz="8" w:space="0"/>
              <w:right w:val="single" w:color="auto" w:sz="8" w:space="0"/>
            </w:tcBorders>
            <w:shd w:val="clear" w:color="auto" w:fill="auto"/>
            <w:noWrap/>
            <w:vAlign w:val="center"/>
          </w:tcPr>
          <w:p w14:paraId="11DD3CCE">
            <w:pPr>
              <w:widowControl/>
              <w:jc w:val="left"/>
              <w:rPr>
                <w:rFonts w:hint="eastAsia" w:cs="宋体"/>
                <w:color w:val="000000"/>
                <w:kern w:val="0"/>
                <w:szCs w:val="21"/>
                <w:highlight w:val="none"/>
              </w:rPr>
            </w:pPr>
            <w:r>
              <w:rPr>
                <w:rFonts w:hint="eastAsia" w:cs="宋体"/>
                <w:color w:val="000000"/>
                <w:kern w:val="0"/>
                <w:szCs w:val="21"/>
                <w:highlight w:val="none"/>
              </w:rPr>
              <w:t>医技计费管理系统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F72625B">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D5973F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6CBFFC7">
            <w:pPr>
              <w:widowControl/>
              <w:jc w:val="right"/>
              <w:rPr>
                <w:rFonts w:hint="eastAsia"/>
                <w:color w:val="000000"/>
                <w:kern w:val="0"/>
                <w:szCs w:val="21"/>
                <w:highlight w:val="none"/>
              </w:rPr>
            </w:pPr>
            <w:r>
              <w:rPr>
                <w:color w:val="000000"/>
                <w:kern w:val="0"/>
                <w:szCs w:val="21"/>
                <w:highlight w:val="none"/>
              </w:rPr>
              <w:t>12</w:t>
            </w:r>
          </w:p>
        </w:tc>
        <w:tc>
          <w:tcPr>
            <w:tcW w:w="2127" w:type="dxa"/>
            <w:vMerge w:val="continue"/>
            <w:tcBorders>
              <w:top w:val="nil"/>
              <w:left w:val="single" w:color="auto" w:sz="8" w:space="0"/>
              <w:bottom w:val="single" w:color="000000" w:sz="8" w:space="0"/>
              <w:right w:val="single" w:color="auto" w:sz="8" w:space="0"/>
            </w:tcBorders>
            <w:vAlign w:val="center"/>
          </w:tcPr>
          <w:p w14:paraId="0B207E1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892EC1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777E1C2">
            <w:pPr>
              <w:widowControl/>
              <w:jc w:val="left"/>
              <w:rPr>
                <w:rFonts w:hint="eastAsia" w:cs="宋体"/>
                <w:color w:val="000000"/>
                <w:kern w:val="0"/>
                <w:szCs w:val="21"/>
                <w:highlight w:val="none"/>
              </w:rPr>
            </w:pPr>
            <w:r>
              <w:rPr>
                <w:rFonts w:hint="eastAsia" w:cs="宋体"/>
                <w:color w:val="000000"/>
                <w:kern w:val="0"/>
                <w:szCs w:val="21"/>
                <w:highlight w:val="none"/>
              </w:rPr>
              <w:t>医技电子申请单系统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0D1C9A5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2CAF76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BC29058">
            <w:pPr>
              <w:widowControl/>
              <w:jc w:val="right"/>
              <w:rPr>
                <w:rFonts w:hint="eastAsia"/>
                <w:color w:val="000000"/>
                <w:kern w:val="0"/>
                <w:szCs w:val="21"/>
                <w:highlight w:val="none"/>
              </w:rPr>
            </w:pPr>
            <w:r>
              <w:rPr>
                <w:color w:val="000000"/>
                <w:kern w:val="0"/>
                <w:szCs w:val="21"/>
                <w:highlight w:val="none"/>
              </w:rPr>
              <w:t>13</w:t>
            </w:r>
          </w:p>
        </w:tc>
        <w:tc>
          <w:tcPr>
            <w:tcW w:w="2127" w:type="dxa"/>
            <w:vMerge w:val="continue"/>
            <w:tcBorders>
              <w:top w:val="nil"/>
              <w:left w:val="single" w:color="auto" w:sz="8" w:space="0"/>
              <w:bottom w:val="single" w:color="000000" w:sz="8" w:space="0"/>
              <w:right w:val="single" w:color="auto" w:sz="8" w:space="0"/>
            </w:tcBorders>
            <w:vAlign w:val="center"/>
          </w:tcPr>
          <w:p w14:paraId="422829A1">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9D1DF0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365EBB5">
            <w:pPr>
              <w:widowControl/>
              <w:jc w:val="left"/>
              <w:rPr>
                <w:rFonts w:hint="eastAsia" w:cs="宋体"/>
                <w:color w:val="000000"/>
                <w:kern w:val="0"/>
                <w:szCs w:val="21"/>
                <w:highlight w:val="none"/>
              </w:rPr>
            </w:pPr>
            <w:r>
              <w:rPr>
                <w:rFonts w:hint="eastAsia" w:cs="宋体"/>
                <w:color w:val="000000"/>
                <w:kern w:val="0"/>
                <w:szCs w:val="21"/>
                <w:highlight w:val="none"/>
              </w:rPr>
              <w:t>手术计费管理系统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1810424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8F7AF3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F8310CC">
            <w:pPr>
              <w:widowControl/>
              <w:jc w:val="right"/>
              <w:rPr>
                <w:rFonts w:hint="eastAsia"/>
                <w:color w:val="000000"/>
                <w:kern w:val="0"/>
                <w:szCs w:val="21"/>
                <w:highlight w:val="none"/>
              </w:rPr>
            </w:pPr>
            <w:r>
              <w:rPr>
                <w:color w:val="000000"/>
                <w:kern w:val="0"/>
                <w:szCs w:val="21"/>
                <w:highlight w:val="none"/>
              </w:rPr>
              <w:t>14</w:t>
            </w:r>
          </w:p>
        </w:tc>
        <w:tc>
          <w:tcPr>
            <w:tcW w:w="2127" w:type="dxa"/>
            <w:vMerge w:val="continue"/>
            <w:tcBorders>
              <w:top w:val="nil"/>
              <w:left w:val="single" w:color="auto" w:sz="8" w:space="0"/>
              <w:bottom w:val="single" w:color="000000" w:sz="8" w:space="0"/>
              <w:right w:val="single" w:color="auto" w:sz="8" w:space="0"/>
            </w:tcBorders>
            <w:vAlign w:val="center"/>
          </w:tcPr>
          <w:p w14:paraId="62285A25">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411716FB">
            <w:pPr>
              <w:widowControl/>
              <w:jc w:val="center"/>
              <w:rPr>
                <w:rFonts w:hint="eastAsia" w:cs="宋体"/>
                <w:b/>
                <w:bCs/>
                <w:color w:val="000000"/>
                <w:kern w:val="0"/>
                <w:szCs w:val="21"/>
                <w:highlight w:val="none"/>
              </w:rPr>
            </w:pPr>
            <w:r>
              <w:rPr>
                <w:rFonts w:hint="eastAsia" w:cs="宋体"/>
                <w:b/>
                <w:bCs/>
                <w:color w:val="000000"/>
                <w:kern w:val="0"/>
                <w:szCs w:val="21"/>
                <w:highlight w:val="none"/>
              </w:rPr>
              <w:t>药品管理</w:t>
            </w:r>
          </w:p>
        </w:tc>
        <w:tc>
          <w:tcPr>
            <w:tcW w:w="3645" w:type="dxa"/>
            <w:tcBorders>
              <w:top w:val="nil"/>
              <w:left w:val="nil"/>
              <w:bottom w:val="single" w:color="auto" w:sz="8" w:space="0"/>
              <w:right w:val="single" w:color="auto" w:sz="8" w:space="0"/>
            </w:tcBorders>
            <w:shd w:val="clear" w:color="auto" w:fill="auto"/>
            <w:noWrap/>
            <w:vAlign w:val="center"/>
          </w:tcPr>
          <w:p w14:paraId="2DD97759">
            <w:pPr>
              <w:widowControl/>
              <w:jc w:val="left"/>
              <w:rPr>
                <w:rFonts w:hint="eastAsia" w:cs="宋体"/>
                <w:color w:val="000000"/>
                <w:kern w:val="0"/>
                <w:szCs w:val="21"/>
                <w:highlight w:val="none"/>
              </w:rPr>
            </w:pPr>
            <w:r>
              <w:rPr>
                <w:rFonts w:hint="eastAsia" w:cs="宋体"/>
                <w:color w:val="000000"/>
                <w:kern w:val="0"/>
                <w:szCs w:val="21"/>
                <w:highlight w:val="none"/>
              </w:rPr>
              <w:t>门诊发药管理系统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0AC454D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AE040E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108EB01">
            <w:pPr>
              <w:widowControl/>
              <w:jc w:val="right"/>
              <w:rPr>
                <w:rFonts w:hint="eastAsia"/>
                <w:color w:val="000000"/>
                <w:kern w:val="0"/>
                <w:szCs w:val="21"/>
                <w:highlight w:val="none"/>
              </w:rPr>
            </w:pPr>
            <w:r>
              <w:rPr>
                <w:color w:val="000000"/>
                <w:kern w:val="0"/>
                <w:szCs w:val="21"/>
                <w:highlight w:val="none"/>
              </w:rPr>
              <w:t>15</w:t>
            </w:r>
          </w:p>
        </w:tc>
        <w:tc>
          <w:tcPr>
            <w:tcW w:w="2127" w:type="dxa"/>
            <w:vMerge w:val="continue"/>
            <w:tcBorders>
              <w:top w:val="nil"/>
              <w:left w:val="single" w:color="auto" w:sz="8" w:space="0"/>
              <w:bottom w:val="single" w:color="000000" w:sz="8" w:space="0"/>
              <w:right w:val="single" w:color="auto" w:sz="8" w:space="0"/>
            </w:tcBorders>
            <w:vAlign w:val="center"/>
          </w:tcPr>
          <w:p w14:paraId="0E2C570A">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613CDA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0C59A9E">
            <w:pPr>
              <w:widowControl/>
              <w:jc w:val="left"/>
              <w:rPr>
                <w:rFonts w:hint="eastAsia" w:cs="宋体"/>
                <w:color w:val="000000"/>
                <w:kern w:val="0"/>
                <w:szCs w:val="21"/>
                <w:highlight w:val="none"/>
              </w:rPr>
            </w:pPr>
            <w:r>
              <w:rPr>
                <w:rFonts w:hint="eastAsia" w:cs="宋体"/>
                <w:color w:val="000000"/>
                <w:kern w:val="0"/>
                <w:szCs w:val="21"/>
                <w:highlight w:val="none"/>
              </w:rPr>
              <w:t>住院配药管理系统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47C9918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D37CD7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827CB58">
            <w:pPr>
              <w:widowControl/>
              <w:jc w:val="right"/>
              <w:rPr>
                <w:rFonts w:hint="eastAsia"/>
                <w:color w:val="000000"/>
                <w:kern w:val="0"/>
                <w:szCs w:val="21"/>
                <w:highlight w:val="none"/>
              </w:rPr>
            </w:pPr>
            <w:r>
              <w:rPr>
                <w:color w:val="000000"/>
                <w:kern w:val="0"/>
                <w:szCs w:val="21"/>
                <w:highlight w:val="none"/>
              </w:rPr>
              <w:t>16</w:t>
            </w:r>
          </w:p>
        </w:tc>
        <w:tc>
          <w:tcPr>
            <w:tcW w:w="2127" w:type="dxa"/>
            <w:vMerge w:val="continue"/>
            <w:tcBorders>
              <w:top w:val="nil"/>
              <w:left w:val="single" w:color="auto" w:sz="8" w:space="0"/>
              <w:bottom w:val="single" w:color="000000" w:sz="8" w:space="0"/>
              <w:right w:val="single" w:color="auto" w:sz="8" w:space="0"/>
            </w:tcBorders>
            <w:vAlign w:val="center"/>
          </w:tcPr>
          <w:p w14:paraId="19B0C37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2D48680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DCCAC2A">
            <w:pPr>
              <w:widowControl/>
              <w:jc w:val="left"/>
              <w:rPr>
                <w:rFonts w:hint="eastAsia" w:cs="宋体"/>
                <w:color w:val="000000"/>
                <w:kern w:val="0"/>
                <w:szCs w:val="21"/>
                <w:highlight w:val="none"/>
              </w:rPr>
            </w:pPr>
            <w:r>
              <w:rPr>
                <w:rFonts w:hint="eastAsia" w:cs="宋体"/>
                <w:color w:val="000000"/>
                <w:kern w:val="0"/>
                <w:szCs w:val="21"/>
                <w:highlight w:val="none"/>
              </w:rPr>
              <w:t>门诊取药排队叫号系统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3FF5A13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E4B7F98">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0D35248">
            <w:pPr>
              <w:widowControl/>
              <w:jc w:val="right"/>
              <w:rPr>
                <w:rFonts w:hint="eastAsia"/>
                <w:color w:val="000000"/>
                <w:kern w:val="0"/>
                <w:szCs w:val="21"/>
                <w:highlight w:val="none"/>
              </w:rPr>
            </w:pPr>
            <w:r>
              <w:rPr>
                <w:color w:val="000000"/>
                <w:kern w:val="0"/>
                <w:szCs w:val="21"/>
                <w:highlight w:val="none"/>
              </w:rPr>
              <w:t>17</w:t>
            </w:r>
          </w:p>
        </w:tc>
        <w:tc>
          <w:tcPr>
            <w:tcW w:w="2127" w:type="dxa"/>
            <w:vMerge w:val="continue"/>
            <w:tcBorders>
              <w:top w:val="nil"/>
              <w:left w:val="single" w:color="auto" w:sz="8" w:space="0"/>
              <w:bottom w:val="single" w:color="000000" w:sz="8" w:space="0"/>
              <w:right w:val="single" w:color="auto" w:sz="8" w:space="0"/>
            </w:tcBorders>
            <w:vAlign w:val="center"/>
          </w:tcPr>
          <w:p w14:paraId="7608897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08F91F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EE0BAC7">
            <w:pPr>
              <w:widowControl/>
              <w:jc w:val="left"/>
              <w:rPr>
                <w:rFonts w:hint="eastAsia" w:cs="宋体"/>
                <w:color w:val="000000"/>
                <w:kern w:val="0"/>
                <w:szCs w:val="21"/>
                <w:highlight w:val="none"/>
              </w:rPr>
            </w:pPr>
            <w:r>
              <w:rPr>
                <w:rFonts w:hint="eastAsia" w:cs="宋体"/>
                <w:color w:val="000000"/>
                <w:kern w:val="0"/>
                <w:szCs w:val="21"/>
                <w:highlight w:val="none"/>
              </w:rPr>
              <w:t>药库管理系统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E6A47A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0A1A7B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16AF7C2">
            <w:pPr>
              <w:widowControl/>
              <w:jc w:val="right"/>
              <w:rPr>
                <w:rFonts w:hint="eastAsia"/>
                <w:color w:val="000000"/>
                <w:kern w:val="0"/>
                <w:szCs w:val="21"/>
                <w:highlight w:val="none"/>
              </w:rPr>
            </w:pPr>
            <w:r>
              <w:rPr>
                <w:color w:val="000000"/>
                <w:kern w:val="0"/>
                <w:szCs w:val="21"/>
                <w:highlight w:val="none"/>
              </w:rPr>
              <w:t>18</w:t>
            </w:r>
          </w:p>
        </w:tc>
        <w:tc>
          <w:tcPr>
            <w:tcW w:w="2127" w:type="dxa"/>
            <w:vMerge w:val="continue"/>
            <w:tcBorders>
              <w:top w:val="nil"/>
              <w:left w:val="single" w:color="auto" w:sz="8" w:space="0"/>
              <w:bottom w:val="single" w:color="000000" w:sz="8" w:space="0"/>
              <w:right w:val="single" w:color="auto" w:sz="8" w:space="0"/>
            </w:tcBorders>
            <w:vAlign w:val="center"/>
          </w:tcPr>
          <w:p w14:paraId="6FAFABF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164D81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4C25DB1">
            <w:pPr>
              <w:widowControl/>
              <w:jc w:val="left"/>
              <w:rPr>
                <w:rFonts w:hint="eastAsia" w:cs="宋体"/>
                <w:color w:val="000000"/>
                <w:kern w:val="0"/>
                <w:szCs w:val="21"/>
                <w:highlight w:val="none"/>
              </w:rPr>
            </w:pPr>
            <w:r>
              <w:rPr>
                <w:rFonts w:hint="eastAsia" w:cs="宋体"/>
                <w:color w:val="000000"/>
                <w:kern w:val="0"/>
                <w:szCs w:val="21"/>
                <w:highlight w:val="none"/>
              </w:rPr>
              <w:t>门急诊药房管理系统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3F9134C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5085C7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4AB8B32">
            <w:pPr>
              <w:widowControl/>
              <w:jc w:val="right"/>
              <w:rPr>
                <w:rFonts w:hint="eastAsia"/>
                <w:color w:val="000000"/>
                <w:kern w:val="0"/>
                <w:szCs w:val="21"/>
                <w:highlight w:val="none"/>
              </w:rPr>
            </w:pPr>
            <w:r>
              <w:rPr>
                <w:color w:val="000000"/>
                <w:kern w:val="0"/>
                <w:szCs w:val="21"/>
                <w:highlight w:val="none"/>
              </w:rPr>
              <w:t>19</w:t>
            </w:r>
          </w:p>
        </w:tc>
        <w:tc>
          <w:tcPr>
            <w:tcW w:w="2127" w:type="dxa"/>
            <w:vMerge w:val="continue"/>
            <w:tcBorders>
              <w:top w:val="nil"/>
              <w:left w:val="single" w:color="auto" w:sz="8" w:space="0"/>
              <w:bottom w:val="single" w:color="000000" w:sz="8" w:space="0"/>
              <w:right w:val="single" w:color="auto" w:sz="8" w:space="0"/>
            </w:tcBorders>
            <w:vAlign w:val="center"/>
          </w:tcPr>
          <w:p w14:paraId="1407B8B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746C74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157FDD5">
            <w:pPr>
              <w:widowControl/>
              <w:jc w:val="left"/>
              <w:rPr>
                <w:rFonts w:hint="eastAsia" w:cs="宋体"/>
                <w:color w:val="000000"/>
                <w:kern w:val="0"/>
                <w:szCs w:val="21"/>
                <w:highlight w:val="none"/>
              </w:rPr>
            </w:pPr>
            <w:r>
              <w:rPr>
                <w:rFonts w:hint="eastAsia" w:cs="宋体"/>
                <w:color w:val="000000"/>
                <w:kern w:val="0"/>
                <w:szCs w:val="21"/>
                <w:highlight w:val="none"/>
              </w:rPr>
              <w:t>住院药房管理系统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7B1A4B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77FF6C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CCF26BA">
            <w:pPr>
              <w:widowControl/>
              <w:jc w:val="right"/>
              <w:rPr>
                <w:rFonts w:hint="eastAsia"/>
                <w:color w:val="000000"/>
                <w:kern w:val="0"/>
                <w:szCs w:val="21"/>
                <w:highlight w:val="none"/>
              </w:rPr>
            </w:pPr>
            <w:r>
              <w:rPr>
                <w:color w:val="000000"/>
                <w:kern w:val="0"/>
                <w:szCs w:val="21"/>
                <w:highlight w:val="none"/>
              </w:rPr>
              <w:t>20</w:t>
            </w:r>
          </w:p>
        </w:tc>
        <w:tc>
          <w:tcPr>
            <w:tcW w:w="2127" w:type="dxa"/>
            <w:vMerge w:val="continue"/>
            <w:tcBorders>
              <w:top w:val="nil"/>
              <w:left w:val="single" w:color="auto" w:sz="8" w:space="0"/>
              <w:bottom w:val="single" w:color="000000" w:sz="8" w:space="0"/>
              <w:right w:val="single" w:color="auto" w:sz="8" w:space="0"/>
            </w:tcBorders>
            <w:vAlign w:val="center"/>
          </w:tcPr>
          <w:p w14:paraId="420D98F1">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EB13A8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0202DBC">
            <w:pPr>
              <w:widowControl/>
              <w:jc w:val="left"/>
              <w:rPr>
                <w:rFonts w:hint="eastAsia" w:cs="宋体"/>
                <w:color w:val="000000"/>
                <w:kern w:val="0"/>
                <w:szCs w:val="21"/>
                <w:highlight w:val="none"/>
              </w:rPr>
            </w:pPr>
            <w:r>
              <w:rPr>
                <w:rFonts w:hint="eastAsia" w:cs="宋体"/>
                <w:color w:val="000000"/>
                <w:kern w:val="0"/>
                <w:szCs w:val="21"/>
                <w:highlight w:val="none"/>
              </w:rPr>
              <w:t>普通耗材管理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D87381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5FFDB58">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32A9551">
            <w:pPr>
              <w:widowControl/>
              <w:jc w:val="right"/>
              <w:rPr>
                <w:rFonts w:hint="eastAsia"/>
                <w:color w:val="000000"/>
                <w:kern w:val="0"/>
                <w:szCs w:val="21"/>
                <w:highlight w:val="none"/>
              </w:rPr>
            </w:pPr>
            <w:r>
              <w:rPr>
                <w:color w:val="000000"/>
                <w:kern w:val="0"/>
                <w:szCs w:val="21"/>
                <w:highlight w:val="none"/>
              </w:rPr>
              <w:t>21</w:t>
            </w:r>
          </w:p>
        </w:tc>
        <w:tc>
          <w:tcPr>
            <w:tcW w:w="2127" w:type="dxa"/>
            <w:vMerge w:val="continue"/>
            <w:tcBorders>
              <w:top w:val="nil"/>
              <w:left w:val="single" w:color="auto" w:sz="8" w:space="0"/>
              <w:bottom w:val="single" w:color="000000" w:sz="8" w:space="0"/>
              <w:right w:val="single" w:color="auto" w:sz="8" w:space="0"/>
            </w:tcBorders>
            <w:vAlign w:val="center"/>
          </w:tcPr>
          <w:p w14:paraId="23AF35A5">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13A9C007">
            <w:pPr>
              <w:widowControl/>
              <w:jc w:val="center"/>
              <w:rPr>
                <w:rFonts w:hint="eastAsia" w:cs="宋体"/>
                <w:b/>
                <w:bCs/>
                <w:color w:val="000000"/>
                <w:kern w:val="0"/>
                <w:szCs w:val="21"/>
                <w:highlight w:val="none"/>
              </w:rPr>
            </w:pPr>
            <w:r>
              <w:rPr>
                <w:rFonts w:hint="eastAsia" w:cs="宋体"/>
                <w:b/>
                <w:bCs/>
                <w:color w:val="000000"/>
                <w:kern w:val="0"/>
                <w:szCs w:val="21"/>
                <w:highlight w:val="none"/>
              </w:rPr>
              <w:t>医疗管理</w:t>
            </w:r>
          </w:p>
        </w:tc>
        <w:tc>
          <w:tcPr>
            <w:tcW w:w="3645" w:type="dxa"/>
            <w:tcBorders>
              <w:top w:val="nil"/>
              <w:left w:val="nil"/>
              <w:bottom w:val="single" w:color="auto" w:sz="8" w:space="0"/>
              <w:right w:val="single" w:color="auto" w:sz="8" w:space="0"/>
            </w:tcBorders>
            <w:shd w:val="clear" w:color="auto" w:fill="auto"/>
            <w:noWrap/>
            <w:vAlign w:val="center"/>
          </w:tcPr>
          <w:p w14:paraId="72389226">
            <w:pPr>
              <w:widowControl/>
              <w:jc w:val="left"/>
              <w:rPr>
                <w:rFonts w:hint="eastAsia" w:cs="宋体"/>
                <w:color w:val="000000"/>
                <w:kern w:val="0"/>
                <w:szCs w:val="21"/>
                <w:highlight w:val="none"/>
              </w:rPr>
            </w:pPr>
            <w:r>
              <w:rPr>
                <w:rFonts w:hint="eastAsia" w:cs="宋体"/>
                <w:color w:val="000000"/>
                <w:kern w:val="0"/>
                <w:szCs w:val="21"/>
                <w:highlight w:val="none"/>
              </w:rPr>
              <w:t>医保对账管理系统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7F4BB23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C8BFD8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38E74D8">
            <w:pPr>
              <w:widowControl/>
              <w:jc w:val="right"/>
              <w:rPr>
                <w:rFonts w:hint="eastAsia"/>
                <w:color w:val="000000"/>
                <w:kern w:val="0"/>
                <w:szCs w:val="21"/>
                <w:highlight w:val="none"/>
              </w:rPr>
            </w:pPr>
            <w:r>
              <w:rPr>
                <w:color w:val="000000"/>
                <w:kern w:val="0"/>
                <w:szCs w:val="21"/>
                <w:highlight w:val="none"/>
              </w:rPr>
              <w:t>22</w:t>
            </w:r>
          </w:p>
        </w:tc>
        <w:tc>
          <w:tcPr>
            <w:tcW w:w="2127" w:type="dxa"/>
            <w:vMerge w:val="continue"/>
            <w:tcBorders>
              <w:top w:val="nil"/>
              <w:left w:val="single" w:color="auto" w:sz="8" w:space="0"/>
              <w:bottom w:val="single" w:color="000000" w:sz="8" w:space="0"/>
              <w:right w:val="single" w:color="auto" w:sz="8" w:space="0"/>
            </w:tcBorders>
            <w:vAlign w:val="center"/>
          </w:tcPr>
          <w:p w14:paraId="5B254CF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105CEE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6DE8E51">
            <w:pPr>
              <w:widowControl/>
              <w:jc w:val="left"/>
              <w:rPr>
                <w:rFonts w:hint="eastAsia" w:cs="宋体"/>
                <w:color w:val="000000"/>
                <w:kern w:val="0"/>
                <w:szCs w:val="21"/>
                <w:highlight w:val="none"/>
              </w:rPr>
            </w:pPr>
            <w:r>
              <w:rPr>
                <w:rFonts w:hint="eastAsia" w:cs="宋体"/>
                <w:color w:val="000000"/>
                <w:kern w:val="0"/>
                <w:szCs w:val="21"/>
                <w:highlight w:val="none"/>
              </w:rPr>
              <w:t>临床路径管理系统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7306879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2438D0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18ADA7A">
            <w:pPr>
              <w:widowControl/>
              <w:jc w:val="right"/>
              <w:rPr>
                <w:rFonts w:hint="eastAsia"/>
                <w:color w:val="000000"/>
                <w:kern w:val="0"/>
                <w:szCs w:val="21"/>
                <w:highlight w:val="none"/>
              </w:rPr>
            </w:pPr>
            <w:r>
              <w:rPr>
                <w:color w:val="000000"/>
                <w:kern w:val="0"/>
                <w:szCs w:val="21"/>
                <w:highlight w:val="none"/>
              </w:rPr>
              <w:t>23</w:t>
            </w:r>
          </w:p>
        </w:tc>
        <w:tc>
          <w:tcPr>
            <w:tcW w:w="2127" w:type="dxa"/>
            <w:vMerge w:val="continue"/>
            <w:tcBorders>
              <w:top w:val="nil"/>
              <w:left w:val="single" w:color="auto" w:sz="8" w:space="0"/>
              <w:bottom w:val="single" w:color="000000" w:sz="8" w:space="0"/>
              <w:right w:val="single" w:color="auto" w:sz="8" w:space="0"/>
            </w:tcBorders>
            <w:vAlign w:val="center"/>
          </w:tcPr>
          <w:p w14:paraId="46EC1C0A">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AFC7B6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318216B">
            <w:pPr>
              <w:widowControl/>
              <w:jc w:val="left"/>
              <w:rPr>
                <w:rFonts w:hint="eastAsia" w:cs="宋体"/>
                <w:color w:val="000000"/>
                <w:kern w:val="0"/>
                <w:szCs w:val="21"/>
                <w:highlight w:val="none"/>
              </w:rPr>
            </w:pPr>
            <w:r>
              <w:rPr>
                <w:rFonts w:hint="eastAsia" w:cs="宋体"/>
                <w:color w:val="000000"/>
                <w:kern w:val="0"/>
                <w:szCs w:val="21"/>
                <w:highlight w:val="none"/>
              </w:rPr>
              <w:t>手术分级管理系统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7FC70CD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BA1581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48572E6">
            <w:pPr>
              <w:widowControl/>
              <w:jc w:val="right"/>
              <w:rPr>
                <w:rFonts w:hint="eastAsia"/>
                <w:color w:val="000000"/>
                <w:kern w:val="0"/>
                <w:szCs w:val="21"/>
                <w:highlight w:val="none"/>
              </w:rPr>
            </w:pPr>
            <w:r>
              <w:rPr>
                <w:color w:val="000000"/>
                <w:kern w:val="0"/>
                <w:szCs w:val="21"/>
                <w:highlight w:val="none"/>
              </w:rPr>
              <w:t>24</w:t>
            </w:r>
          </w:p>
        </w:tc>
        <w:tc>
          <w:tcPr>
            <w:tcW w:w="2127" w:type="dxa"/>
            <w:vMerge w:val="continue"/>
            <w:tcBorders>
              <w:top w:val="nil"/>
              <w:left w:val="single" w:color="auto" w:sz="8" w:space="0"/>
              <w:bottom w:val="single" w:color="000000" w:sz="8" w:space="0"/>
              <w:right w:val="single" w:color="auto" w:sz="8" w:space="0"/>
            </w:tcBorders>
            <w:vAlign w:val="center"/>
          </w:tcPr>
          <w:p w14:paraId="4E95ADF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F405A83">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2DD35BF">
            <w:pPr>
              <w:widowControl/>
              <w:jc w:val="left"/>
              <w:rPr>
                <w:rFonts w:hint="eastAsia" w:cs="宋体"/>
                <w:color w:val="000000"/>
                <w:kern w:val="0"/>
                <w:szCs w:val="21"/>
                <w:highlight w:val="none"/>
              </w:rPr>
            </w:pPr>
            <w:r>
              <w:rPr>
                <w:rFonts w:hint="eastAsia" w:cs="宋体"/>
                <w:color w:val="000000"/>
                <w:kern w:val="0"/>
                <w:szCs w:val="21"/>
                <w:highlight w:val="none"/>
              </w:rPr>
              <w:t>抗生素分级管理系统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3B63B84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0EBF1C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7BDD541">
            <w:pPr>
              <w:widowControl/>
              <w:jc w:val="right"/>
              <w:rPr>
                <w:rFonts w:hint="eastAsia"/>
                <w:color w:val="000000"/>
                <w:kern w:val="0"/>
                <w:szCs w:val="21"/>
                <w:highlight w:val="none"/>
              </w:rPr>
            </w:pPr>
            <w:r>
              <w:rPr>
                <w:color w:val="000000"/>
                <w:kern w:val="0"/>
                <w:szCs w:val="21"/>
                <w:highlight w:val="none"/>
              </w:rPr>
              <w:t>25</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48AB0989">
            <w:pPr>
              <w:widowControl/>
              <w:jc w:val="center"/>
              <w:rPr>
                <w:rFonts w:hint="eastAsia" w:cs="宋体"/>
                <w:b/>
                <w:bCs/>
                <w:color w:val="000000"/>
                <w:kern w:val="0"/>
                <w:szCs w:val="21"/>
                <w:highlight w:val="none"/>
              </w:rPr>
            </w:pPr>
            <w:r>
              <w:rPr>
                <w:rFonts w:hint="eastAsia" w:cs="宋体"/>
                <w:b/>
                <w:bCs/>
                <w:color w:val="000000"/>
                <w:kern w:val="0"/>
                <w:szCs w:val="21"/>
                <w:highlight w:val="none"/>
              </w:rPr>
              <w:t>电子病历系统（</w:t>
            </w:r>
            <w:r>
              <w:rPr>
                <w:rFonts w:cs="Calibri"/>
                <w:b/>
                <w:bCs/>
                <w:color w:val="000000"/>
                <w:kern w:val="0"/>
                <w:szCs w:val="21"/>
                <w:highlight w:val="none"/>
              </w:rPr>
              <w:t>EMR</w:t>
            </w:r>
            <w:r>
              <w:rPr>
                <w:rFonts w:hint="eastAsia" w:cs="宋体"/>
                <w:b/>
                <w:bCs/>
                <w:color w:val="000000"/>
                <w:kern w:val="0"/>
                <w:szCs w:val="21"/>
                <w:highlight w:val="none"/>
              </w:rPr>
              <w:t>）升级</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6499AE66">
            <w:pPr>
              <w:widowControl/>
              <w:jc w:val="center"/>
              <w:rPr>
                <w:rFonts w:hint="eastAsia" w:cs="宋体"/>
                <w:b/>
                <w:bCs/>
                <w:color w:val="000000"/>
                <w:kern w:val="0"/>
                <w:szCs w:val="21"/>
                <w:highlight w:val="none"/>
              </w:rPr>
            </w:pPr>
            <w:r>
              <w:rPr>
                <w:rFonts w:hint="eastAsia" w:cs="宋体"/>
                <w:b/>
                <w:bCs/>
                <w:color w:val="000000"/>
                <w:kern w:val="0"/>
                <w:szCs w:val="21"/>
                <w:highlight w:val="none"/>
              </w:rPr>
              <w:t>电子病历</w:t>
            </w:r>
          </w:p>
        </w:tc>
        <w:tc>
          <w:tcPr>
            <w:tcW w:w="3645" w:type="dxa"/>
            <w:tcBorders>
              <w:top w:val="nil"/>
              <w:left w:val="nil"/>
              <w:bottom w:val="single" w:color="auto" w:sz="8" w:space="0"/>
              <w:right w:val="single" w:color="auto" w:sz="8" w:space="0"/>
            </w:tcBorders>
            <w:shd w:val="clear" w:color="auto" w:fill="auto"/>
            <w:noWrap/>
            <w:vAlign w:val="center"/>
          </w:tcPr>
          <w:p w14:paraId="76C472E4">
            <w:pPr>
              <w:widowControl/>
              <w:jc w:val="left"/>
              <w:rPr>
                <w:rFonts w:hint="eastAsia" w:cs="宋体"/>
                <w:color w:val="000000"/>
                <w:kern w:val="0"/>
                <w:szCs w:val="21"/>
                <w:highlight w:val="none"/>
              </w:rPr>
            </w:pPr>
            <w:r>
              <w:rPr>
                <w:rFonts w:hint="eastAsia" w:cs="宋体"/>
                <w:color w:val="000000"/>
                <w:kern w:val="0"/>
                <w:szCs w:val="21"/>
                <w:highlight w:val="none"/>
              </w:rPr>
              <w:t>门诊电子病历系统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9788DF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E25207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6A8764F">
            <w:pPr>
              <w:widowControl/>
              <w:jc w:val="right"/>
              <w:rPr>
                <w:rFonts w:hint="eastAsia"/>
                <w:color w:val="000000"/>
                <w:kern w:val="0"/>
                <w:szCs w:val="21"/>
                <w:highlight w:val="none"/>
              </w:rPr>
            </w:pPr>
            <w:r>
              <w:rPr>
                <w:color w:val="000000"/>
                <w:kern w:val="0"/>
                <w:szCs w:val="21"/>
                <w:highlight w:val="none"/>
              </w:rPr>
              <w:t>26</w:t>
            </w:r>
          </w:p>
        </w:tc>
        <w:tc>
          <w:tcPr>
            <w:tcW w:w="2127" w:type="dxa"/>
            <w:vMerge w:val="continue"/>
            <w:tcBorders>
              <w:top w:val="nil"/>
              <w:left w:val="single" w:color="auto" w:sz="8" w:space="0"/>
              <w:bottom w:val="single" w:color="000000" w:sz="8" w:space="0"/>
              <w:right w:val="single" w:color="auto" w:sz="8" w:space="0"/>
            </w:tcBorders>
            <w:vAlign w:val="center"/>
          </w:tcPr>
          <w:p w14:paraId="07CF5B9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8F96DB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3F41393">
            <w:pPr>
              <w:widowControl/>
              <w:jc w:val="left"/>
              <w:rPr>
                <w:rFonts w:hint="eastAsia" w:cs="宋体"/>
                <w:color w:val="000000"/>
                <w:kern w:val="0"/>
                <w:szCs w:val="21"/>
                <w:highlight w:val="none"/>
              </w:rPr>
            </w:pPr>
            <w:r>
              <w:rPr>
                <w:rFonts w:hint="eastAsia" w:cs="宋体"/>
                <w:color w:val="000000"/>
                <w:kern w:val="0"/>
                <w:szCs w:val="21"/>
                <w:highlight w:val="none"/>
              </w:rPr>
              <w:t>住院电子病历系统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559FCA6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9DF020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15A8A63">
            <w:pPr>
              <w:widowControl/>
              <w:jc w:val="right"/>
              <w:rPr>
                <w:rFonts w:hint="eastAsia"/>
                <w:color w:val="000000"/>
                <w:kern w:val="0"/>
                <w:szCs w:val="21"/>
                <w:highlight w:val="none"/>
              </w:rPr>
            </w:pPr>
            <w:r>
              <w:rPr>
                <w:color w:val="000000"/>
                <w:kern w:val="0"/>
                <w:szCs w:val="21"/>
                <w:highlight w:val="none"/>
              </w:rPr>
              <w:t>27</w:t>
            </w:r>
          </w:p>
        </w:tc>
        <w:tc>
          <w:tcPr>
            <w:tcW w:w="2127" w:type="dxa"/>
            <w:vMerge w:val="continue"/>
            <w:tcBorders>
              <w:top w:val="nil"/>
              <w:left w:val="single" w:color="auto" w:sz="8" w:space="0"/>
              <w:bottom w:val="single" w:color="000000" w:sz="8" w:space="0"/>
              <w:right w:val="single" w:color="auto" w:sz="8" w:space="0"/>
            </w:tcBorders>
            <w:vAlign w:val="center"/>
          </w:tcPr>
          <w:p w14:paraId="297BAAD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855E0C3">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19C4678">
            <w:pPr>
              <w:widowControl/>
              <w:jc w:val="left"/>
              <w:rPr>
                <w:rFonts w:hint="eastAsia" w:cs="宋体"/>
                <w:color w:val="000000"/>
                <w:kern w:val="0"/>
                <w:szCs w:val="21"/>
                <w:highlight w:val="none"/>
              </w:rPr>
            </w:pPr>
            <w:r>
              <w:rPr>
                <w:rFonts w:hint="eastAsia" w:cs="宋体"/>
                <w:color w:val="000000"/>
                <w:kern w:val="0"/>
                <w:szCs w:val="21"/>
                <w:highlight w:val="none"/>
              </w:rPr>
              <w:t>护理电子病历系统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43485B2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C96172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B5C915F">
            <w:pPr>
              <w:widowControl/>
              <w:jc w:val="right"/>
              <w:rPr>
                <w:rFonts w:hint="eastAsia"/>
                <w:color w:val="000000"/>
                <w:kern w:val="0"/>
                <w:szCs w:val="21"/>
                <w:highlight w:val="none"/>
              </w:rPr>
            </w:pPr>
            <w:r>
              <w:rPr>
                <w:color w:val="000000"/>
                <w:kern w:val="0"/>
                <w:szCs w:val="21"/>
                <w:highlight w:val="none"/>
              </w:rPr>
              <w:t>28</w:t>
            </w:r>
          </w:p>
        </w:tc>
        <w:tc>
          <w:tcPr>
            <w:tcW w:w="2127" w:type="dxa"/>
            <w:vMerge w:val="continue"/>
            <w:tcBorders>
              <w:top w:val="nil"/>
              <w:left w:val="single" w:color="auto" w:sz="8" w:space="0"/>
              <w:bottom w:val="single" w:color="000000" w:sz="8" w:space="0"/>
              <w:right w:val="single" w:color="auto" w:sz="8" w:space="0"/>
            </w:tcBorders>
            <w:vAlign w:val="center"/>
          </w:tcPr>
          <w:p w14:paraId="7941950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3FFB54A">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3DAC01B">
            <w:pPr>
              <w:widowControl/>
              <w:jc w:val="left"/>
              <w:rPr>
                <w:rFonts w:hint="eastAsia" w:cs="宋体"/>
                <w:color w:val="000000"/>
                <w:kern w:val="0"/>
                <w:szCs w:val="21"/>
                <w:highlight w:val="none"/>
              </w:rPr>
            </w:pPr>
            <w:r>
              <w:rPr>
                <w:rFonts w:hint="eastAsia" w:cs="宋体"/>
                <w:color w:val="000000"/>
                <w:kern w:val="0"/>
                <w:szCs w:val="21"/>
                <w:highlight w:val="none"/>
              </w:rPr>
              <w:t>护理决策支持系统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5A08BF0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688DAD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5026325">
            <w:pPr>
              <w:widowControl/>
              <w:jc w:val="right"/>
              <w:rPr>
                <w:rFonts w:hint="eastAsia"/>
                <w:color w:val="000000"/>
                <w:kern w:val="0"/>
                <w:szCs w:val="21"/>
                <w:highlight w:val="none"/>
              </w:rPr>
            </w:pPr>
            <w:r>
              <w:rPr>
                <w:color w:val="000000"/>
                <w:kern w:val="0"/>
                <w:szCs w:val="21"/>
                <w:highlight w:val="none"/>
              </w:rPr>
              <w:t>29</w:t>
            </w:r>
          </w:p>
        </w:tc>
        <w:tc>
          <w:tcPr>
            <w:tcW w:w="2127" w:type="dxa"/>
            <w:vMerge w:val="continue"/>
            <w:tcBorders>
              <w:top w:val="nil"/>
              <w:left w:val="single" w:color="auto" w:sz="8" w:space="0"/>
              <w:bottom w:val="single" w:color="000000" w:sz="8" w:space="0"/>
              <w:right w:val="single" w:color="auto" w:sz="8" w:space="0"/>
            </w:tcBorders>
            <w:vAlign w:val="center"/>
          </w:tcPr>
          <w:p w14:paraId="07A25C9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AC6874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D41D0F8">
            <w:pPr>
              <w:widowControl/>
              <w:jc w:val="left"/>
              <w:rPr>
                <w:rFonts w:hint="eastAsia" w:cs="宋体"/>
                <w:color w:val="000000"/>
                <w:kern w:val="0"/>
                <w:szCs w:val="21"/>
                <w:highlight w:val="none"/>
              </w:rPr>
            </w:pPr>
            <w:r>
              <w:rPr>
                <w:rFonts w:hint="eastAsia" w:cs="宋体"/>
                <w:color w:val="000000"/>
                <w:kern w:val="0"/>
                <w:szCs w:val="21"/>
                <w:highlight w:val="none"/>
              </w:rPr>
              <w:t>病案管理与统计系统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50FA89E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6708D5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B3FB92E">
            <w:pPr>
              <w:widowControl/>
              <w:jc w:val="right"/>
              <w:rPr>
                <w:rFonts w:hint="eastAsia"/>
                <w:color w:val="000000"/>
                <w:kern w:val="0"/>
                <w:szCs w:val="21"/>
                <w:highlight w:val="none"/>
              </w:rPr>
            </w:pPr>
            <w:r>
              <w:rPr>
                <w:color w:val="000000"/>
                <w:kern w:val="0"/>
                <w:szCs w:val="21"/>
                <w:highlight w:val="none"/>
              </w:rPr>
              <w:t>30</w:t>
            </w:r>
          </w:p>
        </w:tc>
        <w:tc>
          <w:tcPr>
            <w:tcW w:w="2127" w:type="dxa"/>
            <w:vMerge w:val="continue"/>
            <w:tcBorders>
              <w:top w:val="nil"/>
              <w:left w:val="single" w:color="auto" w:sz="8" w:space="0"/>
              <w:bottom w:val="single" w:color="000000" w:sz="8" w:space="0"/>
              <w:right w:val="single" w:color="auto" w:sz="8" w:space="0"/>
            </w:tcBorders>
            <w:vAlign w:val="center"/>
          </w:tcPr>
          <w:p w14:paraId="16AFDC1A">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39B825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FE567CE">
            <w:pPr>
              <w:widowControl/>
              <w:jc w:val="left"/>
              <w:rPr>
                <w:rFonts w:hint="eastAsia" w:cs="宋体"/>
                <w:color w:val="000000"/>
                <w:kern w:val="0"/>
                <w:szCs w:val="21"/>
                <w:highlight w:val="none"/>
              </w:rPr>
            </w:pPr>
            <w:r>
              <w:rPr>
                <w:rFonts w:hint="eastAsia" w:cs="宋体"/>
                <w:color w:val="000000"/>
                <w:kern w:val="0"/>
                <w:szCs w:val="21"/>
                <w:highlight w:val="none"/>
              </w:rPr>
              <w:t>电子病历质量管理系统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0ECC15E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7ED33B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6EA2CD2">
            <w:pPr>
              <w:widowControl/>
              <w:jc w:val="right"/>
              <w:rPr>
                <w:rFonts w:hint="eastAsia"/>
                <w:color w:val="000000"/>
                <w:kern w:val="0"/>
                <w:szCs w:val="21"/>
                <w:highlight w:val="none"/>
              </w:rPr>
            </w:pPr>
            <w:r>
              <w:rPr>
                <w:color w:val="000000"/>
                <w:kern w:val="0"/>
                <w:szCs w:val="21"/>
                <w:highlight w:val="none"/>
              </w:rPr>
              <w:t>31</w:t>
            </w:r>
          </w:p>
        </w:tc>
        <w:tc>
          <w:tcPr>
            <w:tcW w:w="2127" w:type="dxa"/>
            <w:vMerge w:val="continue"/>
            <w:tcBorders>
              <w:top w:val="nil"/>
              <w:left w:val="single" w:color="auto" w:sz="8" w:space="0"/>
              <w:bottom w:val="single" w:color="000000" w:sz="8" w:space="0"/>
              <w:right w:val="single" w:color="auto" w:sz="8" w:space="0"/>
            </w:tcBorders>
            <w:vAlign w:val="center"/>
          </w:tcPr>
          <w:p w14:paraId="40C670A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7DD3E0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DA1F162">
            <w:pPr>
              <w:widowControl/>
              <w:jc w:val="left"/>
              <w:rPr>
                <w:rFonts w:hint="eastAsia" w:cs="宋体"/>
                <w:color w:val="000000"/>
                <w:kern w:val="0"/>
                <w:szCs w:val="21"/>
                <w:highlight w:val="none"/>
              </w:rPr>
            </w:pPr>
            <w:r>
              <w:rPr>
                <w:rFonts w:hint="eastAsia" w:cs="宋体"/>
                <w:color w:val="000000"/>
                <w:kern w:val="0"/>
                <w:szCs w:val="21"/>
                <w:highlight w:val="none"/>
              </w:rPr>
              <w:t>一般治疗信息系统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8B5F7B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C31F13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1E7016C">
            <w:pPr>
              <w:widowControl/>
              <w:jc w:val="right"/>
              <w:rPr>
                <w:rFonts w:hint="eastAsia"/>
                <w:color w:val="000000"/>
                <w:kern w:val="0"/>
                <w:szCs w:val="21"/>
                <w:highlight w:val="none"/>
              </w:rPr>
            </w:pPr>
            <w:r>
              <w:rPr>
                <w:color w:val="000000"/>
                <w:kern w:val="0"/>
                <w:szCs w:val="21"/>
                <w:highlight w:val="none"/>
              </w:rPr>
              <w:t>32</w:t>
            </w:r>
          </w:p>
        </w:tc>
        <w:tc>
          <w:tcPr>
            <w:tcW w:w="2127" w:type="dxa"/>
            <w:vMerge w:val="continue"/>
            <w:tcBorders>
              <w:top w:val="nil"/>
              <w:left w:val="single" w:color="auto" w:sz="8" w:space="0"/>
              <w:bottom w:val="single" w:color="000000" w:sz="8" w:space="0"/>
              <w:right w:val="single" w:color="auto" w:sz="8" w:space="0"/>
            </w:tcBorders>
            <w:vAlign w:val="center"/>
          </w:tcPr>
          <w:p w14:paraId="262E80AD">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10B2AA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4708FFB">
            <w:pPr>
              <w:widowControl/>
              <w:jc w:val="left"/>
              <w:rPr>
                <w:rFonts w:hint="eastAsia" w:cs="宋体"/>
                <w:color w:val="000000"/>
                <w:kern w:val="0"/>
                <w:szCs w:val="21"/>
                <w:highlight w:val="none"/>
              </w:rPr>
            </w:pPr>
            <w:r>
              <w:rPr>
                <w:rFonts w:hint="eastAsia" w:cs="宋体"/>
                <w:color w:val="000000"/>
                <w:kern w:val="0"/>
                <w:szCs w:val="21"/>
                <w:highlight w:val="none"/>
              </w:rPr>
              <w:t>院内会诊管理系统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6D5049F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C1E8E8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2FF3087">
            <w:pPr>
              <w:widowControl/>
              <w:jc w:val="right"/>
              <w:rPr>
                <w:rFonts w:hint="eastAsia"/>
                <w:color w:val="000000"/>
                <w:kern w:val="0"/>
                <w:szCs w:val="21"/>
                <w:highlight w:val="none"/>
              </w:rPr>
            </w:pPr>
            <w:r>
              <w:rPr>
                <w:color w:val="000000"/>
                <w:kern w:val="0"/>
                <w:szCs w:val="21"/>
                <w:highlight w:val="none"/>
              </w:rPr>
              <w:t>33</w:t>
            </w:r>
          </w:p>
        </w:tc>
        <w:tc>
          <w:tcPr>
            <w:tcW w:w="2127" w:type="dxa"/>
            <w:vMerge w:val="continue"/>
            <w:tcBorders>
              <w:top w:val="nil"/>
              <w:left w:val="single" w:color="auto" w:sz="8" w:space="0"/>
              <w:bottom w:val="single" w:color="000000" w:sz="8" w:space="0"/>
              <w:right w:val="single" w:color="auto" w:sz="8" w:space="0"/>
            </w:tcBorders>
            <w:vAlign w:val="center"/>
          </w:tcPr>
          <w:p w14:paraId="72F5A6A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508097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05F4916">
            <w:pPr>
              <w:widowControl/>
              <w:jc w:val="left"/>
              <w:rPr>
                <w:rFonts w:hint="eastAsia" w:cs="宋体"/>
                <w:color w:val="000000"/>
                <w:kern w:val="0"/>
                <w:szCs w:val="21"/>
                <w:highlight w:val="none"/>
              </w:rPr>
            </w:pPr>
            <w:r>
              <w:rPr>
                <w:rFonts w:hint="eastAsia" w:cs="宋体"/>
                <w:color w:val="000000"/>
                <w:kern w:val="0"/>
                <w:szCs w:val="21"/>
                <w:highlight w:val="none"/>
              </w:rPr>
              <w:t>电子病历评级支持服务</w:t>
            </w:r>
          </w:p>
        </w:tc>
        <w:tc>
          <w:tcPr>
            <w:tcW w:w="749" w:type="dxa"/>
            <w:gridSpan w:val="2"/>
            <w:tcBorders>
              <w:top w:val="nil"/>
              <w:left w:val="nil"/>
              <w:bottom w:val="single" w:color="auto" w:sz="8" w:space="0"/>
              <w:right w:val="single" w:color="auto" w:sz="8" w:space="0"/>
            </w:tcBorders>
            <w:shd w:val="clear" w:color="auto" w:fill="auto"/>
            <w:noWrap/>
            <w:vAlign w:val="center"/>
          </w:tcPr>
          <w:p w14:paraId="52838F5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C7C051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B4E213D">
            <w:pPr>
              <w:widowControl/>
              <w:jc w:val="right"/>
              <w:rPr>
                <w:rFonts w:hint="eastAsia"/>
                <w:color w:val="000000"/>
                <w:kern w:val="0"/>
                <w:szCs w:val="21"/>
                <w:highlight w:val="none"/>
              </w:rPr>
            </w:pPr>
            <w:r>
              <w:rPr>
                <w:color w:val="000000"/>
                <w:kern w:val="0"/>
                <w:szCs w:val="21"/>
                <w:highlight w:val="none"/>
              </w:rPr>
              <w:t>34</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5F5DFF58">
            <w:pPr>
              <w:widowControl/>
              <w:jc w:val="center"/>
              <w:rPr>
                <w:rFonts w:hint="eastAsia" w:cs="宋体"/>
                <w:b/>
                <w:bCs/>
                <w:color w:val="000000"/>
                <w:kern w:val="0"/>
                <w:szCs w:val="21"/>
                <w:highlight w:val="none"/>
              </w:rPr>
            </w:pPr>
            <w:r>
              <w:rPr>
                <w:rFonts w:hint="eastAsia" w:cs="宋体"/>
                <w:b/>
                <w:bCs/>
                <w:color w:val="000000"/>
                <w:kern w:val="0"/>
                <w:szCs w:val="21"/>
                <w:highlight w:val="none"/>
              </w:rPr>
              <w:t>数据中心管理系统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3419B92C">
            <w:pPr>
              <w:widowControl/>
              <w:jc w:val="center"/>
              <w:rPr>
                <w:rFonts w:hint="eastAsia" w:cs="宋体"/>
                <w:b/>
                <w:bCs/>
                <w:color w:val="000000"/>
                <w:kern w:val="0"/>
                <w:szCs w:val="21"/>
                <w:highlight w:val="none"/>
              </w:rPr>
            </w:pPr>
            <w:r>
              <w:rPr>
                <w:rFonts w:hint="eastAsia" w:cs="宋体"/>
                <w:b/>
                <w:bCs/>
                <w:color w:val="000000"/>
                <w:kern w:val="0"/>
                <w:szCs w:val="21"/>
                <w:highlight w:val="none"/>
              </w:rPr>
              <w:t>数据处理中心</w:t>
            </w:r>
          </w:p>
        </w:tc>
        <w:tc>
          <w:tcPr>
            <w:tcW w:w="3645" w:type="dxa"/>
            <w:tcBorders>
              <w:top w:val="nil"/>
              <w:left w:val="nil"/>
              <w:bottom w:val="single" w:color="auto" w:sz="8" w:space="0"/>
              <w:right w:val="single" w:color="auto" w:sz="8" w:space="0"/>
            </w:tcBorders>
            <w:shd w:val="clear" w:color="auto" w:fill="auto"/>
            <w:noWrap/>
            <w:vAlign w:val="center"/>
          </w:tcPr>
          <w:p w14:paraId="59E19D88">
            <w:pPr>
              <w:widowControl/>
              <w:jc w:val="left"/>
              <w:rPr>
                <w:rFonts w:hint="eastAsia" w:cs="宋体"/>
                <w:color w:val="000000"/>
                <w:kern w:val="0"/>
                <w:szCs w:val="21"/>
                <w:highlight w:val="none"/>
              </w:rPr>
            </w:pPr>
            <w:r>
              <w:rPr>
                <w:rFonts w:hint="eastAsia" w:cs="宋体"/>
                <w:color w:val="000000"/>
                <w:kern w:val="0"/>
                <w:szCs w:val="21"/>
                <w:highlight w:val="none"/>
              </w:rPr>
              <w:t>数据</w:t>
            </w:r>
            <w:r>
              <w:rPr>
                <w:rFonts w:cs="Calibri"/>
                <w:color w:val="000000"/>
                <w:kern w:val="0"/>
                <w:szCs w:val="21"/>
                <w:highlight w:val="none"/>
              </w:rPr>
              <w:t>ETL</w:t>
            </w:r>
            <w:r>
              <w:rPr>
                <w:rFonts w:hint="eastAsia" w:cs="宋体"/>
                <w:color w:val="000000"/>
                <w:kern w:val="0"/>
                <w:szCs w:val="21"/>
                <w:highlight w:val="none"/>
              </w:rPr>
              <w:t>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F654E5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912683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CDC7C94">
            <w:pPr>
              <w:widowControl/>
              <w:jc w:val="right"/>
              <w:rPr>
                <w:rFonts w:hint="eastAsia"/>
                <w:color w:val="000000"/>
                <w:kern w:val="0"/>
                <w:szCs w:val="21"/>
                <w:highlight w:val="none"/>
              </w:rPr>
            </w:pPr>
            <w:r>
              <w:rPr>
                <w:color w:val="000000"/>
                <w:kern w:val="0"/>
                <w:szCs w:val="21"/>
                <w:highlight w:val="none"/>
              </w:rPr>
              <w:t>35</w:t>
            </w:r>
          </w:p>
        </w:tc>
        <w:tc>
          <w:tcPr>
            <w:tcW w:w="2127" w:type="dxa"/>
            <w:vMerge w:val="continue"/>
            <w:tcBorders>
              <w:top w:val="nil"/>
              <w:left w:val="single" w:color="auto" w:sz="8" w:space="0"/>
              <w:bottom w:val="single" w:color="000000" w:sz="8" w:space="0"/>
              <w:right w:val="single" w:color="auto" w:sz="8" w:space="0"/>
            </w:tcBorders>
            <w:vAlign w:val="center"/>
          </w:tcPr>
          <w:p w14:paraId="21A4143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2EA7F1F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BF9AFB2">
            <w:pPr>
              <w:widowControl/>
              <w:jc w:val="left"/>
              <w:rPr>
                <w:rFonts w:hint="eastAsia" w:cs="宋体"/>
                <w:color w:val="000000"/>
                <w:kern w:val="0"/>
                <w:szCs w:val="21"/>
                <w:highlight w:val="none"/>
              </w:rPr>
            </w:pPr>
            <w:r>
              <w:rPr>
                <w:rFonts w:hint="eastAsia" w:cs="宋体"/>
                <w:color w:val="000000"/>
                <w:kern w:val="0"/>
                <w:szCs w:val="21"/>
                <w:highlight w:val="none"/>
              </w:rPr>
              <w:t>主数据管理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4D6374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57A8EA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23406C0">
            <w:pPr>
              <w:widowControl/>
              <w:jc w:val="right"/>
              <w:rPr>
                <w:rFonts w:hint="eastAsia"/>
                <w:color w:val="000000"/>
                <w:kern w:val="0"/>
                <w:szCs w:val="21"/>
                <w:highlight w:val="none"/>
              </w:rPr>
            </w:pPr>
            <w:r>
              <w:rPr>
                <w:color w:val="000000"/>
                <w:kern w:val="0"/>
                <w:szCs w:val="21"/>
                <w:highlight w:val="none"/>
              </w:rPr>
              <w:t>36</w:t>
            </w:r>
          </w:p>
        </w:tc>
        <w:tc>
          <w:tcPr>
            <w:tcW w:w="2127" w:type="dxa"/>
            <w:vMerge w:val="continue"/>
            <w:tcBorders>
              <w:top w:val="nil"/>
              <w:left w:val="single" w:color="auto" w:sz="8" w:space="0"/>
              <w:bottom w:val="single" w:color="000000" w:sz="8" w:space="0"/>
              <w:right w:val="single" w:color="auto" w:sz="8" w:space="0"/>
            </w:tcBorders>
            <w:vAlign w:val="center"/>
          </w:tcPr>
          <w:p w14:paraId="50F3E39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770059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F92EF28">
            <w:pPr>
              <w:widowControl/>
              <w:jc w:val="left"/>
              <w:rPr>
                <w:rFonts w:hint="eastAsia" w:cs="宋体"/>
                <w:color w:val="000000"/>
                <w:kern w:val="0"/>
                <w:szCs w:val="21"/>
                <w:highlight w:val="none"/>
              </w:rPr>
            </w:pPr>
            <w:r>
              <w:rPr>
                <w:rFonts w:hint="eastAsia" w:cs="宋体"/>
                <w:color w:val="000000"/>
                <w:kern w:val="0"/>
                <w:szCs w:val="21"/>
                <w:highlight w:val="none"/>
              </w:rPr>
              <w:t>术语管理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2EDBD0E">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68B60F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9BFDBAA">
            <w:pPr>
              <w:widowControl/>
              <w:jc w:val="right"/>
              <w:rPr>
                <w:rFonts w:hint="eastAsia"/>
                <w:color w:val="000000"/>
                <w:kern w:val="0"/>
                <w:szCs w:val="21"/>
                <w:highlight w:val="none"/>
              </w:rPr>
            </w:pPr>
            <w:r>
              <w:rPr>
                <w:color w:val="000000"/>
                <w:kern w:val="0"/>
                <w:szCs w:val="21"/>
                <w:highlight w:val="none"/>
              </w:rPr>
              <w:t>37</w:t>
            </w:r>
          </w:p>
        </w:tc>
        <w:tc>
          <w:tcPr>
            <w:tcW w:w="2127" w:type="dxa"/>
            <w:vMerge w:val="continue"/>
            <w:tcBorders>
              <w:top w:val="nil"/>
              <w:left w:val="single" w:color="auto" w:sz="8" w:space="0"/>
              <w:bottom w:val="single" w:color="000000" w:sz="8" w:space="0"/>
              <w:right w:val="single" w:color="auto" w:sz="8" w:space="0"/>
            </w:tcBorders>
            <w:vAlign w:val="center"/>
          </w:tcPr>
          <w:p w14:paraId="705ABC4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3F6FB5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5150DF4">
            <w:pPr>
              <w:widowControl/>
              <w:jc w:val="left"/>
              <w:rPr>
                <w:rFonts w:hint="eastAsia" w:cs="宋体"/>
                <w:color w:val="000000"/>
                <w:kern w:val="0"/>
                <w:szCs w:val="21"/>
                <w:highlight w:val="none"/>
              </w:rPr>
            </w:pPr>
            <w:r>
              <w:rPr>
                <w:rFonts w:hint="eastAsia" w:cs="宋体"/>
                <w:color w:val="000000"/>
                <w:kern w:val="0"/>
                <w:szCs w:val="21"/>
                <w:highlight w:val="none"/>
              </w:rPr>
              <w:t>患者主索引管理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63C4F8D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B4A6C7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C12DBA8">
            <w:pPr>
              <w:widowControl/>
              <w:jc w:val="right"/>
              <w:rPr>
                <w:rFonts w:hint="eastAsia"/>
                <w:color w:val="000000"/>
                <w:kern w:val="0"/>
                <w:szCs w:val="21"/>
                <w:highlight w:val="none"/>
              </w:rPr>
            </w:pPr>
            <w:r>
              <w:rPr>
                <w:color w:val="000000"/>
                <w:kern w:val="0"/>
                <w:szCs w:val="21"/>
                <w:highlight w:val="none"/>
              </w:rPr>
              <w:t>38</w:t>
            </w:r>
          </w:p>
        </w:tc>
        <w:tc>
          <w:tcPr>
            <w:tcW w:w="2127" w:type="dxa"/>
            <w:vMerge w:val="continue"/>
            <w:tcBorders>
              <w:top w:val="nil"/>
              <w:left w:val="single" w:color="auto" w:sz="8" w:space="0"/>
              <w:bottom w:val="single" w:color="000000" w:sz="8" w:space="0"/>
              <w:right w:val="single" w:color="auto" w:sz="8" w:space="0"/>
            </w:tcBorders>
            <w:vAlign w:val="center"/>
          </w:tcPr>
          <w:p w14:paraId="7A81C1A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EEE123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E3E4C0E">
            <w:pPr>
              <w:widowControl/>
              <w:jc w:val="left"/>
              <w:rPr>
                <w:rFonts w:hint="eastAsia" w:cs="宋体"/>
                <w:color w:val="000000"/>
                <w:kern w:val="0"/>
                <w:szCs w:val="21"/>
                <w:highlight w:val="none"/>
              </w:rPr>
            </w:pPr>
            <w:r>
              <w:rPr>
                <w:rFonts w:hint="eastAsia" w:cs="宋体"/>
                <w:color w:val="000000"/>
                <w:kern w:val="0"/>
                <w:szCs w:val="21"/>
                <w:highlight w:val="none"/>
              </w:rPr>
              <w:t>数据脱敏配置管理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66F8A12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BC830F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1310121">
            <w:pPr>
              <w:widowControl/>
              <w:jc w:val="right"/>
              <w:rPr>
                <w:rFonts w:hint="eastAsia"/>
                <w:color w:val="000000"/>
                <w:kern w:val="0"/>
                <w:szCs w:val="21"/>
                <w:highlight w:val="none"/>
              </w:rPr>
            </w:pPr>
            <w:r>
              <w:rPr>
                <w:color w:val="000000"/>
                <w:kern w:val="0"/>
                <w:szCs w:val="21"/>
                <w:highlight w:val="none"/>
              </w:rPr>
              <w:t>39</w:t>
            </w:r>
          </w:p>
        </w:tc>
        <w:tc>
          <w:tcPr>
            <w:tcW w:w="2127" w:type="dxa"/>
            <w:vMerge w:val="continue"/>
            <w:tcBorders>
              <w:top w:val="nil"/>
              <w:left w:val="single" w:color="auto" w:sz="8" w:space="0"/>
              <w:bottom w:val="single" w:color="000000" w:sz="8" w:space="0"/>
              <w:right w:val="single" w:color="auto" w:sz="8" w:space="0"/>
            </w:tcBorders>
            <w:vAlign w:val="center"/>
          </w:tcPr>
          <w:p w14:paraId="7005236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02D2801">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F64575A">
            <w:pPr>
              <w:widowControl/>
              <w:jc w:val="left"/>
              <w:rPr>
                <w:rFonts w:hint="eastAsia" w:cs="宋体"/>
                <w:color w:val="000000"/>
                <w:kern w:val="0"/>
                <w:szCs w:val="21"/>
                <w:highlight w:val="none"/>
              </w:rPr>
            </w:pPr>
            <w:r>
              <w:rPr>
                <w:rFonts w:hint="eastAsia" w:cs="宋体"/>
                <w:color w:val="000000"/>
                <w:kern w:val="0"/>
                <w:szCs w:val="21"/>
                <w:highlight w:val="none"/>
              </w:rPr>
              <w:t>临床信息数据库</w:t>
            </w:r>
            <w:r>
              <w:rPr>
                <w:rFonts w:cs="Calibri"/>
                <w:color w:val="000000"/>
                <w:kern w:val="0"/>
                <w:szCs w:val="21"/>
                <w:highlight w:val="none"/>
              </w:rPr>
              <w:t>CDR</w:t>
            </w:r>
          </w:p>
        </w:tc>
        <w:tc>
          <w:tcPr>
            <w:tcW w:w="749" w:type="dxa"/>
            <w:gridSpan w:val="2"/>
            <w:tcBorders>
              <w:top w:val="nil"/>
              <w:left w:val="nil"/>
              <w:bottom w:val="single" w:color="auto" w:sz="8" w:space="0"/>
              <w:right w:val="single" w:color="auto" w:sz="8" w:space="0"/>
            </w:tcBorders>
            <w:shd w:val="clear" w:color="auto" w:fill="auto"/>
            <w:noWrap/>
            <w:vAlign w:val="center"/>
          </w:tcPr>
          <w:p w14:paraId="3777D8E2">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8ADE8D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A0C406A">
            <w:pPr>
              <w:widowControl/>
              <w:jc w:val="right"/>
              <w:rPr>
                <w:rFonts w:hint="eastAsia"/>
                <w:color w:val="000000"/>
                <w:kern w:val="0"/>
                <w:szCs w:val="21"/>
                <w:highlight w:val="none"/>
              </w:rPr>
            </w:pPr>
            <w:r>
              <w:rPr>
                <w:color w:val="000000"/>
                <w:kern w:val="0"/>
                <w:szCs w:val="21"/>
                <w:highlight w:val="none"/>
              </w:rPr>
              <w:t>40</w:t>
            </w:r>
          </w:p>
        </w:tc>
        <w:tc>
          <w:tcPr>
            <w:tcW w:w="2127" w:type="dxa"/>
            <w:vMerge w:val="continue"/>
            <w:tcBorders>
              <w:top w:val="nil"/>
              <w:left w:val="single" w:color="auto" w:sz="8" w:space="0"/>
              <w:bottom w:val="single" w:color="000000" w:sz="8" w:space="0"/>
              <w:right w:val="single" w:color="auto" w:sz="8" w:space="0"/>
            </w:tcBorders>
            <w:vAlign w:val="center"/>
          </w:tcPr>
          <w:p w14:paraId="630FE89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459D62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579309E">
            <w:pPr>
              <w:widowControl/>
              <w:jc w:val="left"/>
              <w:rPr>
                <w:rFonts w:hint="eastAsia" w:cs="宋体"/>
                <w:color w:val="000000"/>
                <w:kern w:val="0"/>
                <w:szCs w:val="21"/>
                <w:highlight w:val="none"/>
              </w:rPr>
            </w:pPr>
            <w:r>
              <w:rPr>
                <w:rFonts w:hint="eastAsia" w:cs="宋体"/>
                <w:color w:val="000000"/>
                <w:kern w:val="0"/>
                <w:szCs w:val="21"/>
                <w:highlight w:val="none"/>
              </w:rPr>
              <w:t>运营信息数据库</w:t>
            </w:r>
            <w:r>
              <w:rPr>
                <w:rFonts w:cs="Calibri"/>
                <w:color w:val="000000"/>
                <w:kern w:val="0"/>
                <w:szCs w:val="21"/>
                <w:highlight w:val="none"/>
              </w:rPr>
              <w:t>ODR</w:t>
            </w:r>
          </w:p>
        </w:tc>
        <w:tc>
          <w:tcPr>
            <w:tcW w:w="749" w:type="dxa"/>
            <w:gridSpan w:val="2"/>
            <w:tcBorders>
              <w:top w:val="nil"/>
              <w:left w:val="nil"/>
              <w:bottom w:val="single" w:color="auto" w:sz="8" w:space="0"/>
              <w:right w:val="single" w:color="auto" w:sz="8" w:space="0"/>
            </w:tcBorders>
            <w:shd w:val="clear" w:color="auto" w:fill="auto"/>
            <w:noWrap/>
            <w:vAlign w:val="center"/>
          </w:tcPr>
          <w:p w14:paraId="054AFBE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AF7736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2C959FE">
            <w:pPr>
              <w:widowControl/>
              <w:jc w:val="right"/>
              <w:rPr>
                <w:rFonts w:hint="eastAsia"/>
                <w:color w:val="000000"/>
                <w:kern w:val="0"/>
                <w:szCs w:val="21"/>
                <w:highlight w:val="none"/>
              </w:rPr>
            </w:pPr>
            <w:r>
              <w:rPr>
                <w:color w:val="000000"/>
                <w:kern w:val="0"/>
                <w:szCs w:val="21"/>
                <w:highlight w:val="none"/>
              </w:rPr>
              <w:t>41</w:t>
            </w:r>
          </w:p>
        </w:tc>
        <w:tc>
          <w:tcPr>
            <w:tcW w:w="2127" w:type="dxa"/>
            <w:vMerge w:val="continue"/>
            <w:tcBorders>
              <w:top w:val="nil"/>
              <w:left w:val="single" w:color="auto" w:sz="8" w:space="0"/>
              <w:bottom w:val="single" w:color="000000" w:sz="8" w:space="0"/>
              <w:right w:val="single" w:color="auto" w:sz="8" w:space="0"/>
            </w:tcBorders>
            <w:vAlign w:val="center"/>
          </w:tcPr>
          <w:p w14:paraId="718E245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515DB6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28DD8C0">
            <w:pPr>
              <w:widowControl/>
              <w:jc w:val="left"/>
              <w:rPr>
                <w:rFonts w:hint="eastAsia" w:cs="宋体"/>
                <w:color w:val="000000"/>
                <w:kern w:val="0"/>
                <w:szCs w:val="21"/>
                <w:highlight w:val="none"/>
              </w:rPr>
            </w:pPr>
            <w:r>
              <w:rPr>
                <w:rFonts w:hint="eastAsia" w:cs="宋体"/>
                <w:color w:val="000000"/>
                <w:kern w:val="0"/>
                <w:szCs w:val="21"/>
                <w:highlight w:val="none"/>
              </w:rPr>
              <w:t>数据治理</w:t>
            </w:r>
          </w:p>
        </w:tc>
        <w:tc>
          <w:tcPr>
            <w:tcW w:w="749" w:type="dxa"/>
            <w:gridSpan w:val="2"/>
            <w:tcBorders>
              <w:top w:val="nil"/>
              <w:left w:val="nil"/>
              <w:bottom w:val="single" w:color="auto" w:sz="8" w:space="0"/>
              <w:right w:val="single" w:color="auto" w:sz="8" w:space="0"/>
            </w:tcBorders>
            <w:shd w:val="clear" w:color="auto" w:fill="auto"/>
            <w:noWrap/>
            <w:vAlign w:val="center"/>
          </w:tcPr>
          <w:p w14:paraId="76C126B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98DFFA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2131B59">
            <w:pPr>
              <w:widowControl/>
              <w:jc w:val="right"/>
              <w:rPr>
                <w:rFonts w:hint="eastAsia"/>
                <w:color w:val="000000"/>
                <w:kern w:val="0"/>
                <w:szCs w:val="21"/>
                <w:highlight w:val="none"/>
              </w:rPr>
            </w:pPr>
            <w:r>
              <w:rPr>
                <w:color w:val="000000"/>
                <w:kern w:val="0"/>
                <w:szCs w:val="21"/>
                <w:highlight w:val="none"/>
              </w:rPr>
              <w:t>42</w:t>
            </w:r>
          </w:p>
        </w:tc>
        <w:tc>
          <w:tcPr>
            <w:tcW w:w="2127" w:type="dxa"/>
            <w:vMerge w:val="continue"/>
            <w:tcBorders>
              <w:top w:val="nil"/>
              <w:left w:val="single" w:color="auto" w:sz="8" w:space="0"/>
              <w:bottom w:val="single" w:color="000000" w:sz="8" w:space="0"/>
              <w:right w:val="single" w:color="auto" w:sz="8" w:space="0"/>
            </w:tcBorders>
            <w:vAlign w:val="center"/>
          </w:tcPr>
          <w:p w14:paraId="220CF29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5C3226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A0AE4CB">
            <w:pPr>
              <w:widowControl/>
              <w:jc w:val="left"/>
              <w:rPr>
                <w:rFonts w:hint="eastAsia" w:cs="宋体"/>
                <w:color w:val="000000"/>
                <w:kern w:val="0"/>
                <w:szCs w:val="21"/>
                <w:highlight w:val="none"/>
              </w:rPr>
            </w:pPr>
            <w:r>
              <w:rPr>
                <w:rFonts w:hint="eastAsia" w:cs="宋体"/>
                <w:color w:val="000000"/>
                <w:kern w:val="0"/>
                <w:szCs w:val="21"/>
                <w:highlight w:val="none"/>
              </w:rPr>
              <w:t>电子病历共享文档库</w:t>
            </w:r>
          </w:p>
        </w:tc>
        <w:tc>
          <w:tcPr>
            <w:tcW w:w="749" w:type="dxa"/>
            <w:gridSpan w:val="2"/>
            <w:tcBorders>
              <w:top w:val="nil"/>
              <w:left w:val="nil"/>
              <w:bottom w:val="single" w:color="auto" w:sz="8" w:space="0"/>
              <w:right w:val="single" w:color="auto" w:sz="8" w:space="0"/>
            </w:tcBorders>
            <w:shd w:val="clear" w:color="auto" w:fill="auto"/>
            <w:noWrap/>
            <w:vAlign w:val="center"/>
          </w:tcPr>
          <w:p w14:paraId="5EF7F56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69C4ED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7949876">
            <w:pPr>
              <w:widowControl/>
              <w:jc w:val="right"/>
              <w:rPr>
                <w:rFonts w:hint="eastAsia"/>
                <w:color w:val="000000"/>
                <w:kern w:val="0"/>
                <w:szCs w:val="21"/>
                <w:highlight w:val="none"/>
              </w:rPr>
            </w:pPr>
            <w:r>
              <w:rPr>
                <w:color w:val="000000"/>
                <w:kern w:val="0"/>
                <w:szCs w:val="21"/>
                <w:highlight w:val="none"/>
              </w:rPr>
              <w:t>43</w:t>
            </w:r>
          </w:p>
        </w:tc>
        <w:tc>
          <w:tcPr>
            <w:tcW w:w="2127" w:type="dxa"/>
            <w:vMerge w:val="continue"/>
            <w:tcBorders>
              <w:top w:val="nil"/>
              <w:left w:val="single" w:color="auto" w:sz="8" w:space="0"/>
              <w:bottom w:val="single" w:color="000000" w:sz="8" w:space="0"/>
              <w:right w:val="single" w:color="auto" w:sz="8" w:space="0"/>
            </w:tcBorders>
            <w:vAlign w:val="center"/>
          </w:tcPr>
          <w:p w14:paraId="6AA99997">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077634F0">
            <w:pPr>
              <w:widowControl/>
              <w:jc w:val="center"/>
              <w:rPr>
                <w:rFonts w:hint="eastAsia" w:cs="宋体"/>
                <w:b/>
                <w:bCs/>
                <w:color w:val="000000"/>
                <w:kern w:val="0"/>
                <w:szCs w:val="21"/>
                <w:highlight w:val="none"/>
              </w:rPr>
            </w:pPr>
            <w:r>
              <w:rPr>
                <w:rFonts w:hint="eastAsia" w:cs="宋体"/>
                <w:b/>
                <w:bCs/>
                <w:color w:val="000000"/>
                <w:kern w:val="0"/>
                <w:szCs w:val="21"/>
                <w:highlight w:val="none"/>
              </w:rPr>
              <w:t>业务应用</w:t>
            </w:r>
          </w:p>
        </w:tc>
        <w:tc>
          <w:tcPr>
            <w:tcW w:w="3645" w:type="dxa"/>
            <w:tcBorders>
              <w:top w:val="nil"/>
              <w:left w:val="nil"/>
              <w:bottom w:val="single" w:color="auto" w:sz="8" w:space="0"/>
              <w:right w:val="single" w:color="auto" w:sz="8" w:space="0"/>
            </w:tcBorders>
            <w:shd w:val="clear" w:color="auto" w:fill="auto"/>
            <w:noWrap/>
            <w:vAlign w:val="center"/>
          </w:tcPr>
          <w:p w14:paraId="5CD9910F">
            <w:pPr>
              <w:widowControl/>
              <w:jc w:val="left"/>
              <w:rPr>
                <w:rFonts w:hint="eastAsia" w:cs="宋体"/>
                <w:color w:val="000000"/>
                <w:kern w:val="0"/>
                <w:szCs w:val="21"/>
                <w:highlight w:val="none"/>
              </w:rPr>
            </w:pPr>
            <w:r>
              <w:rPr>
                <w:rFonts w:hint="eastAsia" w:cs="宋体"/>
                <w:color w:val="000000"/>
                <w:kern w:val="0"/>
                <w:szCs w:val="21"/>
                <w:highlight w:val="none"/>
              </w:rPr>
              <w:t>医院综合查询报表系统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219EDD4B">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DF3A6D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589DB69">
            <w:pPr>
              <w:widowControl/>
              <w:jc w:val="right"/>
              <w:rPr>
                <w:rFonts w:hint="eastAsia"/>
                <w:color w:val="000000"/>
                <w:kern w:val="0"/>
                <w:szCs w:val="21"/>
                <w:highlight w:val="none"/>
              </w:rPr>
            </w:pPr>
            <w:r>
              <w:rPr>
                <w:color w:val="000000"/>
                <w:kern w:val="0"/>
                <w:szCs w:val="21"/>
                <w:highlight w:val="none"/>
              </w:rPr>
              <w:t>44</w:t>
            </w:r>
          </w:p>
        </w:tc>
        <w:tc>
          <w:tcPr>
            <w:tcW w:w="2127" w:type="dxa"/>
            <w:vMerge w:val="continue"/>
            <w:tcBorders>
              <w:top w:val="nil"/>
              <w:left w:val="single" w:color="auto" w:sz="8" w:space="0"/>
              <w:bottom w:val="single" w:color="000000" w:sz="8" w:space="0"/>
              <w:right w:val="single" w:color="auto" w:sz="8" w:space="0"/>
            </w:tcBorders>
            <w:vAlign w:val="center"/>
          </w:tcPr>
          <w:p w14:paraId="64B3194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5DE3D6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9E61BC9">
            <w:pPr>
              <w:widowControl/>
              <w:jc w:val="left"/>
              <w:rPr>
                <w:rFonts w:hint="eastAsia" w:cs="宋体"/>
                <w:color w:val="000000"/>
                <w:kern w:val="0"/>
                <w:szCs w:val="21"/>
                <w:highlight w:val="none"/>
              </w:rPr>
            </w:pPr>
            <w:r>
              <w:rPr>
                <w:rFonts w:hint="eastAsia" w:cs="宋体"/>
                <w:color w:val="000000"/>
                <w:kern w:val="0"/>
                <w:szCs w:val="21"/>
                <w:highlight w:val="none"/>
              </w:rPr>
              <w:t>患者全息视图系统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0BC4F4E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C8E78C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7557CE6">
            <w:pPr>
              <w:widowControl/>
              <w:jc w:val="right"/>
              <w:rPr>
                <w:rFonts w:hint="eastAsia"/>
                <w:color w:val="000000"/>
                <w:kern w:val="0"/>
                <w:szCs w:val="21"/>
                <w:highlight w:val="none"/>
              </w:rPr>
            </w:pPr>
            <w:r>
              <w:rPr>
                <w:color w:val="000000"/>
                <w:kern w:val="0"/>
                <w:szCs w:val="21"/>
                <w:highlight w:val="none"/>
              </w:rPr>
              <w:t>45</w:t>
            </w:r>
          </w:p>
        </w:tc>
        <w:tc>
          <w:tcPr>
            <w:tcW w:w="2127" w:type="dxa"/>
            <w:vMerge w:val="continue"/>
            <w:tcBorders>
              <w:top w:val="nil"/>
              <w:left w:val="single" w:color="auto" w:sz="8" w:space="0"/>
              <w:bottom w:val="single" w:color="000000" w:sz="8" w:space="0"/>
              <w:right w:val="single" w:color="auto" w:sz="8" w:space="0"/>
            </w:tcBorders>
            <w:vAlign w:val="center"/>
          </w:tcPr>
          <w:p w14:paraId="15A54CC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17E9A1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0E99E72">
            <w:pPr>
              <w:widowControl/>
              <w:jc w:val="left"/>
              <w:rPr>
                <w:rFonts w:hint="eastAsia" w:cs="宋体"/>
                <w:color w:val="000000"/>
                <w:kern w:val="0"/>
                <w:szCs w:val="21"/>
                <w:highlight w:val="none"/>
              </w:rPr>
            </w:pPr>
            <w:r>
              <w:rPr>
                <w:rFonts w:hint="eastAsia" w:cs="宋体"/>
                <w:color w:val="000000"/>
                <w:kern w:val="0"/>
                <w:szCs w:val="21"/>
                <w:highlight w:val="none"/>
              </w:rPr>
              <w:t>危急值管理系统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4D70698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54E6F5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0BC3E5D">
            <w:pPr>
              <w:widowControl/>
              <w:jc w:val="right"/>
              <w:rPr>
                <w:rFonts w:hint="eastAsia"/>
                <w:color w:val="000000"/>
                <w:kern w:val="0"/>
                <w:szCs w:val="21"/>
                <w:highlight w:val="none"/>
              </w:rPr>
            </w:pPr>
            <w:r>
              <w:rPr>
                <w:color w:val="000000"/>
                <w:kern w:val="0"/>
                <w:szCs w:val="21"/>
                <w:highlight w:val="none"/>
              </w:rPr>
              <w:t>46</w:t>
            </w:r>
          </w:p>
        </w:tc>
        <w:tc>
          <w:tcPr>
            <w:tcW w:w="2127" w:type="dxa"/>
            <w:vMerge w:val="continue"/>
            <w:tcBorders>
              <w:top w:val="nil"/>
              <w:left w:val="single" w:color="auto" w:sz="8" w:space="0"/>
              <w:bottom w:val="single" w:color="000000" w:sz="8" w:space="0"/>
              <w:right w:val="single" w:color="auto" w:sz="8" w:space="0"/>
            </w:tcBorders>
            <w:vAlign w:val="center"/>
          </w:tcPr>
          <w:p w14:paraId="40B14822">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6C290BBA">
            <w:pPr>
              <w:widowControl/>
              <w:jc w:val="center"/>
              <w:rPr>
                <w:rFonts w:hint="eastAsia" w:cs="宋体"/>
                <w:b/>
                <w:bCs/>
                <w:color w:val="000000"/>
                <w:kern w:val="0"/>
                <w:szCs w:val="21"/>
                <w:highlight w:val="none"/>
              </w:rPr>
            </w:pPr>
            <w:r>
              <w:rPr>
                <w:rFonts w:hint="eastAsia" w:cs="宋体"/>
                <w:b/>
                <w:bCs/>
                <w:color w:val="000000"/>
                <w:kern w:val="0"/>
                <w:szCs w:val="21"/>
                <w:highlight w:val="none"/>
              </w:rPr>
              <w:t>数据上报</w:t>
            </w:r>
          </w:p>
        </w:tc>
        <w:tc>
          <w:tcPr>
            <w:tcW w:w="3645" w:type="dxa"/>
            <w:tcBorders>
              <w:top w:val="nil"/>
              <w:left w:val="nil"/>
              <w:bottom w:val="single" w:color="auto" w:sz="8" w:space="0"/>
              <w:right w:val="single" w:color="auto" w:sz="8" w:space="0"/>
            </w:tcBorders>
            <w:shd w:val="clear" w:color="auto" w:fill="auto"/>
            <w:noWrap/>
            <w:vAlign w:val="center"/>
          </w:tcPr>
          <w:p w14:paraId="7DB3D46E">
            <w:pPr>
              <w:widowControl/>
              <w:jc w:val="left"/>
              <w:rPr>
                <w:rFonts w:hint="eastAsia" w:cs="Calibri"/>
                <w:color w:val="000000"/>
                <w:kern w:val="0"/>
                <w:szCs w:val="21"/>
                <w:highlight w:val="none"/>
              </w:rPr>
            </w:pPr>
            <w:r>
              <w:rPr>
                <w:rFonts w:cs="Calibri"/>
                <w:color w:val="000000"/>
                <w:kern w:val="0"/>
                <w:szCs w:val="21"/>
                <w:highlight w:val="none"/>
              </w:rPr>
              <w:t>HQMS</w:t>
            </w:r>
            <w:r>
              <w:rPr>
                <w:rFonts w:hint="eastAsia" w:cs="Calibri"/>
                <w:color w:val="000000"/>
                <w:kern w:val="0"/>
                <w:szCs w:val="21"/>
                <w:highlight w:val="none"/>
              </w:rPr>
              <w:t>数据上报</w:t>
            </w:r>
          </w:p>
        </w:tc>
        <w:tc>
          <w:tcPr>
            <w:tcW w:w="749" w:type="dxa"/>
            <w:gridSpan w:val="2"/>
            <w:tcBorders>
              <w:top w:val="nil"/>
              <w:left w:val="nil"/>
              <w:bottom w:val="single" w:color="auto" w:sz="8" w:space="0"/>
              <w:right w:val="single" w:color="auto" w:sz="8" w:space="0"/>
            </w:tcBorders>
            <w:shd w:val="clear" w:color="auto" w:fill="auto"/>
            <w:noWrap/>
            <w:vAlign w:val="center"/>
          </w:tcPr>
          <w:p w14:paraId="76E9758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011761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D135352">
            <w:pPr>
              <w:widowControl/>
              <w:jc w:val="right"/>
              <w:rPr>
                <w:rFonts w:hint="eastAsia"/>
                <w:color w:val="000000"/>
                <w:kern w:val="0"/>
                <w:szCs w:val="21"/>
                <w:highlight w:val="none"/>
              </w:rPr>
            </w:pPr>
            <w:r>
              <w:rPr>
                <w:color w:val="000000"/>
                <w:kern w:val="0"/>
                <w:szCs w:val="21"/>
                <w:highlight w:val="none"/>
              </w:rPr>
              <w:t>47</w:t>
            </w:r>
          </w:p>
        </w:tc>
        <w:tc>
          <w:tcPr>
            <w:tcW w:w="2127" w:type="dxa"/>
            <w:vMerge w:val="continue"/>
            <w:tcBorders>
              <w:top w:val="nil"/>
              <w:left w:val="single" w:color="auto" w:sz="8" w:space="0"/>
              <w:bottom w:val="single" w:color="000000" w:sz="8" w:space="0"/>
              <w:right w:val="single" w:color="auto" w:sz="8" w:space="0"/>
            </w:tcBorders>
            <w:vAlign w:val="center"/>
          </w:tcPr>
          <w:p w14:paraId="4970597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624FA8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3ACE8A4">
            <w:pPr>
              <w:widowControl/>
              <w:jc w:val="left"/>
              <w:rPr>
                <w:rFonts w:hint="eastAsia" w:cs="宋体"/>
                <w:color w:val="000000"/>
                <w:kern w:val="0"/>
                <w:szCs w:val="21"/>
                <w:highlight w:val="none"/>
              </w:rPr>
            </w:pPr>
            <w:r>
              <w:rPr>
                <w:rFonts w:hint="eastAsia" w:cs="宋体"/>
                <w:color w:val="000000"/>
                <w:kern w:val="0"/>
                <w:szCs w:val="21"/>
                <w:highlight w:val="none"/>
              </w:rPr>
              <w:t>预防接种信息上报</w:t>
            </w:r>
          </w:p>
        </w:tc>
        <w:tc>
          <w:tcPr>
            <w:tcW w:w="749" w:type="dxa"/>
            <w:gridSpan w:val="2"/>
            <w:tcBorders>
              <w:top w:val="nil"/>
              <w:left w:val="nil"/>
              <w:bottom w:val="single" w:color="auto" w:sz="8" w:space="0"/>
              <w:right w:val="single" w:color="auto" w:sz="8" w:space="0"/>
            </w:tcBorders>
            <w:shd w:val="clear" w:color="auto" w:fill="auto"/>
            <w:noWrap/>
            <w:vAlign w:val="center"/>
          </w:tcPr>
          <w:p w14:paraId="1B6580F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5E73E1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8EB716C">
            <w:pPr>
              <w:widowControl/>
              <w:jc w:val="right"/>
              <w:rPr>
                <w:rFonts w:hint="eastAsia"/>
                <w:color w:val="000000"/>
                <w:kern w:val="0"/>
                <w:szCs w:val="21"/>
                <w:highlight w:val="none"/>
              </w:rPr>
            </w:pPr>
            <w:r>
              <w:rPr>
                <w:color w:val="000000"/>
                <w:kern w:val="0"/>
                <w:szCs w:val="21"/>
                <w:highlight w:val="none"/>
              </w:rPr>
              <w:t>48</w:t>
            </w:r>
          </w:p>
        </w:tc>
        <w:tc>
          <w:tcPr>
            <w:tcW w:w="2127" w:type="dxa"/>
            <w:vMerge w:val="continue"/>
            <w:tcBorders>
              <w:top w:val="nil"/>
              <w:left w:val="single" w:color="auto" w:sz="8" w:space="0"/>
              <w:bottom w:val="single" w:color="000000" w:sz="8" w:space="0"/>
              <w:right w:val="single" w:color="auto" w:sz="8" w:space="0"/>
            </w:tcBorders>
            <w:vAlign w:val="center"/>
          </w:tcPr>
          <w:p w14:paraId="5B6B10C1">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56E91C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DDA8A8D">
            <w:pPr>
              <w:widowControl/>
              <w:jc w:val="left"/>
              <w:rPr>
                <w:rFonts w:hint="eastAsia" w:cs="宋体"/>
                <w:color w:val="000000"/>
                <w:kern w:val="0"/>
                <w:szCs w:val="21"/>
                <w:highlight w:val="none"/>
              </w:rPr>
            </w:pPr>
            <w:r>
              <w:rPr>
                <w:rFonts w:hint="eastAsia" w:cs="宋体"/>
                <w:color w:val="000000"/>
                <w:kern w:val="0"/>
                <w:szCs w:val="21"/>
                <w:highlight w:val="none"/>
              </w:rPr>
              <w:t>全民健康信息平台上报</w:t>
            </w:r>
          </w:p>
        </w:tc>
        <w:tc>
          <w:tcPr>
            <w:tcW w:w="749" w:type="dxa"/>
            <w:gridSpan w:val="2"/>
            <w:tcBorders>
              <w:top w:val="nil"/>
              <w:left w:val="nil"/>
              <w:bottom w:val="single" w:color="auto" w:sz="8" w:space="0"/>
              <w:right w:val="single" w:color="auto" w:sz="8" w:space="0"/>
            </w:tcBorders>
            <w:shd w:val="clear" w:color="auto" w:fill="auto"/>
            <w:noWrap/>
            <w:vAlign w:val="center"/>
          </w:tcPr>
          <w:p w14:paraId="74024392">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97B2D8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345AA2E">
            <w:pPr>
              <w:widowControl/>
              <w:jc w:val="right"/>
              <w:rPr>
                <w:rFonts w:hint="eastAsia"/>
                <w:color w:val="000000"/>
                <w:kern w:val="0"/>
                <w:szCs w:val="21"/>
                <w:highlight w:val="none"/>
              </w:rPr>
            </w:pPr>
            <w:r>
              <w:rPr>
                <w:color w:val="000000"/>
                <w:kern w:val="0"/>
                <w:szCs w:val="21"/>
                <w:highlight w:val="none"/>
              </w:rPr>
              <w:t>49</w:t>
            </w:r>
          </w:p>
        </w:tc>
        <w:tc>
          <w:tcPr>
            <w:tcW w:w="2127" w:type="dxa"/>
            <w:vMerge w:val="continue"/>
            <w:tcBorders>
              <w:top w:val="nil"/>
              <w:left w:val="single" w:color="auto" w:sz="8" w:space="0"/>
              <w:bottom w:val="single" w:color="000000" w:sz="8" w:space="0"/>
              <w:right w:val="single" w:color="auto" w:sz="8" w:space="0"/>
            </w:tcBorders>
            <w:vAlign w:val="center"/>
          </w:tcPr>
          <w:p w14:paraId="029E9EE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A429E8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8C81A4E">
            <w:pPr>
              <w:widowControl/>
              <w:jc w:val="left"/>
              <w:rPr>
                <w:rFonts w:hint="eastAsia" w:cs="宋体"/>
                <w:color w:val="000000"/>
                <w:kern w:val="0"/>
                <w:szCs w:val="21"/>
                <w:highlight w:val="none"/>
              </w:rPr>
            </w:pPr>
            <w:r>
              <w:rPr>
                <w:rFonts w:hint="eastAsia" w:cs="宋体"/>
                <w:color w:val="000000"/>
                <w:kern w:val="0"/>
                <w:szCs w:val="21"/>
                <w:highlight w:val="none"/>
              </w:rPr>
              <w:t>公立医院绩效考核上报</w:t>
            </w:r>
          </w:p>
        </w:tc>
        <w:tc>
          <w:tcPr>
            <w:tcW w:w="749" w:type="dxa"/>
            <w:gridSpan w:val="2"/>
            <w:tcBorders>
              <w:top w:val="nil"/>
              <w:left w:val="nil"/>
              <w:bottom w:val="single" w:color="auto" w:sz="8" w:space="0"/>
              <w:right w:val="single" w:color="auto" w:sz="8" w:space="0"/>
            </w:tcBorders>
            <w:shd w:val="clear" w:color="auto" w:fill="auto"/>
            <w:noWrap/>
            <w:vAlign w:val="center"/>
          </w:tcPr>
          <w:p w14:paraId="7FA5DF7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2D24D8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58F5929">
            <w:pPr>
              <w:widowControl/>
              <w:jc w:val="right"/>
              <w:rPr>
                <w:rFonts w:hint="eastAsia"/>
                <w:color w:val="000000"/>
                <w:kern w:val="0"/>
                <w:szCs w:val="21"/>
                <w:highlight w:val="none"/>
              </w:rPr>
            </w:pPr>
            <w:r>
              <w:rPr>
                <w:color w:val="000000"/>
                <w:kern w:val="0"/>
                <w:szCs w:val="21"/>
                <w:highlight w:val="none"/>
              </w:rPr>
              <w:t>50</w:t>
            </w:r>
          </w:p>
        </w:tc>
        <w:tc>
          <w:tcPr>
            <w:tcW w:w="2127" w:type="dxa"/>
            <w:vMerge w:val="continue"/>
            <w:tcBorders>
              <w:top w:val="nil"/>
              <w:left w:val="single" w:color="auto" w:sz="8" w:space="0"/>
              <w:bottom w:val="single" w:color="000000" w:sz="8" w:space="0"/>
              <w:right w:val="single" w:color="auto" w:sz="8" w:space="0"/>
            </w:tcBorders>
            <w:vAlign w:val="center"/>
          </w:tcPr>
          <w:p w14:paraId="075C32B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7117E0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51BADB3">
            <w:pPr>
              <w:widowControl/>
              <w:jc w:val="left"/>
              <w:rPr>
                <w:rFonts w:hint="eastAsia" w:cs="宋体"/>
                <w:color w:val="000000"/>
                <w:kern w:val="0"/>
                <w:szCs w:val="21"/>
                <w:highlight w:val="none"/>
              </w:rPr>
            </w:pPr>
            <w:r>
              <w:rPr>
                <w:rFonts w:hint="eastAsia" w:cs="宋体"/>
                <w:color w:val="000000"/>
                <w:kern w:val="0"/>
                <w:szCs w:val="21"/>
                <w:highlight w:val="none"/>
              </w:rPr>
              <w:t>肿瘤上报接口</w:t>
            </w:r>
          </w:p>
        </w:tc>
        <w:tc>
          <w:tcPr>
            <w:tcW w:w="749" w:type="dxa"/>
            <w:gridSpan w:val="2"/>
            <w:tcBorders>
              <w:top w:val="nil"/>
              <w:left w:val="nil"/>
              <w:bottom w:val="single" w:color="auto" w:sz="8" w:space="0"/>
              <w:right w:val="single" w:color="auto" w:sz="8" w:space="0"/>
            </w:tcBorders>
            <w:shd w:val="clear" w:color="auto" w:fill="auto"/>
            <w:noWrap/>
            <w:vAlign w:val="center"/>
          </w:tcPr>
          <w:p w14:paraId="41E394D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43D836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8F5282E">
            <w:pPr>
              <w:widowControl/>
              <w:jc w:val="right"/>
              <w:rPr>
                <w:rFonts w:hint="eastAsia"/>
                <w:color w:val="000000"/>
                <w:kern w:val="0"/>
                <w:szCs w:val="21"/>
                <w:highlight w:val="none"/>
              </w:rPr>
            </w:pPr>
            <w:r>
              <w:rPr>
                <w:color w:val="000000"/>
                <w:kern w:val="0"/>
                <w:szCs w:val="21"/>
                <w:highlight w:val="none"/>
              </w:rPr>
              <w:t>51</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20135B62">
            <w:pPr>
              <w:widowControl/>
              <w:jc w:val="center"/>
              <w:rPr>
                <w:rFonts w:hint="eastAsia" w:cs="宋体"/>
                <w:b/>
                <w:bCs/>
                <w:color w:val="000000"/>
                <w:kern w:val="0"/>
                <w:szCs w:val="21"/>
                <w:highlight w:val="none"/>
              </w:rPr>
            </w:pPr>
            <w:r>
              <w:rPr>
                <w:rFonts w:hint="eastAsia" w:cs="宋体"/>
                <w:b/>
                <w:bCs/>
                <w:color w:val="000000"/>
                <w:kern w:val="0"/>
                <w:szCs w:val="21"/>
                <w:highlight w:val="none"/>
              </w:rPr>
              <w:t>闭环流程追溯管理系统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21A57CF2">
            <w:pPr>
              <w:widowControl/>
              <w:jc w:val="left"/>
              <w:rPr>
                <w:rFonts w:hint="eastAsia" w:cs="宋体"/>
                <w:b/>
                <w:bCs/>
                <w:color w:val="000000"/>
                <w:kern w:val="0"/>
                <w:szCs w:val="21"/>
                <w:highlight w:val="none"/>
              </w:rPr>
            </w:pPr>
            <w:r>
              <w:rPr>
                <w:rFonts w:hint="eastAsia" w:cs="宋体"/>
                <w:b/>
                <w:bCs/>
                <w:color w:val="000000"/>
                <w:kern w:val="0"/>
                <w:szCs w:val="21"/>
                <w:highlight w:val="none"/>
              </w:rPr>
              <w:t>闭环管理</w:t>
            </w:r>
          </w:p>
        </w:tc>
        <w:tc>
          <w:tcPr>
            <w:tcW w:w="3645" w:type="dxa"/>
            <w:tcBorders>
              <w:top w:val="nil"/>
              <w:left w:val="nil"/>
              <w:bottom w:val="single" w:color="auto" w:sz="8" w:space="0"/>
              <w:right w:val="single" w:color="auto" w:sz="8" w:space="0"/>
            </w:tcBorders>
            <w:shd w:val="clear" w:color="auto" w:fill="auto"/>
            <w:noWrap/>
            <w:vAlign w:val="center"/>
          </w:tcPr>
          <w:p w14:paraId="64B7082F">
            <w:pPr>
              <w:widowControl/>
              <w:jc w:val="left"/>
              <w:rPr>
                <w:rFonts w:hint="eastAsia" w:cs="宋体"/>
                <w:color w:val="000000"/>
                <w:kern w:val="0"/>
                <w:szCs w:val="21"/>
                <w:highlight w:val="none"/>
              </w:rPr>
            </w:pPr>
            <w:r>
              <w:rPr>
                <w:rFonts w:hint="eastAsia" w:cs="宋体"/>
                <w:color w:val="000000"/>
                <w:kern w:val="0"/>
                <w:szCs w:val="21"/>
                <w:highlight w:val="none"/>
              </w:rPr>
              <w:t>危急值闭环管理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CC1DCB9">
            <w:pPr>
              <w:widowControl/>
              <w:jc w:val="center"/>
              <w:rPr>
                <w:rFonts w:hint="eastAsia" w:cs="Calibri"/>
                <w:color w:val="000000"/>
                <w:kern w:val="0"/>
                <w:szCs w:val="21"/>
                <w:highlight w:val="none"/>
              </w:rPr>
            </w:pPr>
            <w:r>
              <w:rPr>
                <w:rFonts w:cs="Calibri"/>
                <w:color w:val="000000"/>
                <w:kern w:val="0"/>
                <w:szCs w:val="21"/>
                <w:highlight w:val="none"/>
              </w:rPr>
              <w:t>　</w:t>
            </w:r>
          </w:p>
        </w:tc>
      </w:tr>
      <w:tr w14:paraId="10FDB96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6E67988">
            <w:pPr>
              <w:widowControl/>
              <w:jc w:val="right"/>
              <w:rPr>
                <w:rFonts w:hint="eastAsia"/>
                <w:color w:val="000000"/>
                <w:kern w:val="0"/>
                <w:szCs w:val="21"/>
                <w:highlight w:val="none"/>
              </w:rPr>
            </w:pPr>
            <w:r>
              <w:rPr>
                <w:color w:val="000000"/>
                <w:kern w:val="0"/>
                <w:szCs w:val="21"/>
                <w:highlight w:val="none"/>
              </w:rPr>
              <w:t>52</w:t>
            </w:r>
          </w:p>
        </w:tc>
        <w:tc>
          <w:tcPr>
            <w:tcW w:w="2127" w:type="dxa"/>
            <w:vMerge w:val="continue"/>
            <w:tcBorders>
              <w:top w:val="nil"/>
              <w:left w:val="single" w:color="auto" w:sz="8" w:space="0"/>
              <w:bottom w:val="single" w:color="000000" w:sz="8" w:space="0"/>
              <w:right w:val="single" w:color="auto" w:sz="8" w:space="0"/>
            </w:tcBorders>
            <w:vAlign w:val="center"/>
          </w:tcPr>
          <w:p w14:paraId="22D126F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CD0429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C97A6E5">
            <w:pPr>
              <w:widowControl/>
              <w:jc w:val="left"/>
              <w:rPr>
                <w:rFonts w:hint="eastAsia" w:cs="宋体"/>
                <w:color w:val="000000"/>
                <w:kern w:val="0"/>
                <w:szCs w:val="21"/>
                <w:highlight w:val="none"/>
              </w:rPr>
            </w:pPr>
            <w:r>
              <w:rPr>
                <w:rFonts w:hint="eastAsia" w:cs="宋体"/>
                <w:color w:val="000000"/>
                <w:kern w:val="0"/>
                <w:szCs w:val="21"/>
                <w:highlight w:val="none"/>
              </w:rPr>
              <w:t>药品闭环管理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10EA8BB1">
            <w:pPr>
              <w:widowControl/>
              <w:jc w:val="center"/>
              <w:rPr>
                <w:rFonts w:hint="eastAsia" w:cs="Calibri"/>
                <w:color w:val="000000"/>
                <w:kern w:val="0"/>
                <w:szCs w:val="21"/>
                <w:highlight w:val="none"/>
              </w:rPr>
            </w:pPr>
            <w:r>
              <w:rPr>
                <w:rFonts w:cs="Calibri"/>
                <w:color w:val="000000"/>
                <w:kern w:val="0"/>
                <w:szCs w:val="21"/>
                <w:highlight w:val="none"/>
              </w:rPr>
              <w:t>　</w:t>
            </w:r>
          </w:p>
        </w:tc>
      </w:tr>
      <w:tr w14:paraId="6A11153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0BD7AED">
            <w:pPr>
              <w:widowControl/>
              <w:jc w:val="right"/>
              <w:rPr>
                <w:rFonts w:hint="eastAsia"/>
                <w:color w:val="000000"/>
                <w:kern w:val="0"/>
                <w:szCs w:val="21"/>
                <w:highlight w:val="none"/>
              </w:rPr>
            </w:pPr>
            <w:r>
              <w:rPr>
                <w:color w:val="000000"/>
                <w:kern w:val="0"/>
                <w:szCs w:val="21"/>
                <w:highlight w:val="none"/>
              </w:rPr>
              <w:t>53</w:t>
            </w:r>
          </w:p>
        </w:tc>
        <w:tc>
          <w:tcPr>
            <w:tcW w:w="2127" w:type="dxa"/>
            <w:vMerge w:val="continue"/>
            <w:tcBorders>
              <w:top w:val="nil"/>
              <w:left w:val="single" w:color="auto" w:sz="8" w:space="0"/>
              <w:bottom w:val="single" w:color="000000" w:sz="8" w:space="0"/>
              <w:right w:val="single" w:color="auto" w:sz="8" w:space="0"/>
            </w:tcBorders>
            <w:vAlign w:val="center"/>
          </w:tcPr>
          <w:p w14:paraId="3021DB3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DE4D13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E39D4FC">
            <w:pPr>
              <w:widowControl/>
              <w:jc w:val="left"/>
              <w:rPr>
                <w:rFonts w:hint="eastAsia" w:cs="宋体"/>
                <w:color w:val="000000"/>
                <w:kern w:val="0"/>
                <w:szCs w:val="21"/>
                <w:highlight w:val="none"/>
              </w:rPr>
            </w:pPr>
            <w:r>
              <w:rPr>
                <w:rFonts w:hint="eastAsia" w:cs="宋体"/>
                <w:color w:val="000000"/>
                <w:kern w:val="0"/>
                <w:szCs w:val="21"/>
                <w:highlight w:val="none"/>
              </w:rPr>
              <w:t>检查闭环管理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BACAA61">
            <w:pPr>
              <w:widowControl/>
              <w:jc w:val="center"/>
              <w:rPr>
                <w:rFonts w:hint="eastAsia" w:cs="Calibri"/>
                <w:color w:val="000000"/>
                <w:kern w:val="0"/>
                <w:szCs w:val="21"/>
                <w:highlight w:val="none"/>
              </w:rPr>
            </w:pPr>
            <w:r>
              <w:rPr>
                <w:rFonts w:cs="Calibri"/>
                <w:color w:val="000000"/>
                <w:kern w:val="0"/>
                <w:szCs w:val="21"/>
                <w:highlight w:val="none"/>
              </w:rPr>
              <w:t>　</w:t>
            </w:r>
          </w:p>
        </w:tc>
      </w:tr>
      <w:tr w14:paraId="3D8E029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C66DD5B">
            <w:pPr>
              <w:widowControl/>
              <w:jc w:val="right"/>
              <w:rPr>
                <w:rFonts w:hint="eastAsia"/>
                <w:color w:val="000000"/>
                <w:kern w:val="0"/>
                <w:szCs w:val="21"/>
                <w:highlight w:val="none"/>
              </w:rPr>
            </w:pPr>
            <w:r>
              <w:rPr>
                <w:color w:val="000000"/>
                <w:kern w:val="0"/>
                <w:szCs w:val="21"/>
                <w:highlight w:val="none"/>
              </w:rPr>
              <w:t>54</w:t>
            </w:r>
          </w:p>
        </w:tc>
        <w:tc>
          <w:tcPr>
            <w:tcW w:w="2127" w:type="dxa"/>
            <w:vMerge w:val="continue"/>
            <w:tcBorders>
              <w:top w:val="nil"/>
              <w:left w:val="single" w:color="auto" w:sz="8" w:space="0"/>
              <w:bottom w:val="single" w:color="000000" w:sz="8" w:space="0"/>
              <w:right w:val="single" w:color="auto" w:sz="8" w:space="0"/>
            </w:tcBorders>
            <w:vAlign w:val="center"/>
          </w:tcPr>
          <w:p w14:paraId="0146BCC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1C42A0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D8C45CD">
            <w:pPr>
              <w:widowControl/>
              <w:jc w:val="left"/>
              <w:rPr>
                <w:rFonts w:hint="eastAsia" w:cs="宋体"/>
                <w:color w:val="000000"/>
                <w:kern w:val="0"/>
                <w:szCs w:val="21"/>
                <w:highlight w:val="none"/>
              </w:rPr>
            </w:pPr>
            <w:r>
              <w:rPr>
                <w:rFonts w:hint="eastAsia" w:cs="宋体"/>
                <w:color w:val="000000"/>
                <w:kern w:val="0"/>
                <w:szCs w:val="21"/>
                <w:highlight w:val="none"/>
              </w:rPr>
              <w:t>检验闭环管理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795E9BDA">
            <w:pPr>
              <w:widowControl/>
              <w:jc w:val="center"/>
              <w:rPr>
                <w:rFonts w:hint="eastAsia" w:cs="Calibri"/>
                <w:color w:val="000000"/>
                <w:kern w:val="0"/>
                <w:szCs w:val="21"/>
                <w:highlight w:val="none"/>
              </w:rPr>
            </w:pPr>
            <w:r>
              <w:rPr>
                <w:rFonts w:cs="Calibri"/>
                <w:color w:val="000000"/>
                <w:kern w:val="0"/>
                <w:szCs w:val="21"/>
                <w:highlight w:val="none"/>
              </w:rPr>
              <w:t>　</w:t>
            </w:r>
          </w:p>
        </w:tc>
      </w:tr>
      <w:tr w14:paraId="69643B3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C06AEAE">
            <w:pPr>
              <w:widowControl/>
              <w:jc w:val="right"/>
              <w:rPr>
                <w:rFonts w:hint="eastAsia"/>
                <w:color w:val="000000"/>
                <w:kern w:val="0"/>
                <w:szCs w:val="21"/>
                <w:highlight w:val="none"/>
              </w:rPr>
            </w:pPr>
            <w:r>
              <w:rPr>
                <w:color w:val="000000"/>
                <w:kern w:val="0"/>
                <w:szCs w:val="21"/>
                <w:highlight w:val="none"/>
              </w:rPr>
              <w:t>55</w:t>
            </w:r>
          </w:p>
        </w:tc>
        <w:tc>
          <w:tcPr>
            <w:tcW w:w="2127" w:type="dxa"/>
            <w:vMerge w:val="continue"/>
            <w:tcBorders>
              <w:top w:val="nil"/>
              <w:left w:val="single" w:color="auto" w:sz="8" w:space="0"/>
              <w:bottom w:val="single" w:color="000000" w:sz="8" w:space="0"/>
              <w:right w:val="single" w:color="auto" w:sz="8" w:space="0"/>
            </w:tcBorders>
            <w:vAlign w:val="center"/>
          </w:tcPr>
          <w:p w14:paraId="77680FCA">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E32BCA1">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B7B5D42">
            <w:pPr>
              <w:widowControl/>
              <w:jc w:val="left"/>
              <w:rPr>
                <w:rFonts w:hint="eastAsia" w:cs="宋体"/>
                <w:color w:val="000000"/>
                <w:kern w:val="0"/>
                <w:szCs w:val="21"/>
                <w:highlight w:val="none"/>
              </w:rPr>
            </w:pPr>
            <w:r>
              <w:rPr>
                <w:rFonts w:hint="eastAsia" w:cs="宋体"/>
                <w:color w:val="000000"/>
                <w:kern w:val="0"/>
                <w:szCs w:val="21"/>
                <w:highlight w:val="none"/>
              </w:rPr>
              <w:t>治疗闭环管理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6B56EB1">
            <w:pPr>
              <w:widowControl/>
              <w:jc w:val="center"/>
              <w:rPr>
                <w:rFonts w:hint="eastAsia" w:cs="Calibri"/>
                <w:color w:val="000000"/>
                <w:kern w:val="0"/>
                <w:szCs w:val="21"/>
                <w:highlight w:val="none"/>
              </w:rPr>
            </w:pPr>
            <w:r>
              <w:rPr>
                <w:rFonts w:cs="Calibri"/>
                <w:color w:val="000000"/>
                <w:kern w:val="0"/>
                <w:szCs w:val="21"/>
                <w:highlight w:val="none"/>
              </w:rPr>
              <w:t>　</w:t>
            </w:r>
          </w:p>
        </w:tc>
      </w:tr>
      <w:tr w14:paraId="417DA43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541832E">
            <w:pPr>
              <w:widowControl/>
              <w:jc w:val="right"/>
              <w:rPr>
                <w:rFonts w:hint="eastAsia"/>
                <w:color w:val="000000"/>
                <w:kern w:val="0"/>
                <w:szCs w:val="21"/>
                <w:highlight w:val="none"/>
              </w:rPr>
            </w:pPr>
            <w:r>
              <w:rPr>
                <w:color w:val="000000"/>
                <w:kern w:val="0"/>
                <w:szCs w:val="21"/>
                <w:highlight w:val="none"/>
              </w:rPr>
              <w:t>56</w:t>
            </w:r>
          </w:p>
        </w:tc>
        <w:tc>
          <w:tcPr>
            <w:tcW w:w="2127" w:type="dxa"/>
            <w:vMerge w:val="continue"/>
            <w:tcBorders>
              <w:top w:val="nil"/>
              <w:left w:val="single" w:color="auto" w:sz="8" w:space="0"/>
              <w:bottom w:val="single" w:color="000000" w:sz="8" w:space="0"/>
              <w:right w:val="single" w:color="auto" w:sz="8" w:space="0"/>
            </w:tcBorders>
            <w:vAlign w:val="center"/>
          </w:tcPr>
          <w:p w14:paraId="7D52446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816918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4D918B1">
            <w:pPr>
              <w:widowControl/>
              <w:jc w:val="left"/>
              <w:rPr>
                <w:rFonts w:hint="eastAsia" w:cs="宋体"/>
                <w:color w:val="000000"/>
                <w:kern w:val="0"/>
                <w:szCs w:val="21"/>
                <w:highlight w:val="none"/>
              </w:rPr>
            </w:pPr>
            <w:r>
              <w:rPr>
                <w:rFonts w:hint="eastAsia" w:cs="宋体"/>
                <w:color w:val="000000"/>
                <w:kern w:val="0"/>
                <w:szCs w:val="21"/>
                <w:highlight w:val="none"/>
              </w:rPr>
              <w:t>手术闭环管理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79530CB">
            <w:pPr>
              <w:widowControl/>
              <w:jc w:val="center"/>
              <w:rPr>
                <w:rFonts w:hint="eastAsia" w:cs="Calibri"/>
                <w:color w:val="000000"/>
                <w:kern w:val="0"/>
                <w:szCs w:val="21"/>
                <w:highlight w:val="none"/>
              </w:rPr>
            </w:pPr>
            <w:r>
              <w:rPr>
                <w:rFonts w:cs="Calibri"/>
                <w:color w:val="000000"/>
                <w:kern w:val="0"/>
                <w:szCs w:val="21"/>
                <w:highlight w:val="none"/>
              </w:rPr>
              <w:t>　</w:t>
            </w:r>
          </w:p>
        </w:tc>
      </w:tr>
      <w:tr w14:paraId="08C38010">
        <w:tblPrEx>
          <w:tblCellMar>
            <w:top w:w="0" w:type="dxa"/>
            <w:left w:w="108" w:type="dxa"/>
            <w:bottom w:w="0" w:type="dxa"/>
            <w:right w:w="108" w:type="dxa"/>
          </w:tblCellMar>
        </w:tblPrEx>
        <w:trPr>
          <w:gridAfter w:val="1"/>
          <w:wAfter w:w="57" w:type="dxa"/>
          <w:trHeight w:val="732"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C112B2C">
            <w:pPr>
              <w:widowControl/>
              <w:jc w:val="right"/>
              <w:rPr>
                <w:rFonts w:hint="eastAsia"/>
                <w:color w:val="000000"/>
                <w:kern w:val="0"/>
                <w:szCs w:val="21"/>
                <w:highlight w:val="none"/>
              </w:rPr>
            </w:pPr>
            <w:r>
              <w:rPr>
                <w:color w:val="000000"/>
                <w:kern w:val="0"/>
                <w:szCs w:val="21"/>
                <w:highlight w:val="none"/>
              </w:rPr>
              <w:t>57</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09B1E704">
            <w:pPr>
              <w:widowControl/>
              <w:jc w:val="center"/>
              <w:rPr>
                <w:rFonts w:hint="eastAsia" w:cs="宋体"/>
                <w:b/>
                <w:bCs/>
                <w:color w:val="000000"/>
                <w:kern w:val="0"/>
                <w:szCs w:val="21"/>
                <w:highlight w:val="none"/>
              </w:rPr>
            </w:pPr>
            <w:r>
              <w:rPr>
                <w:rFonts w:hint="eastAsia" w:cs="宋体"/>
                <w:b/>
                <w:bCs/>
                <w:color w:val="000000"/>
                <w:kern w:val="0"/>
                <w:szCs w:val="21"/>
                <w:highlight w:val="none"/>
              </w:rPr>
              <w:t>医院实施配置管理系统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08F8487E">
            <w:pPr>
              <w:widowControl/>
              <w:jc w:val="center"/>
              <w:rPr>
                <w:rFonts w:hint="eastAsia" w:cs="宋体"/>
                <w:b/>
                <w:bCs/>
                <w:color w:val="000000"/>
                <w:kern w:val="0"/>
                <w:szCs w:val="21"/>
                <w:highlight w:val="none"/>
              </w:rPr>
            </w:pPr>
            <w:r>
              <w:rPr>
                <w:rFonts w:hint="eastAsia" w:cs="宋体"/>
                <w:b/>
                <w:bCs/>
                <w:color w:val="000000"/>
                <w:kern w:val="0"/>
                <w:szCs w:val="21"/>
                <w:highlight w:val="none"/>
              </w:rPr>
              <w:t>实施配置</w:t>
            </w:r>
          </w:p>
        </w:tc>
        <w:tc>
          <w:tcPr>
            <w:tcW w:w="3645" w:type="dxa"/>
            <w:tcBorders>
              <w:top w:val="nil"/>
              <w:left w:val="nil"/>
              <w:bottom w:val="single" w:color="auto" w:sz="8" w:space="0"/>
              <w:right w:val="single" w:color="auto" w:sz="8" w:space="0"/>
            </w:tcBorders>
            <w:shd w:val="clear" w:color="auto" w:fill="auto"/>
            <w:noWrap/>
            <w:vAlign w:val="center"/>
          </w:tcPr>
          <w:p w14:paraId="3801BA8D">
            <w:pPr>
              <w:widowControl/>
              <w:jc w:val="left"/>
              <w:rPr>
                <w:rFonts w:hint="eastAsia" w:cs="宋体"/>
                <w:color w:val="000000"/>
                <w:kern w:val="0"/>
                <w:szCs w:val="21"/>
                <w:highlight w:val="none"/>
              </w:rPr>
            </w:pPr>
            <w:r>
              <w:rPr>
                <w:rFonts w:hint="eastAsia" w:cs="宋体"/>
                <w:color w:val="000000"/>
                <w:kern w:val="0"/>
                <w:szCs w:val="21"/>
                <w:highlight w:val="none"/>
              </w:rPr>
              <w:t>物价管理系统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355E969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D0078F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F14A68D">
            <w:pPr>
              <w:widowControl/>
              <w:jc w:val="right"/>
              <w:rPr>
                <w:rFonts w:hint="eastAsia"/>
                <w:color w:val="000000"/>
                <w:kern w:val="0"/>
                <w:szCs w:val="21"/>
                <w:highlight w:val="none"/>
              </w:rPr>
            </w:pPr>
            <w:r>
              <w:rPr>
                <w:color w:val="000000"/>
                <w:kern w:val="0"/>
                <w:szCs w:val="21"/>
                <w:highlight w:val="none"/>
              </w:rPr>
              <w:t>58</w:t>
            </w:r>
          </w:p>
        </w:tc>
        <w:tc>
          <w:tcPr>
            <w:tcW w:w="2127" w:type="dxa"/>
            <w:vMerge w:val="continue"/>
            <w:tcBorders>
              <w:top w:val="nil"/>
              <w:left w:val="single" w:color="auto" w:sz="8" w:space="0"/>
              <w:bottom w:val="single" w:color="000000" w:sz="8" w:space="0"/>
              <w:right w:val="single" w:color="auto" w:sz="8" w:space="0"/>
            </w:tcBorders>
            <w:vAlign w:val="center"/>
          </w:tcPr>
          <w:p w14:paraId="664646A9">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111C0A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1177DF0">
            <w:pPr>
              <w:widowControl/>
              <w:jc w:val="left"/>
              <w:rPr>
                <w:rFonts w:hint="eastAsia" w:cs="宋体"/>
                <w:color w:val="000000"/>
                <w:kern w:val="0"/>
                <w:szCs w:val="21"/>
                <w:highlight w:val="none"/>
              </w:rPr>
            </w:pPr>
            <w:r>
              <w:rPr>
                <w:rFonts w:hint="eastAsia" w:cs="宋体"/>
                <w:color w:val="000000"/>
                <w:kern w:val="0"/>
                <w:szCs w:val="21"/>
                <w:highlight w:val="none"/>
              </w:rPr>
              <w:t>配置管理系统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4D47226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1E65233">
        <w:tblPrEx>
          <w:tblCellMar>
            <w:top w:w="0" w:type="dxa"/>
            <w:left w:w="108" w:type="dxa"/>
            <w:bottom w:w="0" w:type="dxa"/>
            <w:right w:w="108" w:type="dxa"/>
          </w:tblCellMar>
        </w:tblPrEx>
        <w:trPr>
          <w:gridAfter w:val="1"/>
          <w:wAfter w:w="57" w:type="dxa"/>
          <w:trHeight w:val="588"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62CFBCF">
            <w:pPr>
              <w:widowControl/>
              <w:jc w:val="right"/>
              <w:rPr>
                <w:rFonts w:hint="eastAsia"/>
                <w:color w:val="000000"/>
                <w:kern w:val="0"/>
                <w:szCs w:val="21"/>
                <w:highlight w:val="none"/>
              </w:rPr>
            </w:pPr>
            <w:r>
              <w:rPr>
                <w:color w:val="000000"/>
                <w:kern w:val="0"/>
                <w:szCs w:val="21"/>
                <w:highlight w:val="none"/>
              </w:rPr>
              <w:t>59</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16C525DE">
            <w:pPr>
              <w:widowControl/>
              <w:jc w:val="center"/>
              <w:rPr>
                <w:rFonts w:hint="eastAsia" w:cs="宋体"/>
                <w:b/>
                <w:bCs/>
                <w:color w:val="000000"/>
                <w:kern w:val="0"/>
                <w:szCs w:val="21"/>
                <w:highlight w:val="none"/>
              </w:rPr>
            </w:pPr>
            <w:r>
              <w:rPr>
                <w:rFonts w:hint="eastAsia" w:cs="宋体"/>
                <w:b/>
                <w:bCs/>
                <w:color w:val="000000"/>
                <w:kern w:val="0"/>
                <w:szCs w:val="21"/>
                <w:highlight w:val="none"/>
              </w:rPr>
              <w:t>医院统一门户系统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244A7E2E">
            <w:pPr>
              <w:widowControl/>
              <w:jc w:val="center"/>
              <w:rPr>
                <w:rFonts w:hint="eastAsia" w:cs="宋体"/>
                <w:b/>
                <w:bCs/>
                <w:color w:val="000000"/>
                <w:kern w:val="0"/>
                <w:szCs w:val="21"/>
                <w:highlight w:val="none"/>
              </w:rPr>
            </w:pPr>
            <w:r>
              <w:rPr>
                <w:rFonts w:hint="eastAsia" w:cs="宋体"/>
                <w:b/>
                <w:bCs/>
                <w:color w:val="000000"/>
                <w:kern w:val="0"/>
                <w:szCs w:val="21"/>
                <w:highlight w:val="none"/>
              </w:rPr>
              <w:t>统一门户</w:t>
            </w:r>
          </w:p>
        </w:tc>
        <w:tc>
          <w:tcPr>
            <w:tcW w:w="3645" w:type="dxa"/>
            <w:tcBorders>
              <w:top w:val="nil"/>
              <w:left w:val="nil"/>
              <w:bottom w:val="single" w:color="auto" w:sz="8" w:space="0"/>
              <w:right w:val="single" w:color="auto" w:sz="8" w:space="0"/>
            </w:tcBorders>
            <w:shd w:val="clear" w:color="auto" w:fill="auto"/>
            <w:vAlign w:val="center"/>
          </w:tcPr>
          <w:p w14:paraId="58D77DF5">
            <w:pPr>
              <w:widowControl/>
              <w:jc w:val="left"/>
              <w:rPr>
                <w:rFonts w:hint="eastAsia" w:cs="宋体"/>
                <w:color w:val="000000"/>
                <w:kern w:val="0"/>
                <w:szCs w:val="21"/>
                <w:highlight w:val="none"/>
              </w:rPr>
            </w:pPr>
            <w:r>
              <w:rPr>
                <w:rFonts w:hint="eastAsia" w:cs="宋体"/>
                <w:color w:val="000000"/>
                <w:kern w:val="0"/>
                <w:szCs w:val="21"/>
                <w:highlight w:val="none"/>
              </w:rPr>
              <w:t>个人通用门户</w:t>
            </w:r>
          </w:p>
        </w:tc>
        <w:tc>
          <w:tcPr>
            <w:tcW w:w="749" w:type="dxa"/>
            <w:gridSpan w:val="2"/>
            <w:tcBorders>
              <w:top w:val="nil"/>
              <w:left w:val="nil"/>
              <w:bottom w:val="single" w:color="auto" w:sz="8" w:space="0"/>
              <w:right w:val="single" w:color="auto" w:sz="8" w:space="0"/>
            </w:tcBorders>
            <w:shd w:val="clear" w:color="auto" w:fill="auto"/>
            <w:noWrap/>
            <w:vAlign w:val="center"/>
          </w:tcPr>
          <w:p w14:paraId="5E07F246">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D821AE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BEC6883">
            <w:pPr>
              <w:widowControl/>
              <w:jc w:val="right"/>
              <w:rPr>
                <w:rFonts w:hint="eastAsia"/>
                <w:color w:val="000000"/>
                <w:kern w:val="0"/>
                <w:szCs w:val="21"/>
                <w:highlight w:val="none"/>
              </w:rPr>
            </w:pPr>
            <w:r>
              <w:rPr>
                <w:color w:val="000000"/>
                <w:kern w:val="0"/>
                <w:szCs w:val="21"/>
                <w:highlight w:val="none"/>
              </w:rPr>
              <w:t>60</w:t>
            </w:r>
          </w:p>
        </w:tc>
        <w:tc>
          <w:tcPr>
            <w:tcW w:w="2127" w:type="dxa"/>
            <w:vMerge w:val="continue"/>
            <w:tcBorders>
              <w:top w:val="nil"/>
              <w:left w:val="single" w:color="auto" w:sz="8" w:space="0"/>
              <w:bottom w:val="single" w:color="000000" w:sz="8" w:space="0"/>
              <w:right w:val="single" w:color="auto" w:sz="8" w:space="0"/>
            </w:tcBorders>
            <w:vAlign w:val="center"/>
          </w:tcPr>
          <w:p w14:paraId="2772385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3E837C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EB07C6C">
            <w:pPr>
              <w:widowControl/>
              <w:jc w:val="left"/>
              <w:rPr>
                <w:rFonts w:hint="eastAsia" w:cs="宋体"/>
                <w:color w:val="000000"/>
                <w:kern w:val="0"/>
                <w:szCs w:val="21"/>
                <w:highlight w:val="none"/>
              </w:rPr>
            </w:pPr>
            <w:r>
              <w:rPr>
                <w:rFonts w:hint="eastAsia" w:cs="宋体"/>
                <w:color w:val="000000"/>
                <w:kern w:val="0"/>
                <w:szCs w:val="21"/>
                <w:highlight w:val="none"/>
              </w:rPr>
              <w:t>护士长门户</w:t>
            </w:r>
          </w:p>
        </w:tc>
        <w:tc>
          <w:tcPr>
            <w:tcW w:w="749" w:type="dxa"/>
            <w:gridSpan w:val="2"/>
            <w:tcBorders>
              <w:top w:val="nil"/>
              <w:left w:val="nil"/>
              <w:bottom w:val="single" w:color="auto" w:sz="8" w:space="0"/>
              <w:right w:val="single" w:color="auto" w:sz="8" w:space="0"/>
            </w:tcBorders>
            <w:shd w:val="clear" w:color="auto" w:fill="auto"/>
            <w:noWrap/>
            <w:vAlign w:val="center"/>
          </w:tcPr>
          <w:p w14:paraId="33A21EB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F6496C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34E7BB0">
            <w:pPr>
              <w:widowControl/>
              <w:jc w:val="right"/>
              <w:rPr>
                <w:rFonts w:hint="eastAsia"/>
                <w:color w:val="000000"/>
                <w:kern w:val="0"/>
                <w:szCs w:val="21"/>
                <w:highlight w:val="none"/>
              </w:rPr>
            </w:pPr>
            <w:r>
              <w:rPr>
                <w:color w:val="000000"/>
                <w:kern w:val="0"/>
                <w:szCs w:val="21"/>
                <w:highlight w:val="none"/>
              </w:rPr>
              <w:t>61</w:t>
            </w:r>
          </w:p>
        </w:tc>
        <w:tc>
          <w:tcPr>
            <w:tcW w:w="2127" w:type="dxa"/>
            <w:vMerge w:val="continue"/>
            <w:tcBorders>
              <w:top w:val="nil"/>
              <w:left w:val="single" w:color="auto" w:sz="8" w:space="0"/>
              <w:bottom w:val="single" w:color="000000" w:sz="8" w:space="0"/>
              <w:right w:val="single" w:color="auto" w:sz="8" w:space="0"/>
            </w:tcBorders>
            <w:vAlign w:val="center"/>
          </w:tcPr>
          <w:p w14:paraId="64EBE74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9146E8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FE1F64F">
            <w:pPr>
              <w:widowControl/>
              <w:jc w:val="left"/>
              <w:rPr>
                <w:rFonts w:hint="eastAsia" w:cs="宋体"/>
                <w:color w:val="000000"/>
                <w:kern w:val="0"/>
                <w:szCs w:val="21"/>
                <w:highlight w:val="none"/>
              </w:rPr>
            </w:pPr>
            <w:r>
              <w:rPr>
                <w:rFonts w:hint="eastAsia" w:cs="宋体"/>
                <w:color w:val="000000"/>
                <w:kern w:val="0"/>
                <w:szCs w:val="21"/>
                <w:highlight w:val="none"/>
              </w:rPr>
              <w:t>门诊部门户</w:t>
            </w:r>
          </w:p>
        </w:tc>
        <w:tc>
          <w:tcPr>
            <w:tcW w:w="749" w:type="dxa"/>
            <w:gridSpan w:val="2"/>
            <w:tcBorders>
              <w:top w:val="nil"/>
              <w:left w:val="nil"/>
              <w:bottom w:val="single" w:color="auto" w:sz="8" w:space="0"/>
              <w:right w:val="single" w:color="auto" w:sz="8" w:space="0"/>
            </w:tcBorders>
            <w:shd w:val="clear" w:color="auto" w:fill="auto"/>
            <w:noWrap/>
            <w:vAlign w:val="center"/>
          </w:tcPr>
          <w:p w14:paraId="0AB2FB6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67FB55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0F95F1C">
            <w:pPr>
              <w:widowControl/>
              <w:jc w:val="right"/>
              <w:rPr>
                <w:rFonts w:hint="eastAsia"/>
                <w:color w:val="000000"/>
                <w:kern w:val="0"/>
                <w:szCs w:val="21"/>
                <w:highlight w:val="none"/>
              </w:rPr>
            </w:pPr>
            <w:r>
              <w:rPr>
                <w:color w:val="000000"/>
                <w:kern w:val="0"/>
                <w:szCs w:val="21"/>
                <w:highlight w:val="none"/>
              </w:rPr>
              <w:t>62</w:t>
            </w:r>
          </w:p>
        </w:tc>
        <w:tc>
          <w:tcPr>
            <w:tcW w:w="2127" w:type="dxa"/>
            <w:vMerge w:val="continue"/>
            <w:tcBorders>
              <w:top w:val="nil"/>
              <w:left w:val="single" w:color="auto" w:sz="8" w:space="0"/>
              <w:bottom w:val="single" w:color="000000" w:sz="8" w:space="0"/>
              <w:right w:val="single" w:color="auto" w:sz="8" w:space="0"/>
            </w:tcBorders>
            <w:vAlign w:val="center"/>
          </w:tcPr>
          <w:p w14:paraId="19C2709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3662C4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1BD1DA0">
            <w:pPr>
              <w:widowControl/>
              <w:jc w:val="left"/>
              <w:rPr>
                <w:rFonts w:hint="eastAsia" w:cs="宋体"/>
                <w:color w:val="000000"/>
                <w:kern w:val="0"/>
                <w:szCs w:val="21"/>
                <w:highlight w:val="none"/>
              </w:rPr>
            </w:pPr>
            <w:r>
              <w:rPr>
                <w:rFonts w:hint="eastAsia" w:cs="宋体"/>
                <w:color w:val="000000"/>
                <w:kern w:val="0"/>
                <w:szCs w:val="21"/>
                <w:highlight w:val="none"/>
              </w:rPr>
              <w:t>临床科主任门户</w:t>
            </w:r>
          </w:p>
        </w:tc>
        <w:tc>
          <w:tcPr>
            <w:tcW w:w="749" w:type="dxa"/>
            <w:gridSpan w:val="2"/>
            <w:tcBorders>
              <w:top w:val="nil"/>
              <w:left w:val="nil"/>
              <w:bottom w:val="single" w:color="auto" w:sz="8" w:space="0"/>
              <w:right w:val="single" w:color="auto" w:sz="8" w:space="0"/>
            </w:tcBorders>
            <w:shd w:val="clear" w:color="auto" w:fill="auto"/>
            <w:noWrap/>
            <w:vAlign w:val="center"/>
          </w:tcPr>
          <w:p w14:paraId="1F262C5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E8B837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C5C72C5">
            <w:pPr>
              <w:widowControl/>
              <w:jc w:val="right"/>
              <w:rPr>
                <w:rFonts w:hint="eastAsia"/>
                <w:color w:val="000000"/>
                <w:kern w:val="0"/>
                <w:szCs w:val="21"/>
                <w:highlight w:val="none"/>
              </w:rPr>
            </w:pPr>
            <w:r>
              <w:rPr>
                <w:color w:val="000000"/>
                <w:kern w:val="0"/>
                <w:szCs w:val="21"/>
                <w:highlight w:val="none"/>
              </w:rPr>
              <w:t>63</w:t>
            </w:r>
          </w:p>
        </w:tc>
        <w:tc>
          <w:tcPr>
            <w:tcW w:w="2127" w:type="dxa"/>
            <w:vMerge w:val="continue"/>
            <w:tcBorders>
              <w:top w:val="nil"/>
              <w:left w:val="single" w:color="auto" w:sz="8" w:space="0"/>
              <w:bottom w:val="single" w:color="000000" w:sz="8" w:space="0"/>
              <w:right w:val="single" w:color="auto" w:sz="8" w:space="0"/>
            </w:tcBorders>
            <w:vAlign w:val="center"/>
          </w:tcPr>
          <w:p w14:paraId="41ABB0D4">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2AB96D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BC7CB65">
            <w:pPr>
              <w:widowControl/>
              <w:jc w:val="left"/>
              <w:rPr>
                <w:rFonts w:hint="eastAsia" w:cs="宋体"/>
                <w:color w:val="000000"/>
                <w:kern w:val="0"/>
                <w:szCs w:val="21"/>
                <w:highlight w:val="none"/>
              </w:rPr>
            </w:pPr>
            <w:r>
              <w:rPr>
                <w:rFonts w:hint="eastAsia" w:cs="宋体"/>
                <w:color w:val="000000"/>
                <w:kern w:val="0"/>
                <w:szCs w:val="21"/>
                <w:highlight w:val="none"/>
              </w:rPr>
              <w:t>统一身份认证及单点登录</w:t>
            </w:r>
          </w:p>
        </w:tc>
        <w:tc>
          <w:tcPr>
            <w:tcW w:w="749" w:type="dxa"/>
            <w:gridSpan w:val="2"/>
            <w:tcBorders>
              <w:top w:val="nil"/>
              <w:left w:val="nil"/>
              <w:bottom w:val="single" w:color="auto" w:sz="8" w:space="0"/>
              <w:right w:val="single" w:color="auto" w:sz="8" w:space="0"/>
            </w:tcBorders>
            <w:shd w:val="clear" w:color="auto" w:fill="auto"/>
            <w:noWrap/>
            <w:vAlign w:val="center"/>
          </w:tcPr>
          <w:p w14:paraId="7AD2A832">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E7CCC6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93E7ADD">
            <w:pPr>
              <w:widowControl/>
              <w:jc w:val="right"/>
              <w:rPr>
                <w:rFonts w:hint="eastAsia"/>
                <w:color w:val="000000"/>
                <w:kern w:val="0"/>
                <w:szCs w:val="21"/>
                <w:highlight w:val="none"/>
              </w:rPr>
            </w:pPr>
            <w:r>
              <w:rPr>
                <w:color w:val="000000"/>
                <w:kern w:val="0"/>
                <w:szCs w:val="21"/>
                <w:highlight w:val="none"/>
              </w:rPr>
              <w:t>64</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7CFC5104">
            <w:pPr>
              <w:widowControl/>
              <w:jc w:val="center"/>
              <w:rPr>
                <w:rFonts w:hint="eastAsia" w:cs="宋体"/>
                <w:b/>
                <w:bCs/>
                <w:color w:val="000000"/>
                <w:kern w:val="0"/>
                <w:szCs w:val="21"/>
                <w:highlight w:val="none"/>
              </w:rPr>
            </w:pPr>
            <w:r>
              <w:rPr>
                <w:rFonts w:hint="eastAsia" w:cs="宋体"/>
                <w:b/>
                <w:bCs/>
                <w:color w:val="000000"/>
                <w:kern w:val="0"/>
                <w:szCs w:val="21"/>
                <w:highlight w:val="none"/>
              </w:rPr>
              <w:t>智慧运维平台</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76BCF365">
            <w:pPr>
              <w:widowControl/>
              <w:jc w:val="center"/>
              <w:rPr>
                <w:rFonts w:hint="eastAsia" w:cs="宋体"/>
                <w:b/>
                <w:bCs/>
                <w:color w:val="000000"/>
                <w:kern w:val="0"/>
                <w:szCs w:val="21"/>
                <w:highlight w:val="none"/>
              </w:rPr>
            </w:pPr>
            <w:r>
              <w:rPr>
                <w:rFonts w:hint="eastAsia" w:cs="宋体"/>
                <w:b/>
                <w:bCs/>
                <w:color w:val="000000"/>
                <w:kern w:val="0"/>
                <w:szCs w:val="21"/>
                <w:highlight w:val="none"/>
              </w:rPr>
              <w:t>统一智慧运维平台</w:t>
            </w:r>
          </w:p>
        </w:tc>
        <w:tc>
          <w:tcPr>
            <w:tcW w:w="3645" w:type="dxa"/>
            <w:tcBorders>
              <w:top w:val="nil"/>
              <w:left w:val="nil"/>
              <w:bottom w:val="single" w:color="auto" w:sz="8" w:space="0"/>
              <w:right w:val="single" w:color="auto" w:sz="8" w:space="0"/>
            </w:tcBorders>
            <w:shd w:val="clear" w:color="auto" w:fill="auto"/>
            <w:noWrap/>
            <w:vAlign w:val="center"/>
          </w:tcPr>
          <w:p w14:paraId="49D26E17">
            <w:pPr>
              <w:widowControl/>
              <w:jc w:val="left"/>
              <w:rPr>
                <w:rFonts w:hint="eastAsia" w:cs="宋体"/>
                <w:color w:val="000000"/>
                <w:kern w:val="0"/>
                <w:szCs w:val="21"/>
                <w:highlight w:val="none"/>
              </w:rPr>
            </w:pPr>
            <w:r>
              <w:rPr>
                <w:rFonts w:hint="eastAsia" w:cs="宋体"/>
                <w:color w:val="000000"/>
                <w:kern w:val="0"/>
                <w:szCs w:val="21"/>
                <w:highlight w:val="none"/>
              </w:rPr>
              <w:t>运维管理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8D640B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FB7870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4BB2A51">
            <w:pPr>
              <w:widowControl/>
              <w:jc w:val="right"/>
              <w:rPr>
                <w:rFonts w:hint="eastAsia"/>
                <w:color w:val="000000"/>
                <w:kern w:val="0"/>
                <w:szCs w:val="21"/>
                <w:highlight w:val="none"/>
              </w:rPr>
            </w:pPr>
            <w:r>
              <w:rPr>
                <w:color w:val="000000"/>
                <w:kern w:val="0"/>
                <w:szCs w:val="21"/>
                <w:highlight w:val="none"/>
              </w:rPr>
              <w:t>65</w:t>
            </w:r>
          </w:p>
        </w:tc>
        <w:tc>
          <w:tcPr>
            <w:tcW w:w="2127" w:type="dxa"/>
            <w:vMerge w:val="continue"/>
            <w:tcBorders>
              <w:top w:val="nil"/>
              <w:left w:val="single" w:color="auto" w:sz="8" w:space="0"/>
              <w:bottom w:val="single" w:color="000000" w:sz="8" w:space="0"/>
              <w:right w:val="single" w:color="auto" w:sz="8" w:space="0"/>
            </w:tcBorders>
            <w:vAlign w:val="center"/>
          </w:tcPr>
          <w:p w14:paraId="2B53528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691A42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C52BB2B">
            <w:pPr>
              <w:widowControl/>
              <w:jc w:val="left"/>
              <w:rPr>
                <w:rFonts w:hint="eastAsia" w:cs="宋体"/>
                <w:color w:val="000000"/>
                <w:kern w:val="0"/>
                <w:szCs w:val="21"/>
                <w:highlight w:val="none"/>
              </w:rPr>
            </w:pPr>
            <w:r>
              <w:rPr>
                <w:rFonts w:hint="eastAsia" w:cs="宋体"/>
                <w:color w:val="000000"/>
                <w:kern w:val="0"/>
                <w:szCs w:val="21"/>
                <w:highlight w:val="none"/>
              </w:rPr>
              <w:t>综合告警</w:t>
            </w:r>
          </w:p>
        </w:tc>
        <w:tc>
          <w:tcPr>
            <w:tcW w:w="749" w:type="dxa"/>
            <w:gridSpan w:val="2"/>
            <w:tcBorders>
              <w:top w:val="nil"/>
              <w:left w:val="nil"/>
              <w:bottom w:val="single" w:color="auto" w:sz="8" w:space="0"/>
              <w:right w:val="single" w:color="auto" w:sz="8" w:space="0"/>
            </w:tcBorders>
            <w:shd w:val="clear" w:color="auto" w:fill="auto"/>
            <w:noWrap/>
            <w:vAlign w:val="center"/>
          </w:tcPr>
          <w:p w14:paraId="5CE31C0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DC2244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EC4A1EB">
            <w:pPr>
              <w:widowControl/>
              <w:jc w:val="right"/>
              <w:rPr>
                <w:rFonts w:hint="eastAsia"/>
                <w:color w:val="000000"/>
                <w:kern w:val="0"/>
                <w:szCs w:val="21"/>
                <w:highlight w:val="none"/>
              </w:rPr>
            </w:pPr>
            <w:r>
              <w:rPr>
                <w:color w:val="000000"/>
                <w:kern w:val="0"/>
                <w:szCs w:val="21"/>
                <w:highlight w:val="none"/>
              </w:rPr>
              <w:t>66</w:t>
            </w:r>
          </w:p>
        </w:tc>
        <w:tc>
          <w:tcPr>
            <w:tcW w:w="2127" w:type="dxa"/>
            <w:vMerge w:val="continue"/>
            <w:tcBorders>
              <w:top w:val="nil"/>
              <w:left w:val="single" w:color="auto" w:sz="8" w:space="0"/>
              <w:bottom w:val="single" w:color="000000" w:sz="8" w:space="0"/>
              <w:right w:val="single" w:color="auto" w:sz="8" w:space="0"/>
            </w:tcBorders>
            <w:vAlign w:val="center"/>
          </w:tcPr>
          <w:p w14:paraId="28845D9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906F33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AADA03C">
            <w:pPr>
              <w:widowControl/>
              <w:jc w:val="left"/>
              <w:rPr>
                <w:rFonts w:hint="eastAsia" w:cs="宋体"/>
                <w:color w:val="000000"/>
                <w:kern w:val="0"/>
                <w:szCs w:val="21"/>
                <w:highlight w:val="none"/>
              </w:rPr>
            </w:pPr>
            <w:r>
              <w:rPr>
                <w:rFonts w:hint="eastAsia" w:cs="宋体"/>
                <w:color w:val="000000"/>
                <w:kern w:val="0"/>
                <w:szCs w:val="21"/>
                <w:highlight w:val="none"/>
              </w:rPr>
              <w:t>运维可视化</w:t>
            </w:r>
          </w:p>
        </w:tc>
        <w:tc>
          <w:tcPr>
            <w:tcW w:w="749" w:type="dxa"/>
            <w:gridSpan w:val="2"/>
            <w:tcBorders>
              <w:top w:val="nil"/>
              <w:left w:val="nil"/>
              <w:bottom w:val="single" w:color="auto" w:sz="8" w:space="0"/>
              <w:right w:val="single" w:color="auto" w:sz="8" w:space="0"/>
            </w:tcBorders>
            <w:shd w:val="clear" w:color="auto" w:fill="auto"/>
            <w:noWrap/>
            <w:vAlign w:val="center"/>
          </w:tcPr>
          <w:p w14:paraId="11E8DF1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6E23C1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BF7A6B8">
            <w:pPr>
              <w:widowControl/>
              <w:jc w:val="right"/>
              <w:rPr>
                <w:rFonts w:hint="eastAsia"/>
                <w:color w:val="000000"/>
                <w:kern w:val="0"/>
                <w:szCs w:val="21"/>
                <w:highlight w:val="none"/>
              </w:rPr>
            </w:pPr>
            <w:r>
              <w:rPr>
                <w:color w:val="000000"/>
                <w:kern w:val="0"/>
                <w:szCs w:val="21"/>
                <w:highlight w:val="none"/>
              </w:rPr>
              <w:t>67</w:t>
            </w:r>
          </w:p>
        </w:tc>
        <w:tc>
          <w:tcPr>
            <w:tcW w:w="2127" w:type="dxa"/>
            <w:vMerge w:val="continue"/>
            <w:tcBorders>
              <w:top w:val="nil"/>
              <w:left w:val="single" w:color="auto" w:sz="8" w:space="0"/>
              <w:bottom w:val="single" w:color="000000" w:sz="8" w:space="0"/>
              <w:right w:val="single" w:color="auto" w:sz="8" w:space="0"/>
            </w:tcBorders>
            <w:vAlign w:val="center"/>
          </w:tcPr>
          <w:p w14:paraId="36C3A74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AF51EB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8A93197">
            <w:pPr>
              <w:widowControl/>
              <w:jc w:val="left"/>
              <w:rPr>
                <w:rFonts w:hint="eastAsia" w:cs="宋体"/>
                <w:color w:val="000000"/>
                <w:kern w:val="0"/>
                <w:szCs w:val="21"/>
                <w:highlight w:val="none"/>
              </w:rPr>
            </w:pPr>
            <w:r>
              <w:rPr>
                <w:rFonts w:hint="eastAsia" w:cs="宋体"/>
                <w:color w:val="000000"/>
                <w:kern w:val="0"/>
                <w:szCs w:val="21"/>
                <w:highlight w:val="none"/>
              </w:rPr>
              <w:t>运维助手</w:t>
            </w:r>
          </w:p>
        </w:tc>
        <w:tc>
          <w:tcPr>
            <w:tcW w:w="749" w:type="dxa"/>
            <w:gridSpan w:val="2"/>
            <w:tcBorders>
              <w:top w:val="nil"/>
              <w:left w:val="nil"/>
              <w:bottom w:val="single" w:color="auto" w:sz="8" w:space="0"/>
              <w:right w:val="single" w:color="auto" w:sz="8" w:space="0"/>
            </w:tcBorders>
            <w:shd w:val="clear" w:color="auto" w:fill="auto"/>
            <w:noWrap/>
            <w:vAlign w:val="center"/>
          </w:tcPr>
          <w:p w14:paraId="0DE0748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028AD2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0277C1E">
            <w:pPr>
              <w:widowControl/>
              <w:jc w:val="right"/>
              <w:rPr>
                <w:rFonts w:hint="eastAsia"/>
                <w:color w:val="000000"/>
                <w:kern w:val="0"/>
                <w:szCs w:val="21"/>
                <w:highlight w:val="none"/>
              </w:rPr>
            </w:pPr>
            <w:r>
              <w:rPr>
                <w:color w:val="000000"/>
                <w:kern w:val="0"/>
                <w:szCs w:val="21"/>
                <w:highlight w:val="none"/>
              </w:rPr>
              <w:t>68</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65D17538">
            <w:pPr>
              <w:widowControl/>
              <w:jc w:val="center"/>
              <w:rPr>
                <w:rFonts w:hint="eastAsia" w:cs="宋体"/>
                <w:b/>
                <w:bCs/>
                <w:color w:val="000000"/>
                <w:kern w:val="0"/>
                <w:szCs w:val="21"/>
                <w:highlight w:val="none"/>
              </w:rPr>
            </w:pPr>
            <w:r>
              <w:rPr>
                <w:rFonts w:hint="eastAsia" w:cs="宋体"/>
                <w:b/>
                <w:bCs/>
                <w:color w:val="000000"/>
                <w:kern w:val="0"/>
                <w:szCs w:val="21"/>
                <w:highlight w:val="none"/>
              </w:rPr>
              <w:t>医院集成平台升级改造</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2F8ADBE2">
            <w:pPr>
              <w:widowControl/>
              <w:jc w:val="center"/>
              <w:rPr>
                <w:rFonts w:hint="eastAsia" w:cs="宋体"/>
                <w:b/>
                <w:bCs/>
                <w:color w:val="000000"/>
                <w:kern w:val="0"/>
                <w:szCs w:val="21"/>
                <w:highlight w:val="none"/>
              </w:rPr>
            </w:pPr>
            <w:r>
              <w:rPr>
                <w:rFonts w:hint="eastAsia" w:cs="宋体"/>
                <w:b/>
                <w:bCs/>
                <w:color w:val="000000"/>
                <w:kern w:val="0"/>
                <w:szCs w:val="21"/>
                <w:highlight w:val="none"/>
              </w:rPr>
              <w:t>基础服务平台</w:t>
            </w:r>
          </w:p>
        </w:tc>
        <w:tc>
          <w:tcPr>
            <w:tcW w:w="3645" w:type="dxa"/>
            <w:tcBorders>
              <w:top w:val="nil"/>
              <w:left w:val="nil"/>
              <w:bottom w:val="single" w:color="auto" w:sz="8" w:space="0"/>
              <w:right w:val="single" w:color="auto" w:sz="8" w:space="0"/>
            </w:tcBorders>
            <w:shd w:val="clear" w:color="auto" w:fill="auto"/>
            <w:noWrap/>
            <w:vAlign w:val="center"/>
          </w:tcPr>
          <w:p w14:paraId="7D222E36">
            <w:pPr>
              <w:widowControl/>
              <w:jc w:val="left"/>
              <w:rPr>
                <w:rFonts w:hint="eastAsia" w:cs="宋体"/>
                <w:color w:val="000000"/>
                <w:kern w:val="0"/>
                <w:szCs w:val="21"/>
                <w:highlight w:val="none"/>
              </w:rPr>
            </w:pPr>
            <w:r>
              <w:rPr>
                <w:rFonts w:hint="eastAsia" w:cs="宋体"/>
                <w:color w:val="000000"/>
                <w:kern w:val="0"/>
                <w:szCs w:val="21"/>
                <w:highlight w:val="none"/>
              </w:rPr>
              <w:t>运维分析系统</w:t>
            </w:r>
            <w:r>
              <w:rPr>
                <w:rFonts w:cs="Calibri"/>
                <w:color w:val="000000"/>
                <w:kern w:val="0"/>
                <w:szCs w:val="21"/>
                <w:highlight w:val="none"/>
              </w:rPr>
              <w:t xml:space="preserve"> --</w:t>
            </w:r>
            <w:r>
              <w:rPr>
                <w:rFonts w:hint="eastAsia" w:cs="宋体"/>
                <w:color w:val="000000"/>
                <w:kern w:val="0"/>
                <w:szCs w:val="21"/>
                <w:highlight w:val="none"/>
              </w:rPr>
              <w:t>服务运行状态监控管理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353C7E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D8060A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3888366">
            <w:pPr>
              <w:widowControl/>
              <w:jc w:val="right"/>
              <w:rPr>
                <w:rFonts w:hint="eastAsia"/>
                <w:color w:val="000000"/>
                <w:kern w:val="0"/>
                <w:szCs w:val="21"/>
                <w:highlight w:val="none"/>
              </w:rPr>
            </w:pPr>
            <w:r>
              <w:rPr>
                <w:color w:val="000000"/>
                <w:kern w:val="0"/>
                <w:szCs w:val="21"/>
                <w:highlight w:val="none"/>
              </w:rPr>
              <w:t>69</w:t>
            </w:r>
          </w:p>
        </w:tc>
        <w:tc>
          <w:tcPr>
            <w:tcW w:w="2127" w:type="dxa"/>
            <w:vMerge w:val="continue"/>
            <w:tcBorders>
              <w:top w:val="nil"/>
              <w:left w:val="single" w:color="auto" w:sz="8" w:space="0"/>
              <w:bottom w:val="single" w:color="000000" w:sz="8" w:space="0"/>
              <w:right w:val="single" w:color="auto" w:sz="8" w:space="0"/>
            </w:tcBorders>
            <w:vAlign w:val="center"/>
          </w:tcPr>
          <w:p w14:paraId="772590A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72C5EF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C4512CE">
            <w:pPr>
              <w:widowControl/>
              <w:jc w:val="left"/>
              <w:rPr>
                <w:rFonts w:hint="eastAsia" w:cs="宋体"/>
                <w:color w:val="000000"/>
                <w:kern w:val="0"/>
                <w:szCs w:val="21"/>
                <w:highlight w:val="none"/>
              </w:rPr>
            </w:pPr>
            <w:r>
              <w:rPr>
                <w:rFonts w:hint="eastAsia" w:cs="宋体"/>
                <w:color w:val="000000"/>
                <w:kern w:val="0"/>
                <w:szCs w:val="21"/>
                <w:highlight w:val="none"/>
              </w:rPr>
              <w:t>平台概况</w:t>
            </w:r>
          </w:p>
        </w:tc>
        <w:tc>
          <w:tcPr>
            <w:tcW w:w="749" w:type="dxa"/>
            <w:gridSpan w:val="2"/>
            <w:tcBorders>
              <w:top w:val="nil"/>
              <w:left w:val="nil"/>
              <w:bottom w:val="single" w:color="auto" w:sz="8" w:space="0"/>
              <w:right w:val="single" w:color="auto" w:sz="8" w:space="0"/>
            </w:tcBorders>
            <w:shd w:val="clear" w:color="auto" w:fill="auto"/>
            <w:noWrap/>
            <w:vAlign w:val="center"/>
          </w:tcPr>
          <w:p w14:paraId="00EF75A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81DAB4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108C53B">
            <w:pPr>
              <w:widowControl/>
              <w:jc w:val="right"/>
              <w:rPr>
                <w:rFonts w:hint="eastAsia"/>
                <w:color w:val="000000"/>
                <w:kern w:val="0"/>
                <w:szCs w:val="21"/>
                <w:highlight w:val="none"/>
              </w:rPr>
            </w:pPr>
            <w:r>
              <w:rPr>
                <w:color w:val="000000"/>
                <w:kern w:val="0"/>
                <w:szCs w:val="21"/>
                <w:highlight w:val="none"/>
              </w:rPr>
              <w:t>70</w:t>
            </w:r>
          </w:p>
        </w:tc>
        <w:tc>
          <w:tcPr>
            <w:tcW w:w="2127" w:type="dxa"/>
            <w:vMerge w:val="continue"/>
            <w:tcBorders>
              <w:top w:val="nil"/>
              <w:left w:val="single" w:color="auto" w:sz="8" w:space="0"/>
              <w:bottom w:val="single" w:color="000000" w:sz="8" w:space="0"/>
              <w:right w:val="single" w:color="auto" w:sz="8" w:space="0"/>
            </w:tcBorders>
            <w:vAlign w:val="center"/>
          </w:tcPr>
          <w:p w14:paraId="0883304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2BE0682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B07FE13">
            <w:pPr>
              <w:widowControl/>
              <w:jc w:val="left"/>
              <w:rPr>
                <w:rFonts w:hint="eastAsia" w:cs="宋体"/>
                <w:color w:val="000000"/>
                <w:kern w:val="0"/>
                <w:szCs w:val="21"/>
                <w:highlight w:val="none"/>
              </w:rPr>
            </w:pPr>
            <w:r>
              <w:rPr>
                <w:rFonts w:hint="eastAsia" w:cs="宋体"/>
                <w:color w:val="000000"/>
                <w:kern w:val="0"/>
                <w:szCs w:val="21"/>
                <w:highlight w:val="none"/>
              </w:rPr>
              <w:t>服务订阅</w:t>
            </w:r>
            <w:r>
              <w:rPr>
                <w:rFonts w:cs="Calibri"/>
                <w:color w:val="000000"/>
                <w:kern w:val="0"/>
                <w:szCs w:val="21"/>
                <w:highlight w:val="none"/>
              </w:rPr>
              <w:t>--</w:t>
            </w:r>
            <w:r>
              <w:rPr>
                <w:rFonts w:hint="eastAsia" w:cs="宋体"/>
                <w:color w:val="000000"/>
                <w:kern w:val="0"/>
                <w:szCs w:val="21"/>
                <w:highlight w:val="none"/>
              </w:rPr>
              <w:t>交互服务订阅管理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CAB064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5CE7A1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540FE44">
            <w:pPr>
              <w:widowControl/>
              <w:jc w:val="right"/>
              <w:rPr>
                <w:rFonts w:hint="eastAsia"/>
                <w:color w:val="000000"/>
                <w:kern w:val="0"/>
                <w:szCs w:val="21"/>
                <w:highlight w:val="none"/>
              </w:rPr>
            </w:pPr>
            <w:r>
              <w:rPr>
                <w:color w:val="000000"/>
                <w:kern w:val="0"/>
                <w:szCs w:val="21"/>
                <w:highlight w:val="none"/>
              </w:rPr>
              <w:t>71</w:t>
            </w:r>
          </w:p>
        </w:tc>
        <w:tc>
          <w:tcPr>
            <w:tcW w:w="2127" w:type="dxa"/>
            <w:vMerge w:val="continue"/>
            <w:tcBorders>
              <w:top w:val="nil"/>
              <w:left w:val="single" w:color="auto" w:sz="8" w:space="0"/>
              <w:bottom w:val="single" w:color="000000" w:sz="8" w:space="0"/>
              <w:right w:val="single" w:color="auto" w:sz="8" w:space="0"/>
            </w:tcBorders>
            <w:vAlign w:val="center"/>
          </w:tcPr>
          <w:p w14:paraId="79673C0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876199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5C112F8">
            <w:pPr>
              <w:widowControl/>
              <w:jc w:val="left"/>
              <w:rPr>
                <w:rFonts w:hint="eastAsia" w:cs="宋体"/>
                <w:color w:val="000000"/>
                <w:kern w:val="0"/>
                <w:szCs w:val="21"/>
                <w:highlight w:val="none"/>
              </w:rPr>
            </w:pPr>
            <w:r>
              <w:rPr>
                <w:rFonts w:hint="eastAsia" w:cs="宋体"/>
                <w:color w:val="000000"/>
                <w:kern w:val="0"/>
                <w:szCs w:val="21"/>
                <w:highlight w:val="none"/>
              </w:rPr>
              <w:t>访问控制管理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B018EC2">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40A012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D2DFD53">
            <w:pPr>
              <w:widowControl/>
              <w:jc w:val="right"/>
              <w:rPr>
                <w:rFonts w:hint="eastAsia"/>
                <w:color w:val="000000"/>
                <w:kern w:val="0"/>
                <w:szCs w:val="21"/>
                <w:highlight w:val="none"/>
              </w:rPr>
            </w:pPr>
            <w:r>
              <w:rPr>
                <w:color w:val="000000"/>
                <w:kern w:val="0"/>
                <w:szCs w:val="21"/>
                <w:highlight w:val="none"/>
              </w:rPr>
              <w:t>72</w:t>
            </w:r>
          </w:p>
        </w:tc>
        <w:tc>
          <w:tcPr>
            <w:tcW w:w="2127" w:type="dxa"/>
            <w:vMerge w:val="continue"/>
            <w:tcBorders>
              <w:top w:val="nil"/>
              <w:left w:val="single" w:color="auto" w:sz="8" w:space="0"/>
              <w:bottom w:val="single" w:color="000000" w:sz="8" w:space="0"/>
              <w:right w:val="single" w:color="auto" w:sz="8" w:space="0"/>
            </w:tcBorders>
            <w:vAlign w:val="center"/>
          </w:tcPr>
          <w:p w14:paraId="585C2B7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2FD98E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5DEBF3D">
            <w:pPr>
              <w:widowControl/>
              <w:jc w:val="left"/>
              <w:rPr>
                <w:rFonts w:hint="eastAsia" w:cs="宋体"/>
                <w:color w:val="000000"/>
                <w:kern w:val="0"/>
                <w:szCs w:val="21"/>
                <w:highlight w:val="none"/>
              </w:rPr>
            </w:pPr>
            <w:r>
              <w:rPr>
                <w:rFonts w:hint="eastAsia" w:cs="宋体"/>
                <w:color w:val="000000"/>
                <w:kern w:val="0"/>
                <w:szCs w:val="21"/>
                <w:highlight w:val="none"/>
              </w:rPr>
              <w:t>日志信息监管</w:t>
            </w:r>
          </w:p>
        </w:tc>
        <w:tc>
          <w:tcPr>
            <w:tcW w:w="749" w:type="dxa"/>
            <w:gridSpan w:val="2"/>
            <w:tcBorders>
              <w:top w:val="nil"/>
              <w:left w:val="nil"/>
              <w:bottom w:val="single" w:color="auto" w:sz="8" w:space="0"/>
              <w:right w:val="single" w:color="auto" w:sz="8" w:space="0"/>
            </w:tcBorders>
            <w:shd w:val="clear" w:color="auto" w:fill="auto"/>
            <w:noWrap/>
            <w:vAlign w:val="center"/>
          </w:tcPr>
          <w:p w14:paraId="3D5B564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4DE3924">
        <w:tblPrEx>
          <w:tblCellMar>
            <w:top w:w="0" w:type="dxa"/>
            <w:left w:w="108" w:type="dxa"/>
            <w:bottom w:w="0" w:type="dxa"/>
            <w:right w:w="108" w:type="dxa"/>
          </w:tblCellMar>
        </w:tblPrEx>
        <w:trPr>
          <w:gridAfter w:val="1"/>
          <w:wAfter w:w="57" w:type="dxa"/>
          <w:trHeight w:val="339"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EDB8F82">
            <w:pPr>
              <w:widowControl/>
              <w:jc w:val="right"/>
              <w:rPr>
                <w:rFonts w:hint="eastAsia"/>
                <w:color w:val="000000"/>
                <w:kern w:val="0"/>
                <w:szCs w:val="21"/>
                <w:highlight w:val="none"/>
              </w:rPr>
            </w:pPr>
            <w:r>
              <w:rPr>
                <w:color w:val="000000"/>
                <w:kern w:val="0"/>
                <w:szCs w:val="21"/>
                <w:highlight w:val="none"/>
              </w:rPr>
              <w:t>73</w:t>
            </w:r>
          </w:p>
        </w:tc>
        <w:tc>
          <w:tcPr>
            <w:tcW w:w="2127" w:type="dxa"/>
            <w:vMerge w:val="continue"/>
            <w:tcBorders>
              <w:top w:val="nil"/>
              <w:left w:val="single" w:color="auto" w:sz="8" w:space="0"/>
              <w:bottom w:val="single" w:color="000000" w:sz="8" w:space="0"/>
              <w:right w:val="single" w:color="auto" w:sz="8" w:space="0"/>
            </w:tcBorders>
            <w:vAlign w:val="center"/>
          </w:tcPr>
          <w:p w14:paraId="081D53C2">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6822F1AC">
            <w:pPr>
              <w:widowControl/>
              <w:jc w:val="center"/>
              <w:rPr>
                <w:rFonts w:hint="eastAsia" w:cs="宋体"/>
                <w:b/>
                <w:bCs/>
                <w:color w:val="000000"/>
                <w:kern w:val="0"/>
                <w:szCs w:val="21"/>
                <w:highlight w:val="none"/>
              </w:rPr>
            </w:pPr>
            <w:r>
              <w:rPr>
                <w:rFonts w:hint="eastAsia" w:cs="宋体"/>
                <w:b/>
                <w:bCs/>
                <w:color w:val="000000"/>
                <w:kern w:val="0"/>
                <w:szCs w:val="21"/>
                <w:highlight w:val="none"/>
              </w:rPr>
              <w:t>数据综合查询系统</w:t>
            </w:r>
            <w:r>
              <w:rPr>
                <w:rFonts w:cs="Calibri"/>
                <w:b/>
                <w:bCs/>
                <w:color w:val="000000"/>
                <w:kern w:val="0"/>
                <w:szCs w:val="21"/>
                <w:highlight w:val="none"/>
              </w:rPr>
              <w:t>(</w:t>
            </w:r>
            <w:r>
              <w:rPr>
                <w:rFonts w:hint="eastAsia" w:cs="宋体"/>
                <w:b/>
                <w:bCs/>
                <w:color w:val="000000"/>
                <w:kern w:val="0"/>
                <w:szCs w:val="21"/>
                <w:highlight w:val="none"/>
              </w:rPr>
              <w:t>数据脱敏配置管理</w:t>
            </w:r>
            <w:r>
              <w:rPr>
                <w:rFonts w:cs="Calibri"/>
                <w:b/>
                <w:bCs/>
                <w:color w:val="000000"/>
                <w:kern w:val="0"/>
                <w:szCs w:val="21"/>
                <w:highlight w:val="none"/>
              </w:rPr>
              <w:t>)</w:t>
            </w:r>
          </w:p>
        </w:tc>
        <w:tc>
          <w:tcPr>
            <w:tcW w:w="3645" w:type="dxa"/>
            <w:tcBorders>
              <w:top w:val="nil"/>
              <w:left w:val="nil"/>
              <w:bottom w:val="single" w:color="auto" w:sz="8" w:space="0"/>
              <w:right w:val="single" w:color="auto" w:sz="8" w:space="0"/>
            </w:tcBorders>
            <w:shd w:val="clear" w:color="auto" w:fill="auto"/>
            <w:noWrap/>
            <w:vAlign w:val="center"/>
          </w:tcPr>
          <w:p w14:paraId="1F9E362B">
            <w:pPr>
              <w:widowControl/>
              <w:jc w:val="left"/>
              <w:rPr>
                <w:rFonts w:hint="eastAsia" w:cs="宋体"/>
                <w:color w:val="000000"/>
                <w:kern w:val="0"/>
                <w:szCs w:val="21"/>
                <w:highlight w:val="none"/>
              </w:rPr>
            </w:pPr>
            <w:r>
              <w:rPr>
                <w:rFonts w:hint="eastAsia" w:cs="宋体"/>
                <w:color w:val="000000"/>
                <w:kern w:val="0"/>
                <w:szCs w:val="21"/>
                <w:highlight w:val="none"/>
              </w:rPr>
              <w:t>数据链接管理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1390CB9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07039C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C42EE26">
            <w:pPr>
              <w:widowControl/>
              <w:jc w:val="right"/>
              <w:rPr>
                <w:rFonts w:hint="eastAsia"/>
                <w:color w:val="000000"/>
                <w:kern w:val="0"/>
                <w:szCs w:val="21"/>
                <w:highlight w:val="none"/>
              </w:rPr>
            </w:pPr>
            <w:r>
              <w:rPr>
                <w:color w:val="000000"/>
                <w:kern w:val="0"/>
                <w:szCs w:val="21"/>
                <w:highlight w:val="none"/>
              </w:rPr>
              <w:t>74</w:t>
            </w:r>
          </w:p>
        </w:tc>
        <w:tc>
          <w:tcPr>
            <w:tcW w:w="2127" w:type="dxa"/>
            <w:vMerge w:val="continue"/>
            <w:tcBorders>
              <w:top w:val="nil"/>
              <w:left w:val="single" w:color="auto" w:sz="8" w:space="0"/>
              <w:bottom w:val="single" w:color="000000" w:sz="8" w:space="0"/>
              <w:right w:val="single" w:color="auto" w:sz="8" w:space="0"/>
            </w:tcBorders>
            <w:vAlign w:val="center"/>
          </w:tcPr>
          <w:p w14:paraId="3EB6FA0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CA1B5C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2C87794">
            <w:pPr>
              <w:widowControl/>
              <w:jc w:val="left"/>
              <w:rPr>
                <w:rFonts w:hint="eastAsia" w:cs="宋体"/>
                <w:color w:val="000000"/>
                <w:kern w:val="0"/>
                <w:szCs w:val="21"/>
                <w:highlight w:val="none"/>
              </w:rPr>
            </w:pPr>
            <w:r>
              <w:rPr>
                <w:rFonts w:hint="eastAsia" w:cs="宋体"/>
                <w:color w:val="000000"/>
                <w:kern w:val="0"/>
                <w:szCs w:val="21"/>
                <w:highlight w:val="none"/>
              </w:rPr>
              <w:t>数据开放规则管理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FA0372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E11701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C64FE4C">
            <w:pPr>
              <w:widowControl/>
              <w:jc w:val="right"/>
              <w:rPr>
                <w:rFonts w:hint="eastAsia"/>
                <w:color w:val="000000"/>
                <w:kern w:val="0"/>
                <w:szCs w:val="21"/>
                <w:highlight w:val="none"/>
              </w:rPr>
            </w:pPr>
            <w:r>
              <w:rPr>
                <w:color w:val="000000"/>
                <w:kern w:val="0"/>
                <w:szCs w:val="21"/>
                <w:highlight w:val="none"/>
              </w:rPr>
              <w:t>75</w:t>
            </w:r>
          </w:p>
        </w:tc>
        <w:tc>
          <w:tcPr>
            <w:tcW w:w="2127" w:type="dxa"/>
            <w:vMerge w:val="continue"/>
            <w:tcBorders>
              <w:top w:val="nil"/>
              <w:left w:val="single" w:color="auto" w:sz="8" w:space="0"/>
              <w:bottom w:val="single" w:color="000000" w:sz="8" w:space="0"/>
              <w:right w:val="single" w:color="auto" w:sz="8" w:space="0"/>
            </w:tcBorders>
            <w:vAlign w:val="center"/>
          </w:tcPr>
          <w:p w14:paraId="497CB19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FB654DC">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0E255B0">
            <w:pPr>
              <w:widowControl/>
              <w:jc w:val="left"/>
              <w:rPr>
                <w:rFonts w:hint="eastAsia" w:cs="宋体"/>
                <w:color w:val="000000"/>
                <w:kern w:val="0"/>
                <w:szCs w:val="21"/>
                <w:highlight w:val="none"/>
              </w:rPr>
            </w:pPr>
            <w:r>
              <w:rPr>
                <w:rFonts w:hint="eastAsia" w:cs="宋体"/>
                <w:color w:val="000000"/>
                <w:kern w:val="0"/>
                <w:szCs w:val="21"/>
                <w:highlight w:val="none"/>
              </w:rPr>
              <w:t>服务管理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5FE0BA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A2D564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E05F035">
            <w:pPr>
              <w:widowControl/>
              <w:jc w:val="right"/>
              <w:rPr>
                <w:rFonts w:hint="eastAsia"/>
                <w:color w:val="000000"/>
                <w:kern w:val="0"/>
                <w:szCs w:val="21"/>
                <w:highlight w:val="none"/>
              </w:rPr>
            </w:pPr>
            <w:r>
              <w:rPr>
                <w:color w:val="000000"/>
                <w:kern w:val="0"/>
                <w:szCs w:val="21"/>
                <w:highlight w:val="none"/>
              </w:rPr>
              <w:t>76</w:t>
            </w:r>
          </w:p>
        </w:tc>
        <w:tc>
          <w:tcPr>
            <w:tcW w:w="2127" w:type="dxa"/>
            <w:vMerge w:val="continue"/>
            <w:tcBorders>
              <w:top w:val="nil"/>
              <w:left w:val="single" w:color="auto" w:sz="8" w:space="0"/>
              <w:bottom w:val="single" w:color="000000" w:sz="8" w:space="0"/>
              <w:right w:val="single" w:color="auto" w:sz="8" w:space="0"/>
            </w:tcBorders>
            <w:vAlign w:val="center"/>
          </w:tcPr>
          <w:p w14:paraId="64DCF087">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0B044BA1">
            <w:pPr>
              <w:widowControl/>
              <w:jc w:val="center"/>
              <w:rPr>
                <w:rFonts w:hint="eastAsia" w:cs="宋体"/>
                <w:b/>
                <w:bCs/>
                <w:color w:val="000000"/>
                <w:kern w:val="0"/>
                <w:szCs w:val="21"/>
                <w:highlight w:val="none"/>
              </w:rPr>
            </w:pPr>
            <w:r>
              <w:rPr>
                <w:rFonts w:hint="eastAsia" w:cs="宋体"/>
                <w:b/>
                <w:bCs/>
                <w:color w:val="000000"/>
                <w:kern w:val="0"/>
                <w:szCs w:val="21"/>
                <w:highlight w:val="none"/>
              </w:rPr>
              <w:t>集成引擎中间件</w:t>
            </w:r>
          </w:p>
        </w:tc>
        <w:tc>
          <w:tcPr>
            <w:tcW w:w="3645" w:type="dxa"/>
            <w:tcBorders>
              <w:top w:val="nil"/>
              <w:left w:val="nil"/>
              <w:bottom w:val="single" w:color="auto" w:sz="8" w:space="0"/>
              <w:right w:val="single" w:color="auto" w:sz="8" w:space="0"/>
            </w:tcBorders>
            <w:shd w:val="clear" w:color="auto" w:fill="auto"/>
            <w:noWrap/>
            <w:vAlign w:val="center"/>
          </w:tcPr>
          <w:p w14:paraId="3ED61822">
            <w:pPr>
              <w:widowControl/>
              <w:jc w:val="left"/>
              <w:rPr>
                <w:rFonts w:hint="eastAsia" w:cs="宋体"/>
                <w:color w:val="000000"/>
                <w:kern w:val="0"/>
                <w:szCs w:val="21"/>
                <w:highlight w:val="none"/>
              </w:rPr>
            </w:pPr>
            <w:r>
              <w:rPr>
                <w:rFonts w:hint="eastAsia" w:cs="宋体"/>
                <w:color w:val="000000"/>
                <w:kern w:val="0"/>
                <w:szCs w:val="21"/>
                <w:highlight w:val="none"/>
              </w:rPr>
              <w:t>服务编排管理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668B67B">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49609D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853306A">
            <w:pPr>
              <w:widowControl/>
              <w:jc w:val="right"/>
              <w:rPr>
                <w:rFonts w:hint="eastAsia"/>
                <w:color w:val="000000"/>
                <w:kern w:val="0"/>
                <w:szCs w:val="21"/>
                <w:highlight w:val="none"/>
              </w:rPr>
            </w:pPr>
            <w:r>
              <w:rPr>
                <w:color w:val="000000"/>
                <w:kern w:val="0"/>
                <w:szCs w:val="21"/>
                <w:highlight w:val="none"/>
              </w:rPr>
              <w:t>77</w:t>
            </w:r>
          </w:p>
        </w:tc>
        <w:tc>
          <w:tcPr>
            <w:tcW w:w="2127" w:type="dxa"/>
            <w:vMerge w:val="continue"/>
            <w:tcBorders>
              <w:top w:val="nil"/>
              <w:left w:val="single" w:color="auto" w:sz="8" w:space="0"/>
              <w:bottom w:val="single" w:color="000000" w:sz="8" w:space="0"/>
              <w:right w:val="single" w:color="auto" w:sz="8" w:space="0"/>
            </w:tcBorders>
            <w:vAlign w:val="center"/>
          </w:tcPr>
          <w:p w14:paraId="5A7537C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DEAF037">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90E5D07">
            <w:pPr>
              <w:widowControl/>
              <w:jc w:val="left"/>
              <w:rPr>
                <w:rFonts w:hint="eastAsia" w:cs="宋体"/>
                <w:color w:val="000000"/>
                <w:kern w:val="0"/>
                <w:szCs w:val="21"/>
                <w:highlight w:val="none"/>
              </w:rPr>
            </w:pPr>
            <w:r>
              <w:rPr>
                <w:rFonts w:hint="eastAsia" w:cs="宋体"/>
                <w:color w:val="000000"/>
                <w:kern w:val="0"/>
                <w:szCs w:val="21"/>
                <w:highlight w:val="none"/>
              </w:rPr>
              <w:t>服务日志中心</w:t>
            </w:r>
          </w:p>
        </w:tc>
        <w:tc>
          <w:tcPr>
            <w:tcW w:w="749" w:type="dxa"/>
            <w:gridSpan w:val="2"/>
            <w:tcBorders>
              <w:top w:val="nil"/>
              <w:left w:val="nil"/>
              <w:bottom w:val="single" w:color="auto" w:sz="8" w:space="0"/>
              <w:right w:val="single" w:color="auto" w:sz="8" w:space="0"/>
            </w:tcBorders>
            <w:shd w:val="clear" w:color="auto" w:fill="auto"/>
            <w:noWrap/>
            <w:vAlign w:val="center"/>
          </w:tcPr>
          <w:p w14:paraId="5713905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153285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B035C16">
            <w:pPr>
              <w:widowControl/>
              <w:jc w:val="right"/>
              <w:rPr>
                <w:rFonts w:hint="eastAsia"/>
                <w:color w:val="000000"/>
                <w:kern w:val="0"/>
                <w:szCs w:val="21"/>
                <w:highlight w:val="none"/>
              </w:rPr>
            </w:pPr>
            <w:r>
              <w:rPr>
                <w:color w:val="000000"/>
                <w:kern w:val="0"/>
                <w:szCs w:val="21"/>
                <w:highlight w:val="none"/>
              </w:rPr>
              <w:t>78</w:t>
            </w:r>
          </w:p>
        </w:tc>
        <w:tc>
          <w:tcPr>
            <w:tcW w:w="2127" w:type="dxa"/>
            <w:vMerge w:val="continue"/>
            <w:tcBorders>
              <w:top w:val="nil"/>
              <w:left w:val="single" w:color="auto" w:sz="8" w:space="0"/>
              <w:bottom w:val="single" w:color="000000" w:sz="8" w:space="0"/>
              <w:right w:val="single" w:color="auto" w:sz="8" w:space="0"/>
            </w:tcBorders>
            <w:vAlign w:val="center"/>
          </w:tcPr>
          <w:p w14:paraId="3AF0849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81AA0F1">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09D1776">
            <w:pPr>
              <w:widowControl/>
              <w:jc w:val="left"/>
              <w:rPr>
                <w:rFonts w:hint="eastAsia" w:cs="宋体"/>
                <w:color w:val="000000"/>
                <w:kern w:val="0"/>
                <w:szCs w:val="21"/>
                <w:highlight w:val="none"/>
              </w:rPr>
            </w:pPr>
            <w:r>
              <w:rPr>
                <w:rFonts w:hint="eastAsia" w:cs="宋体"/>
                <w:color w:val="000000"/>
                <w:kern w:val="0"/>
                <w:szCs w:val="21"/>
                <w:highlight w:val="none"/>
              </w:rPr>
              <w:t>业务中心管理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59A08D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DC8804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E4000A1">
            <w:pPr>
              <w:widowControl/>
              <w:jc w:val="right"/>
              <w:rPr>
                <w:rFonts w:hint="eastAsia"/>
                <w:color w:val="000000"/>
                <w:kern w:val="0"/>
                <w:szCs w:val="21"/>
                <w:highlight w:val="none"/>
              </w:rPr>
            </w:pPr>
            <w:r>
              <w:rPr>
                <w:color w:val="000000"/>
                <w:kern w:val="0"/>
                <w:szCs w:val="21"/>
                <w:highlight w:val="none"/>
              </w:rPr>
              <w:t>79</w:t>
            </w:r>
          </w:p>
        </w:tc>
        <w:tc>
          <w:tcPr>
            <w:tcW w:w="2127" w:type="dxa"/>
            <w:vMerge w:val="continue"/>
            <w:tcBorders>
              <w:top w:val="nil"/>
              <w:left w:val="single" w:color="auto" w:sz="8" w:space="0"/>
              <w:bottom w:val="single" w:color="000000" w:sz="8" w:space="0"/>
              <w:right w:val="single" w:color="auto" w:sz="8" w:space="0"/>
            </w:tcBorders>
            <w:vAlign w:val="center"/>
          </w:tcPr>
          <w:p w14:paraId="3864E499">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1A29FB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6D52889">
            <w:pPr>
              <w:widowControl/>
              <w:jc w:val="left"/>
              <w:rPr>
                <w:rFonts w:hint="eastAsia" w:cs="宋体"/>
                <w:color w:val="000000"/>
                <w:kern w:val="0"/>
                <w:szCs w:val="21"/>
                <w:highlight w:val="none"/>
              </w:rPr>
            </w:pPr>
            <w:r>
              <w:rPr>
                <w:rFonts w:hint="eastAsia" w:cs="宋体"/>
                <w:color w:val="000000"/>
                <w:kern w:val="0"/>
                <w:szCs w:val="21"/>
                <w:highlight w:val="none"/>
              </w:rPr>
              <w:t>实例应用管理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A80E47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D60DF83">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FED99E7">
            <w:pPr>
              <w:widowControl/>
              <w:jc w:val="right"/>
              <w:rPr>
                <w:rFonts w:hint="eastAsia"/>
                <w:color w:val="000000"/>
                <w:kern w:val="0"/>
                <w:szCs w:val="21"/>
                <w:highlight w:val="none"/>
              </w:rPr>
            </w:pPr>
            <w:r>
              <w:rPr>
                <w:color w:val="000000"/>
                <w:kern w:val="0"/>
                <w:szCs w:val="21"/>
                <w:highlight w:val="none"/>
              </w:rPr>
              <w:t>80</w:t>
            </w:r>
          </w:p>
        </w:tc>
        <w:tc>
          <w:tcPr>
            <w:tcW w:w="2127" w:type="dxa"/>
            <w:vMerge w:val="continue"/>
            <w:tcBorders>
              <w:top w:val="nil"/>
              <w:left w:val="single" w:color="auto" w:sz="8" w:space="0"/>
              <w:bottom w:val="single" w:color="000000" w:sz="8" w:space="0"/>
              <w:right w:val="single" w:color="auto" w:sz="8" w:space="0"/>
            </w:tcBorders>
            <w:vAlign w:val="center"/>
          </w:tcPr>
          <w:p w14:paraId="49360DA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9B6BE9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2BAC1E2">
            <w:pPr>
              <w:widowControl/>
              <w:jc w:val="left"/>
              <w:rPr>
                <w:rFonts w:hint="eastAsia" w:cs="宋体"/>
                <w:color w:val="000000"/>
                <w:kern w:val="0"/>
                <w:szCs w:val="21"/>
                <w:highlight w:val="none"/>
              </w:rPr>
            </w:pPr>
            <w:r>
              <w:rPr>
                <w:rFonts w:hint="eastAsia" w:cs="宋体"/>
                <w:color w:val="000000"/>
                <w:kern w:val="0"/>
                <w:szCs w:val="21"/>
                <w:highlight w:val="none"/>
              </w:rPr>
              <w:t>服务消息引擎</w:t>
            </w:r>
          </w:p>
        </w:tc>
        <w:tc>
          <w:tcPr>
            <w:tcW w:w="749" w:type="dxa"/>
            <w:gridSpan w:val="2"/>
            <w:tcBorders>
              <w:top w:val="nil"/>
              <w:left w:val="nil"/>
              <w:bottom w:val="single" w:color="auto" w:sz="8" w:space="0"/>
              <w:right w:val="single" w:color="auto" w:sz="8" w:space="0"/>
            </w:tcBorders>
            <w:shd w:val="clear" w:color="auto" w:fill="auto"/>
            <w:noWrap/>
            <w:vAlign w:val="center"/>
          </w:tcPr>
          <w:p w14:paraId="41ACCDD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982E3FB">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86B5F7C">
            <w:pPr>
              <w:widowControl/>
              <w:jc w:val="right"/>
              <w:rPr>
                <w:rFonts w:hint="eastAsia"/>
                <w:color w:val="000000"/>
                <w:kern w:val="0"/>
                <w:szCs w:val="21"/>
                <w:highlight w:val="none"/>
              </w:rPr>
            </w:pPr>
            <w:r>
              <w:rPr>
                <w:color w:val="000000"/>
                <w:kern w:val="0"/>
                <w:szCs w:val="21"/>
                <w:highlight w:val="none"/>
              </w:rPr>
              <w:t>81</w:t>
            </w:r>
          </w:p>
        </w:tc>
        <w:tc>
          <w:tcPr>
            <w:tcW w:w="2127" w:type="dxa"/>
            <w:vMerge w:val="continue"/>
            <w:tcBorders>
              <w:top w:val="nil"/>
              <w:left w:val="single" w:color="auto" w:sz="8" w:space="0"/>
              <w:bottom w:val="single" w:color="000000" w:sz="8" w:space="0"/>
              <w:right w:val="single" w:color="auto" w:sz="8" w:space="0"/>
            </w:tcBorders>
            <w:vAlign w:val="center"/>
          </w:tcPr>
          <w:p w14:paraId="3A3AE90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10B3267">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5994002">
            <w:pPr>
              <w:widowControl/>
              <w:jc w:val="left"/>
              <w:rPr>
                <w:rFonts w:hint="eastAsia" w:cs="宋体"/>
                <w:color w:val="000000"/>
                <w:kern w:val="0"/>
                <w:szCs w:val="21"/>
                <w:highlight w:val="none"/>
              </w:rPr>
            </w:pPr>
            <w:r>
              <w:rPr>
                <w:rFonts w:hint="eastAsia" w:cs="宋体"/>
                <w:color w:val="000000"/>
                <w:kern w:val="0"/>
                <w:szCs w:val="21"/>
                <w:highlight w:val="none"/>
              </w:rPr>
              <w:t>项目管理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0339551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10B058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D70FD59">
            <w:pPr>
              <w:widowControl/>
              <w:jc w:val="right"/>
              <w:rPr>
                <w:rFonts w:hint="eastAsia"/>
                <w:color w:val="000000"/>
                <w:kern w:val="0"/>
                <w:szCs w:val="21"/>
                <w:highlight w:val="none"/>
              </w:rPr>
            </w:pPr>
            <w:r>
              <w:rPr>
                <w:color w:val="000000"/>
                <w:kern w:val="0"/>
                <w:szCs w:val="21"/>
                <w:highlight w:val="none"/>
              </w:rPr>
              <w:t>82</w:t>
            </w:r>
          </w:p>
        </w:tc>
        <w:tc>
          <w:tcPr>
            <w:tcW w:w="2127" w:type="dxa"/>
            <w:vMerge w:val="continue"/>
            <w:tcBorders>
              <w:top w:val="nil"/>
              <w:left w:val="single" w:color="auto" w:sz="8" w:space="0"/>
              <w:bottom w:val="single" w:color="000000" w:sz="8" w:space="0"/>
              <w:right w:val="single" w:color="auto" w:sz="8" w:space="0"/>
            </w:tcBorders>
            <w:vAlign w:val="center"/>
          </w:tcPr>
          <w:p w14:paraId="32B41A5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2647C9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40C6AAC">
            <w:pPr>
              <w:widowControl/>
              <w:jc w:val="left"/>
              <w:rPr>
                <w:rFonts w:hint="eastAsia" w:cs="宋体"/>
                <w:color w:val="000000"/>
                <w:kern w:val="0"/>
                <w:szCs w:val="21"/>
                <w:highlight w:val="none"/>
              </w:rPr>
            </w:pPr>
            <w:r>
              <w:rPr>
                <w:rFonts w:hint="eastAsia" w:cs="宋体"/>
                <w:color w:val="000000"/>
                <w:kern w:val="0"/>
                <w:szCs w:val="21"/>
                <w:highlight w:val="none"/>
              </w:rPr>
              <w:t>服务管理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0B651CB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5BBF1FB">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EDFC13E">
            <w:pPr>
              <w:widowControl/>
              <w:jc w:val="right"/>
              <w:rPr>
                <w:rFonts w:hint="eastAsia"/>
                <w:color w:val="000000"/>
                <w:kern w:val="0"/>
                <w:szCs w:val="21"/>
                <w:highlight w:val="none"/>
              </w:rPr>
            </w:pPr>
            <w:r>
              <w:rPr>
                <w:color w:val="000000"/>
                <w:kern w:val="0"/>
                <w:szCs w:val="21"/>
                <w:highlight w:val="none"/>
              </w:rPr>
              <w:t>83</w:t>
            </w:r>
          </w:p>
        </w:tc>
        <w:tc>
          <w:tcPr>
            <w:tcW w:w="2127" w:type="dxa"/>
            <w:vMerge w:val="continue"/>
            <w:tcBorders>
              <w:top w:val="nil"/>
              <w:left w:val="single" w:color="auto" w:sz="8" w:space="0"/>
              <w:bottom w:val="single" w:color="000000" w:sz="8" w:space="0"/>
              <w:right w:val="single" w:color="auto" w:sz="8" w:space="0"/>
            </w:tcBorders>
            <w:vAlign w:val="center"/>
          </w:tcPr>
          <w:p w14:paraId="4905400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975A0C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0A615DC">
            <w:pPr>
              <w:widowControl/>
              <w:jc w:val="left"/>
              <w:rPr>
                <w:rFonts w:hint="eastAsia" w:cs="宋体"/>
                <w:color w:val="000000"/>
                <w:kern w:val="0"/>
                <w:szCs w:val="21"/>
                <w:highlight w:val="none"/>
              </w:rPr>
            </w:pPr>
            <w:r>
              <w:rPr>
                <w:rFonts w:hint="eastAsia" w:cs="宋体"/>
                <w:color w:val="000000"/>
                <w:kern w:val="0"/>
                <w:szCs w:val="21"/>
                <w:highlight w:val="none"/>
              </w:rPr>
              <w:t>数据源管理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EA186C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1FEF2A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63F0FC9">
            <w:pPr>
              <w:widowControl/>
              <w:jc w:val="right"/>
              <w:rPr>
                <w:rFonts w:hint="eastAsia"/>
                <w:color w:val="000000"/>
                <w:kern w:val="0"/>
                <w:szCs w:val="21"/>
                <w:highlight w:val="none"/>
              </w:rPr>
            </w:pPr>
            <w:r>
              <w:rPr>
                <w:color w:val="000000"/>
                <w:kern w:val="0"/>
                <w:szCs w:val="21"/>
                <w:highlight w:val="none"/>
              </w:rPr>
              <w:t>84</w:t>
            </w:r>
          </w:p>
        </w:tc>
        <w:tc>
          <w:tcPr>
            <w:tcW w:w="2127" w:type="dxa"/>
            <w:vMerge w:val="continue"/>
            <w:tcBorders>
              <w:top w:val="nil"/>
              <w:left w:val="single" w:color="auto" w:sz="8" w:space="0"/>
              <w:bottom w:val="single" w:color="000000" w:sz="8" w:space="0"/>
              <w:right w:val="single" w:color="auto" w:sz="8" w:space="0"/>
            </w:tcBorders>
            <w:vAlign w:val="center"/>
          </w:tcPr>
          <w:p w14:paraId="7C4D778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2F0146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F4C2FB4">
            <w:pPr>
              <w:widowControl/>
              <w:jc w:val="left"/>
              <w:rPr>
                <w:rFonts w:hint="eastAsia" w:cs="宋体"/>
                <w:color w:val="000000"/>
                <w:kern w:val="0"/>
                <w:szCs w:val="21"/>
                <w:highlight w:val="none"/>
              </w:rPr>
            </w:pPr>
            <w:r>
              <w:rPr>
                <w:rFonts w:hint="eastAsia" w:cs="宋体"/>
                <w:color w:val="000000"/>
                <w:kern w:val="0"/>
                <w:szCs w:val="21"/>
                <w:highlight w:val="none"/>
              </w:rPr>
              <w:t>组件注册管理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78CED64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0D0A78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CAFC590">
            <w:pPr>
              <w:widowControl/>
              <w:jc w:val="right"/>
              <w:rPr>
                <w:rFonts w:hint="eastAsia"/>
                <w:color w:val="000000"/>
                <w:kern w:val="0"/>
                <w:szCs w:val="21"/>
                <w:highlight w:val="none"/>
              </w:rPr>
            </w:pPr>
            <w:r>
              <w:rPr>
                <w:color w:val="000000"/>
                <w:kern w:val="0"/>
                <w:szCs w:val="21"/>
                <w:highlight w:val="none"/>
              </w:rPr>
              <w:t>85</w:t>
            </w:r>
          </w:p>
        </w:tc>
        <w:tc>
          <w:tcPr>
            <w:tcW w:w="2127" w:type="dxa"/>
            <w:vMerge w:val="continue"/>
            <w:tcBorders>
              <w:top w:val="nil"/>
              <w:left w:val="single" w:color="auto" w:sz="8" w:space="0"/>
              <w:bottom w:val="single" w:color="000000" w:sz="8" w:space="0"/>
              <w:right w:val="single" w:color="auto" w:sz="8" w:space="0"/>
            </w:tcBorders>
            <w:vAlign w:val="center"/>
          </w:tcPr>
          <w:p w14:paraId="1E3AF77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7333A2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34B12C1">
            <w:pPr>
              <w:widowControl/>
              <w:jc w:val="left"/>
              <w:rPr>
                <w:rFonts w:hint="eastAsia" w:cs="宋体"/>
                <w:color w:val="000000"/>
                <w:kern w:val="0"/>
                <w:szCs w:val="21"/>
                <w:highlight w:val="none"/>
              </w:rPr>
            </w:pPr>
            <w:r>
              <w:rPr>
                <w:rFonts w:hint="eastAsia" w:cs="宋体"/>
                <w:color w:val="000000"/>
                <w:kern w:val="0"/>
                <w:szCs w:val="21"/>
                <w:highlight w:val="none"/>
              </w:rPr>
              <w:t>系统知识管理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21B6A7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623163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FB7E4BF">
            <w:pPr>
              <w:widowControl/>
              <w:jc w:val="right"/>
              <w:rPr>
                <w:rFonts w:hint="eastAsia"/>
                <w:color w:val="000000"/>
                <w:kern w:val="0"/>
                <w:szCs w:val="21"/>
                <w:highlight w:val="none"/>
              </w:rPr>
            </w:pPr>
            <w:r>
              <w:rPr>
                <w:color w:val="000000"/>
                <w:kern w:val="0"/>
                <w:szCs w:val="21"/>
                <w:highlight w:val="none"/>
              </w:rPr>
              <w:t>86</w:t>
            </w:r>
          </w:p>
        </w:tc>
        <w:tc>
          <w:tcPr>
            <w:tcW w:w="2127" w:type="dxa"/>
            <w:vMerge w:val="continue"/>
            <w:tcBorders>
              <w:top w:val="nil"/>
              <w:left w:val="single" w:color="auto" w:sz="8" w:space="0"/>
              <w:bottom w:val="single" w:color="000000" w:sz="8" w:space="0"/>
              <w:right w:val="single" w:color="auto" w:sz="8" w:space="0"/>
            </w:tcBorders>
            <w:vAlign w:val="center"/>
          </w:tcPr>
          <w:p w14:paraId="2CCF532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28B59CF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A547AFD">
            <w:pPr>
              <w:widowControl/>
              <w:jc w:val="left"/>
              <w:rPr>
                <w:rFonts w:hint="eastAsia" w:cs="宋体"/>
                <w:color w:val="000000"/>
                <w:kern w:val="0"/>
                <w:szCs w:val="21"/>
                <w:highlight w:val="none"/>
              </w:rPr>
            </w:pPr>
            <w:r>
              <w:rPr>
                <w:rFonts w:hint="eastAsia" w:cs="宋体"/>
                <w:color w:val="000000"/>
                <w:kern w:val="0"/>
                <w:szCs w:val="21"/>
                <w:highlight w:val="none"/>
              </w:rPr>
              <w:t>应用系统功能</w:t>
            </w:r>
          </w:p>
        </w:tc>
        <w:tc>
          <w:tcPr>
            <w:tcW w:w="749" w:type="dxa"/>
            <w:gridSpan w:val="2"/>
            <w:tcBorders>
              <w:top w:val="nil"/>
              <w:left w:val="nil"/>
              <w:bottom w:val="single" w:color="auto" w:sz="8" w:space="0"/>
              <w:right w:val="single" w:color="auto" w:sz="8" w:space="0"/>
            </w:tcBorders>
            <w:shd w:val="clear" w:color="auto" w:fill="auto"/>
            <w:noWrap/>
            <w:vAlign w:val="center"/>
          </w:tcPr>
          <w:p w14:paraId="75FF170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403F4C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B1868D8">
            <w:pPr>
              <w:widowControl/>
              <w:jc w:val="right"/>
              <w:rPr>
                <w:rFonts w:hint="eastAsia"/>
                <w:color w:val="000000"/>
                <w:kern w:val="0"/>
                <w:szCs w:val="21"/>
                <w:highlight w:val="none"/>
              </w:rPr>
            </w:pPr>
            <w:r>
              <w:rPr>
                <w:color w:val="000000"/>
                <w:kern w:val="0"/>
                <w:szCs w:val="21"/>
                <w:highlight w:val="none"/>
              </w:rPr>
              <w:t>87</w:t>
            </w:r>
          </w:p>
        </w:tc>
        <w:tc>
          <w:tcPr>
            <w:tcW w:w="2127" w:type="dxa"/>
            <w:vMerge w:val="continue"/>
            <w:tcBorders>
              <w:top w:val="nil"/>
              <w:left w:val="single" w:color="auto" w:sz="8" w:space="0"/>
              <w:bottom w:val="single" w:color="000000" w:sz="8" w:space="0"/>
              <w:right w:val="single" w:color="auto" w:sz="8" w:space="0"/>
            </w:tcBorders>
            <w:vAlign w:val="center"/>
          </w:tcPr>
          <w:p w14:paraId="127ADBA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E4A079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912D95E">
            <w:pPr>
              <w:widowControl/>
              <w:jc w:val="left"/>
              <w:rPr>
                <w:rFonts w:hint="eastAsia" w:cs="Calibri"/>
                <w:color w:val="000000"/>
                <w:kern w:val="0"/>
                <w:szCs w:val="21"/>
                <w:highlight w:val="none"/>
              </w:rPr>
            </w:pPr>
            <w:r>
              <w:rPr>
                <w:rFonts w:cs="Calibri"/>
                <w:color w:val="000000"/>
                <w:kern w:val="0"/>
                <w:szCs w:val="21"/>
                <w:highlight w:val="none"/>
              </w:rPr>
              <w:t>sentime</w:t>
            </w:r>
            <w:r>
              <w:rPr>
                <w:rFonts w:hint="eastAsia" w:cs="Calibri"/>
                <w:color w:val="000000"/>
                <w:kern w:val="0"/>
                <w:szCs w:val="21"/>
                <w:highlight w:val="none"/>
              </w:rPr>
              <w:t>状态管理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7329C1F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84753F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6D1750B">
            <w:pPr>
              <w:widowControl/>
              <w:jc w:val="right"/>
              <w:rPr>
                <w:rFonts w:hint="eastAsia"/>
                <w:color w:val="000000"/>
                <w:kern w:val="0"/>
                <w:szCs w:val="21"/>
                <w:highlight w:val="none"/>
              </w:rPr>
            </w:pPr>
            <w:r>
              <w:rPr>
                <w:color w:val="000000"/>
                <w:kern w:val="0"/>
                <w:szCs w:val="21"/>
                <w:highlight w:val="none"/>
              </w:rPr>
              <w:t>88</w:t>
            </w:r>
          </w:p>
        </w:tc>
        <w:tc>
          <w:tcPr>
            <w:tcW w:w="2127" w:type="dxa"/>
            <w:vMerge w:val="continue"/>
            <w:tcBorders>
              <w:top w:val="nil"/>
              <w:left w:val="single" w:color="auto" w:sz="8" w:space="0"/>
              <w:bottom w:val="single" w:color="000000" w:sz="8" w:space="0"/>
              <w:right w:val="single" w:color="auto" w:sz="8" w:space="0"/>
            </w:tcBorders>
            <w:vAlign w:val="center"/>
          </w:tcPr>
          <w:p w14:paraId="6C83F42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1D3B194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F454B72">
            <w:pPr>
              <w:widowControl/>
              <w:jc w:val="left"/>
              <w:rPr>
                <w:rFonts w:hint="eastAsia" w:cs="宋体"/>
                <w:color w:val="000000"/>
                <w:kern w:val="0"/>
                <w:szCs w:val="21"/>
                <w:highlight w:val="none"/>
              </w:rPr>
            </w:pPr>
            <w:r>
              <w:rPr>
                <w:rFonts w:hint="eastAsia" w:cs="宋体"/>
                <w:color w:val="000000"/>
                <w:kern w:val="0"/>
                <w:szCs w:val="21"/>
                <w:highlight w:val="none"/>
              </w:rPr>
              <w:t>路由地址管理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06C5D6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95B971B">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36C0822">
            <w:pPr>
              <w:widowControl/>
              <w:jc w:val="right"/>
              <w:rPr>
                <w:rFonts w:hint="eastAsia"/>
                <w:color w:val="000000"/>
                <w:kern w:val="0"/>
                <w:szCs w:val="21"/>
                <w:highlight w:val="none"/>
              </w:rPr>
            </w:pPr>
            <w:r>
              <w:rPr>
                <w:color w:val="000000"/>
                <w:kern w:val="0"/>
                <w:szCs w:val="21"/>
                <w:highlight w:val="none"/>
              </w:rPr>
              <w:t>89</w:t>
            </w:r>
          </w:p>
        </w:tc>
        <w:tc>
          <w:tcPr>
            <w:tcW w:w="2127" w:type="dxa"/>
            <w:vMerge w:val="continue"/>
            <w:tcBorders>
              <w:top w:val="nil"/>
              <w:left w:val="single" w:color="auto" w:sz="8" w:space="0"/>
              <w:bottom w:val="single" w:color="000000" w:sz="8" w:space="0"/>
              <w:right w:val="single" w:color="auto" w:sz="8" w:space="0"/>
            </w:tcBorders>
            <w:vAlign w:val="center"/>
          </w:tcPr>
          <w:p w14:paraId="4280FA8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919239A">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477BB1E">
            <w:pPr>
              <w:widowControl/>
              <w:jc w:val="left"/>
              <w:rPr>
                <w:rFonts w:hint="eastAsia" w:cs="宋体"/>
                <w:color w:val="000000"/>
                <w:kern w:val="0"/>
                <w:szCs w:val="21"/>
                <w:highlight w:val="none"/>
              </w:rPr>
            </w:pPr>
            <w:r>
              <w:rPr>
                <w:rFonts w:hint="eastAsia" w:cs="宋体"/>
                <w:color w:val="000000"/>
                <w:kern w:val="0"/>
                <w:szCs w:val="21"/>
                <w:highlight w:val="none"/>
              </w:rPr>
              <w:t>监控管理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00521E2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78BBF88">
        <w:tblPrEx>
          <w:tblCellMar>
            <w:top w:w="0" w:type="dxa"/>
            <w:left w:w="108" w:type="dxa"/>
            <w:bottom w:w="0" w:type="dxa"/>
            <w:right w:w="108" w:type="dxa"/>
          </w:tblCellMar>
        </w:tblPrEx>
        <w:trPr>
          <w:gridAfter w:val="1"/>
          <w:wAfter w:w="57" w:type="dxa"/>
          <w:trHeight w:val="516"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9C0D7F3">
            <w:pPr>
              <w:widowControl/>
              <w:jc w:val="right"/>
              <w:rPr>
                <w:rFonts w:hint="eastAsia"/>
                <w:color w:val="000000"/>
                <w:kern w:val="0"/>
                <w:szCs w:val="21"/>
                <w:highlight w:val="none"/>
              </w:rPr>
            </w:pPr>
            <w:r>
              <w:rPr>
                <w:color w:val="000000"/>
                <w:kern w:val="0"/>
                <w:szCs w:val="21"/>
                <w:highlight w:val="none"/>
              </w:rPr>
              <w:t>90</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76297824">
            <w:pPr>
              <w:widowControl/>
              <w:jc w:val="center"/>
              <w:rPr>
                <w:rFonts w:hint="eastAsia" w:cs="宋体"/>
                <w:b/>
                <w:bCs/>
                <w:color w:val="000000"/>
                <w:kern w:val="0"/>
                <w:szCs w:val="21"/>
                <w:highlight w:val="none"/>
              </w:rPr>
            </w:pPr>
            <w:r>
              <w:rPr>
                <w:rFonts w:hint="eastAsia" w:cs="宋体"/>
                <w:b/>
                <w:bCs/>
                <w:color w:val="000000"/>
                <w:kern w:val="0"/>
                <w:szCs w:val="21"/>
                <w:highlight w:val="none"/>
              </w:rPr>
              <w:t>医院决策支持系统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2FF2E874">
            <w:pPr>
              <w:widowControl/>
              <w:jc w:val="center"/>
              <w:rPr>
                <w:rFonts w:hint="eastAsia" w:cs="宋体"/>
                <w:b/>
                <w:bCs/>
                <w:color w:val="000000"/>
                <w:kern w:val="0"/>
                <w:szCs w:val="21"/>
                <w:highlight w:val="none"/>
              </w:rPr>
            </w:pPr>
            <w:r>
              <w:rPr>
                <w:rFonts w:hint="eastAsia" w:cs="宋体"/>
                <w:b/>
                <w:bCs/>
                <w:color w:val="000000"/>
                <w:kern w:val="0"/>
                <w:szCs w:val="21"/>
                <w:highlight w:val="none"/>
              </w:rPr>
              <w:t>数据缓存库（</w:t>
            </w:r>
            <w:r>
              <w:rPr>
                <w:rFonts w:cs="Calibri"/>
                <w:b/>
                <w:bCs/>
                <w:color w:val="000000"/>
                <w:kern w:val="0"/>
                <w:szCs w:val="21"/>
                <w:highlight w:val="none"/>
              </w:rPr>
              <w:t>ODS</w:t>
            </w:r>
            <w:r>
              <w:rPr>
                <w:rFonts w:hint="eastAsia" w:cs="宋体"/>
                <w:b/>
                <w:bCs/>
                <w:color w:val="000000"/>
                <w:kern w:val="0"/>
                <w:szCs w:val="21"/>
                <w:highlight w:val="none"/>
              </w:rPr>
              <w:t>）</w:t>
            </w:r>
          </w:p>
        </w:tc>
        <w:tc>
          <w:tcPr>
            <w:tcW w:w="3645" w:type="dxa"/>
            <w:tcBorders>
              <w:top w:val="nil"/>
              <w:left w:val="nil"/>
              <w:bottom w:val="single" w:color="auto" w:sz="8" w:space="0"/>
              <w:right w:val="single" w:color="auto" w:sz="8" w:space="0"/>
            </w:tcBorders>
            <w:shd w:val="clear" w:color="auto" w:fill="auto"/>
            <w:noWrap/>
            <w:vAlign w:val="center"/>
          </w:tcPr>
          <w:p w14:paraId="14CC68DC">
            <w:pPr>
              <w:widowControl/>
              <w:jc w:val="left"/>
              <w:rPr>
                <w:rFonts w:hint="eastAsia" w:cs="宋体"/>
                <w:color w:val="000000"/>
                <w:kern w:val="0"/>
                <w:szCs w:val="21"/>
                <w:highlight w:val="none"/>
              </w:rPr>
            </w:pPr>
            <w:r>
              <w:rPr>
                <w:rFonts w:hint="eastAsia" w:cs="宋体"/>
                <w:color w:val="000000"/>
                <w:kern w:val="0"/>
                <w:szCs w:val="21"/>
                <w:highlight w:val="none"/>
              </w:rPr>
              <w:t>数据仓库</w:t>
            </w:r>
          </w:p>
        </w:tc>
        <w:tc>
          <w:tcPr>
            <w:tcW w:w="749" w:type="dxa"/>
            <w:gridSpan w:val="2"/>
            <w:tcBorders>
              <w:top w:val="nil"/>
              <w:left w:val="nil"/>
              <w:bottom w:val="single" w:color="auto" w:sz="8" w:space="0"/>
              <w:right w:val="single" w:color="auto" w:sz="8" w:space="0"/>
            </w:tcBorders>
            <w:shd w:val="clear" w:color="auto" w:fill="auto"/>
            <w:noWrap/>
            <w:vAlign w:val="center"/>
          </w:tcPr>
          <w:p w14:paraId="00DF74A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102E5B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73F7E1A">
            <w:pPr>
              <w:widowControl/>
              <w:jc w:val="right"/>
              <w:rPr>
                <w:rFonts w:hint="eastAsia"/>
                <w:color w:val="000000"/>
                <w:kern w:val="0"/>
                <w:szCs w:val="21"/>
                <w:highlight w:val="none"/>
              </w:rPr>
            </w:pPr>
            <w:r>
              <w:rPr>
                <w:color w:val="000000"/>
                <w:kern w:val="0"/>
                <w:szCs w:val="21"/>
                <w:highlight w:val="none"/>
              </w:rPr>
              <w:t>91</w:t>
            </w:r>
          </w:p>
        </w:tc>
        <w:tc>
          <w:tcPr>
            <w:tcW w:w="2127" w:type="dxa"/>
            <w:vMerge w:val="continue"/>
            <w:tcBorders>
              <w:top w:val="nil"/>
              <w:left w:val="single" w:color="auto" w:sz="8" w:space="0"/>
              <w:bottom w:val="single" w:color="000000" w:sz="8" w:space="0"/>
              <w:right w:val="single" w:color="auto" w:sz="8" w:space="0"/>
            </w:tcBorders>
            <w:vAlign w:val="center"/>
          </w:tcPr>
          <w:p w14:paraId="09D58B8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057186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8511200">
            <w:pPr>
              <w:widowControl/>
              <w:jc w:val="left"/>
              <w:rPr>
                <w:rFonts w:hint="eastAsia" w:cs="宋体"/>
                <w:color w:val="000000"/>
                <w:kern w:val="0"/>
                <w:szCs w:val="21"/>
                <w:highlight w:val="none"/>
              </w:rPr>
            </w:pPr>
            <w:r>
              <w:rPr>
                <w:rFonts w:hint="eastAsia" w:cs="宋体"/>
                <w:color w:val="000000"/>
                <w:kern w:val="0"/>
                <w:szCs w:val="21"/>
                <w:highlight w:val="none"/>
              </w:rPr>
              <w:t>数据集市</w:t>
            </w:r>
          </w:p>
        </w:tc>
        <w:tc>
          <w:tcPr>
            <w:tcW w:w="749" w:type="dxa"/>
            <w:gridSpan w:val="2"/>
            <w:tcBorders>
              <w:top w:val="nil"/>
              <w:left w:val="nil"/>
              <w:bottom w:val="single" w:color="auto" w:sz="8" w:space="0"/>
              <w:right w:val="single" w:color="auto" w:sz="8" w:space="0"/>
            </w:tcBorders>
            <w:shd w:val="clear" w:color="auto" w:fill="auto"/>
            <w:noWrap/>
            <w:vAlign w:val="center"/>
          </w:tcPr>
          <w:p w14:paraId="292C3BE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040AF08">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73333F6">
            <w:pPr>
              <w:widowControl/>
              <w:jc w:val="right"/>
              <w:rPr>
                <w:rFonts w:hint="eastAsia"/>
                <w:color w:val="000000"/>
                <w:kern w:val="0"/>
                <w:szCs w:val="21"/>
                <w:highlight w:val="none"/>
              </w:rPr>
            </w:pPr>
            <w:r>
              <w:rPr>
                <w:color w:val="000000"/>
                <w:kern w:val="0"/>
                <w:szCs w:val="21"/>
                <w:highlight w:val="none"/>
              </w:rPr>
              <w:t>92</w:t>
            </w:r>
          </w:p>
        </w:tc>
        <w:tc>
          <w:tcPr>
            <w:tcW w:w="2127" w:type="dxa"/>
            <w:vMerge w:val="continue"/>
            <w:tcBorders>
              <w:top w:val="nil"/>
              <w:left w:val="single" w:color="auto" w:sz="8" w:space="0"/>
              <w:bottom w:val="single" w:color="000000" w:sz="8" w:space="0"/>
              <w:right w:val="single" w:color="auto" w:sz="8" w:space="0"/>
            </w:tcBorders>
            <w:vAlign w:val="center"/>
          </w:tcPr>
          <w:p w14:paraId="525D2AB9">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5B3CEA8D">
            <w:pPr>
              <w:widowControl/>
              <w:jc w:val="center"/>
              <w:rPr>
                <w:rFonts w:hint="eastAsia" w:cs="宋体"/>
                <w:b/>
                <w:bCs/>
                <w:color w:val="000000"/>
                <w:kern w:val="0"/>
                <w:szCs w:val="21"/>
                <w:highlight w:val="none"/>
              </w:rPr>
            </w:pPr>
            <w:r>
              <w:rPr>
                <w:rFonts w:hint="eastAsia" w:cs="宋体"/>
                <w:b/>
                <w:bCs/>
                <w:color w:val="000000"/>
                <w:kern w:val="0"/>
                <w:szCs w:val="21"/>
                <w:highlight w:val="none"/>
              </w:rPr>
              <w:t>数据</w:t>
            </w:r>
            <w:r>
              <w:rPr>
                <w:rFonts w:cs="Calibri"/>
                <w:b/>
                <w:bCs/>
                <w:color w:val="000000"/>
                <w:kern w:val="0"/>
                <w:szCs w:val="21"/>
                <w:highlight w:val="none"/>
              </w:rPr>
              <w:t>ETL</w:t>
            </w:r>
            <w:r>
              <w:rPr>
                <w:rFonts w:hint="eastAsia" w:cs="宋体"/>
                <w:b/>
                <w:bCs/>
                <w:color w:val="000000"/>
                <w:kern w:val="0"/>
                <w:szCs w:val="21"/>
                <w:highlight w:val="none"/>
              </w:rPr>
              <w:t>管理</w:t>
            </w:r>
          </w:p>
        </w:tc>
        <w:tc>
          <w:tcPr>
            <w:tcW w:w="3645" w:type="dxa"/>
            <w:tcBorders>
              <w:top w:val="nil"/>
              <w:left w:val="nil"/>
              <w:bottom w:val="single" w:color="auto" w:sz="8" w:space="0"/>
              <w:right w:val="single" w:color="auto" w:sz="8" w:space="0"/>
            </w:tcBorders>
            <w:shd w:val="clear" w:color="auto" w:fill="auto"/>
            <w:noWrap/>
            <w:vAlign w:val="center"/>
          </w:tcPr>
          <w:p w14:paraId="4AFEF9EA">
            <w:pPr>
              <w:widowControl/>
              <w:jc w:val="left"/>
              <w:rPr>
                <w:rFonts w:hint="eastAsia" w:cs="宋体"/>
                <w:color w:val="000000"/>
                <w:kern w:val="0"/>
                <w:szCs w:val="21"/>
                <w:highlight w:val="none"/>
              </w:rPr>
            </w:pPr>
            <w:r>
              <w:rPr>
                <w:rFonts w:hint="eastAsia" w:cs="宋体"/>
                <w:color w:val="000000"/>
                <w:kern w:val="0"/>
                <w:szCs w:val="21"/>
                <w:highlight w:val="none"/>
              </w:rPr>
              <w:t>基础管理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2C665EB">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27BDEE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C878465">
            <w:pPr>
              <w:widowControl/>
              <w:jc w:val="right"/>
              <w:rPr>
                <w:rFonts w:hint="eastAsia"/>
                <w:color w:val="000000"/>
                <w:kern w:val="0"/>
                <w:szCs w:val="21"/>
                <w:highlight w:val="none"/>
              </w:rPr>
            </w:pPr>
            <w:r>
              <w:rPr>
                <w:color w:val="000000"/>
                <w:kern w:val="0"/>
                <w:szCs w:val="21"/>
                <w:highlight w:val="none"/>
              </w:rPr>
              <w:t>93</w:t>
            </w:r>
          </w:p>
        </w:tc>
        <w:tc>
          <w:tcPr>
            <w:tcW w:w="2127" w:type="dxa"/>
            <w:vMerge w:val="continue"/>
            <w:tcBorders>
              <w:top w:val="nil"/>
              <w:left w:val="single" w:color="auto" w:sz="8" w:space="0"/>
              <w:bottom w:val="single" w:color="000000" w:sz="8" w:space="0"/>
              <w:right w:val="single" w:color="auto" w:sz="8" w:space="0"/>
            </w:tcBorders>
            <w:vAlign w:val="center"/>
          </w:tcPr>
          <w:p w14:paraId="05EF034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D5D112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6671F7E">
            <w:pPr>
              <w:widowControl/>
              <w:jc w:val="left"/>
              <w:rPr>
                <w:rFonts w:hint="eastAsia" w:cs="宋体"/>
                <w:color w:val="000000"/>
                <w:kern w:val="0"/>
                <w:szCs w:val="21"/>
                <w:highlight w:val="none"/>
              </w:rPr>
            </w:pPr>
            <w:r>
              <w:rPr>
                <w:rFonts w:hint="eastAsia" w:cs="宋体"/>
                <w:color w:val="000000"/>
                <w:kern w:val="0"/>
                <w:szCs w:val="21"/>
                <w:highlight w:val="none"/>
              </w:rPr>
              <w:t>实时监测</w:t>
            </w:r>
          </w:p>
        </w:tc>
        <w:tc>
          <w:tcPr>
            <w:tcW w:w="749" w:type="dxa"/>
            <w:gridSpan w:val="2"/>
            <w:tcBorders>
              <w:top w:val="nil"/>
              <w:left w:val="nil"/>
              <w:bottom w:val="single" w:color="auto" w:sz="8" w:space="0"/>
              <w:right w:val="single" w:color="auto" w:sz="8" w:space="0"/>
            </w:tcBorders>
            <w:shd w:val="clear" w:color="auto" w:fill="auto"/>
            <w:noWrap/>
            <w:vAlign w:val="center"/>
          </w:tcPr>
          <w:p w14:paraId="2D2FEBF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FB3516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523605F">
            <w:pPr>
              <w:widowControl/>
              <w:jc w:val="right"/>
              <w:rPr>
                <w:rFonts w:hint="eastAsia"/>
                <w:color w:val="000000"/>
                <w:kern w:val="0"/>
                <w:szCs w:val="21"/>
                <w:highlight w:val="none"/>
              </w:rPr>
            </w:pPr>
            <w:r>
              <w:rPr>
                <w:color w:val="000000"/>
                <w:kern w:val="0"/>
                <w:szCs w:val="21"/>
                <w:highlight w:val="none"/>
              </w:rPr>
              <w:t>94</w:t>
            </w:r>
          </w:p>
        </w:tc>
        <w:tc>
          <w:tcPr>
            <w:tcW w:w="2127" w:type="dxa"/>
            <w:vMerge w:val="continue"/>
            <w:tcBorders>
              <w:top w:val="nil"/>
              <w:left w:val="single" w:color="auto" w:sz="8" w:space="0"/>
              <w:bottom w:val="single" w:color="000000" w:sz="8" w:space="0"/>
              <w:right w:val="single" w:color="auto" w:sz="8" w:space="0"/>
            </w:tcBorders>
            <w:vAlign w:val="center"/>
          </w:tcPr>
          <w:p w14:paraId="3934DA2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BA2DCF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204E4A5">
            <w:pPr>
              <w:widowControl/>
              <w:jc w:val="left"/>
              <w:rPr>
                <w:rFonts w:hint="eastAsia" w:cs="宋体"/>
                <w:color w:val="000000"/>
                <w:kern w:val="0"/>
                <w:szCs w:val="21"/>
                <w:highlight w:val="none"/>
              </w:rPr>
            </w:pPr>
            <w:r>
              <w:rPr>
                <w:rFonts w:hint="eastAsia" w:cs="宋体"/>
                <w:color w:val="000000"/>
                <w:kern w:val="0"/>
                <w:szCs w:val="21"/>
                <w:highlight w:val="none"/>
              </w:rPr>
              <w:t>工作量分析</w:t>
            </w:r>
          </w:p>
        </w:tc>
        <w:tc>
          <w:tcPr>
            <w:tcW w:w="749" w:type="dxa"/>
            <w:gridSpan w:val="2"/>
            <w:tcBorders>
              <w:top w:val="nil"/>
              <w:left w:val="nil"/>
              <w:bottom w:val="single" w:color="auto" w:sz="8" w:space="0"/>
              <w:right w:val="single" w:color="auto" w:sz="8" w:space="0"/>
            </w:tcBorders>
            <w:shd w:val="clear" w:color="auto" w:fill="auto"/>
            <w:noWrap/>
            <w:vAlign w:val="center"/>
          </w:tcPr>
          <w:p w14:paraId="40C48F1E">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1390972">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D47D981">
            <w:pPr>
              <w:widowControl/>
              <w:jc w:val="right"/>
              <w:rPr>
                <w:rFonts w:hint="eastAsia"/>
                <w:color w:val="000000"/>
                <w:kern w:val="0"/>
                <w:szCs w:val="21"/>
                <w:highlight w:val="none"/>
              </w:rPr>
            </w:pPr>
            <w:r>
              <w:rPr>
                <w:color w:val="000000"/>
                <w:kern w:val="0"/>
                <w:szCs w:val="21"/>
                <w:highlight w:val="none"/>
              </w:rPr>
              <w:t>95</w:t>
            </w:r>
          </w:p>
        </w:tc>
        <w:tc>
          <w:tcPr>
            <w:tcW w:w="2127" w:type="dxa"/>
            <w:vMerge w:val="continue"/>
            <w:tcBorders>
              <w:top w:val="nil"/>
              <w:left w:val="single" w:color="auto" w:sz="8" w:space="0"/>
              <w:bottom w:val="single" w:color="000000" w:sz="8" w:space="0"/>
              <w:right w:val="single" w:color="auto" w:sz="8" w:space="0"/>
            </w:tcBorders>
            <w:vAlign w:val="center"/>
          </w:tcPr>
          <w:p w14:paraId="386FFCF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B482DB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B0E1F0A">
            <w:pPr>
              <w:widowControl/>
              <w:jc w:val="left"/>
              <w:rPr>
                <w:rFonts w:hint="eastAsia" w:cs="宋体"/>
                <w:color w:val="000000"/>
                <w:kern w:val="0"/>
                <w:szCs w:val="21"/>
                <w:highlight w:val="none"/>
              </w:rPr>
            </w:pPr>
            <w:r>
              <w:rPr>
                <w:rFonts w:hint="eastAsia" w:cs="宋体"/>
                <w:color w:val="000000"/>
                <w:kern w:val="0"/>
                <w:szCs w:val="21"/>
                <w:highlight w:val="none"/>
              </w:rPr>
              <w:t>卫生经济分析</w:t>
            </w:r>
          </w:p>
        </w:tc>
        <w:tc>
          <w:tcPr>
            <w:tcW w:w="749" w:type="dxa"/>
            <w:gridSpan w:val="2"/>
            <w:tcBorders>
              <w:top w:val="nil"/>
              <w:left w:val="nil"/>
              <w:bottom w:val="single" w:color="auto" w:sz="8" w:space="0"/>
              <w:right w:val="single" w:color="auto" w:sz="8" w:space="0"/>
            </w:tcBorders>
            <w:shd w:val="clear" w:color="auto" w:fill="auto"/>
            <w:noWrap/>
            <w:vAlign w:val="center"/>
          </w:tcPr>
          <w:p w14:paraId="47C9BBDE">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CEB611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42C0D11">
            <w:pPr>
              <w:widowControl/>
              <w:jc w:val="right"/>
              <w:rPr>
                <w:rFonts w:hint="eastAsia"/>
                <w:color w:val="000000"/>
                <w:kern w:val="0"/>
                <w:szCs w:val="21"/>
                <w:highlight w:val="none"/>
              </w:rPr>
            </w:pPr>
            <w:r>
              <w:rPr>
                <w:color w:val="000000"/>
                <w:kern w:val="0"/>
                <w:szCs w:val="21"/>
                <w:highlight w:val="none"/>
              </w:rPr>
              <w:t>96</w:t>
            </w:r>
          </w:p>
        </w:tc>
        <w:tc>
          <w:tcPr>
            <w:tcW w:w="2127" w:type="dxa"/>
            <w:vMerge w:val="continue"/>
            <w:tcBorders>
              <w:top w:val="nil"/>
              <w:left w:val="single" w:color="auto" w:sz="8" w:space="0"/>
              <w:bottom w:val="single" w:color="000000" w:sz="8" w:space="0"/>
              <w:right w:val="single" w:color="auto" w:sz="8" w:space="0"/>
            </w:tcBorders>
            <w:vAlign w:val="center"/>
          </w:tcPr>
          <w:p w14:paraId="48FE16E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6C23C17">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4882ED2">
            <w:pPr>
              <w:widowControl/>
              <w:jc w:val="left"/>
              <w:rPr>
                <w:rFonts w:hint="eastAsia" w:cs="宋体"/>
                <w:color w:val="000000"/>
                <w:kern w:val="0"/>
                <w:szCs w:val="21"/>
                <w:highlight w:val="none"/>
              </w:rPr>
            </w:pPr>
            <w:r>
              <w:rPr>
                <w:rFonts w:hint="eastAsia" w:cs="宋体"/>
                <w:color w:val="000000"/>
                <w:kern w:val="0"/>
                <w:szCs w:val="21"/>
                <w:highlight w:val="none"/>
              </w:rPr>
              <w:t>药品分析</w:t>
            </w:r>
          </w:p>
        </w:tc>
        <w:tc>
          <w:tcPr>
            <w:tcW w:w="749" w:type="dxa"/>
            <w:gridSpan w:val="2"/>
            <w:tcBorders>
              <w:top w:val="nil"/>
              <w:left w:val="nil"/>
              <w:bottom w:val="single" w:color="auto" w:sz="8" w:space="0"/>
              <w:right w:val="single" w:color="auto" w:sz="8" w:space="0"/>
            </w:tcBorders>
            <w:shd w:val="clear" w:color="auto" w:fill="auto"/>
            <w:noWrap/>
            <w:vAlign w:val="center"/>
          </w:tcPr>
          <w:p w14:paraId="277920C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E46F18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CF961D1">
            <w:pPr>
              <w:widowControl/>
              <w:jc w:val="right"/>
              <w:rPr>
                <w:rFonts w:hint="eastAsia"/>
                <w:color w:val="000000"/>
                <w:kern w:val="0"/>
                <w:szCs w:val="21"/>
                <w:highlight w:val="none"/>
              </w:rPr>
            </w:pPr>
            <w:r>
              <w:rPr>
                <w:color w:val="000000"/>
                <w:kern w:val="0"/>
                <w:szCs w:val="21"/>
                <w:highlight w:val="none"/>
              </w:rPr>
              <w:t>97</w:t>
            </w:r>
          </w:p>
        </w:tc>
        <w:tc>
          <w:tcPr>
            <w:tcW w:w="2127" w:type="dxa"/>
            <w:vMerge w:val="continue"/>
            <w:tcBorders>
              <w:top w:val="nil"/>
              <w:left w:val="single" w:color="auto" w:sz="8" w:space="0"/>
              <w:bottom w:val="single" w:color="000000" w:sz="8" w:space="0"/>
              <w:right w:val="single" w:color="auto" w:sz="8" w:space="0"/>
            </w:tcBorders>
            <w:vAlign w:val="center"/>
          </w:tcPr>
          <w:p w14:paraId="262A3F1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DC3C0C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9C7878F">
            <w:pPr>
              <w:widowControl/>
              <w:jc w:val="left"/>
              <w:rPr>
                <w:rFonts w:hint="eastAsia" w:cs="宋体"/>
                <w:color w:val="000000"/>
                <w:kern w:val="0"/>
                <w:szCs w:val="21"/>
                <w:highlight w:val="none"/>
              </w:rPr>
            </w:pPr>
            <w:r>
              <w:rPr>
                <w:rFonts w:hint="eastAsia" w:cs="宋体"/>
                <w:color w:val="000000"/>
                <w:kern w:val="0"/>
                <w:szCs w:val="21"/>
                <w:highlight w:val="none"/>
              </w:rPr>
              <w:t>医疗质量</w:t>
            </w:r>
            <w:r>
              <w:rPr>
                <w:rFonts w:cs="Calibri"/>
                <w:color w:val="000000"/>
                <w:kern w:val="0"/>
                <w:szCs w:val="21"/>
                <w:highlight w:val="none"/>
              </w:rPr>
              <w:t>/</w:t>
            </w:r>
            <w:r>
              <w:rPr>
                <w:rFonts w:hint="eastAsia" w:cs="宋体"/>
                <w:color w:val="000000"/>
                <w:kern w:val="0"/>
                <w:szCs w:val="21"/>
                <w:highlight w:val="none"/>
              </w:rPr>
              <w:t>安全分析</w:t>
            </w:r>
          </w:p>
        </w:tc>
        <w:tc>
          <w:tcPr>
            <w:tcW w:w="749" w:type="dxa"/>
            <w:gridSpan w:val="2"/>
            <w:tcBorders>
              <w:top w:val="nil"/>
              <w:left w:val="nil"/>
              <w:bottom w:val="single" w:color="auto" w:sz="8" w:space="0"/>
              <w:right w:val="single" w:color="auto" w:sz="8" w:space="0"/>
            </w:tcBorders>
            <w:shd w:val="clear" w:color="auto" w:fill="auto"/>
            <w:noWrap/>
            <w:vAlign w:val="center"/>
          </w:tcPr>
          <w:p w14:paraId="16A836B1">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254FFF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2AD927B">
            <w:pPr>
              <w:widowControl/>
              <w:jc w:val="right"/>
              <w:rPr>
                <w:rFonts w:hint="eastAsia"/>
                <w:color w:val="000000"/>
                <w:kern w:val="0"/>
                <w:szCs w:val="21"/>
                <w:highlight w:val="none"/>
              </w:rPr>
            </w:pPr>
            <w:r>
              <w:rPr>
                <w:color w:val="000000"/>
                <w:kern w:val="0"/>
                <w:szCs w:val="21"/>
                <w:highlight w:val="none"/>
              </w:rPr>
              <w:t>98</w:t>
            </w:r>
          </w:p>
        </w:tc>
        <w:tc>
          <w:tcPr>
            <w:tcW w:w="2127" w:type="dxa"/>
            <w:vMerge w:val="continue"/>
            <w:tcBorders>
              <w:top w:val="nil"/>
              <w:left w:val="single" w:color="auto" w:sz="8" w:space="0"/>
              <w:bottom w:val="single" w:color="000000" w:sz="8" w:space="0"/>
              <w:right w:val="single" w:color="auto" w:sz="8" w:space="0"/>
            </w:tcBorders>
            <w:vAlign w:val="center"/>
          </w:tcPr>
          <w:p w14:paraId="27D92D8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1B3B03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57CF018">
            <w:pPr>
              <w:widowControl/>
              <w:jc w:val="left"/>
              <w:rPr>
                <w:rFonts w:hint="eastAsia" w:cs="宋体"/>
                <w:color w:val="000000"/>
                <w:kern w:val="0"/>
                <w:szCs w:val="21"/>
                <w:highlight w:val="none"/>
              </w:rPr>
            </w:pPr>
            <w:r>
              <w:rPr>
                <w:rFonts w:hint="eastAsia" w:cs="宋体"/>
                <w:color w:val="000000"/>
                <w:kern w:val="0"/>
                <w:szCs w:val="21"/>
                <w:highlight w:val="none"/>
              </w:rPr>
              <w:t>报表工具</w:t>
            </w:r>
          </w:p>
        </w:tc>
        <w:tc>
          <w:tcPr>
            <w:tcW w:w="749" w:type="dxa"/>
            <w:gridSpan w:val="2"/>
            <w:tcBorders>
              <w:top w:val="nil"/>
              <w:left w:val="nil"/>
              <w:bottom w:val="single" w:color="auto" w:sz="8" w:space="0"/>
              <w:right w:val="single" w:color="auto" w:sz="8" w:space="0"/>
            </w:tcBorders>
            <w:shd w:val="clear" w:color="auto" w:fill="auto"/>
            <w:noWrap/>
            <w:vAlign w:val="center"/>
          </w:tcPr>
          <w:p w14:paraId="5513C40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2600C3D0">
        <w:tblPrEx>
          <w:tblCellMar>
            <w:top w:w="0" w:type="dxa"/>
            <w:left w:w="108" w:type="dxa"/>
            <w:bottom w:w="0" w:type="dxa"/>
            <w:right w:w="108" w:type="dxa"/>
          </w:tblCellMar>
        </w:tblPrEx>
        <w:trPr>
          <w:gridAfter w:val="1"/>
          <w:wAfter w:w="57" w:type="dxa"/>
          <w:trHeight w:val="509"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1EC6705">
            <w:pPr>
              <w:widowControl/>
              <w:jc w:val="right"/>
              <w:rPr>
                <w:rFonts w:hint="eastAsia"/>
                <w:color w:val="000000"/>
                <w:kern w:val="0"/>
                <w:szCs w:val="21"/>
                <w:highlight w:val="none"/>
              </w:rPr>
            </w:pPr>
            <w:r>
              <w:rPr>
                <w:color w:val="000000"/>
                <w:kern w:val="0"/>
                <w:szCs w:val="21"/>
                <w:highlight w:val="none"/>
              </w:rPr>
              <w:t>99</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2538FEF6">
            <w:pPr>
              <w:widowControl/>
              <w:jc w:val="center"/>
              <w:rPr>
                <w:rFonts w:hint="eastAsia" w:cs="宋体"/>
                <w:b/>
                <w:bCs/>
                <w:color w:val="000000"/>
                <w:kern w:val="0"/>
                <w:szCs w:val="21"/>
                <w:highlight w:val="none"/>
              </w:rPr>
            </w:pPr>
            <w:r>
              <w:rPr>
                <w:rFonts w:hint="eastAsia" w:cs="宋体"/>
                <w:b/>
                <w:bCs/>
                <w:color w:val="000000"/>
                <w:kern w:val="0"/>
                <w:szCs w:val="21"/>
                <w:highlight w:val="none"/>
              </w:rPr>
              <w:t>三级公立医院绩效考核指标管理系统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1699FC89">
            <w:pPr>
              <w:widowControl/>
              <w:jc w:val="center"/>
              <w:rPr>
                <w:rFonts w:hint="eastAsia" w:cs="宋体"/>
                <w:b/>
                <w:bCs/>
                <w:color w:val="000000"/>
                <w:kern w:val="0"/>
                <w:szCs w:val="21"/>
                <w:highlight w:val="none"/>
              </w:rPr>
            </w:pPr>
            <w:r>
              <w:rPr>
                <w:rFonts w:hint="eastAsia" w:cs="宋体"/>
                <w:b/>
                <w:bCs/>
                <w:color w:val="000000"/>
                <w:kern w:val="0"/>
                <w:szCs w:val="21"/>
                <w:highlight w:val="none"/>
              </w:rPr>
              <w:t>公立医院绩效考核</w:t>
            </w:r>
          </w:p>
        </w:tc>
        <w:tc>
          <w:tcPr>
            <w:tcW w:w="3645" w:type="dxa"/>
            <w:tcBorders>
              <w:top w:val="nil"/>
              <w:left w:val="nil"/>
              <w:bottom w:val="single" w:color="auto" w:sz="8" w:space="0"/>
              <w:right w:val="single" w:color="auto" w:sz="8" w:space="0"/>
            </w:tcBorders>
            <w:shd w:val="clear" w:color="auto" w:fill="auto"/>
            <w:noWrap/>
            <w:vAlign w:val="center"/>
          </w:tcPr>
          <w:p w14:paraId="2C79CD17">
            <w:pPr>
              <w:widowControl/>
              <w:jc w:val="left"/>
              <w:rPr>
                <w:rFonts w:hint="eastAsia" w:cs="宋体"/>
                <w:color w:val="000000"/>
                <w:kern w:val="0"/>
                <w:szCs w:val="21"/>
                <w:highlight w:val="none"/>
              </w:rPr>
            </w:pPr>
            <w:r>
              <w:rPr>
                <w:rFonts w:hint="eastAsia" w:cs="宋体"/>
                <w:color w:val="000000"/>
                <w:kern w:val="0"/>
                <w:szCs w:val="21"/>
                <w:highlight w:val="none"/>
              </w:rPr>
              <w:t>考核指标管理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7BDC37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8F61F2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664C7A6">
            <w:pPr>
              <w:widowControl/>
              <w:jc w:val="right"/>
              <w:rPr>
                <w:rFonts w:hint="eastAsia"/>
                <w:color w:val="000000"/>
                <w:kern w:val="0"/>
                <w:szCs w:val="21"/>
                <w:highlight w:val="none"/>
              </w:rPr>
            </w:pPr>
            <w:r>
              <w:rPr>
                <w:color w:val="000000"/>
                <w:kern w:val="0"/>
                <w:szCs w:val="21"/>
                <w:highlight w:val="none"/>
              </w:rPr>
              <w:t>100</w:t>
            </w:r>
          </w:p>
        </w:tc>
        <w:tc>
          <w:tcPr>
            <w:tcW w:w="2127" w:type="dxa"/>
            <w:vMerge w:val="continue"/>
            <w:tcBorders>
              <w:top w:val="nil"/>
              <w:left w:val="single" w:color="auto" w:sz="8" w:space="0"/>
              <w:bottom w:val="single" w:color="000000" w:sz="8" w:space="0"/>
              <w:right w:val="single" w:color="auto" w:sz="8" w:space="0"/>
            </w:tcBorders>
            <w:vAlign w:val="center"/>
          </w:tcPr>
          <w:p w14:paraId="634BF0E9">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3661107">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DA83972">
            <w:pPr>
              <w:widowControl/>
              <w:jc w:val="left"/>
              <w:rPr>
                <w:rFonts w:hint="eastAsia" w:cs="宋体"/>
                <w:color w:val="000000"/>
                <w:kern w:val="0"/>
                <w:szCs w:val="21"/>
                <w:highlight w:val="none"/>
              </w:rPr>
            </w:pPr>
            <w:r>
              <w:rPr>
                <w:rFonts w:hint="eastAsia" w:cs="宋体"/>
                <w:color w:val="000000"/>
                <w:kern w:val="0"/>
                <w:szCs w:val="21"/>
                <w:highlight w:val="none"/>
              </w:rPr>
              <w:t>指标监管分析</w:t>
            </w:r>
          </w:p>
        </w:tc>
        <w:tc>
          <w:tcPr>
            <w:tcW w:w="749" w:type="dxa"/>
            <w:gridSpan w:val="2"/>
            <w:tcBorders>
              <w:top w:val="nil"/>
              <w:left w:val="nil"/>
              <w:bottom w:val="single" w:color="auto" w:sz="8" w:space="0"/>
              <w:right w:val="single" w:color="auto" w:sz="8" w:space="0"/>
            </w:tcBorders>
            <w:shd w:val="clear" w:color="auto" w:fill="auto"/>
            <w:noWrap/>
            <w:vAlign w:val="center"/>
          </w:tcPr>
          <w:p w14:paraId="29B0A6A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A342AA6">
        <w:tblPrEx>
          <w:tblCellMar>
            <w:top w:w="0" w:type="dxa"/>
            <w:left w:w="108" w:type="dxa"/>
            <w:bottom w:w="0" w:type="dxa"/>
            <w:right w:w="108" w:type="dxa"/>
          </w:tblCellMar>
        </w:tblPrEx>
        <w:trPr>
          <w:gridAfter w:val="1"/>
          <w:wAfter w:w="57" w:type="dxa"/>
          <w:trHeight w:val="528"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515BD6A">
            <w:pPr>
              <w:widowControl/>
              <w:jc w:val="right"/>
              <w:rPr>
                <w:rFonts w:hint="eastAsia"/>
                <w:color w:val="000000"/>
                <w:kern w:val="0"/>
                <w:szCs w:val="21"/>
                <w:highlight w:val="none"/>
              </w:rPr>
            </w:pPr>
            <w:r>
              <w:rPr>
                <w:color w:val="000000"/>
                <w:kern w:val="0"/>
                <w:szCs w:val="21"/>
                <w:highlight w:val="none"/>
              </w:rPr>
              <w:t>101</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7E103F6E">
            <w:pPr>
              <w:widowControl/>
              <w:jc w:val="center"/>
              <w:rPr>
                <w:rFonts w:hint="eastAsia" w:cs="宋体"/>
                <w:b/>
                <w:bCs/>
                <w:color w:val="000000"/>
                <w:kern w:val="0"/>
                <w:szCs w:val="21"/>
                <w:highlight w:val="none"/>
              </w:rPr>
            </w:pPr>
            <w:r>
              <w:rPr>
                <w:rFonts w:hint="eastAsia" w:cs="宋体"/>
                <w:b/>
                <w:bCs/>
                <w:color w:val="000000"/>
                <w:kern w:val="0"/>
                <w:szCs w:val="21"/>
                <w:highlight w:val="none"/>
              </w:rPr>
              <w:t>等级医院评审智能辅助系统</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505E5A71">
            <w:pPr>
              <w:widowControl/>
              <w:jc w:val="center"/>
              <w:rPr>
                <w:rFonts w:hint="eastAsia" w:cs="宋体"/>
                <w:b/>
                <w:bCs/>
                <w:color w:val="000000"/>
                <w:kern w:val="0"/>
                <w:szCs w:val="21"/>
                <w:highlight w:val="none"/>
              </w:rPr>
            </w:pPr>
            <w:r>
              <w:rPr>
                <w:rFonts w:hint="eastAsia" w:cs="宋体"/>
                <w:b/>
                <w:bCs/>
                <w:color w:val="000000"/>
                <w:kern w:val="0"/>
                <w:szCs w:val="21"/>
                <w:highlight w:val="none"/>
              </w:rPr>
              <w:t>等级医院评审辅助监管系统</w:t>
            </w:r>
          </w:p>
        </w:tc>
        <w:tc>
          <w:tcPr>
            <w:tcW w:w="3645" w:type="dxa"/>
            <w:tcBorders>
              <w:top w:val="nil"/>
              <w:left w:val="nil"/>
              <w:bottom w:val="single" w:color="auto" w:sz="8" w:space="0"/>
              <w:right w:val="single" w:color="auto" w:sz="8" w:space="0"/>
            </w:tcBorders>
            <w:shd w:val="clear" w:color="auto" w:fill="auto"/>
            <w:noWrap/>
            <w:vAlign w:val="center"/>
          </w:tcPr>
          <w:p w14:paraId="4EC08814">
            <w:pPr>
              <w:widowControl/>
              <w:jc w:val="left"/>
              <w:rPr>
                <w:rFonts w:hint="eastAsia" w:cs="宋体"/>
                <w:color w:val="000000"/>
                <w:kern w:val="0"/>
                <w:szCs w:val="21"/>
                <w:highlight w:val="none"/>
              </w:rPr>
            </w:pPr>
            <w:r>
              <w:rPr>
                <w:rFonts w:hint="eastAsia" w:cs="宋体"/>
                <w:color w:val="000000"/>
                <w:kern w:val="0"/>
                <w:szCs w:val="21"/>
                <w:highlight w:val="none"/>
              </w:rPr>
              <w:t>指标管理（第二部分）</w:t>
            </w:r>
          </w:p>
        </w:tc>
        <w:tc>
          <w:tcPr>
            <w:tcW w:w="749" w:type="dxa"/>
            <w:gridSpan w:val="2"/>
            <w:tcBorders>
              <w:top w:val="nil"/>
              <w:left w:val="nil"/>
              <w:bottom w:val="single" w:color="auto" w:sz="8" w:space="0"/>
              <w:right w:val="single" w:color="auto" w:sz="8" w:space="0"/>
            </w:tcBorders>
            <w:shd w:val="clear" w:color="auto" w:fill="auto"/>
            <w:noWrap/>
            <w:vAlign w:val="center"/>
          </w:tcPr>
          <w:p w14:paraId="4B3137B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536BA6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E54E5BD">
            <w:pPr>
              <w:widowControl/>
              <w:jc w:val="right"/>
              <w:rPr>
                <w:rFonts w:hint="eastAsia"/>
                <w:color w:val="000000"/>
                <w:kern w:val="0"/>
                <w:szCs w:val="21"/>
                <w:highlight w:val="none"/>
              </w:rPr>
            </w:pPr>
            <w:r>
              <w:rPr>
                <w:color w:val="000000"/>
                <w:kern w:val="0"/>
                <w:szCs w:val="21"/>
                <w:highlight w:val="none"/>
              </w:rPr>
              <w:t>102</w:t>
            </w:r>
          </w:p>
        </w:tc>
        <w:tc>
          <w:tcPr>
            <w:tcW w:w="2127" w:type="dxa"/>
            <w:vMerge w:val="continue"/>
            <w:tcBorders>
              <w:top w:val="nil"/>
              <w:left w:val="single" w:color="auto" w:sz="8" w:space="0"/>
              <w:bottom w:val="single" w:color="000000" w:sz="8" w:space="0"/>
              <w:right w:val="single" w:color="auto" w:sz="8" w:space="0"/>
            </w:tcBorders>
            <w:vAlign w:val="center"/>
          </w:tcPr>
          <w:p w14:paraId="19FE6FC9">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11329B1">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7334390">
            <w:pPr>
              <w:widowControl/>
              <w:jc w:val="left"/>
              <w:rPr>
                <w:rFonts w:hint="eastAsia" w:cs="宋体"/>
                <w:color w:val="000000"/>
                <w:kern w:val="0"/>
                <w:szCs w:val="21"/>
                <w:highlight w:val="none"/>
              </w:rPr>
            </w:pPr>
            <w:r>
              <w:rPr>
                <w:rFonts w:hint="eastAsia" w:cs="宋体"/>
                <w:color w:val="000000"/>
                <w:kern w:val="0"/>
                <w:szCs w:val="21"/>
                <w:highlight w:val="none"/>
              </w:rPr>
              <w:t>台账管理（第一、三部分）</w:t>
            </w:r>
          </w:p>
        </w:tc>
        <w:tc>
          <w:tcPr>
            <w:tcW w:w="749" w:type="dxa"/>
            <w:gridSpan w:val="2"/>
            <w:tcBorders>
              <w:top w:val="nil"/>
              <w:left w:val="nil"/>
              <w:bottom w:val="single" w:color="auto" w:sz="8" w:space="0"/>
              <w:right w:val="single" w:color="auto" w:sz="8" w:space="0"/>
            </w:tcBorders>
            <w:shd w:val="clear" w:color="auto" w:fill="auto"/>
            <w:noWrap/>
            <w:vAlign w:val="center"/>
          </w:tcPr>
          <w:p w14:paraId="34B3EA7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4259DA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F9B210B">
            <w:pPr>
              <w:widowControl/>
              <w:jc w:val="right"/>
              <w:rPr>
                <w:rFonts w:hint="eastAsia"/>
                <w:color w:val="000000"/>
                <w:kern w:val="0"/>
                <w:szCs w:val="21"/>
                <w:highlight w:val="none"/>
              </w:rPr>
            </w:pPr>
            <w:r>
              <w:rPr>
                <w:color w:val="000000"/>
                <w:kern w:val="0"/>
                <w:szCs w:val="21"/>
                <w:highlight w:val="none"/>
              </w:rPr>
              <w:t>103</w:t>
            </w:r>
          </w:p>
        </w:tc>
        <w:tc>
          <w:tcPr>
            <w:tcW w:w="2127" w:type="dxa"/>
            <w:vMerge w:val="continue"/>
            <w:tcBorders>
              <w:top w:val="nil"/>
              <w:left w:val="single" w:color="auto" w:sz="8" w:space="0"/>
              <w:bottom w:val="single" w:color="000000" w:sz="8" w:space="0"/>
              <w:right w:val="single" w:color="auto" w:sz="8" w:space="0"/>
            </w:tcBorders>
            <w:vAlign w:val="center"/>
          </w:tcPr>
          <w:p w14:paraId="0D4F926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0B0CA2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948AF68">
            <w:pPr>
              <w:widowControl/>
              <w:jc w:val="left"/>
              <w:rPr>
                <w:rFonts w:hint="eastAsia" w:cs="宋体"/>
                <w:color w:val="000000"/>
                <w:kern w:val="0"/>
                <w:szCs w:val="21"/>
                <w:highlight w:val="none"/>
              </w:rPr>
            </w:pPr>
            <w:r>
              <w:rPr>
                <w:rFonts w:hint="eastAsia" w:cs="宋体"/>
                <w:color w:val="000000"/>
                <w:kern w:val="0"/>
                <w:szCs w:val="21"/>
                <w:highlight w:val="none"/>
              </w:rPr>
              <w:t>自评自查（第三部分）</w:t>
            </w:r>
          </w:p>
        </w:tc>
        <w:tc>
          <w:tcPr>
            <w:tcW w:w="749" w:type="dxa"/>
            <w:gridSpan w:val="2"/>
            <w:tcBorders>
              <w:top w:val="nil"/>
              <w:left w:val="nil"/>
              <w:bottom w:val="single" w:color="auto" w:sz="8" w:space="0"/>
              <w:right w:val="single" w:color="auto" w:sz="8" w:space="0"/>
            </w:tcBorders>
            <w:shd w:val="clear" w:color="auto" w:fill="auto"/>
            <w:noWrap/>
            <w:vAlign w:val="center"/>
          </w:tcPr>
          <w:p w14:paraId="547E162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890C26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21EF42E">
            <w:pPr>
              <w:widowControl/>
              <w:jc w:val="right"/>
              <w:rPr>
                <w:rFonts w:hint="eastAsia"/>
                <w:color w:val="000000"/>
                <w:kern w:val="0"/>
                <w:szCs w:val="21"/>
                <w:highlight w:val="none"/>
              </w:rPr>
            </w:pPr>
            <w:r>
              <w:rPr>
                <w:color w:val="000000"/>
                <w:kern w:val="0"/>
                <w:szCs w:val="21"/>
                <w:highlight w:val="none"/>
              </w:rPr>
              <w:t>104</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688A45A0">
            <w:pPr>
              <w:widowControl/>
              <w:jc w:val="center"/>
              <w:rPr>
                <w:rFonts w:hint="eastAsia" w:cs="宋体"/>
                <w:b/>
                <w:bCs/>
                <w:color w:val="000000"/>
                <w:kern w:val="0"/>
                <w:szCs w:val="21"/>
                <w:highlight w:val="none"/>
              </w:rPr>
            </w:pPr>
            <w:r>
              <w:rPr>
                <w:rFonts w:hint="eastAsia" w:cs="宋体"/>
                <w:b/>
                <w:bCs/>
                <w:color w:val="000000"/>
                <w:kern w:val="0"/>
                <w:szCs w:val="21"/>
                <w:highlight w:val="none"/>
              </w:rPr>
              <w:t>全资源预约平台</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1B9DFED1">
            <w:pPr>
              <w:widowControl/>
              <w:jc w:val="center"/>
              <w:rPr>
                <w:rFonts w:hint="eastAsia" w:cs="宋体"/>
                <w:b/>
                <w:bCs/>
                <w:color w:val="000000"/>
                <w:kern w:val="0"/>
                <w:szCs w:val="21"/>
                <w:highlight w:val="none"/>
              </w:rPr>
            </w:pPr>
            <w:r>
              <w:rPr>
                <w:rFonts w:hint="eastAsia" w:cs="宋体"/>
                <w:b/>
                <w:bCs/>
                <w:color w:val="000000"/>
                <w:kern w:val="0"/>
                <w:szCs w:val="21"/>
                <w:highlight w:val="none"/>
              </w:rPr>
              <w:t>门诊预约系统</w:t>
            </w:r>
          </w:p>
        </w:tc>
        <w:tc>
          <w:tcPr>
            <w:tcW w:w="3645" w:type="dxa"/>
            <w:tcBorders>
              <w:top w:val="nil"/>
              <w:left w:val="nil"/>
              <w:bottom w:val="single" w:color="auto" w:sz="8" w:space="0"/>
              <w:right w:val="single" w:color="auto" w:sz="8" w:space="0"/>
            </w:tcBorders>
            <w:shd w:val="clear" w:color="auto" w:fill="auto"/>
            <w:noWrap/>
            <w:vAlign w:val="center"/>
          </w:tcPr>
          <w:p w14:paraId="17455CCA">
            <w:pPr>
              <w:widowControl/>
              <w:jc w:val="left"/>
              <w:rPr>
                <w:rFonts w:hint="eastAsia" w:cs="宋体"/>
                <w:color w:val="000000"/>
                <w:kern w:val="0"/>
                <w:szCs w:val="21"/>
                <w:highlight w:val="none"/>
              </w:rPr>
            </w:pPr>
            <w:r>
              <w:rPr>
                <w:rFonts w:hint="eastAsia" w:cs="宋体"/>
                <w:color w:val="000000"/>
                <w:kern w:val="0"/>
                <w:szCs w:val="21"/>
                <w:highlight w:val="none"/>
              </w:rPr>
              <w:t>门诊预约</w:t>
            </w:r>
          </w:p>
        </w:tc>
        <w:tc>
          <w:tcPr>
            <w:tcW w:w="749" w:type="dxa"/>
            <w:gridSpan w:val="2"/>
            <w:tcBorders>
              <w:top w:val="nil"/>
              <w:left w:val="nil"/>
              <w:bottom w:val="single" w:color="auto" w:sz="8" w:space="0"/>
              <w:right w:val="single" w:color="auto" w:sz="8" w:space="0"/>
            </w:tcBorders>
            <w:shd w:val="clear" w:color="auto" w:fill="auto"/>
            <w:noWrap/>
            <w:vAlign w:val="center"/>
          </w:tcPr>
          <w:p w14:paraId="5B056216">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C3D594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47DDBA7">
            <w:pPr>
              <w:widowControl/>
              <w:jc w:val="right"/>
              <w:rPr>
                <w:rFonts w:hint="eastAsia"/>
                <w:color w:val="000000"/>
                <w:kern w:val="0"/>
                <w:szCs w:val="21"/>
                <w:highlight w:val="none"/>
              </w:rPr>
            </w:pPr>
            <w:r>
              <w:rPr>
                <w:color w:val="000000"/>
                <w:kern w:val="0"/>
                <w:szCs w:val="21"/>
                <w:highlight w:val="none"/>
              </w:rPr>
              <w:t>105</w:t>
            </w:r>
          </w:p>
        </w:tc>
        <w:tc>
          <w:tcPr>
            <w:tcW w:w="2127" w:type="dxa"/>
            <w:vMerge w:val="continue"/>
            <w:tcBorders>
              <w:top w:val="nil"/>
              <w:left w:val="single" w:color="auto" w:sz="8" w:space="0"/>
              <w:bottom w:val="single" w:color="000000" w:sz="8" w:space="0"/>
              <w:right w:val="single" w:color="auto" w:sz="8" w:space="0"/>
            </w:tcBorders>
            <w:vAlign w:val="center"/>
          </w:tcPr>
          <w:p w14:paraId="4B607C6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F9109A7">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A2C3924">
            <w:pPr>
              <w:widowControl/>
              <w:jc w:val="left"/>
              <w:rPr>
                <w:rFonts w:hint="eastAsia" w:cs="宋体"/>
                <w:color w:val="000000"/>
                <w:kern w:val="0"/>
                <w:szCs w:val="21"/>
                <w:highlight w:val="none"/>
              </w:rPr>
            </w:pPr>
            <w:r>
              <w:rPr>
                <w:rFonts w:hint="eastAsia" w:cs="宋体"/>
                <w:color w:val="000000"/>
                <w:kern w:val="0"/>
                <w:szCs w:val="21"/>
                <w:highlight w:val="none"/>
              </w:rPr>
              <w:t>门诊排班管理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D98DC0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AB93A3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8979C43">
            <w:pPr>
              <w:widowControl/>
              <w:jc w:val="right"/>
              <w:rPr>
                <w:rFonts w:hint="eastAsia"/>
                <w:color w:val="000000"/>
                <w:kern w:val="0"/>
                <w:szCs w:val="21"/>
                <w:highlight w:val="none"/>
              </w:rPr>
            </w:pPr>
            <w:r>
              <w:rPr>
                <w:color w:val="000000"/>
                <w:kern w:val="0"/>
                <w:szCs w:val="21"/>
                <w:highlight w:val="none"/>
              </w:rPr>
              <w:t>106</w:t>
            </w:r>
          </w:p>
        </w:tc>
        <w:tc>
          <w:tcPr>
            <w:tcW w:w="2127" w:type="dxa"/>
            <w:vMerge w:val="continue"/>
            <w:tcBorders>
              <w:top w:val="nil"/>
              <w:left w:val="single" w:color="auto" w:sz="8" w:space="0"/>
              <w:bottom w:val="single" w:color="000000" w:sz="8" w:space="0"/>
              <w:right w:val="single" w:color="auto" w:sz="8" w:space="0"/>
            </w:tcBorders>
            <w:vAlign w:val="center"/>
          </w:tcPr>
          <w:p w14:paraId="1B52A683">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CCA9FD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462FA69">
            <w:pPr>
              <w:widowControl/>
              <w:jc w:val="left"/>
              <w:rPr>
                <w:rFonts w:hint="eastAsia" w:cs="宋体"/>
                <w:color w:val="000000"/>
                <w:kern w:val="0"/>
                <w:szCs w:val="21"/>
                <w:highlight w:val="none"/>
              </w:rPr>
            </w:pPr>
            <w:r>
              <w:rPr>
                <w:rFonts w:hint="eastAsia" w:cs="宋体"/>
                <w:color w:val="000000"/>
                <w:kern w:val="0"/>
                <w:szCs w:val="21"/>
                <w:highlight w:val="none"/>
              </w:rPr>
              <w:t>门诊分诊管理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42D58E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F71B38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EFB19B6">
            <w:pPr>
              <w:widowControl/>
              <w:jc w:val="right"/>
              <w:rPr>
                <w:rFonts w:hint="eastAsia"/>
                <w:color w:val="000000"/>
                <w:kern w:val="0"/>
                <w:szCs w:val="21"/>
                <w:highlight w:val="none"/>
              </w:rPr>
            </w:pPr>
            <w:r>
              <w:rPr>
                <w:color w:val="000000"/>
                <w:kern w:val="0"/>
                <w:szCs w:val="21"/>
                <w:highlight w:val="none"/>
              </w:rPr>
              <w:t>107</w:t>
            </w:r>
          </w:p>
        </w:tc>
        <w:tc>
          <w:tcPr>
            <w:tcW w:w="2127" w:type="dxa"/>
            <w:vMerge w:val="continue"/>
            <w:tcBorders>
              <w:top w:val="nil"/>
              <w:left w:val="single" w:color="auto" w:sz="8" w:space="0"/>
              <w:bottom w:val="single" w:color="000000" w:sz="8" w:space="0"/>
              <w:right w:val="single" w:color="auto" w:sz="8" w:space="0"/>
            </w:tcBorders>
            <w:vAlign w:val="center"/>
          </w:tcPr>
          <w:p w14:paraId="42162AC4">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7737E43">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4BFC11B">
            <w:pPr>
              <w:widowControl/>
              <w:jc w:val="left"/>
              <w:rPr>
                <w:rFonts w:hint="eastAsia" w:cs="宋体"/>
                <w:color w:val="000000"/>
                <w:kern w:val="0"/>
                <w:szCs w:val="21"/>
                <w:highlight w:val="none"/>
              </w:rPr>
            </w:pPr>
            <w:r>
              <w:rPr>
                <w:rFonts w:hint="eastAsia" w:cs="宋体"/>
                <w:color w:val="000000"/>
                <w:kern w:val="0"/>
                <w:szCs w:val="21"/>
                <w:highlight w:val="none"/>
              </w:rPr>
              <w:t>基础管理系统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5B6010C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D37295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8015C8C">
            <w:pPr>
              <w:widowControl/>
              <w:jc w:val="right"/>
              <w:rPr>
                <w:rFonts w:hint="eastAsia"/>
                <w:color w:val="000000"/>
                <w:kern w:val="0"/>
                <w:szCs w:val="21"/>
                <w:highlight w:val="none"/>
              </w:rPr>
            </w:pPr>
            <w:r>
              <w:rPr>
                <w:color w:val="000000"/>
                <w:kern w:val="0"/>
                <w:szCs w:val="21"/>
                <w:highlight w:val="none"/>
              </w:rPr>
              <w:t>108</w:t>
            </w:r>
          </w:p>
        </w:tc>
        <w:tc>
          <w:tcPr>
            <w:tcW w:w="2127" w:type="dxa"/>
            <w:vMerge w:val="continue"/>
            <w:tcBorders>
              <w:top w:val="nil"/>
              <w:left w:val="single" w:color="auto" w:sz="8" w:space="0"/>
              <w:bottom w:val="single" w:color="000000" w:sz="8" w:space="0"/>
              <w:right w:val="single" w:color="auto" w:sz="8" w:space="0"/>
            </w:tcBorders>
            <w:vAlign w:val="center"/>
          </w:tcPr>
          <w:p w14:paraId="07482F2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74642F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D83B600">
            <w:pPr>
              <w:widowControl/>
              <w:jc w:val="left"/>
              <w:rPr>
                <w:rFonts w:hint="eastAsia" w:cs="宋体"/>
                <w:color w:val="000000"/>
                <w:kern w:val="0"/>
                <w:szCs w:val="21"/>
                <w:highlight w:val="none"/>
              </w:rPr>
            </w:pPr>
            <w:r>
              <w:rPr>
                <w:rFonts w:hint="eastAsia" w:cs="宋体"/>
                <w:color w:val="000000"/>
                <w:kern w:val="0"/>
                <w:szCs w:val="21"/>
                <w:highlight w:val="none"/>
              </w:rPr>
              <w:t>签到管理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0EA07B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4180EBE">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83A9080">
            <w:pPr>
              <w:widowControl/>
              <w:jc w:val="right"/>
              <w:rPr>
                <w:rFonts w:hint="eastAsia"/>
                <w:color w:val="000000"/>
                <w:kern w:val="0"/>
                <w:szCs w:val="21"/>
                <w:highlight w:val="none"/>
              </w:rPr>
            </w:pPr>
            <w:r>
              <w:rPr>
                <w:color w:val="000000"/>
                <w:kern w:val="0"/>
                <w:szCs w:val="21"/>
                <w:highlight w:val="none"/>
              </w:rPr>
              <w:t>109</w:t>
            </w:r>
          </w:p>
        </w:tc>
        <w:tc>
          <w:tcPr>
            <w:tcW w:w="2127" w:type="dxa"/>
            <w:vMerge w:val="continue"/>
            <w:tcBorders>
              <w:top w:val="nil"/>
              <w:left w:val="single" w:color="auto" w:sz="8" w:space="0"/>
              <w:bottom w:val="single" w:color="000000" w:sz="8" w:space="0"/>
              <w:right w:val="single" w:color="auto" w:sz="8" w:space="0"/>
            </w:tcBorders>
            <w:vAlign w:val="center"/>
          </w:tcPr>
          <w:p w14:paraId="59C675C9">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2DA18074">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7C9B337">
            <w:pPr>
              <w:widowControl/>
              <w:jc w:val="left"/>
              <w:rPr>
                <w:rFonts w:hint="eastAsia" w:cs="宋体"/>
                <w:color w:val="000000"/>
                <w:kern w:val="0"/>
                <w:szCs w:val="21"/>
                <w:highlight w:val="none"/>
              </w:rPr>
            </w:pPr>
            <w:r>
              <w:rPr>
                <w:rFonts w:hint="eastAsia" w:cs="宋体"/>
                <w:color w:val="000000"/>
                <w:kern w:val="0"/>
                <w:szCs w:val="21"/>
                <w:highlight w:val="none"/>
              </w:rPr>
              <w:t>黑名单管理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7FED0CFC">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753BEE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9FA57C7">
            <w:pPr>
              <w:widowControl/>
              <w:jc w:val="right"/>
              <w:rPr>
                <w:rFonts w:hint="eastAsia"/>
                <w:color w:val="000000"/>
                <w:kern w:val="0"/>
                <w:szCs w:val="21"/>
                <w:highlight w:val="none"/>
              </w:rPr>
            </w:pPr>
            <w:r>
              <w:rPr>
                <w:color w:val="000000"/>
                <w:kern w:val="0"/>
                <w:szCs w:val="21"/>
                <w:highlight w:val="none"/>
              </w:rPr>
              <w:t>110</w:t>
            </w:r>
          </w:p>
        </w:tc>
        <w:tc>
          <w:tcPr>
            <w:tcW w:w="2127" w:type="dxa"/>
            <w:vMerge w:val="continue"/>
            <w:tcBorders>
              <w:top w:val="nil"/>
              <w:left w:val="single" w:color="auto" w:sz="8" w:space="0"/>
              <w:bottom w:val="single" w:color="000000" w:sz="8" w:space="0"/>
              <w:right w:val="single" w:color="auto" w:sz="8" w:space="0"/>
            </w:tcBorders>
            <w:vAlign w:val="center"/>
          </w:tcPr>
          <w:p w14:paraId="4406557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208BC53">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42D81AF">
            <w:pPr>
              <w:widowControl/>
              <w:jc w:val="left"/>
              <w:rPr>
                <w:rFonts w:hint="eastAsia" w:cs="宋体"/>
                <w:color w:val="000000"/>
                <w:kern w:val="0"/>
                <w:szCs w:val="21"/>
                <w:highlight w:val="none"/>
              </w:rPr>
            </w:pPr>
            <w:r>
              <w:rPr>
                <w:rFonts w:hint="eastAsia" w:cs="宋体"/>
                <w:color w:val="000000"/>
                <w:kern w:val="0"/>
                <w:szCs w:val="21"/>
                <w:highlight w:val="none"/>
              </w:rPr>
              <w:t>通知管理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0D505FE">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23B25F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72D0B29C">
            <w:pPr>
              <w:widowControl/>
              <w:jc w:val="right"/>
              <w:rPr>
                <w:rFonts w:hint="eastAsia"/>
                <w:color w:val="000000"/>
                <w:kern w:val="0"/>
                <w:szCs w:val="21"/>
                <w:highlight w:val="none"/>
              </w:rPr>
            </w:pPr>
            <w:r>
              <w:rPr>
                <w:color w:val="000000"/>
                <w:kern w:val="0"/>
                <w:szCs w:val="21"/>
                <w:highlight w:val="none"/>
              </w:rPr>
              <w:t>111</w:t>
            </w:r>
          </w:p>
        </w:tc>
        <w:tc>
          <w:tcPr>
            <w:tcW w:w="2127" w:type="dxa"/>
            <w:vMerge w:val="continue"/>
            <w:tcBorders>
              <w:top w:val="nil"/>
              <w:left w:val="single" w:color="auto" w:sz="8" w:space="0"/>
              <w:bottom w:val="single" w:color="000000" w:sz="8" w:space="0"/>
              <w:right w:val="single" w:color="auto" w:sz="8" w:space="0"/>
            </w:tcBorders>
            <w:vAlign w:val="center"/>
          </w:tcPr>
          <w:p w14:paraId="4B60F811">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219858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823A432">
            <w:pPr>
              <w:widowControl/>
              <w:jc w:val="left"/>
              <w:rPr>
                <w:rFonts w:hint="eastAsia" w:cs="宋体"/>
                <w:color w:val="000000"/>
                <w:kern w:val="0"/>
                <w:szCs w:val="21"/>
                <w:highlight w:val="none"/>
              </w:rPr>
            </w:pPr>
            <w:r>
              <w:rPr>
                <w:rFonts w:hint="eastAsia" w:cs="宋体"/>
                <w:color w:val="000000"/>
                <w:kern w:val="0"/>
                <w:szCs w:val="21"/>
                <w:highlight w:val="none"/>
              </w:rPr>
              <w:t>检查预约系统</w:t>
            </w:r>
          </w:p>
        </w:tc>
        <w:tc>
          <w:tcPr>
            <w:tcW w:w="749" w:type="dxa"/>
            <w:gridSpan w:val="2"/>
            <w:tcBorders>
              <w:top w:val="nil"/>
              <w:left w:val="nil"/>
              <w:bottom w:val="single" w:color="auto" w:sz="8" w:space="0"/>
              <w:right w:val="single" w:color="auto" w:sz="8" w:space="0"/>
            </w:tcBorders>
            <w:shd w:val="clear" w:color="auto" w:fill="auto"/>
            <w:noWrap/>
            <w:vAlign w:val="center"/>
          </w:tcPr>
          <w:p w14:paraId="5A5ECF1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EEF4A6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22BECDD">
            <w:pPr>
              <w:widowControl/>
              <w:jc w:val="right"/>
              <w:rPr>
                <w:rFonts w:hint="eastAsia"/>
                <w:color w:val="000000"/>
                <w:kern w:val="0"/>
                <w:szCs w:val="21"/>
                <w:highlight w:val="none"/>
              </w:rPr>
            </w:pPr>
            <w:r>
              <w:rPr>
                <w:color w:val="000000"/>
                <w:kern w:val="0"/>
                <w:szCs w:val="21"/>
                <w:highlight w:val="none"/>
              </w:rPr>
              <w:t>112</w:t>
            </w:r>
          </w:p>
        </w:tc>
        <w:tc>
          <w:tcPr>
            <w:tcW w:w="2127" w:type="dxa"/>
            <w:vMerge w:val="restart"/>
            <w:tcBorders>
              <w:top w:val="nil"/>
              <w:left w:val="single" w:color="auto" w:sz="8" w:space="0"/>
              <w:bottom w:val="single" w:color="000000" w:sz="8" w:space="0"/>
              <w:right w:val="single" w:color="auto" w:sz="8" w:space="0"/>
            </w:tcBorders>
            <w:shd w:val="clear" w:color="auto" w:fill="auto"/>
            <w:vAlign w:val="center"/>
          </w:tcPr>
          <w:p w14:paraId="5A2AB15A">
            <w:pPr>
              <w:widowControl/>
              <w:jc w:val="center"/>
              <w:rPr>
                <w:rFonts w:hint="eastAsia" w:cs="宋体"/>
                <w:b/>
                <w:bCs/>
                <w:color w:val="000000"/>
                <w:kern w:val="0"/>
                <w:szCs w:val="21"/>
                <w:highlight w:val="none"/>
              </w:rPr>
            </w:pPr>
            <w:r>
              <w:rPr>
                <w:rFonts w:hint="eastAsia" w:cs="宋体"/>
                <w:b/>
                <w:bCs/>
                <w:color w:val="000000"/>
                <w:kern w:val="0"/>
                <w:szCs w:val="21"/>
                <w:highlight w:val="none"/>
              </w:rPr>
              <w:t>院内移动诊疗系统升级改造</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32E2BD16">
            <w:pPr>
              <w:widowControl/>
              <w:jc w:val="center"/>
              <w:rPr>
                <w:rFonts w:hint="eastAsia" w:cs="宋体"/>
                <w:b/>
                <w:bCs/>
                <w:color w:val="000000"/>
                <w:kern w:val="0"/>
                <w:szCs w:val="21"/>
                <w:highlight w:val="none"/>
              </w:rPr>
            </w:pPr>
            <w:r>
              <w:rPr>
                <w:rFonts w:hint="eastAsia" w:cs="宋体"/>
                <w:b/>
                <w:bCs/>
                <w:color w:val="000000"/>
                <w:kern w:val="0"/>
                <w:szCs w:val="21"/>
                <w:highlight w:val="none"/>
              </w:rPr>
              <w:t>掌上医护</w:t>
            </w:r>
          </w:p>
        </w:tc>
        <w:tc>
          <w:tcPr>
            <w:tcW w:w="3645" w:type="dxa"/>
            <w:tcBorders>
              <w:top w:val="nil"/>
              <w:left w:val="nil"/>
              <w:bottom w:val="single" w:color="auto" w:sz="8" w:space="0"/>
              <w:right w:val="single" w:color="auto" w:sz="8" w:space="0"/>
            </w:tcBorders>
            <w:shd w:val="clear" w:color="auto" w:fill="auto"/>
            <w:noWrap/>
            <w:vAlign w:val="center"/>
          </w:tcPr>
          <w:p w14:paraId="3F7CC457">
            <w:pPr>
              <w:widowControl/>
              <w:jc w:val="left"/>
              <w:rPr>
                <w:rFonts w:hint="eastAsia" w:cs="宋体"/>
                <w:color w:val="000000"/>
                <w:kern w:val="0"/>
                <w:szCs w:val="21"/>
                <w:highlight w:val="none"/>
              </w:rPr>
            </w:pPr>
            <w:r>
              <w:rPr>
                <w:rFonts w:hint="eastAsia" w:cs="宋体"/>
                <w:color w:val="000000"/>
                <w:kern w:val="0"/>
                <w:szCs w:val="21"/>
                <w:highlight w:val="none"/>
              </w:rPr>
              <w:t>临床业务审批</w:t>
            </w:r>
          </w:p>
        </w:tc>
        <w:tc>
          <w:tcPr>
            <w:tcW w:w="749" w:type="dxa"/>
            <w:gridSpan w:val="2"/>
            <w:tcBorders>
              <w:top w:val="nil"/>
              <w:left w:val="nil"/>
              <w:bottom w:val="single" w:color="auto" w:sz="8" w:space="0"/>
              <w:right w:val="single" w:color="auto" w:sz="8" w:space="0"/>
            </w:tcBorders>
            <w:shd w:val="clear" w:color="auto" w:fill="auto"/>
            <w:noWrap/>
            <w:vAlign w:val="center"/>
          </w:tcPr>
          <w:p w14:paraId="3085252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A4BE4B0">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D06D160">
            <w:pPr>
              <w:widowControl/>
              <w:jc w:val="right"/>
              <w:rPr>
                <w:rFonts w:hint="eastAsia"/>
                <w:color w:val="000000"/>
                <w:kern w:val="0"/>
                <w:szCs w:val="21"/>
                <w:highlight w:val="none"/>
              </w:rPr>
            </w:pPr>
            <w:r>
              <w:rPr>
                <w:color w:val="000000"/>
                <w:kern w:val="0"/>
                <w:szCs w:val="21"/>
                <w:highlight w:val="none"/>
              </w:rPr>
              <w:t>113</w:t>
            </w:r>
          </w:p>
        </w:tc>
        <w:tc>
          <w:tcPr>
            <w:tcW w:w="2127" w:type="dxa"/>
            <w:vMerge w:val="continue"/>
            <w:tcBorders>
              <w:top w:val="nil"/>
              <w:left w:val="single" w:color="auto" w:sz="8" w:space="0"/>
              <w:bottom w:val="single" w:color="000000" w:sz="8" w:space="0"/>
              <w:right w:val="single" w:color="auto" w:sz="8" w:space="0"/>
            </w:tcBorders>
            <w:vAlign w:val="center"/>
          </w:tcPr>
          <w:p w14:paraId="499B15E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DA5454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860356D">
            <w:pPr>
              <w:widowControl/>
              <w:jc w:val="left"/>
              <w:rPr>
                <w:rFonts w:hint="eastAsia" w:cs="宋体"/>
                <w:color w:val="000000"/>
                <w:kern w:val="0"/>
                <w:szCs w:val="21"/>
                <w:highlight w:val="none"/>
              </w:rPr>
            </w:pPr>
            <w:r>
              <w:rPr>
                <w:rFonts w:hint="eastAsia" w:cs="宋体"/>
                <w:color w:val="000000"/>
                <w:kern w:val="0"/>
                <w:szCs w:val="21"/>
                <w:highlight w:val="none"/>
              </w:rPr>
              <w:t>掌上医护助理</w:t>
            </w:r>
          </w:p>
        </w:tc>
        <w:tc>
          <w:tcPr>
            <w:tcW w:w="749" w:type="dxa"/>
            <w:gridSpan w:val="2"/>
            <w:tcBorders>
              <w:top w:val="nil"/>
              <w:left w:val="nil"/>
              <w:bottom w:val="single" w:color="auto" w:sz="8" w:space="0"/>
              <w:right w:val="single" w:color="auto" w:sz="8" w:space="0"/>
            </w:tcBorders>
            <w:shd w:val="clear" w:color="auto" w:fill="auto"/>
            <w:noWrap/>
            <w:vAlign w:val="center"/>
          </w:tcPr>
          <w:p w14:paraId="0DEE4EA6">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04D8E6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C90F820">
            <w:pPr>
              <w:widowControl/>
              <w:jc w:val="right"/>
              <w:rPr>
                <w:rFonts w:hint="eastAsia"/>
                <w:color w:val="000000"/>
                <w:kern w:val="0"/>
                <w:szCs w:val="21"/>
                <w:highlight w:val="none"/>
              </w:rPr>
            </w:pPr>
            <w:r>
              <w:rPr>
                <w:color w:val="000000"/>
                <w:kern w:val="0"/>
                <w:szCs w:val="21"/>
                <w:highlight w:val="none"/>
              </w:rPr>
              <w:t>114</w:t>
            </w:r>
          </w:p>
        </w:tc>
        <w:tc>
          <w:tcPr>
            <w:tcW w:w="2127" w:type="dxa"/>
            <w:vMerge w:val="continue"/>
            <w:tcBorders>
              <w:top w:val="nil"/>
              <w:left w:val="single" w:color="auto" w:sz="8" w:space="0"/>
              <w:bottom w:val="single" w:color="000000" w:sz="8" w:space="0"/>
              <w:right w:val="single" w:color="auto" w:sz="8" w:space="0"/>
            </w:tcBorders>
            <w:vAlign w:val="center"/>
          </w:tcPr>
          <w:p w14:paraId="008BA258">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7DFBEB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DA46DE4">
            <w:pPr>
              <w:widowControl/>
              <w:jc w:val="left"/>
              <w:rPr>
                <w:rFonts w:hint="eastAsia" w:cs="宋体"/>
                <w:color w:val="000000"/>
                <w:kern w:val="0"/>
                <w:szCs w:val="21"/>
                <w:highlight w:val="none"/>
              </w:rPr>
            </w:pPr>
            <w:r>
              <w:rPr>
                <w:rFonts w:hint="eastAsia" w:cs="宋体"/>
                <w:color w:val="000000"/>
                <w:kern w:val="0"/>
                <w:szCs w:val="21"/>
                <w:highlight w:val="none"/>
              </w:rPr>
              <w:t>电子签名</w:t>
            </w:r>
          </w:p>
        </w:tc>
        <w:tc>
          <w:tcPr>
            <w:tcW w:w="749" w:type="dxa"/>
            <w:gridSpan w:val="2"/>
            <w:tcBorders>
              <w:top w:val="nil"/>
              <w:left w:val="nil"/>
              <w:bottom w:val="single" w:color="auto" w:sz="8" w:space="0"/>
              <w:right w:val="single" w:color="auto" w:sz="8" w:space="0"/>
            </w:tcBorders>
            <w:shd w:val="clear" w:color="auto" w:fill="auto"/>
            <w:noWrap/>
            <w:vAlign w:val="center"/>
          </w:tcPr>
          <w:p w14:paraId="1818890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554480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A5DA242">
            <w:pPr>
              <w:widowControl/>
              <w:jc w:val="right"/>
              <w:rPr>
                <w:rFonts w:hint="eastAsia"/>
                <w:color w:val="000000"/>
                <w:kern w:val="0"/>
                <w:szCs w:val="21"/>
                <w:highlight w:val="none"/>
              </w:rPr>
            </w:pPr>
            <w:r>
              <w:rPr>
                <w:color w:val="000000"/>
                <w:kern w:val="0"/>
                <w:szCs w:val="21"/>
                <w:highlight w:val="none"/>
              </w:rPr>
              <w:t>115</w:t>
            </w:r>
          </w:p>
        </w:tc>
        <w:tc>
          <w:tcPr>
            <w:tcW w:w="2127" w:type="dxa"/>
            <w:vMerge w:val="continue"/>
            <w:tcBorders>
              <w:top w:val="nil"/>
              <w:left w:val="single" w:color="auto" w:sz="8" w:space="0"/>
              <w:bottom w:val="single" w:color="000000" w:sz="8" w:space="0"/>
              <w:right w:val="single" w:color="auto" w:sz="8" w:space="0"/>
            </w:tcBorders>
            <w:vAlign w:val="center"/>
          </w:tcPr>
          <w:p w14:paraId="35269815">
            <w:pPr>
              <w:widowControl/>
              <w:jc w:val="left"/>
              <w:rPr>
                <w:rFonts w:hint="eastAsia" w:cs="宋体"/>
                <w:b/>
                <w:bCs/>
                <w:color w:val="000000"/>
                <w:kern w:val="0"/>
                <w:szCs w:val="21"/>
                <w:highlight w:val="none"/>
              </w:rPr>
            </w:pP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14:paraId="24A51C7F">
            <w:pPr>
              <w:widowControl/>
              <w:jc w:val="center"/>
              <w:rPr>
                <w:rFonts w:hint="eastAsia" w:cs="宋体"/>
                <w:b/>
                <w:bCs/>
                <w:color w:val="000000"/>
                <w:kern w:val="0"/>
                <w:szCs w:val="21"/>
                <w:highlight w:val="none"/>
              </w:rPr>
            </w:pPr>
            <w:r>
              <w:rPr>
                <w:rFonts w:hint="eastAsia" w:cs="宋体"/>
                <w:b/>
                <w:bCs/>
                <w:color w:val="000000"/>
                <w:kern w:val="0"/>
                <w:szCs w:val="21"/>
                <w:highlight w:val="none"/>
              </w:rPr>
              <w:t>移动护理</w:t>
            </w:r>
          </w:p>
        </w:tc>
        <w:tc>
          <w:tcPr>
            <w:tcW w:w="3645" w:type="dxa"/>
            <w:tcBorders>
              <w:top w:val="nil"/>
              <w:left w:val="nil"/>
              <w:bottom w:val="single" w:color="auto" w:sz="8" w:space="0"/>
              <w:right w:val="single" w:color="auto" w:sz="8" w:space="0"/>
            </w:tcBorders>
            <w:shd w:val="clear" w:color="auto" w:fill="auto"/>
            <w:noWrap/>
            <w:vAlign w:val="center"/>
          </w:tcPr>
          <w:p w14:paraId="6D42F6D2">
            <w:pPr>
              <w:widowControl/>
              <w:jc w:val="left"/>
              <w:rPr>
                <w:rFonts w:hint="eastAsia" w:cs="宋体"/>
                <w:color w:val="000000"/>
                <w:kern w:val="0"/>
                <w:szCs w:val="21"/>
                <w:highlight w:val="none"/>
              </w:rPr>
            </w:pPr>
            <w:r>
              <w:rPr>
                <w:rFonts w:hint="eastAsia" w:cs="宋体"/>
                <w:color w:val="000000"/>
                <w:kern w:val="0"/>
                <w:szCs w:val="21"/>
                <w:highlight w:val="none"/>
              </w:rPr>
              <w:t>基础管理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D03C974">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DDEDF4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D5BE2B4">
            <w:pPr>
              <w:widowControl/>
              <w:jc w:val="right"/>
              <w:rPr>
                <w:rFonts w:hint="eastAsia"/>
                <w:color w:val="000000"/>
                <w:kern w:val="0"/>
                <w:szCs w:val="21"/>
                <w:highlight w:val="none"/>
              </w:rPr>
            </w:pPr>
            <w:r>
              <w:rPr>
                <w:color w:val="000000"/>
                <w:kern w:val="0"/>
                <w:szCs w:val="21"/>
                <w:highlight w:val="none"/>
              </w:rPr>
              <w:t>116</w:t>
            </w:r>
          </w:p>
        </w:tc>
        <w:tc>
          <w:tcPr>
            <w:tcW w:w="2127" w:type="dxa"/>
            <w:vMerge w:val="continue"/>
            <w:tcBorders>
              <w:top w:val="nil"/>
              <w:left w:val="single" w:color="auto" w:sz="8" w:space="0"/>
              <w:bottom w:val="single" w:color="000000" w:sz="8" w:space="0"/>
              <w:right w:val="single" w:color="auto" w:sz="8" w:space="0"/>
            </w:tcBorders>
            <w:vAlign w:val="center"/>
          </w:tcPr>
          <w:p w14:paraId="6914C2AB">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C7D0B9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4316D4D">
            <w:pPr>
              <w:widowControl/>
              <w:jc w:val="left"/>
              <w:rPr>
                <w:rFonts w:hint="eastAsia" w:cs="宋体"/>
                <w:color w:val="000000"/>
                <w:kern w:val="0"/>
                <w:szCs w:val="21"/>
                <w:highlight w:val="none"/>
              </w:rPr>
            </w:pPr>
            <w:r>
              <w:rPr>
                <w:rFonts w:hint="eastAsia" w:cs="宋体"/>
                <w:color w:val="000000"/>
                <w:kern w:val="0"/>
                <w:szCs w:val="21"/>
                <w:highlight w:val="none"/>
              </w:rPr>
              <w:t>病人管理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73B029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EC6AC2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A2875C5">
            <w:pPr>
              <w:widowControl/>
              <w:jc w:val="right"/>
              <w:rPr>
                <w:rFonts w:hint="eastAsia"/>
                <w:color w:val="000000"/>
                <w:kern w:val="0"/>
                <w:szCs w:val="21"/>
                <w:highlight w:val="none"/>
              </w:rPr>
            </w:pPr>
            <w:r>
              <w:rPr>
                <w:color w:val="000000"/>
                <w:kern w:val="0"/>
                <w:szCs w:val="21"/>
                <w:highlight w:val="none"/>
              </w:rPr>
              <w:t>117</w:t>
            </w:r>
          </w:p>
        </w:tc>
        <w:tc>
          <w:tcPr>
            <w:tcW w:w="2127" w:type="dxa"/>
            <w:vMerge w:val="continue"/>
            <w:tcBorders>
              <w:top w:val="nil"/>
              <w:left w:val="single" w:color="auto" w:sz="8" w:space="0"/>
              <w:bottom w:val="single" w:color="000000" w:sz="8" w:space="0"/>
              <w:right w:val="single" w:color="auto" w:sz="8" w:space="0"/>
            </w:tcBorders>
            <w:vAlign w:val="center"/>
          </w:tcPr>
          <w:p w14:paraId="1D3ACB6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39AEBA9">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194FB526">
            <w:pPr>
              <w:widowControl/>
              <w:jc w:val="left"/>
              <w:rPr>
                <w:rFonts w:hint="eastAsia" w:cs="宋体"/>
                <w:color w:val="000000"/>
                <w:kern w:val="0"/>
                <w:szCs w:val="21"/>
                <w:highlight w:val="none"/>
              </w:rPr>
            </w:pPr>
            <w:r>
              <w:rPr>
                <w:rFonts w:hint="eastAsia" w:cs="宋体"/>
                <w:color w:val="000000"/>
                <w:kern w:val="0"/>
                <w:szCs w:val="21"/>
                <w:highlight w:val="none"/>
              </w:rPr>
              <w:t>医嘱管理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1E524EF">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4133811">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6C7515F">
            <w:pPr>
              <w:widowControl/>
              <w:jc w:val="right"/>
              <w:rPr>
                <w:rFonts w:hint="eastAsia"/>
                <w:color w:val="000000"/>
                <w:kern w:val="0"/>
                <w:szCs w:val="21"/>
                <w:highlight w:val="none"/>
              </w:rPr>
            </w:pPr>
            <w:r>
              <w:rPr>
                <w:color w:val="000000"/>
                <w:kern w:val="0"/>
                <w:szCs w:val="21"/>
                <w:highlight w:val="none"/>
              </w:rPr>
              <w:t>118</w:t>
            </w:r>
          </w:p>
        </w:tc>
        <w:tc>
          <w:tcPr>
            <w:tcW w:w="2127" w:type="dxa"/>
            <w:vMerge w:val="continue"/>
            <w:tcBorders>
              <w:top w:val="nil"/>
              <w:left w:val="single" w:color="auto" w:sz="8" w:space="0"/>
              <w:bottom w:val="single" w:color="000000" w:sz="8" w:space="0"/>
              <w:right w:val="single" w:color="auto" w:sz="8" w:space="0"/>
            </w:tcBorders>
            <w:vAlign w:val="center"/>
          </w:tcPr>
          <w:p w14:paraId="3789976F">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48342B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AA2FB3D">
            <w:pPr>
              <w:widowControl/>
              <w:jc w:val="left"/>
              <w:rPr>
                <w:rFonts w:hint="eastAsia" w:cs="宋体"/>
                <w:color w:val="000000"/>
                <w:kern w:val="0"/>
                <w:szCs w:val="21"/>
                <w:highlight w:val="none"/>
              </w:rPr>
            </w:pPr>
            <w:r>
              <w:rPr>
                <w:rFonts w:hint="eastAsia" w:cs="宋体"/>
                <w:color w:val="000000"/>
                <w:kern w:val="0"/>
                <w:szCs w:val="21"/>
                <w:highlight w:val="none"/>
              </w:rPr>
              <w:t>输液管理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98D12B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8E9DD7A">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305AB241">
            <w:pPr>
              <w:widowControl/>
              <w:jc w:val="right"/>
              <w:rPr>
                <w:rFonts w:hint="eastAsia"/>
                <w:color w:val="000000"/>
                <w:kern w:val="0"/>
                <w:szCs w:val="21"/>
                <w:highlight w:val="none"/>
              </w:rPr>
            </w:pPr>
            <w:r>
              <w:rPr>
                <w:color w:val="000000"/>
                <w:kern w:val="0"/>
                <w:szCs w:val="21"/>
                <w:highlight w:val="none"/>
              </w:rPr>
              <w:t>119</w:t>
            </w:r>
          </w:p>
        </w:tc>
        <w:tc>
          <w:tcPr>
            <w:tcW w:w="2127" w:type="dxa"/>
            <w:vMerge w:val="continue"/>
            <w:tcBorders>
              <w:top w:val="nil"/>
              <w:left w:val="single" w:color="auto" w:sz="8" w:space="0"/>
              <w:bottom w:val="single" w:color="000000" w:sz="8" w:space="0"/>
              <w:right w:val="single" w:color="auto" w:sz="8" w:space="0"/>
            </w:tcBorders>
            <w:vAlign w:val="center"/>
          </w:tcPr>
          <w:p w14:paraId="2275256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329C12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3E4E1D7">
            <w:pPr>
              <w:widowControl/>
              <w:jc w:val="left"/>
              <w:rPr>
                <w:rFonts w:hint="eastAsia" w:cs="宋体"/>
                <w:color w:val="000000"/>
                <w:kern w:val="0"/>
                <w:szCs w:val="21"/>
                <w:highlight w:val="none"/>
              </w:rPr>
            </w:pPr>
            <w:r>
              <w:rPr>
                <w:rFonts w:hint="eastAsia" w:cs="宋体"/>
                <w:color w:val="000000"/>
                <w:kern w:val="0"/>
                <w:szCs w:val="21"/>
                <w:highlight w:val="none"/>
              </w:rPr>
              <w:t>体征采集</w:t>
            </w:r>
          </w:p>
        </w:tc>
        <w:tc>
          <w:tcPr>
            <w:tcW w:w="749" w:type="dxa"/>
            <w:gridSpan w:val="2"/>
            <w:tcBorders>
              <w:top w:val="nil"/>
              <w:left w:val="nil"/>
              <w:bottom w:val="single" w:color="auto" w:sz="8" w:space="0"/>
              <w:right w:val="single" w:color="auto" w:sz="8" w:space="0"/>
            </w:tcBorders>
            <w:shd w:val="clear" w:color="auto" w:fill="auto"/>
            <w:noWrap/>
            <w:vAlign w:val="center"/>
          </w:tcPr>
          <w:p w14:paraId="2EB8F709">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4B2468F">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EE2568F">
            <w:pPr>
              <w:widowControl/>
              <w:jc w:val="right"/>
              <w:rPr>
                <w:rFonts w:hint="eastAsia"/>
                <w:color w:val="000000"/>
                <w:kern w:val="0"/>
                <w:szCs w:val="21"/>
                <w:highlight w:val="none"/>
              </w:rPr>
            </w:pPr>
            <w:r>
              <w:rPr>
                <w:color w:val="000000"/>
                <w:kern w:val="0"/>
                <w:szCs w:val="21"/>
                <w:highlight w:val="none"/>
              </w:rPr>
              <w:t>120</w:t>
            </w:r>
          </w:p>
        </w:tc>
        <w:tc>
          <w:tcPr>
            <w:tcW w:w="2127" w:type="dxa"/>
            <w:vMerge w:val="continue"/>
            <w:tcBorders>
              <w:top w:val="nil"/>
              <w:left w:val="single" w:color="auto" w:sz="8" w:space="0"/>
              <w:bottom w:val="single" w:color="000000" w:sz="8" w:space="0"/>
              <w:right w:val="single" w:color="auto" w:sz="8" w:space="0"/>
            </w:tcBorders>
            <w:vAlign w:val="center"/>
          </w:tcPr>
          <w:p w14:paraId="1C1F592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9AB3521">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82233A4">
            <w:pPr>
              <w:widowControl/>
              <w:jc w:val="left"/>
              <w:rPr>
                <w:rFonts w:hint="eastAsia" w:cs="宋体"/>
                <w:color w:val="000000"/>
                <w:kern w:val="0"/>
                <w:szCs w:val="21"/>
                <w:highlight w:val="none"/>
              </w:rPr>
            </w:pPr>
            <w:r>
              <w:rPr>
                <w:rFonts w:hint="eastAsia" w:cs="宋体"/>
                <w:color w:val="000000"/>
                <w:kern w:val="0"/>
                <w:szCs w:val="21"/>
                <w:highlight w:val="none"/>
              </w:rPr>
              <w:t>护理文书</w:t>
            </w:r>
          </w:p>
        </w:tc>
        <w:tc>
          <w:tcPr>
            <w:tcW w:w="749" w:type="dxa"/>
            <w:gridSpan w:val="2"/>
            <w:tcBorders>
              <w:top w:val="nil"/>
              <w:left w:val="nil"/>
              <w:bottom w:val="single" w:color="auto" w:sz="8" w:space="0"/>
              <w:right w:val="single" w:color="auto" w:sz="8" w:space="0"/>
            </w:tcBorders>
            <w:shd w:val="clear" w:color="auto" w:fill="auto"/>
            <w:noWrap/>
            <w:vAlign w:val="center"/>
          </w:tcPr>
          <w:p w14:paraId="1323EFC6">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D4AC7D8">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2649CEAB">
            <w:pPr>
              <w:widowControl/>
              <w:jc w:val="right"/>
              <w:rPr>
                <w:rFonts w:hint="eastAsia"/>
                <w:color w:val="000000"/>
                <w:kern w:val="0"/>
                <w:szCs w:val="21"/>
                <w:highlight w:val="none"/>
              </w:rPr>
            </w:pPr>
            <w:r>
              <w:rPr>
                <w:color w:val="000000"/>
                <w:kern w:val="0"/>
                <w:szCs w:val="21"/>
                <w:highlight w:val="none"/>
              </w:rPr>
              <w:t>121</w:t>
            </w:r>
          </w:p>
        </w:tc>
        <w:tc>
          <w:tcPr>
            <w:tcW w:w="2127" w:type="dxa"/>
            <w:vMerge w:val="continue"/>
            <w:tcBorders>
              <w:top w:val="nil"/>
              <w:left w:val="single" w:color="auto" w:sz="8" w:space="0"/>
              <w:bottom w:val="single" w:color="000000" w:sz="8" w:space="0"/>
              <w:right w:val="single" w:color="auto" w:sz="8" w:space="0"/>
            </w:tcBorders>
            <w:vAlign w:val="center"/>
          </w:tcPr>
          <w:p w14:paraId="788A2D1E">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67F1BE2C">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0199BF0">
            <w:pPr>
              <w:widowControl/>
              <w:jc w:val="left"/>
              <w:rPr>
                <w:rFonts w:hint="eastAsia" w:cs="宋体"/>
                <w:color w:val="000000"/>
                <w:kern w:val="0"/>
                <w:szCs w:val="21"/>
                <w:highlight w:val="none"/>
              </w:rPr>
            </w:pPr>
            <w:r>
              <w:rPr>
                <w:rFonts w:hint="eastAsia" w:cs="宋体"/>
                <w:color w:val="000000"/>
                <w:kern w:val="0"/>
                <w:szCs w:val="21"/>
                <w:highlight w:val="none"/>
              </w:rPr>
              <w:t>护理助手</w:t>
            </w:r>
          </w:p>
        </w:tc>
        <w:tc>
          <w:tcPr>
            <w:tcW w:w="749" w:type="dxa"/>
            <w:gridSpan w:val="2"/>
            <w:tcBorders>
              <w:top w:val="nil"/>
              <w:left w:val="nil"/>
              <w:bottom w:val="single" w:color="auto" w:sz="8" w:space="0"/>
              <w:right w:val="single" w:color="auto" w:sz="8" w:space="0"/>
            </w:tcBorders>
            <w:shd w:val="clear" w:color="auto" w:fill="auto"/>
            <w:noWrap/>
            <w:vAlign w:val="center"/>
          </w:tcPr>
          <w:p w14:paraId="31802CFE">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F6CD2A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8E16C74">
            <w:pPr>
              <w:widowControl/>
              <w:jc w:val="right"/>
              <w:rPr>
                <w:rFonts w:hint="eastAsia"/>
                <w:color w:val="000000"/>
                <w:kern w:val="0"/>
                <w:szCs w:val="21"/>
                <w:highlight w:val="none"/>
              </w:rPr>
            </w:pPr>
            <w:r>
              <w:rPr>
                <w:color w:val="000000"/>
                <w:kern w:val="0"/>
                <w:szCs w:val="21"/>
                <w:highlight w:val="none"/>
              </w:rPr>
              <w:t>122</w:t>
            </w:r>
          </w:p>
        </w:tc>
        <w:tc>
          <w:tcPr>
            <w:tcW w:w="2127" w:type="dxa"/>
            <w:vMerge w:val="continue"/>
            <w:tcBorders>
              <w:top w:val="nil"/>
              <w:left w:val="single" w:color="auto" w:sz="8" w:space="0"/>
              <w:bottom w:val="single" w:color="000000" w:sz="8" w:space="0"/>
              <w:right w:val="single" w:color="auto" w:sz="8" w:space="0"/>
            </w:tcBorders>
            <w:vAlign w:val="center"/>
          </w:tcPr>
          <w:p w14:paraId="5B0A86D0">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DE2D040">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15BF64D">
            <w:pPr>
              <w:widowControl/>
              <w:jc w:val="left"/>
              <w:rPr>
                <w:rFonts w:hint="eastAsia" w:cs="宋体"/>
                <w:color w:val="000000"/>
                <w:kern w:val="0"/>
                <w:szCs w:val="21"/>
                <w:highlight w:val="none"/>
              </w:rPr>
            </w:pPr>
            <w:r>
              <w:rPr>
                <w:rFonts w:hint="eastAsia" w:cs="宋体"/>
                <w:color w:val="000000"/>
                <w:kern w:val="0"/>
                <w:szCs w:val="21"/>
                <w:highlight w:val="none"/>
              </w:rPr>
              <w:t>表单管理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0004B3A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69CC3C44">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CDB1BDB">
            <w:pPr>
              <w:widowControl/>
              <w:jc w:val="right"/>
              <w:rPr>
                <w:rFonts w:hint="eastAsia"/>
                <w:color w:val="000000"/>
                <w:kern w:val="0"/>
                <w:szCs w:val="21"/>
                <w:highlight w:val="none"/>
              </w:rPr>
            </w:pPr>
            <w:r>
              <w:rPr>
                <w:color w:val="000000"/>
                <w:kern w:val="0"/>
                <w:szCs w:val="21"/>
                <w:highlight w:val="none"/>
              </w:rPr>
              <w:t>123</w:t>
            </w:r>
          </w:p>
        </w:tc>
        <w:tc>
          <w:tcPr>
            <w:tcW w:w="2127" w:type="dxa"/>
            <w:vMerge w:val="continue"/>
            <w:tcBorders>
              <w:top w:val="nil"/>
              <w:left w:val="single" w:color="auto" w:sz="8" w:space="0"/>
              <w:bottom w:val="single" w:color="000000" w:sz="8" w:space="0"/>
              <w:right w:val="single" w:color="auto" w:sz="8" w:space="0"/>
            </w:tcBorders>
            <w:vAlign w:val="center"/>
          </w:tcPr>
          <w:p w14:paraId="1CC85C34">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D8600D8">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28DB4306">
            <w:pPr>
              <w:widowControl/>
              <w:jc w:val="left"/>
              <w:rPr>
                <w:rFonts w:hint="eastAsia" w:cs="宋体"/>
                <w:color w:val="000000"/>
                <w:kern w:val="0"/>
                <w:szCs w:val="21"/>
                <w:highlight w:val="none"/>
              </w:rPr>
            </w:pPr>
            <w:r>
              <w:rPr>
                <w:rFonts w:hint="eastAsia" w:cs="宋体"/>
                <w:color w:val="000000"/>
                <w:kern w:val="0"/>
                <w:szCs w:val="21"/>
                <w:highlight w:val="none"/>
              </w:rPr>
              <w:t>口服药管理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7EA70DE0">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6107CF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B30DA23">
            <w:pPr>
              <w:widowControl/>
              <w:jc w:val="right"/>
              <w:rPr>
                <w:rFonts w:hint="eastAsia"/>
                <w:color w:val="000000"/>
                <w:kern w:val="0"/>
                <w:szCs w:val="21"/>
                <w:highlight w:val="none"/>
              </w:rPr>
            </w:pPr>
            <w:r>
              <w:rPr>
                <w:color w:val="000000"/>
                <w:kern w:val="0"/>
                <w:szCs w:val="21"/>
                <w:highlight w:val="none"/>
              </w:rPr>
              <w:t>124</w:t>
            </w:r>
          </w:p>
        </w:tc>
        <w:tc>
          <w:tcPr>
            <w:tcW w:w="2127" w:type="dxa"/>
            <w:vMerge w:val="continue"/>
            <w:tcBorders>
              <w:top w:val="nil"/>
              <w:left w:val="single" w:color="auto" w:sz="8" w:space="0"/>
              <w:bottom w:val="single" w:color="000000" w:sz="8" w:space="0"/>
              <w:right w:val="single" w:color="auto" w:sz="8" w:space="0"/>
            </w:tcBorders>
            <w:vAlign w:val="center"/>
          </w:tcPr>
          <w:p w14:paraId="7C2D5DF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37A79C2">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3C9E0E20">
            <w:pPr>
              <w:widowControl/>
              <w:jc w:val="left"/>
              <w:rPr>
                <w:rFonts w:hint="eastAsia" w:cs="宋体"/>
                <w:color w:val="000000"/>
                <w:kern w:val="0"/>
                <w:szCs w:val="21"/>
                <w:highlight w:val="none"/>
              </w:rPr>
            </w:pPr>
            <w:r>
              <w:rPr>
                <w:rFonts w:hint="eastAsia" w:cs="宋体"/>
                <w:color w:val="000000"/>
                <w:kern w:val="0"/>
                <w:szCs w:val="21"/>
                <w:highlight w:val="none"/>
              </w:rPr>
              <w:t>皮试管理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1690A4D7">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AE256A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196AD55">
            <w:pPr>
              <w:widowControl/>
              <w:jc w:val="right"/>
              <w:rPr>
                <w:rFonts w:hint="eastAsia"/>
                <w:color w:val="000000"/>
                <w:kern w:val="0"/>
                <w:szCs w:val="21"/>
                <w:highlight w:val="none"/>
              </w:rPr>
            </w:pPr>
            <w:r>
              <w:rPr>
                <w:color w:val="000000"/>
                <w:kern w:val="0"/>
                <w:szCs w:val="21"/>
                <w:highlight w:val="none"/>
              </w:rPr>
              <w:t>125</w:t>
            </w:r>
          </w:p>
        </w:tc>
        <w:tc>
          <w:tcPr>
            <w:tcW w:w="2127" w:type="dxa"/>
            <w:vMerge w:val="continue"/>
            <w:tcBorders>
              <w:top w:val="nil"/>
              <w:left w:val="single" w:color="auto" w:sz="8" w:space="0"/>
              <w:bottom w:val="single" w:color="000000" w:sz="8" w:space="0"/>
              <w:right w:val="single" w:color="auto" w:sz="8" w:space="0"/>
            </w:tcBorders>
            <w:vAlign w:val="center"/>
          </w:tcPr>
          <w:p w14:paraId="0C843FB1">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88C2A6A">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44403EE">
            <w:pPr>
              <w:widowControl/>
              <w:jc w:val="left"/>
              <w:rPr>
                <w:rFonts w:hint="eastAsia" w:cs="宋体"/>
                <w:color w:val="000000"/>
                <w:kern w:val="0"/>
                <w:szCs w:val="21"/>
                <w:highlight w:val="none"/>
              </w:rPr>
            </w:pPr>
            <w:r>
              <w:rPr>
                <w:rFonts w:hint="eastAsia" w:cs="宋体"/>
                <w:color w:val="000000"/>
                <w:kern w:val="0"/>
                <w:szCs w:val="21"/>
                <w:highlight w:val="none"/>
              </w:rPr>
              <w:t>检验管理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00579456">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97C62B9">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823DD81">
            <w:pPr>
              <w:widowControl/>
              <w:jc w:val="right"/>
              <w:rPr>
                <w:rFonts w:hint="eastAsia"/>
                <w:color w:val="000000"/>
                <w:kern w:val="0"/>
                <w:szCs w:val="21"/>
                <w:highlight w:val="none"/>
              </w:rPr>
            </w:pPr>
            <w:r>
              <w:rPr>
                <w:color w:val="000000"/>
                <w:kern w:val="0"/>
                <w:szCs w:val="21"/>
                <w:highlight w:val="none"/>
              </w:rPr>
              <w:t>126</w:t>
            </w:r>
          </w:p>
        </w:tc>
        <w:tc>
          <w:tcPr>
            <w:tcW w:w="2127" w:type="dxa"/>
            <w:vMerge w:val="continue"/>
            <w:tcBorders>
              <w:top w:val="nil"/>
              <w:left w:val="single" w:color="auto" w:sz="8" w:space="0"/>
              <w:bottom w:val="single" w:color="000000" w:sz="8" w:space="0"/>
              <w:right w:val="single" w:color="auto" w:sz="8" w:space="0"/>
            </w:tcBorders>
            <w:vAlign w:val="center"/>
          </w:tcPr>
          <w:p w14:paraId="32F557A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92FBD6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07826400">
            <w:pPr>
              <w:widowControl/>
              <w:jc w:val="left"/>
              <w:rPr>
                <w:rFonts w:hint="eastAsia" w:cs="宋体"/>
                <w:color w:val="000000"/>
                <w:kern w:val="0"/>
                <w:szCs w:val="21"/>
                <w:highlight w:val="none"/>
              </w:rPr>
            </w:pPr>
            <w:r>
              <w:rPr>
                <w:rFonts w:hint="eastAsia" w:cs="宋体"/>
                <w:color w:val="000000"/>
                <w:kern w:val="0"/>
                <w:szCs w:val="21"/>
                <w:highlight w:val="none"/>
              </w:rPr>
              <w:t>检查管理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30431B5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8FB50E7">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3E41AB0">
            <w:pPr>
              <w:widowControl/>
              <w:jc w:val="right"/>
              <w:rPr>
                <w:rFonts w:hint="eastAsia"/>
                <w:color w:val="000000"/>
                <w:kern w:val="0"/>
                <w:szCs w:val="21"/>
                <w:highlight w:val="none"/>
              </w:rPr>
            </w:pPr>
            <w:r>
              <w:rPr>
                <w:color w:val="000000"/>
                <w:kern w:val="0"/>
                <w:szCs w:val="21"/>
                <w:highlight w:val="none"/>
              </w:rPr>
              <w:t>127</w:t>
            </w:r>
          </w:p>
        </w:tc>
        <w:tc>
          <w:tcPr>
            <w:tcW w:w="2127" w:type="dxa"/>
            <w:vMerge w:val="continue"/>
            <w:tcBorders>
              <w:top w:val="nil"/>
              <w:left w:val="single" w:color="auto" w:sz="8" w:space="0"/>
              <w:bottom w:val="single" w:color="000000" w:sz="8" w:space="0"/>
              <w:right w:val="single" w:color="auto" w:sz="8" w:space="0"/>
            </w:tcBorders>
            <w:vAlign w:val="center"/>
          </w:tcPr>
          <w:p w14:paraId="70E0B6B7">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7CE7015">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45AEBB28">
            <w:pPr>
              <w:widowControl/>
              <w:jc w:val="left"/>
              <w:rPr>
                <w:rFonts w:hint="eastAsia" w:cs="宋体"/>
                <w:color w:val="000000"/>
                <w:kern w:val="0"/>
                <w:szCs w:val="21"/>
                <w:highlight w:val="none"/>
              </w:rPr>
            </w:pPr>
            <w:r>
              <w:rPr>
                <w:rFonts w:hint="eastAsia" w:cs="宋体"/>
                <w:color w:val="000000"/>
                <w:kern w:val="0"/>
                <w:szCs w:val="21"/>
                <w:highlight w:val="none"/>
              </w:rPr>
              <w:t>手术管理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5B4ECC2A">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57F8EBA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C5BB277">
            <w:pPr>
              <w:widowControl/>
              <w:jc w:val="right"/>
              <w:rPr>
                <w:rFonts w:hint="eastAsia"/>
                <w:color w:val="000000"/>
                <w:kern w:val="0"/>
                <w:szCs w:val="21"/>
                <w:highlight w:val="none"/>
              </w:rPr>
            </w:pPr>
            <w:r>
              <w:rPr>
                <w:color w:val="000000"/>
                <w:kern w:val="0"/>
                <w:szCs w:val="21"/>
                <w:highlight w:val="none"/>
              </w:rPr>
              <w:t>128</w:t>
            </w:r>
          </w:p>
        </w:tc>
        <w:tc>
          <w:tcPr>
            <w:tcW w:w="2127" w:type="dxa"/>
            <w:vMerge w:val="continue"/>
            <w:tcBorders>
              <w:top w:val="nil"/>
              <w:left w:val="single" w:color="auto" w:sz="8" w:space="0"/>
              <w:bottom w:val="single" w:color="000000" w:sz="8" w:space="0"/>
              <w:right w:val="single" w:color="auto" w:sz="8" w:space="0"/>
            </w:tcBorders>
            <w:vAlign w:val="center"/>
          </w:tcPr>
          <w:p w14:paraId="44DA658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97503BF">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91D6FDB">
            <w:pPr>
              <w:widowControl/>
              <w:jc w:val="left"/>
              <w:rPr>
                <w:rFonts w:hint="eastAsia" w:cs="宋体"/>
                <w:color w:val="000000"/>
                <w:kern w:val="0"/>
                <w:szCs w:val="21"/>
                <w:highlight w:val="none"/>
              </w:rPr>
            </w:pPr>
            <w:r>
              <w:rPr>
                <w:rFonts w:hint="eastAsia" w:cs="宋体"/>
                <w:color w:val="000000"/>
                <w:kern w:val="0"/>
                <w:szCs w:val="21"/>
                <w:highlight w:val="none"/>
              </w:rPr>
              <w:t>输血管理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29590A9D">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08BC801D">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03750524">
            <w:pPr>
              <w:widowControl/>
              <w:jc w:val="right"/>
              <w:rPr>
                <w:rFonts w:hint="eastAsia"/>
                <w:color w:val="000000"/>
                <w:kern w:val="0"/>
                <w:szCs w:val="21"/>
                <w:highlight w:val="none"/>
              </w:rPr>
            </w:pPr>
            <w:r>
              <w:rPr>
                <w:color w:val="000000"/>
                <w:kern w:val="0"/>
                <w:szCs w:val="21"/>
                <w:highlight w:val="none"/>
              </w:rPr>
              <w:t>129</w:t>
            </w:r>
          </w:p>
        </w:tc>
        <w:tc>
          <w:tcPr>
            <w:tcW w:w="2127" w:type="dxa"/>
            <w:vMerge w:val="continue"/>
            <w:tcBorders>
              <w:top w:val="nil"/>
              <w:left w:val="single" w:color="auto" w:sz="8" w:space="0"/>
              <w:bottom w:val="single" w:color="000000" w:sz="8" w:space="0"/>
              <w:right w:val="single" w:color="auto" w:sz="8" w:space="0"/>
            </w:tcBorders>
            <w:vAlign w:val="center"/>
          </w:tcPr>
          <w:p w14:paraId="3B52F4A5">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78802B1D">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802FB2F">
            <w:pPr>
              <w:widowControl/>
              <w:jc w:val="left"/>
              <w:rPr>
                <w:rFonts w:hint="eastAsia" w:cs="宋体"/>
                <w:color w:val="000000"/>
                <w:kern w:val="0"/>
                <w:szCs w:val="21"/>
                <w:highlight w:val="none"/>
              </w:rPr>
            </w:pPr>
            <w:r>
              <w:rPr>
                <w:rFonts w:hint="eastAsia" w:cs="宋体"/>
                <w:color w:val="000000"/>
                <w:kern w:val="0"/>
                <w:szCs w:val="21"/>
                <w:highlight w:val="none"/>
              </w:rPr>
              <w:t>质控提醒</w:t>
            </w:r>
          </w:p>
        </w:tc>
        <w:tc>
          <w:tcPr>
            <w:tcW w:w="749" w:type="dxa"/>
            <w:gridSpan w:val="2"/>
            <w:tcBorders>
              <w:top w:val="nil"/>
              <w:left w:val="nil"/>
              <w:bottom w:val="single" w:color="auto" w:sz="8" w:space="0"/>
              <w:right w:val="single" w:color="auto" w:sz="8" w:space="0"/>
            </w:tcBorders>
            <w:shd w:val="clear" w:color="auto" w:fill="auto"/>
            <w:noWrap/>
            <w:vAlign w:val="center"/>
          </w:tcPr>
          <w:p w14:paraId="556B197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6AC6BCC">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28B8D82">
            <w:pPr>
              <w:widowControl/>
              <w:jc w:val="right"/>
              <w:rPr>
                <w:rFonts w:hint="eastAsia"/>
                <w:color w:val="000000"/>
                <w:kern w:val="0"/>
                <w:szCs w:val="21"/>
                <w:highlight w:val="none"/>
              </w:rPr>
            </w:pPr>
            <w:r>
              <w:rPr>
                <w:color w:val="000000"/>
                <w:kern w:val="0"/>
                <w:szCs w:val="21"/>
                <w:highlight w:val="none"/>
              </w:rPr>
              <w:t>130</w:t>
            </w:r>
          </w:p>
        </w:tc>
        <w:tc>
          <w:tcPr>
            <w:tcW w:w="2127" w:type="dxa"/>
            <w:vMerge w:val="continue"/>
            <w:tcBorders>
              <w:top w:val="nil"/>
              <w:left w:val="single" w:color="auto" w:sz="8" w:space="0"/>
              <w:bottom w:val="single" w:color="000000" w:sz="8" w:space="0"/>
              <w:right w:val="single" w:color="auto" w:sz="8" w:space="0"/>
            </w:tcBorders>
            <w:vAlign w:val="center"/>
          </w:tcPr>
          <w:p w14:paraId="7EC09E2C">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E80F80B">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4B893C9">
            <w:pPr>
              <w:widowControl/>
              <w:jc w:val="left"/>
              <w:rPr>
                <w:rFonts w:hint="eastAsia" w:cs="宋体"/>
                <w:color w:val="000000"/>
                <w:kern w:val="0"/>
                <w:szCs w:val="21"/>
                <w:highlight w:val="none"/>
              </w:rPr>
            </w:pPr>
            <w:r>
              <w:rPr>
                <w:rFonts w:hint="eastAsia" w:cs="宋体"/>
                <w:color w:val="000000"/>
                <w:kern w:val="0"/>
                <w:szCs w:val="21"/>
                <w:highlight w:val="none"/>
              </w:rPr>
              <w:t>护理决策对接</w:t>
            </w:r>
          </w:p>
        </w:tc>
        <w:tc>
          <w:tcPr>
            <w:tcW w:w="749" w:type="dxa"/>
            <w:gridSpan w:val="2"/>
            <w:tcBorders>
              <w:top w:val="nil"/>
              <w:left w:val="nil"/>
              <w:bottom w:val="single" w:color="auto" w:sz="8" w:space="0"/>
              <w:right w:val="single" w:color="auto" w:sz="8" w:space="0"/>
            </w:tcBorders>
            <w:shd w:val="clear" w:color="auto" w:fill="auto"/>
            <w:noWrap/>
            <w:vAlign w:val="center"/>
          </w:tcPr>
          <w:p w14:paraId="680A856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34E07AB">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4FB077D4">
            <w:pPr>
              <w:widowControl/>
              <w:jc w:val="right"/>
              <w:rPr>
                <w:rFonts w:hint="eastAsia"/>
                <w:color w:val="000000"/>
                <w:kern w:val="0"/>
                <w:szCs w:val="21"/>
                <w:highlight w:val="none"/>
              </w:rPr>
            </w:pPr>
            <w:r>
              <w:rPr>
                <w:color w:val="000000"/>
                <w:kern w:val="0"/>
                <w:szCs w:val="21"/>
                <w:highlight w:val="none"/>
              </w:rPr>
              <w:t>131</w:t>
            </w:r>
          </w:p>
        </w:tc>
        <w:tc>
          <w:tcPr>
            <w:tcW w:w="2127" w:type="dxa"/>
            <w:vMerge w:val="continue"/>
            <w:tcBorders>
              <w:top w:val="nil"/>
              <w:left w:val="single" w:color="auto" w:sz="8" w:space="0"/>
              <w:bottom w:val="single" w:color="000000" w:sz="8" w:space="0"/>
              <w:right w:val="single" w:color="auto" w:sz="8" w:space="0"/>
            </w:tcBorders>
            <w:vAlign w:val="center"/>
          </w:tcPr>
          <w:p w14:paraId="3FF1F0A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3FA950EA">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5D920795">
            <w:pPr>
              <w:widowControl/>
              <w:jc w:val="left"/>
              <w:rPr>
                <w:rFonts w:hint="eastAsia" w:cs="宋体"/>
                <w:color w:val="000000"/>
                <w:kern w:val="0"/>
                <w:szCs w:val="21"/>
                <w:highlight w:val="none"/>
              </w:rPr>
            </w:pPr>
            <w:r>
              <w:rPr>
                <w:rFonts w:hint="eastAsia" w:cs="宋体"/>
                <w:color w:val="000000"/>
                <w:kern w:val="0"/>
                <w:szCs w:val="21"/>
                <w:highlight w:val="none"/>
              </w:rPr>
              <w:t>麻醉用药管理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4639D285">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1CA23888">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5388EC4F">
            <w:pPr>
              <w:widowControl/>
              <w:jc w:val="right"/>
              <w:rPr>
                <w:rFonts w:hint="eastAsia"/>
                <w:color w:val="000000"/>
                <w:kern w:val="0"/>
                <w:szCs w:val="21"/>
                <w:highlight w:val="none"/>
              </w:rPr>
            </w:pPr>
            <w:r>
              <w:rPr>
                <w:color w:val="000000"/>
                <w:kern w:val="0"/>
                <w:szCs w:val="21"/>
                <w:highlight w:val="none"/>
              </w:rPr>
              <w:t>132</w:t>
            </w:r>
          </w:p>
        </w:tc>
        <w:tc>
          <w:tcPr>
            <w:tcW w:w="2127" w:type="dxa"/>
            <w:vMerge w:val="continue"/>
            <w:tcBorders>
              <w:top w:val="nil"/>
              <w:left w:val="single" w:color="auto" w:sz="8" w:space="0"/>
              <w:bottom w:val="single" w:color="000000" w:sz="8" w:space="0"/>
              <w:right w:val="single" w:color="auto" w:sz="8" w:space="0"/>
            </w:tcBorders>
            <w:vAlign w:val="center"/>
          </w:tcPr>
          <w:p w14:paraId="46DE6D96">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5E1EF9FE">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656971B1">
            <w:pPr>
              <w:widowControl/>
              <w:jc w:val="left"/>
              <w:rPr>
                <w:rFonts w:hint="eastAsia" w:cs="宋体"/>
                <w:color w:val="000000"/>
                <w:kern w:val="0"/>
                <w:szCs w:val="21"/>
                <w:highlight w:val="none"/>
              </w:rPr>
            </w:pPr>
            <w:r>
              <w:rPr>
                <w:rFonts w:hint="eastAsia" w:cs="宋体"/>
                <w:color w:val="000000"/>
                <w:kern w:val="0"/>
                <w:szCs w:val="21"/>
                <w:highlight w:val="none"/>
              </w:rPr>
              <w:t>母乳管理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193B8D23">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4BA3AB86">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65F7175">
            <w:pPr>
              <w:widowControl/>
              <w:jc w:val="right"/>
              <w:rPr>
                <w:rFonts w:hint="eastAsia"/>
                <w:color w:val="000000"/>
                <w:kern w:val="0"/>
                <w:szCs w:val="21"/>
                <w:highlight w:val="none"/>
              </w:rPr>
            </w:pPr>
            <w:r>
              <w:rPr>
                <w:color w:val="000000"/>
                <w:kern w:val="0"/>
                <w:szCs w:val="21"/>
                <w:highlight w:val="none"/>
              </w:rPr>
              <w:t>133</w:t>
            </w:r>
          </w:p>
        </w:tc>
        <w:tc>
          <w:tcPr>
            <w:tcW w:w="2127" w:type="dxa"/>
            <w:vMerge w:val="continue"/>
            <w:tcBorders>
              <w:top w:val="nil"/>
              <w:left w:val="single" w:color="auto" w:sz="8" w:space="0"/>
              <w:bottom w:val="single" w:color="000000" w:sz="8" w:space="0"/>
              <w:right w:val="single" w:color="auto" w:sz="8" w:space="0"/>
            </w:tcBorders>
            <w:vAlign w:val="center"/>
          </w:tcPr>
          <w:p w14:paraId="669043E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47891FA6">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2900861">
            <w:pPr>
              <w:widowControl/>
              <w:jc w:val="left"/>
              <w:rPr>
                <w:rFonts w:hint="eastAsia" w:cs="宋体"/>
                <w:color w:val="000000"/>
                <w:kern w:val="0"/>
                <w:szCs w:val="21"/>
                <w:highlight w:val="none"/>
              </w:rPr>
            </w:pPr>
            <w:r>
              <w:rPr>
                <w:rFonts w:hint="eastAsia" w:cs="宋体"/>
                <w:color w:val="000000"/>
                <w:kern w:val="0"/>
                <w:szCs w:val="21"/>
                <w:highlight w:val="none"/>
              </w:rPr>
              <w:t>病理标本管理</w:t>
            </w:r>
          </w:p>
        </w:tc>
        <w:tc>
          <w:tcPr>
            <w:tcW w:w="749" w:type="dxa"/>
            <w:gridSpan w:val="2"/>
            <w:tcBorders>
              <w:top w:val="nil"/>
              <w:left w:val="nil"/>
              <w:bottom w:val="single" w:color="auto" w:sz="8" w:space="0"/>
              <w:right w:val="single" w:color="auto" w:sz="8" w:space="0"/>
            </w:tcBorders>
            <w:shd w:val="clear" w:color="auto" w:fill="auto"/>
            <w:noWrap/>
            <w:vAlign w:val="center"/>
          </w:tcPr>
          <w:p w14:paraId="1A9E72B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3B7BD685">
        <w:tblPrEx>
          <w:tblCellMar>
            <w:top w:w="0" w:type="dxa"/>
            <w:left w:w="108" w:type="dxa"/>
            <w:bottom w:w="0" w:type="dxa"/>
            <w:right w:w="108" w:type="dxa"/>
          </w:tblCellMar>
        </w:tblPrEx>
        <w:trPr>
          <w:gridAfter w:val="1"/>
          <w:wAfter w:w="57" w:type="dxa"/>
          <w:trHeight w:val="300"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60F813BC">
            <w:pPr>
              <w:widowControl/>
              <w:jc w:val="right"/>
              <w:rPr>
                <w:rFonts w:hint="eastAsia"/>
                <w:color w:val="000000"/>
                <w:kern w:val="0"/>
                <w:szCs w:val="21"/>
                <w:highlight w:val="none"/>
              </w:rPr>
            </w:pPr>
            <w:r>
              <w:rPr>
                <w:color w:val="000000"/>
                <w:kern w:val="0"/>
                <w:szCs w:val="21"/>
                <w:highlight w:val="none"/>
              </w:rPr>
              <w:t>134</w:t>
            </w:r>
          </w:p>
        </w:tc>
        <w:tc>
          <w:tcPr>
            <w:tcW w:w="2127" w:type="dxa"/>
            <w:vMerge w:val="continue"/>
            <w:tcBorders>
              <w:top w:val="nil"/>
              <w:left w:val="single" w:color="auto" w:sz="8" w:space="0"/>
              <w:bottom w:val="single" w:color="000000" w:sz="8" w:space="0"/>
              <w:right w:val="single" w:color="auto" w:sz="8" w:space="0"/>
            </w:tcBorders>
            <w:vAlign w:val="center"/>
          </w:tcPr>
          <w:p w14:paraId="281A0E42">
            <w:pPr>
              <w:widowControl/>
              <w:jc w:val="left"/>
              <w:rPr>
                <w:rFonts w:hint="eastAsia" w:cs="宋体"/>
                <w:b/>
                <w:bCs/>
                <w:color w:val="000000"/>
                <w:kern w:val="0"/>
                <w:szCs w:val="21"/>
                <w:highlight w:val="none"/>
              </w:rPr>
            </w:pPr>
          </w:p>
        </w:tc>
        <w:tc>
          <w:tcPr>
            <w:tcW w:w="1559" w:type="dxa"/>
            <w:vMerge w:val="continue"/>
            <w:tcBorders>
              <w:top w:val="nil"/>
              <w:left w:val="single" w:color="auto" w:sz="8" w:space="0"/>
              <w:bottom w:val="single" w:color="000000" w:sz="8" w:space="0"/>
              <w:right w:val="single" w:color="auto" w:sz="8" w:space="0"/>
            </w:tcBorders>
            <w:vAlign w:val="center"/>
          </w:tcPr>
          <w:p w14:paraId="0AA1B03A">
            <w:pPr>
              <w:widowControl/>
              <w:jc w:val="left"/>
              <w:rPr>
                <w:rFonts w:hint="eastAsia" w:cs="宋体"/>
                <w:b/>
                <w:bCs/>
                <w:color w:val="000000"/>
                <w:kern w:val="0"/>
                <w:szCs w:val="21"/>
                <w:highlight w:val="none"/>
              </w:rPr>
            </w:pPr>
          </w:p>
        </w:tc>
        <w:tc>
          <w:tcPr>
            <w:tcW w:w="3645" w:type="dxa"/>
            <w:tcBorders>
              <w:top w:val="nil"/>
              <w:left w:val="nil"/>
              <w:bottom w:val="single" w:color="auto" w:sz="8" w:space="0"/>
              <w:right w:val="single" w:color="auto" w:sz="8" w:space="0"/>
            </w:tcBorders>
            <w:shd w:val="clear" w:color="auto" w:fill="auto"/>
            <w:noWrap/>
            <w:vAlign w:val="center"/>
          </w:tcPr>
          <w:p w14:paraId="77F26806">
            <w:pPr>
              <w:widowControl/>
              <w:jc w:val="left"/>
              <w:rPr>
                <w:rFonts w:hint="eastAsia" w:cs="宋体"/>
                <w:color w:val="000000"/>
                <w:kern w:val="0"/>
                <w:szCs w:val="21"/>
                <w:highlight w:val="none"/>
              </w:rPr>
            </w:pPr>
            <w:r>
              <w:rPr>
                <w:rFonts w:hint="eastAsia" w:cs="宋体"/>
                <w:color w:val="000000"/>
                <w:kern w:val="0"/>
                <w:szCs w:val="21"/>
                <w:highlight w:val="none"/>
              </w:rPr>
              <w:t>电子签名</w:t>
            </w:r>
          </w:p>
        </w:tc>
        <w:tc>
          <w:tcPr>
            <w:tcW w:w="749" w:type="dxa"/>
            <w:gridSpan w:val="2"/>
            <w:tcBorders>
              <w:top w:val="nil"/>
              <w:left w:val="nil"/>
              <w:bottom w:val="single" w:color="auto" w:sz="8" w:space="0"/>
              <w:right w:val="single" w:color="auto" w:sz="8" w:space="0"/>
            </w:tcBorders>
            <w:shd w:val="clear" w:color="auto" w:fill="auto"/>
            <w:noWrap/>
            <w:vAlign w:val="center"/>
          </w:tcPr>
          <w:p w14:paraId="298DAEE8">
            <w:pPr>
              <w:widowControl/>
              <w:jc w:val="center"/>
              <w:rPr>
                <w:rFonts w:hint="eastAsia" w:cs="宋体"/>
                <w:color w:val="000000"/>
                <w:kern w:val="0"/>
                <w:szCs w:val="21"/>
                <w:highlight w:val="none"/>
              </w:rPr>
            </w:pPr>
            <w:r>
              <w:rPr>
                <w:rFonts w:hint="eastAsia" w:cs="宋体"/>
                <w:color w:val="000000"/>
                <w:kern w:val="0"/>
                <w:szCs w:val="21"/>
                <w:highlight w:val="none"/>
              </w:rPr>
              <w:t>　</w:t>
            </w:r>
          </w:p>
        </w:tc>
      </w:tr>
      <w:tr w14:paraId="77A076C8">
        <w:tblPrEx>
          <w:tblCellMar>
            <w:top w:w="0" w:type="dxa"/>
            <w:left w:w="108" w:type="dxa"/>
            <w:bottom w:w="0" w:type="dxa"/>
            <w:right w:w="108" w:type="dxa"/>
          </w:tblCellMar>
        </w:tblPrEx>
        <w:trPr>
          <w:trHeight w:val="276" w:hRule="atLeast"/>
        </w:trPr>
        <w:tc>
          <w:tcPr>
            <w:tcW w:w="557" w:type="dxa"/>
            <w:tcBorders>
              <w:top w:val="nil"/>
              <w:left w:val="single" w:color="auto" w:sz="8" w:space="0"/>
              <w:bottom w:val="single" w:color="auto" w:sz="8" w:space="0"/>
              <w:right w:val="single" w:color="auto" w:sz="8" w:space="0"/>
            </w:tcBorders>
            <w:shd w:val="clear" w:color="auto" w:fill="auto"/>
            <w:noWrap/>
            <w:vAlign w:val="center"/>
          </w:tcPr>
          <w:p w14:paraId="18E176CC">
            <w:pPr>
              <w:widowControl/>
              <w:jc w:val="right"/>
              <w:rPr>
                <w:rFonts w:hint="eastAsia"/>
                <w:color w:val="000000"/>
                <w:kern w:val="0"/>
                <w:szCs w:val="21"/>
                <w:highlight w:val="none"/>
              </w:rPr>
            </w:pPr>
            <w:r>
              <w:rPr>
                <w:color w:val="000000"/>
                <w:kern w:val="0"/>
                <w:szCs w:val="21"/>
                <w:highlight w:val="none"/>
              </w:rPr>
              <w:t>137</w:t>
            </w:r>
          </w:p>
        </w:tc>
        <w:tc>
          <w:tcPr>
            <w:tcW w:w="2127" w:type="dxa"/>
            <w:tcBorders>
              <w:top w:val="nil"/>
              <w:left w:val="nil"/>
              <w:bottom w:val="single" w:color="auto" w:sz="8" w:space="0"/>
              <w:right w:val="single" w:color="auto" w:sz="8" w:space="0"/>
            </w:tcBorders>
            <w:shd w:val="clear" w:color="auto" w:fill="auto"/>
            <w:vAlign w:val="center"/>
          </w:tcPr>
          <w:p w14:paraId="1C9738B8">
            <w:pPr>
              <w:widowControl/>
              <w:jc w:val="center"/>
              <w:rPr>
                <w:rFonts w:hint="eastAsia" w:cs="宋体"/>
                <w:b/>
                <w:bCs/>
                <w:color w:val="000000"/>
                <w:kern w:val="0"/>
                <w:szCs w:val="21"/>
                <w:highlight w:val="none"/>
              </w:rPr>
            </w:pPr>
            <w:r>
              <w:rPr>
                <w:rFonts w:hint="eastAsia" w:cs="宋体"/>
                <w:b/>
                <w:bCs/>
                <w:color w:val="000000"/>
                <w:kern w:val="0"/>
                <w:szCs w:val="21"/>
                <w:highlight w:val="none"/>
              </w:rPr>
              <w:t>临床决策支持系统</w:t>
            </w:r>
          </w:p>
        </w:tc>
        <w:tc>
          <w:tcPr>
            <w:tcW w:w="5247" w:type="dxa"/>
            <w:gridSpan w:val="3"/>
            <w:tcBorders>
              <w:top w:val="single" w:color="auto" w:sz="8" w:space="0"/>
              <w:left w:val="nil"/>
              <w:bottom w:val="single" w:color="auto" w:sz="8" w:space="0"/>
              <w:right w:val="single" w:color="000000" w:sz="8" w:space="0"/>
            </w:tcBorders>
            <w:shd w:val="clear" w:color="auto" w:fill="auto"/>
            <w:vAlign w:val="center"/>
          </w:tcPr>
          <w:p w14:paraId="70679EB1">
            <w:pPr>
              <w:widowControl/>
              <w:jc w:val="center"/>
              <w:rPr>
                <w:rFonts w:hint="eastAsia" w:cs="宋体"/>
                <w:b/>
                <w:bCs/>
                <w:color w:val="000000"/>
                <w:kern w:val="0"/>
                <w:szCs w:val="21"/>
                <w:highlight w:val="none"/>
              </w:rPr>
            </w:pPr>
            <w:r>
              <w:rPr>
                <w:rFonts w:hint="eastAsia" w:cs="宋体"/>
                <w:b/>
                <w:bCs/>
                <w:color w:val="000000"/>
                <w:kern w:val="0"/>
                <w:szCs w:val="21"/>
                <w:highlight w:val="none"/>
              </w:rPr>
              <w:t>临床决策支持系统</w:t>
            </w:r>
            <w:r>
              <w:rPr>
                <w:rFonts w:cs="Calibri"/>
                <w:b/>
                <w:bCs/>
                <w:color w:val="000000"/>
                <w:kern w:val="0"/>
                <w:szCs w:val="21"/>
                <w:highlight w:val="none"/>
              </w:rPr>
              <w:t>(CDSS)</w:t>
            </w:r>
          </w:p>
        </w:tc>
        <w:tc>
          <w:tcPr>
            <w:tcW w:w="763" w:type="dxa"/>
            <w:gridSpan w:val="2"/>
            <w:tcBorders>
              <w:top w:val="nil"/>
              <w:left w:val="nil"/>
              <w:bottom w:val="single" w:color="auto" w:sz="8" w:space="0"/>
              <w:right w:val="single" w:color="auto" w:sz="8" w:space="0"/>
            </w:tcBorders>
            <w:shd w:val="clear" w:color="auto" w:fill="auto"/>
            <w:noWrap/>
            <w:vAlign w:val="center"/>
          </w:tcPr>
          <w:p w14:paraId="523FE0D0">
            <w:pPr>
              <w:widowControl/>
              <w:jc w:val="center"/>
              <w:rPr>
                <w:rFonts w:hint="eastAsia" w:cs="宋体"/>
                <w:color w:val="000000"/>
                <w:kern w:val="0"/>
                <w:szCs w:val="21"/>
                <w:highlight w:val="none"/>
              </w:rPr>
            </w:pPr>
            <w:r>
              <w:rPr>
                <w:rFonts w:hint="eastAsia" w:cs="宋体"/>
                <w:color w:val="000000"/>
                <w:kern w:val="0"/>
                <w:szCs w:val="21"/>
                <w:highlight w:val="none"/>
              </w:rPr>
              <w:t>　</w:t>
            </w:r>
          </w:p>
        </w:tc>
      </w:tr>
      <w:bookmarkEnd w:id="62"/>
    </w:tbl>
    <w:p w14:paraId="61F9D416">
      <w:pPr>
        <w:rPr>
          <w:rFonts w:hint="eastAsia"/>
          <w:highlight w:val="none"/>
        </w:rPr>
      </w:pPr>
    </w:p>
    <w:p w14:paraId="484A2C87">
      <w:pPr>
        <w:rPr>
          <w:rFonts w:hint="eastAsia"/>
          <w:szCs w:val="21"/>
          <w:highlight w:val="none"/>
          <w:shd w:val="clear" w:color="auto" w:fill="FFFF00"/>
        </w:rPr>
      </w:pPr>
    </w:p>
    <w:p w14:paraId="609B1D65">
      <w:pPr>
        <w:rPr>
          <w:rFonts w:hint="eastAsia"/>
          <w:szCs w:val="21"/>
          <w:highlight w:val="none"/>
        </w:rPr>
      </w:pPr>
    </w:p>
    <w:p w14:paraId="7F1F9299">
      <w:pPr>
        <w:rPr>
          <w:rFonts w:hint="eastAsia"/>
          <w:highlight w:val="none"/>
        </w:rPr>
      </w:pPr>
      <w:r>
        <w:rPr>
          <w:rFonts w:cs="微软雅黑"/>
          <w:color w:val="000000"/>
          <w:szCs w:val="21"/>
          <w:highlight w:val="none"/>
          <w:shd w:val="clear" w:color="auto" w:fill="FFFFFF"/>
        </w:rPr>
        <w:br w:type="page"/>
      </w:r>
    </w:p>
    <w:p w14:paraId="6A15FF18">
      <w:pPr>
        <w:pStyle w:val="2"/>
        <w:rPr>
          <w:rFonts w:hint="eastAsia" w:ascii="宋体" w:hAnsi="宋体"/>
          <w:sz w:val="28"/>
          <w:szCs w:val="28"/>
          <w:highlight w:val="none"/>
        </w:rPr>
      </w:pPr>
      <w:r>
        <w:rPr>
          <w:rFonts w:hint="eastAsia" w:ascii="宋体" w:hAnsi="宋体"/>
          <w:sz w:val="28"/>
          <w:szCs w:val="28"/>
          <w:highlight w:val="none"/>
        </w:rPr>
        <w:t>技术功能参数要求</w:t>
      </w:r>
      <w:bookmarkEnd w:id="0"/>
      <w:r>
        <w:rPr>
          <w:rFonts w:hint="eastAsia" w:ascii="宋体" w:hAnsi="宋体"/>
          <w:sz w:val="28"/>
          <w:szCs w:val="28"/>
          <w:highlight w:val="none"/>
        </w:rPr>
        <w:t>（一级目录）</w:t>
      </w:r>
    </w:p>
    <w:p w14:paraId="68E81E66">
      <w:pPr>
        <w:pStyle w:val="3"/>
        <w:rPr>
          <w:rFonts w:hint="eastAsia" w:ascii="宋体" w:hAnsi="宋体"/>
          <w:sz w:val="21"/>
          <w:szCs w:val="21"/>
          <w:highlight w:val="none"/>
        </w:rPr>
      </w:pPr>
      <w:bookmarkStart w:id="63" w:name="_Toc32421"/>
      <w:r>
        <w:rPr>
          <w:rFonts w:hint="eastAsia" w:ascii="宋体" w:hAnsi="宋体"/>
          <w:sz w:val="21"/>
          <w:szCs w:val="21"/>
          <w:highlight w:val="none"/>
        </w:rPr>
        <w:t>医院信息系统（HIS）升级（二级目录）</w:t>
      </w:r>
    </w:p>
    <w:p w14:paraId="2BE3115D">
      <w:pPr>
        <w:pStyle w:val="4"/>
        <w:rPr>
          <w:rFonts w:hint="eastAsia" w:ascii="宋体" w:hAnsi="宋体"/>
          <w:sz w:val="21"/>
          <w:szCs w:val="21"/>
          <w:highlight w:val="none"/>
        </w:rPr>
      </w:pPr>
      <w:r>
        <w:rPr>
          <w:rFonts w:hint="eastAsia" w:ascii="宋体" w:hAnsi="宋体"/>
          <w:sz w:val="21"/>
          <w:szCs w:val="21"/>
          <w:highlight w:val="none"/>
        </w:rPr>
        <w:t>门诊管理（三级目录）</w:t>
      </w:r>
    </w:p>
    <w:p w14:paraId="411DDC40">
      <w:pPr>
        <w:pStyle w:val="5"/>
        <w:rPr>
          <w:rFonts w:hint="eastAsia" w:ascii="宋体" w:hAnsi="宋体" w:eastAsia="宋体"/>
          <w:sz w:val="21"/>
          <w:szCs w:val="21"/>
          <w:highlight w:val="none"/>
        </w:rPr>
      </w:pPr>
      <w:bookmarkStart w:id="64" w:name="_Toc15125"/>
      <w:r>
        <w:rPr>
          <w:rFonts w:hint="eastAsia" w:ascii="宋体" w:hAnsi="宋体" w:eastAsia="宋体"/>
          <w:sz w:val="21"/>
          <w:szCs w:val="21"/>
          <w:highlight w:val="none"/>
        </w:rPr>
        <w:t>门急诊挂号收费系统</w:t>
      </w:r>
      <w:bookmarkEnd w:id="64"/>
      <w:r>
        <w:rPr>
          <w:rFonts w:hint="eastAsia" w:ascii="宋体" w:hAnsi="宋体" w:eastAsia="宋体"/>
          <w:sz w:val="21"/>
          <w:szCs w:val="21"/>
          <w:highlight w:val="none"/>
        </w:rPr>
        <w:t>（四级目录）</w:t>
      </w:r>
    </w:p>
    <w:p w14:paraId="31975752">
      <w:pPr>
        <w:rPr>
          <w:rFonts w:hint="eastAsia"/>
          <w:szCs w:val="21"/>
          <w:highlight w:val="none"/>
        </w:rPr>
      </w:pPr>
      <w:r>
        <w:rPr>
          <w:rFonts w:hint="eastAsia"/>
          <w:szCs w:val="21"/>
          <w:highlight w:val="none"/>
        </w:rPr>
        <w:t>要求支持患者在医院使用身份证等相关证件实名制登记建档，完成门急诊患者基本信息的登记、修改和维护。支持现场挂号、预约挂号、复诊挂号、分时段挂号等形式。提供门急诊患者费用处理功能，完成门急诊患者的挂号工作。支持门急诊患者交预交金、划价收费、费用结算、票据管理、担保管理的业务处理。</w:t>
      </w:r>
    </w:p>
    <w:p w14:paraId="15FDB6FD">
      <w:pPr>
        <w:rPr>
          <w:rFonts w:hint="eastAsia"/>
          <w:szCs w:val="21"/>
          <w:highlight w:val="none"/>
        </w:rPr>
      </w:pPr>
      <w:r>
        <w:rPr>
          <w:rFonts w:hint="eastAsia"/>
          <w:szCs w:val="21"/>
          <w:highlight w:val="none"/>
        </w:rPr>
        <w:t>具体要求如下：</w:t>
      </w:r>
    </w:p>
    <w:p w14:paraId="4161C55A">
      <w:pPr>
        <w:pStyle w:val="117"/>
        <w:numPr>
          <w:ilvl w:val="0"/>
          <w:numId w:val="3"/>
        </w:numPr>
        <w:spacing w:line="360" w:lineRule="auto"/>
        <w:ind w:firstLineChars="0"/>
        <w:rPr>
          <w:rFonts w:hint="eastAsia" w:ascii="宋体" w:hAnsi="宋体"/>
          <w:szCs w:val="21"/>
          <w:highlight w:val="none"/>
        </w:rPr>
      </w:pPr>
      <w:r>
        <w:rPr>
          <w:rFonts w:hint="eastAsia" w:ascii="宋体" w:hAnsi="宋体"/>
          <w:szCs w:val="21"/>
          <w:highlight w:val="none"/>
        </w:rPr>
        <w:t>注册登记</w:t>
      </w:r>
      <w:r>
        <w:rPr>
          <w:rFonts w:ascii="宋体" w:hAnsi="宋体"/>
          <w:szCs w:val="21"/>
          <w:highlight w:val="none"/>
        </w:rPr>
        <w:t>/</w:t>
      </w:r>
      <w:r>
        <w:rPr>
          <w:rFonts w:hint="eastAsia" w:ascii="宋体" w:hAnsi="宋体"/>
          <w:szCs w:val="21"/>
          <w:highlight w:val="none"/>
        </w:rPr>
        <w:t>实名建档</w:t>
      </w:r>
    </w:p>
    <w:p w14:paraId="5EDCE56F">
      <w:pPr>
        <w:rPr>
          <w:rFonts w:hint="eastAsia"/>
          <w:szCs w:val="21"/>
          <w:highlight w:val="none"/>
        </w:rPr>
      </w:pPr>
      <w:r>
        <w:rPr>
          <w:rFonts w:hint="eastAsia"/>
          <w:szCs w:val="21"/>
          <w:highlight w:val="none"/>
        </w:rPr>
        <w:t>要求支持患者通过就诊卡、身份证、居民健康卡、社会保障卡、金融IC卡、市民服务卡等读取患者的基本信息。</w:t>
      </w:r>
    </w:p>
    <w:p w14:paraId="5B5AC810">
      <w:pPr>
        <w:rPr>
          <w:rFonts w:hint="eastAsia"/>
          <w:szCs w:val="21"/>
          <w:highlight w:val="none"/>
        </w:rPr>
      </w:pPr>
      <w:r>
        <w:rPr>
          <w:rFonts w:hint="eastAsia"/>
          <w:szCs w:val="21"/>
          <w:highlight w:val="none"/>
        </w:rPr>
        <w:t>要求支持对已注册患者部分信息录入存在问题时允许在此进行修改更新。</w:t>
      </w:r>
    </w:p>
    <w:p w14:paraId="44B9E780">
      <w:pPr>
        <w:pStyle w:val="117"/>
        <w:numPr>
          <w:ilvl w:val="0"/>
          <w:numId w:val="3"/>
        </w:numPr>
        <w:spacing w:line="360" w:lineRule="auto"/>
        <w:ind w:firstLineChars="0"/>
        <w:rPr>
          <w:rFonts w:hint="eastAsia" w:ascii="宋体" w:hAnsi="宋体"/>
          <w:szCs w:val="21"/>
          <w:highlight w:val="none"/>
        </w:rPr>
      </w:pPr>
      <w:r>
        <w:rPr>
          <w:rFonts w:hint="eastAsia" w:ascii="宋体" w:hAnsi="宋体"/>
          <w:szCs w:val="21"/>
          <w:highlight w:val="none"/>
        </w:rPr>
        <w:t>就诊卡管理</w:t>
      </w:r>
    </w:p>
    <w:p w14:paraId="2AF3039A">
      <w:pPr>
        <w:rPr>
          <w:rFonts w:hint="eastAsia"/>
          <w:szCs w:val="21"/>
          <w:highlight w:val="none"/>
        </w:rPr>
      </w:pPr>
      <w:r>
        <w:rPr>
          <w:rFonts w:hint="eastAsia"/>
          <w:szCs w:val="21"/>
          <w:highlight w:val="none"/>
        </w:rPr>
        <w:t>患者入院注册后提供就诊卡，根据就诊卡进行就诊。包括换卡、补卡、挂失、就诊卡修改记录功能。</w:t>
      </w:r>
    </w:p>
    <w:p w14:paraId="47DDE637">
      <w:pPr>
        <w:pStyle w:val="117"/>
        <w:numPr>
          <w:ilvl w:val="0"/>
          <w:numId w:val="3"/>
        </w:numPr>
        <w:spacing w:line="360" w:lineRule="auto"/>
        <w:ind w:firstLineChars="0"/>
        <w:rPr>
          <w:rFonts w:hint="eastAsia" w:ascii="宋体" w:hAnsi="宋体"/>
          <w:szCs w:val="21"/>
          <w:highlight w:val="none"/>
        </w:rPr>
      </w:pPr>
      <w:r>
        <w:rPr>
          <w:rFonts w:hint="eastAsia" w:ascii="宋体" w:hAnsi="宋体"/>
          <w:szCs w:val="21"/>
          <w:highlight w:val="none"/>
        </w:rPr>
        <w:t>挂号服务</w:t>
      </w:r>
    </w:p>
    <w:p w14:paraId="26D59975">
      <w:pPr>
        <w:rPr>
          <w:rFonts w:hint="eastAsia"/>
          <w:szCs w:val="21"/>
          <w:highlight w:val="none"/>
        </w:rPr>
      </w:pPr>
      <w:r>
        <w:rPr>
          <w:rFonts w:hint="eastAsia"/>
          <w:szCs w:val="21"/>
          <w:highlight w:val="none"/>
        </w:rPr>
        <w:t>要求支持支持患者通过就诊卡、身份证、居民健康卡、社会保障卡、金融IC卡、市民服务卡等读取患者的身份信息，通过患者信息匹配办理就诊卡号相关联，为患者建档发卡，再根据患者基本情况为患者进行相应科室的挂号。包括注册挂号、挂号结算、挂号费用查询、退号功能。</w:t>
      </w:r>
    </w:p>
    <w:p w14:paraId="6B6CF04C">
      <w:pPr>
        <w:pStyle w:val="117"/>
        <w:numPr>
          <w:ilvl w:val="0"/>
          <w:numId w:val="3"/>
        </w:numPr>
        <w:spacing w:line="360" w:lineRule="auto"/>
        <w:ind w:firstLineChars="0"/>
        <w:rPr>
          <w:rFonts w:hint="eastAsia" w:ascii="宋体" w:hAnsi="宋体"/>
          <w:szCs w:val="21"/>
          <w:highlight w:val="none"/>
        </w:rPr>
      </w:pPr>
      <w:r>
        <w:rPr>
          <w:rFonts w:hint="eastAsia" w:ascii="宋体" w:hAnsi="宋体"/>
          <w:szCs w:val="21"/>
          <w:highlight w:val="none"/>
        </w:rPr>
        <w:t>门诊收费与结算</w:t>
      </w:r>
    </w:p>
    <w:p w14:paraId="4D4B88CC">
      <w:pPr>
        <w:rPr>
          <w:rFonts w:hint="eastAsia"/>
          <w:szCs w:val="21"/>
          <w:highlight w:val="none"/>
        </w:rPr>
      </w:pPr>
      <w:r>
        <w:rPr>
          <w:rFonts w:hint="eastAsia"/>
          <w:szCs w:val="21"/>
          <w:highlight w:val="none"/>
        </w:rPr>
        <w:t>要求提供门急诊患者费用处理功能，支持门急诊患者交预交金、费用处理业务处理。包括收预交金、退预交金、预交金查询、共享预交金、门诊结算、门诊费用清单、门诊费别转换、统一支付查询、门诊退费管理、门诊结账功能。</w:t>
      </w:r>
    </w:p>
    <w:p w14:paraId="65CBD73E">
      <w:pPr>
        <w:pStyle w:val="5"/>
        <w:rPr>
          <w:rFonts w:hint="eastAsia" w:ascii="宋体" w:hAnsi="宋体" w:eastAsia="宋体"/>
          <w:sz w:val="21"/>
          <w:szCs w:val="21"/>
          <w:highlight w:val="none"/>
        </w:rPr>
      </w:pPr>
      <w:bookmarkStart w:id="65" w:name="_Toc31308"/>
      <w:r>
        <w:rPr>
          <w:rFonts w:hint="eastAsia" w:ascii="宋体" w:hAnsi="宋体" w:eastAsia="宋体"/>
          <w:sz w:val="21"/>
          <w:szCs w:val="21"/>
          <w:highlight w:val="none"/>
        </w:rPr>
        <w:t>门诊医生工作站</w:t>
      </w:r>
      <w:bookmarkEnd w:id="65"/>
    </w:p>
    <w:p w14:paraId="580D5D42">
      <w:pPr>
        <w:rPr>
          <w:rFonts w:hint="eastAsia"/>
          <w:szCs w:val="21"/>
          <w:highlight w:val="none"/>
        </w:rPr>
      </w:pPr>
      <w:r>
        <w:rPr>
          <w:rFonts w:hint="eastAsia"/>
          <w:szCs w:val="21"/>
          <w:highlight w:val="none"/>
        </w:rPr>
        <w:t>要求实现门急诊处方、检查、检验、治疗、手术等处方和处置的全流程管理。具体功能包括：处方和处置的录入、审核、分析等。所有处方处置录入和处理时显示患者支付方式、医保信息、药物过敏等标志。支持 自由文本方式或结构化等多种方式录入、复制历史处方处置记录、处方处置合理性检查、处方处置费用实时自动计算、健康档案信息调阅、医保政策查询、合规性自动检查和提示功能。可以在门诊医生站进行诊间医技预约、床位预约等操作。</w:t>
      </w:r>
    </w:p>
    <w:p w14:paraId="13BF90DC">
      <w:pPr>
        <w:rPr>
          <w:rFonts w:hint="eastAsia"/>
          <w:szCs w:val="21"/>
          <w:highlight w:val="none"/>
        </w:rPr>
      </w:pPr>
      <w:r>
        <w:rPr>
          <w:szCs w:val="21"/>
          <w:highlight w:val="none"/>
        </w:rPr>
        <w:t>1.通用功能</w:t>
      </w:r>
    </w:p>
    <w:p w14:paraId="37250045">
      <w:pPr>
        <w:rPr>
          <w:rFonts w:hint="eastAsia"/>
          <w:szCs w:val="21"/>
          <w:highlight w:val="none"/>
        </w:rPr>
      </w:pPr>
      <w:r>
        <w:rPr>
          <w:rFonts w:hint="eastAsia"/>
          <w:szCs w:val="21"/>
          <w:highlight w:val="none"/>
        </w:rPr>
        <w:t>所有处方处置录入和处理时显示患者支付方式、医保信息、药物过敏等标志。支持自由文本方式或结构化等多种方式录入、复制历史处方处置记录、处方处置合理性检查、处方处置费用实时自动计算、健康档案信息调阅、医保政策查询、合规性自动检查和提示功能。</w:t>
      </w:r>
    </w:p>
    <w:p w14:paraId="21882153">
      <w:pPr>
        <w:rPr>
          <w:rFonts w:hint="eastAsia"/>
          <w:szCs w:val="21"/>
          <w:highlight w:val="none"/>
        </w:rPr>
      </w:pPr>
      <w:r>
        <w:rPr>
          <w:rFonts w:hint="eastAsia"/>
          <w:szCs w:val="21"/>
          <w:highlight w:val="none"/>
        </w:rPr>
        <w:t>▲</w:t>
      </w:r>
      <w:r>
        <w:rPr>
          <w:rFonts w:hint="eastAsia"/>
          <w:b/>
          <w:bCs/>
          <w:szCs w:val="21"/>
          <w:highlight w:val="none"/>
        </w:rPr>
        <w:t>提供患者黑名单登记和提醒功能。对有精神病史、攻击性、高危传染病、财务警告及其他不良事件的患者可进行人工或自动登记，接诊时自动给与警示。（要求提供符合以上功能说明的产品截图）</w:t>
      </w:r>
    </w:p>
    <w:p w14:paraId="7E7320D9">
      <w:pPr>
        <w:rPr>
          <w:rFonts w:hint="eastAsia"/>
          <w:szCs w:val="21"/>
          <w:highlight w:val="none"/>
        </w:rPr>
      </w:pPr>
      <w:r>
        <w:rPr>
          <w:szCs w:val="21"/>
          <w:highlight w:val="none"/>
        </w:rPr>
        <w:t>2.处方录入</w:t>
      </w:r>
    </w:p>
    <w:p w14:paraId="21C031C6">
      <w:pPr>
        <w:rPr>
          <w:rFonts w:hint="eastAsia"/>
          <w:szCs w:val="21"/>
          <w:highlight w:val="none"/>
        </w:rPr>
      </w:pPr>
      <w:r>
        <w:rPr>
          <w:rFonts w:hint="eastAsia"/>
          <w:szCs w:val="21"/>
          <w:highlight w:val="none"/>
        </w:rPr>
        <w:t>支持药品处方录入，包括药品名称、剂型、规格、剂量、使用频次、天数、给药途径、数量、滴速、录入时间、使用备注、执行药房、皮试类型等内容。自动获取和显示药品字典信息。可以引用模板、常用项目、历史处方等数据开具处方。</w:t>
      </w:r>
    </w:p>
    <w:p w14:paraId="65424607">
      <w:pPr>
        <w:rPr>
          <w:rFonts w:hint="eastAsia"/>
          <w:szCs w:val="21"/>
          <w:highlight w:val="none"/>
        </w:rPr>
      </w:pPr>
      <w:r>
        <w:rPr>
          <w:szCs w:val="21"/>
          <w:highlight w:val="none"/>
        </w:rPr>
        <w:t>3.检验申请</w:t>
      </w:r>
    </w:p>
    <w:p w14:paraId="3A857739">
      <w:pPr>
        <w:rPr>
          <w:rFonts w:hint="eastAsia"/>
          <w:szCs w:val="21"/>
          <w:highlight w:val="none"/>
        </w:rPr>
      </w:pPr>
      <w:r>
        <w:rPr>
          <w:rFonts w:hint="eastAsia"/>
          <w:szCs w:val="21"/>
          <w:highlight w:val="none"/>
        </w:rPr>
        <w:t>自动获取和显示检验项目字典信息，包括项目名称、取材部位、标本材料、价格、医保费用类别等信息。录入检验申请时自动获取患者的基本信息和临床诊疗信息，包括历史检验结果、其他医疗卫生机构检验结果和报告。支持检验申请加急、重复检验项目提醒、检验申请执行状态查询、检验项目的参考知识、检验结果与报告数据获取等。支持模板和常用项目，历史处方引用录入。</w:t>
      </w:r>
    </w:p>
    <w:p w14:paraId="2D3BA923">
      <w:pPr>
        <w:rPr>
          <w:rFonts w:hint="eastAsia"/>
          <w:szCs w:val="21"/>
          <w:highlight w:val="none"/>
        </w:rPr>
      </w:pPr>
      <w:r>
        <w:rPr>
          <w:szCs w:val="21"/>
          <w:highlight w:val="none"/>
        </w:rPr>
        <w:t>4.检查申请</w:t>
      </w:r>
    </w:p>
    <w:p w14:paraId="64D47EFA">
      <w:pPr>
        <w:rPr>
          <w:rFonts w:hint="eastAsia"/>
          <w:szCs w:val="21"/>
          <w:highlight w:val="none"/>
        </w:rPr>
      </w:pPr>
      <w:r>
        <w:rPr>
          <w:rFonts w:hint="eastAsia"/>
          <w:szCs w:val="21"/>
          <w:highlight w:val="none"/>
        </w:rPr>
        <w:t>自动获取和显示检查项目字典信息，包括项目名称、检查部位、价格、医保费用类别等信息。录入申请时自动获取患者的基本信息和临床诊疗信息，包括历史检查结果、其他医疗卫生机构检查结果和报告。支持申请检查加急、重复检查项目提醒、检查申请执行状态查询、提供检查项目的参考知识、检查报告和图像查阅等支持查阅报告时，根据结果和患者诊断、生理指标、历史检查结果对比等自动检查并给出提示。</w:t>
      </w:r>
    </w:p>
    <w:p w14:paraId="47181FCD">
      <w:pPr>
        <w:rPr>
          <w:rFonts w:hint="eastAsia"/>
          <w:szCs w:val="21"/>
          <w:highlight w:val="none"/>
        </w:rPr>
      </w:pPr>
      <w:r>
        <w:rPr>
          <w:szCs w:val="21"/>
          <w:highlight w:val="none"/>
        </w:rPr>
        <w:t>5.手术、治疗申请</w:t>
      </w:r>
    </w:p>
    <w:p w14:paraId="0388D34B">
      <w:pPr>
        <w:rPr>
          <w:rFonts w:hint="eastAsia"/>
          <w:szCs w:val="21"/>
          <w:highlight w:val="none"/>
        </w:rPr>
      </w:pPr>
      <w:r>
        <w:rPr>
          <w:rFonts w:hint="eastAsia"/>
          <w:szCs w:val="21"/>
          <w:highlight w:val="none"/>
        </w:rPr>
        <w:t>自动获取和显示手术、治疗项目字典信息，包括项目名称、价格、医保费用类别等信息。支持录入申请时自动获取患者的基本信息和临床诊疗信息，包括历史手术记录和治疗报告、其他医疗卫生机构手术记录和治疗报告。支持申请加急、重复项目提示、申请执行状态查询、项目的参考知识、报告查阅等。</w:t>
      </w:r>
    </w:p>
    <w:p w14:paraId="331E933A">
      <w:pPr>
        <w:rPr>
          <w:rFonts w:hint="eastAsia"/>
          <w:szCs w:val="21"/>
          <w:highlight w:val="none"/>
        </w:rPr>
      </w:pPr>
      <w:r>
        <w:rPr>
          <w:szCs w:val="21"/>
          <w:highlight w:val="none"/>
        </w:rPr>
        <w:t>6.处方处置模板</w:t>
      </w:r>
    </w:p>
    <w:p w14:paraId="3702EDA4">
      <w:pPr>
        <w:rPr>
          <w:rFonts w:hint="eastAsia"/>
          <w:szCs w:val="21"/>
          <w:highlight w:val="none"/>
        </w:rPr>
      </w:pPr>
      <w:r>
        <w:rPr>
          <w:rFonts w:hint="eastAsia"/>
          <w:szCs w:val="21"/>
          <w:highlight w:val="none"/>
        </w:rPr>
        <w:t>支持处方处置模板的创建、修改和删除。处方处置模板的权限分类管理，包括公共模板、部门模板和个人模板。可根据处方处置内容生成新模板。</w:t>
      </w:r>
    </w:p>
    <w:p w14:paraId="066370B1">
      <w:pPr>
        <w:rPr>
          <w:rFonts w:hint="eastAsia"/>
          <w:szCs w:val="21"/>
          <w:highlight w:val="none"/>
        </w:rPr>
      </w:pPr>
      <w:r>
        <w:rPr>
          <w:szCs w:val="21"/>
          <w:highlight w:val="none"/>
        </w:rPr>
        <w:t>7.处方审核</w:t>
      </w:r>
    </w:p>
    <w:p w14:paraId="2FE6EE0C">
      <w:pPr>
        <w:rPr>
          <w:rFonts w:hint="eastAsia"/>
          <w:szCs w:val="21"/>
          <w:highlight w:val="none"/>
        </w:rPr>
      </w:pPr>
      <w:r>
        <w:rPr>
          <w:rFonts w:hint="eastAsia"/>
          <w:szCs w:val="21"/>
          <w:highlight w:val="none"/>
        </w:rPr>
        <w:t>录入处方时对相关药品资料信息查询，并可对医嘱进行药物过敏史、药物相互作用、禁忌证、副作用等审查来协助医生正确筛选药物和确定医嘱，并在发现问题时进行提醒和纠正。</w:t>
      </w:r>
    </w:p>
    <w:p w14:paraId="49472198">
      <w:pPr>
        <w:rPr>
          <w:rFonts w:hint="eastAsia"/>
          <w:szCs w:val="21"/>
          <w:highlight w:val="none"/>
        </w:rPr>
      </w:pPr>
      <w:r>
        <w:rPr>
          <w:szCs w:val="21"/>
          <w:highlight w:val="none"/>
        </w:rPr>
        <w:t>8.输血申请单</w:t>
      </w:r>
    </w:p>
    <w:p w14:paraId="48E098E3">
      <w:pPr>
        <w:rPr>
          <w:rFonts w:hint="eastAsia"/>
          <w:szCs w:val="21"/>
          <w:highlight w:val="none"/>
        </w:rPr>
      </w:pPr>
      <w:r>
        <w:rPr>
          <w:rFonts w:hint="eastAsia"/>
          <w:szCs w:val="21"/>
          <w:highlight w:val="none"/>
        </w:rPr>
        <w:t>电子化的输血申请单流程管理，包括输血治疗知情同意书、临床输血申请单、取血单、输血记录单和患者输血不良反应单等表单的录入，记录和日志管理等。</w:t>
      </w:r>
    </w:p>
    <w:p w14:paraId="6B56200B">
      <w:pPr>
        <w:rPr>
          <w:rFonts w:hint="eastAsia"/>
          <w:szCs w:val="21"/>
          <w:highlight w:val="none"/>
        </w:rPr>
      </w:pPr>
      <w:r>
        <w:rPr>
          <w:szCs w:val="21"/>
          <w:highlight w:val="none"/>
        </w:rPr>
        <w:t>9.处方和处置分析</w:t>
      </w:r>
    </w:p>
    <w:p w14:paraId="62182F32">
      <w:pPr>
        <w:rPr>
          <w:rFonts w:hint="eastAsia"/>
          <w:szCs w:val="21"/>
          <w:highlight w:val="none"/>
        </w:rPr>
      </w:pPr>
      <w:r>
        <w:rPr>
          <w:rFonts w:hint="eastAsia"/>
          <w:szCs w:val="21"/>
          <w:highlight w:val="none"/>
        </w:rPr>
        <w:t>对所有的处方和处置的全流程关键节点数据进行采集和分析，包括处方和处置的开立、审核、状态、结果等数据。</w:t>
      </w:r>
    </w:p>
    <w:p w14:paraId="54D76BE7">
      <w:pPr>
        <w:rPr>
          <w:rFonts w:hint="eastAsia"/>
          <w:szCs w:val="21"/>
          <w:highlight w:val="none"/>
        </w:rPr>
      </w:pPr>
      <w:r>
        <w:rPr>
          <w:rFonts w:hint="eastAsia"/>
          <w:szCs w:val="21"/>
          <w:highlight w:val="none"/>
        </w:rPr>
        <w:t>1</w:t>
      </w:r>
      <w:r>
        <w:rPr>
          <w:szCs w:val="21"/>
          <w:highlight w:val="none"/>
        </w:rPr>
        <w:t>0.</w:t>
      </w:r>
      <w:r>
        <w:rPr>
          <w:rFonts w:hint="eastAsia"/>
          <w:szCs w:val="21"/>
          <w:highlight w:val="none"/>
        </w:rPr>
        <w:t>诊疗项目扣费执行</w:t>
      </w:r>
    </w:p>
    <w:p w14:paraId="6753557B">
      <w:pPr>
        <w:rPr>
          <w:rFonts w:hint="eastAsia"/>
          <w:szCs w:val="21"/>
          <w:highlight w:val="none"/>
        </w:rPr>
      </w:pPr>
      <w:r>
        <w:rPr>
          <w:rFonts w:hint="eastAsia"/>
          <w:szCs w:val="21"/>
          <w:highlight w:val="none"/>
        </w:rPr>
        <w:t>本科室执行的诊疗项目，在开具后发送提示是否立即扣费。</w:t>
      </w:r>
    </w:p>
    <w:p w14:paraId="0303445A">
      <w:pPr>
        <w:pStyle w:val="5"/>
        <w:rPr>
          <w:rFonts w:hint="eastAsia" w:ascii="宋体" w:hAnsi="宋体" w:eastAsia="宋体"/>
          <w:sz w:val="21"/>
          <w:szCs w:val="21"/>
          <w:highlight w:val="none"/>
        </w:rPr>
      </w:pPr>
      <w:bookmarkStart w:id="66" w:name="_Toc17152"/>
      <w:r>
        <w:rPr>
          <w:rFonts w:hint="eastAsia" w:ascii="宋体" w:hAnsi="宋体" w:eastAsia="宋体"/>
          <w:sz w:val="21"/>
          <w:szCs w:val="21"/>
          <w:highlight w:val="none"/>
        </w:rPr>
        <w:t>门诊护士工作站</w:t>
      </w:r>
      <w:bookmarkEnd w:id="66"/>
    </w:p>
    <w:p w14:paraId="2F61DD0E">
      <w:pPr>
        <w:rPr>
          <w:rFonts w:hint="eastAsia"/>
          <w:szCs w:val="21"/>
          <w:highlight w:val="none"/>
        </w:rPr>
      </w:pPr>
      <w:r>
        <w:rPr>
          <w:rFonts w:hint="eastAsia"/>
          <w:szCs w:val="21"/>
          <w:highlight w:val="none"/>
        </w:rPr>
        <w:t>要求提供门诊护士工作站系统，支持门诊单据扣费、执行、退费操作，实现科室备药的领用申请，支持皮试结果登记和查询。实现病人病史、费用等基本信息的查看。包括以下功能：</w:t>
      </w:r>
    </w:p>
    <w:p w14:paraId="586A29F1">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门诊单据扣费</w:t>
      </w:r>
    </w:p>
    <w:p w14:paraId="7BD7FACF">
      <w:pPr>
        <w:rPr>
          <w:rFonts w:hint="eastAsia"/>
          <w:szCs w:val="21"/>
          <w:highlight w:val="none"/>
        </w:rPr>
      </w:pPr>
      <w:r>
        <w:rPr>
          <w:rFonts w:hint="eastAsia"/>
          <w:szCs w:val="21"/>
          <w:highlight w:val="none"/>
        </w:rPr>
        <w:t>支持门诊单据的新开、扣费、执行，可通过检索查询病人的单据金额，申请时间等信息。</w:t>
      </w:r>
    </w:p>
    <w:p w14:paraId="27BDC57F">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模板维护</w:t>
      </w:r>
    </w:p>
    <w:p w14:paraId="364E5B00">
      <w:pPr>
        <w:rPr>
          <w:rFonts w:hint="eastAsia"/>
          <w:szCs w:val="21"/>
          <w:highlight w:val="none"/>
        </w:rPr>
      </w:pPr>
      <w:r>
        <w:rPr>
          <w:rFonts w:hint="eastAsia"/>
          <w:szCs w:val="21"/>
          <w:highlight w:val="none"/>
        </w:rPr>
        <w:t>支持对常用项目或诊疗进行模板维护，可设置模板的属性范围权限为个人、科室、全院。支持模板的新增，修改和删除。</w:t>
      </w:r>
    </w:p>
    <w:p w14:paraId="7705DBE0">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皮试管理</w:t>
      </w:r>
    </w:p>
    <w:p w14:paraId="36D10827">
      <w:pPr>
        <w:rPr>
          <w:rFonts w:hint="eastAsia"/>
          <w:szCs w:val="21"/>
          <w:highlight w:val="none"/>
        </w:rPr>
      </w:pPr>
      <w:r>
        <w:rPr>
          <w:rFonts w:hint="eastAsia"/>
          <w:szCs w:val="21"/>
          <w:highlight w:val="none"/>
        </w:rPr>
        <w:t>提供药品批次、皮试提示功能，支持主动提示患者有新的皮试阳性结果；</w:t>
      </w:r>
    </w:p>
    <w:p w14:paraId="0C3289AD">
      <w:pPr>
        <w:rPr>
          <w:rFonts w:hint="eastAsia"/>
          <w:szCs w:val="21"/>
          <w:highlight w:val="none"/>
        </w:rPr>
      </w:pPr>
      <w:r>
        <w:rPr>
          <w:rFonts w:hint="eastAsia"/>
          <w:szCs w:val="21"/>
          <w:highlight w:val="none"/>
        </w:rPr>
        <w:t>支持记录皮试开始时间和提醒查看皮试结果。</w:t>
      </w:r>
    </w:p>
    <w:p w14:paraId="09D86C98">
      <w:pPr>
        <w:rPr>
          <w:rFonts w:hint="eastAsia"/>
          <w:szCs w:val="21"/>
          <w:highlight w:val="none"/>
        </w:rPr>
      </w:pPr>
      <w:r>
        <w:rPr>
          <w:rFonts w:hint="eastAsia"/>
          <w:szCs w:val="21"/>
          <w:highlight w:val="none"/>
        </w:rPr>
        <w:t>支持病人皮试结果登记并划价计费功能；如皮试不通过，作废原处方不能发药，可处理病人分几天多次注射的情况。</w:t>
      </w:r>
    </w:p>
    <w:p w14:paraId="4ECAC647">
      <w:pPr>
        <w:rPr>
          <w:rFonts w:hint="eastAsia"/>
          <w:szCs w:val="21"/>
          <w:highlight w:val="none"/>
        </w:rPr>
      </w:pPr>
      <w:r>
        <w:rPr>
          <w:rFonts w:hint="eastAsia"/>
          <w:szCs w:val="21"/>
          <w:highlight w:val="none"/>
        </w:rPr>
        <w:t>支持皮试记录可检索、统计和分析。</w:t>
      </w:r>
    </w:p>
    <w:p w14:paraId="5425816F">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门诊批量执行</w:t>
      </w:r>
    </w:p>
    <w:p w14:paraId="3DE371E4">
      <w:pPr>
        <w:pStyle w:val="117"/>
        <w:ind w:left="840" w:firstLine="0" w:firstLineChars="0"/>
        <w:rPr>
          <w:rFonts w:hint="eastAsia" w:ascii="宋体" w:hAnsi="宋体"/>
          <w:szCs w:val="21"/>
          <w:highlight w:val="none"/>
        </w:rPr>
      </w:pPr>
      <w:r>
        <w:rPr>
          <w:rFonts w:hint="eastAsia" w:ascii="宋体" w:hAnsi="宋体"/>
          <w:szCs w:val="21"/>
          <w:highlight w:val="none"/>
        </w:rPr>
        <w:t>支持门诊单据批量执行，支持修改执行信息。</w:t>
      </w:r>
    </w:p>
    <w:p w14:paraId="59950740">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门诊退费管理</w:t>
      </w:r>
    </w:p>
    <w:p w14:paraId="454410C5">
      <w:pPr>
        <w:rPr>
          <w:rFonts w:hint="eastAsia"/>
          <w:szCs w:val="21"/>
          <w:highlight w:val="none"/>
        </w:rPr>
      </w:pPr>
      <w:r>
        <w:rPr>
          <w:rFonts w:hint="eastAsia"/>
          <w:szCs w:val="21"/>
          <w:highlight w:val="none"/>
        </w:rPr>
        <w:t>支持门诊单据全部退费或部分退费，支持退费开单并执行。支持查看病人费用、病史等基本信息，也可查看病人扣费项目，数量，时间等单据信息。可查看单据退费进度。</w:t>
      </w:r>
    </w:p>
    <w:p w14:paraId="5F442C55">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科室药品管理</w:t>
      </w:r>
    </w:p>
    <w:p w14:paraId="55659FC1">
      <w:pPr>
        <w:rPr>
          <w:rFonts w:hint="eastAsia"/>
          <w:szCs w:val="21"/>
          <w:highlight w:val="none"/>
        </w:rPr>
      </w:pPr>
      <w:r>
        <w:rPr>
          <w:rFonts w:hint="eastAsia"/>
          <w:szCs w:val="21"/>
          <w:highlight w:val="none"/>
        </w:rPr>
        <w:t>支持科室药品请领，可填入请领的药品，规格，数量等信息，也可调用维护的模板直接生成请领单进行药品申领。支持请领数量引用上期耗量，也可把当前请领单另存为模板。支持对新开的请领单做修改和作废，对已发送的请领单可打印，也支持导出。</w:t>
      </w:r>
    </w:p>
    <w:p w14:paraId="36AE9804">
      <w:pPr>
        <w:pStyle w:val="117"/>
        <w:numPr>
          <w:ilvl w:val="0"/>
          <w:numId w:val="4"/>
        </w:numPr>
        <w:spacing w:line="360" w:lineRule="auto"/>
        <w:ind w:firstLineChars="0"/>
        <w:rPr>
          <w:rFonts w:hint="eastAsia" w:ascii="宋体" w:hAnsi="宋体"/>
          <w:szCs w:val="21"/>
          <w:highlight w:val="none"/>
        </w:rPr>
      </w:pPr>
      <w:r>
        <w:rPr>
          <w:rFonts w:hint="eastAsia" w:ascii="宋体" w:hAnsi="宋体"/>
          <w:szCs w:val="21"/>
          <w:highlight w:val="none"/>
        </w:rPr>
        <w:t>门诊费用清单</w:t>
      </w:r>
    </w:p>
    <w:p w14:paraId="630A9051">
      <w:pPr>
        <w:rPr>
          <w:rFonts w:hint="eastAsia"/>
          <w:szCs w:val="21"/>
          <w:highlight w:val="none"/>
        </w:rPr>
      </w:pPr>
      <w:r>
        <w:rPr>
          <w:rFonts w:hint="eastAsia"/>
          <w:szCs w:val="21"/>
          <w:highlight w:val="none"/>
        </w:rPr>
        <w:t>支持按不同格式展示病人门诊费用清单并打印。可通过选择病人列表或读卡等多种入口查询并定位病人，可查看病人姓名，年龄，费用，余额等基本信息。</w:t>
      </w:r>
    </w:p>
    <w:p w14:paraId="274F5C7A">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支持门诊护士接受医生的指令，对患者进行注射、治疗、手术等诊疗活动。</w:t>
      </w:r>
    </w:p>
    <w:p w14:paraId="2A9B8120">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支持急诊医嘱审核执行；</w:t>
      </w:r>
    </w:p>
    <w:p w14:paraId="2AB56312">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支持急诊留诊室观查患者管理功能；</w:t>
      </w:r>
    </w:p>
    <w:p w14:paraId="0BA67718">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支持护士排班功能；</w:t>
      </w:r>
    </w:p>
    <w:p w14:paraId="0C338720">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支持统计查询及打印功能：包括注射人次及其他治疗人次等工作量统计；</w:t>
      </w:r>
    </w:p>
    <w:p w14:paraId="2FD37AF7">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可进行读卡获取病人基本信息，创建门诊护理评估单，并支持体征仪器数据采集，如血压、脉搏等引用病历，并把病历共享给门诊医生和住院使用。</w:t>
      </w:r>
    </w:p>
    <w:p w14:paraId="5F21333D">
      <w:pPr>
        <w:pStyle w:val="117"/>
        <w:numPr>
          <w:ilvl w:val="0"/>
          <w:numId w:val="4"/>
        </w:numPr>
        <w:spacing w:line="360" w:lineRule="auto"/>
        <w:ind w:firstLineChars="0"/>
        <w:rPr>
          <w:rFonts w:hint="eastAsia" w:ascii="宋体" w:hAnsi="宋体"/>
          <w:szCs w:val="21"/>
          <w:highlight w:val="none"/>
        </w:rPr>
      </w:pPr>
      <w:r>
        <w:rPr>
          <w:rFonts w:ascii="宋体" w:hAnsi="宋体"/>
          <w:szCs w:val="21"/>
          <w:highlight w:val="none"/>
        </w:rPr>
        <w:t>实现导诊护士对病人量血压，体重，心率，脉搏，身高后填写护理评估单。</w:t>
      </w:r>
    </w:p>
    <w:p w14:paraId="17B79F60">
      <w:pPr>
        <w:pStyle w:val="5"/>
        <w:rPr>
          <w:rFonts w:hint="eastAsia" w:ascii="宋体" w:hAnsi="宋体" w:eastAsia="宋体"/>
          <w:sz w:val="21"/>
          <w:szCs w:val="21"/>
          <w:highlight w:val="none"/>
        </w:rPr>
      </w:pPr>
      <w:bookmarkStart w:id="67" w:name="_Toc29914"/>
      <w:r>
        <w:rPr>
          <w:rFonts w:hint="eastAsia" w:ascii="宋体" w:hAnsi="宋体" w:eastAsia="宋体"/>
          <w:sz w:val="21"/>
          <w:szCs w:val="21"/>
          <w:highlight w:val="none"/>
        </w:rPr>
        <w:t>日间手术管理系统</w:t>
      </w:r>
      <w:bookmarkEnd w:id="67"/>
    </w:p>
    <w:p w14:paraId="7A69F525">
      <w:pPr>
        <w:rPr>
          <w:rFonts w:hint="eastAsia"/>
          <w:szCs w:val="21"/>
          <w:highlight w:val="none"/>
        </w:rPr>
      </w:pPr>
      <w:r>
        <w:rPr>
          <w:rFonts w:hint="eastAsia"/>
          <w:szCs w:val="21"/>
          <w:highlight w:val="none"/>
        </w:rPr>
        <w:t>要求支持日间手术预约登记：门诊诊病过程中医生可以将符合日间手术病人的患者收入日间手术管理中心。支持登记日间手术和对已预约登记的日间手术进行确认和作废，确认日间手术后可填写麻醉评估、术前评估和手术申请单。</w:t>
      </w:r>
    </w:p>
    <w:p w14:paraId="4DEE9363">
      <w:pPr>
        <w:rPr>
          <w:rFonts w:hint="eastAsia"/>
          <w:szCs w:val="21"/>
          <w:highlight w:val="none"/>
        </w:rPr>
      </w:pPr>
      <w:r>
        <w:rPr>
          <w:rFonts w:hint="eastAsia"/>
          <w:szCs w:val="21"/>
          <w:highlight w:val="none"/>
        </w:rPr>
        <w:t>要求支持日间手术管理：支持日间手术查询，术前病人麻醉评估和查看、手术评估和查看、手术申请单填写和查看、宣教和随访信息的登记和查看，支持绑定门诊挂号。医生护士都可以看到科室内所有日间手术病人的状态，医生可以对患者进行快速开医嘱、写申请单等。护士可在此进行快速转科操作、流程宣教，对于出院的患者也可进行随访登记等。</w:t>
      </w:r>
    </w:p>
    <w:p w14:paraId="54991C0C">
      <w:pPr>
        <w:rPr>
          <w:rFonts w:hint="eastAsia"/>
          <w:szCs w:val="21"/>
          <w:highlight w:val="none"/>
        </w:rPr>
      </w:pPr>
      <w:r>
        <w:rPr>
          <w:rFonts w:hint="eastAsia"/>
          <w:szCs w:val="21"/>
          <w:highlight w:val="none"/>
        </w:rPr>
        <w:t>日间手术医嘱开具：入科后支持医生对患者开医嘱，及检验申请单、检查申请单的书写。</w:t>
      </w:r>
    </w:p>
    <w:p w14:paraId="10D5E575">
      <w:pPr>
        <w:rPr>
          <w:rFonts w:hint="eastAsia"/>
          <w:szCs w:val="21"/>
          <w:highlight w:val="none"/>
        </w:rPr>
      </w:pPr>
      <w:r>
        <w:rPr>
          <w:rFonts w:hint="eastAsia"/>
          <w:szCs w:val="21"/>
          <w:highlight w:val="none"/>
        </w:rPr>
        <w:t>日间手术患者文书：支持医生书写麻醉评估、术前评估和手术风险评估、手术知情同意书等文书内容。</w:t>
      </w:r>
    </w:p>
    <w:p w14:paraId="78D07EF6">
      <w:pPr>
        <w:rPr>
          <w:rFonts w:hint="eastAsia"/>
          <w:szCs w:val="21"/>
          <w:highlight w:val="none"/>
        </w:rPr>
      </w:pPr>
      <w:r>
        <w:rPr>
          <w:rFonts w:hint="eastAsia"/>
          <w:szCs w:val="21"/>
          <w:highlight w:val="none"/>
        </w:rPr>
        <w:t>要求支持拒绝原因维护：支持维护日间手术拒绝原因。</w:t>
      </w:r>
    </w:p>
    <w:p w14:paraId="71A38BD1">
      <w:pPr>
        <w:rPr>
          <w:rFonts w:hint="eastAsia"/>
          <w:szCs w:val="21"/>
          <w:highlight w:val="none"/>
        </w:rPr>
      </w:pPr>
      <w:r>
        <w:rPr>
          <w:rFonts w:hint="eastAsia"/>
          <w:szCs w:val="21"/>
          <w:highlight w:val="none"/>
        </w:rPr>
        <w:t>要求支持门诊医嘱转入住院：支持日间手术病人入院后将门诊的医嘱连同单据、费用一同转到住院。</w:t>
      </w:r>
    </w:p>
    <w:p w14:paraId="2A37B2DC">
      <w:pPr>
        <w:pStyle w:val="4"/>
        <w:rPr>
          <w:rFonts w:hint="eastAsia" w:ascii="宋体" w:hAnsi="宋体"/>
          <w:sz w:val="21"/>
          <w:szCs w:val="21"/>
          <w:highlight w:val="none"/>
        </w:rPr>
      </w:pPr>
      <w:r>
        <w:rPr>
          <w:rFonts w:hint="eastAsia" w:ascii="宋体" w:hAnsi="宋体"/>
          <w:sz w:val="21"/>
          <w:szCs w:val="21"/>
          <w:highlight w:val="none"/>
        </w:rPr>
        <w:t>住院管理</w:t>
      </w:r>
    </w:p>
    <w:p w14:paraId="35D564FC">
      <w:pPr>
        <w:pStyle w:val="5"/>
        <w:rPr>
          <w:rFonts w:hint="eastAsia" w:ascii="宋体" w:hAnsi="宋体" w:eastAsia="宋体"/>
          <w:sz w:val="21"/>
          <w:szCs w:val="21"/>
          <w:highlight w:val="none"/>
        </w:rPr>
      </w:pPr>
      <w:bookmarkStart w:id="68" w:name="_Toc2637"/>
      <w:r>
        <w:rPr>
          <w:rFonts w:hint="eastAsia" w:ascii="宋体" w:hAnsi="宋体" w:eastAsia="宋体"/>
          <w:sz w:val="21"/>
          <w:szCs w:val="21"/>
          <w:highlight w:val="none"/>
        </w:rPr>
        <w:t>住院收费系统</w:t>
      </w:r>
      <w:bookmarkEnd w:id="68"/>
    </w:p>
    <w:p w14:paraId="568FE0D3">
      <w:pPr>
        <w:rPr>
          <w:rFonts w:hint="eastAsia"/>
          <w:szCs w:val="21"/>
          <w:highlight w:val="none"/>
        </w:rPr>
      </w:pPr>
      <w:r>
        <w:rPr>
          <w:rFonts w:hint="eastAsia"/>
          <w:szCs w:val="21"/>
          <w:highlight w:val="none"/>
        </w:rPr>
        <w:t>要求提供住院患者费用处理功能，支持住院患者办理住院预交金、费用处理业务处理。</w:t>
      </w:r>
    </w:p>
    <w:p w14:paraId="68B0F137">
      <w:pPr>
        <w:rPr>
          <w:rFonts w:hint="eastAsia"/>
          <w:szCs w:val="21"/>
          <w:highlight w:val="none"/>
        </w:rPr>
      </w:pPr>
      <w:r>
        <w:rPr>
          <w:szCs w:val="21"/>
          <w:highlight w:val="none"/>
        </w:rPr>
        <w:t>1.住院预交金管理</w:t>
      </w:r>
    </w:p>
    <w:p w14:paraId="6722C0C4">
      <w:pPr>
        <w:rPr>
          <w:rFonts w:hint="eastAsia"/>
          <w:szCs w:val="21"/>
          <w:highlight w:val="none"/>
        </w:rPr>
      </w:pPr>
      <w:r>
        <w:rPr>
          <w:rFonts w:hint="eastAsia"/>
          <w:szCs w:val="21"/>
          <w:highlight w:val="none"/>
        </w:rPr>
        <w:t>可通过手工录入住院号、床位号、姓名等方式检索住院患者费用及预交金信息。可自动生成预交金日结报表。</w:t>
      </w:r>
    </w:p>
    <w:p w14:paraId="3B4A0DB9">
      <w:pPr>
        <w:rPr>
          <w:rFonts w:hint="eastAsia"/>
          <w:szCs w:val="21"/>
          <w:highlight w:val="none"/>
        </w:rPr>
      </w:pPr>
      <w:r>
        <w:rPr>
          <w:szCs w:val="21"/>
          <w:highlight w:val="none"/>
        </w:rPr>
        <w:t>2.住院退费管理</w:t>
      </w:r>
    </w:p>
    <w:p w14:paraId="22FD48FA">
      <w:pPr>
        <w:rPr>
          <w:rFonts w:hint="eastAsia"/>
          <w:szCs w:val="21"/>
          <w:highlight w:val="none"/>
        </w:rPr>
      </w:pPr>
      <w:r>
        <w:rPr>
          <w:rFonts w:hint="eastAsia"/>
          <w:szCs w:val="21"/>
          <w:highlight w:val="none"/>
        </w:rPr>
        <w:t>对于在院患者发生费用的项目，如药品、检查、化验等项目，经相关部门确认</w:t>
      </w:r>
      <w:r>
        <w:rPr>
          <w:szCs w:val="21"/>
          <w:highlight w:val="none"/>
        </w:rPr>
        <w:t xml:space="preserve"> 后可进行退费处理。通过住院号、就诊卡号、票据号等多种方式查询患者缴费信息，可进行批量退费的操作。支持多种退款路径。</w:t>
      </w:r>
    </w:p>
    <w:p w14:paraId="69E55F55">
      <w:pPr>
        <w:rPr>
          <w:rFonts w:hint="eastAsia"/>
          <w:szCs w:val="21"/>
          <w:highlight w:val="none"/>
        </w:rPr>
      </w:pPr>
      <w:r>
        <w:rPr>
          <w:szCs w:val="21"/>
          <w:highlight w:val="none"/>
        </w:rPr>
        <w:t>3.住院费用结算</w:t>
      </w:r>
    </w:p>
    <w:p w14:paraId="1F8728C8">
      <w:pPr>
        <w:rPr>
          <w:rFonts w:hint="eastAsia"/>
          <w:szCs w:val="21"/>
          <w:highlight w:val="none"/>
        </w:rPr>
      </w:pPr>
      <w:r>
        <w:rPr>
          <w:rFonts w:hint="eastAsia"/>
          <w:szCs w:val="21"/>
          <w:highlight w:val="none"/>
        </w:rPr>
        <w:t>支持与医保系统的实时交互。可实现中途结账或出院结账等不同结账方式。支持患者结算某个病区或某个科室的住院费用或某些类别的费用，可通过配置实现灵活的结账模式。支持现金、银行卡、在线支付多种支付方式。</w:t>
      </w:r>
    </w:p>
    <w:p w14:paraId="1F343F86">
      <w:pPr>
        <w:rPr>
          <w:rFonts w:hint="eastAsia"/>
          <w:szCs w:val="21"/>
          <w:highlight w:val="none"/>
        </w:rPr>
      </w:pPr>
      <w:r>
        <w:rPr>
          <w:rFonts w:hint="eastAsia"/>
          <w:szCs w:val="21"/>
          <w:highlight w:val="none"/>
        </w:rPr>
        <w:t>中途结账。对患者某一时间段内的住院费用进行结算处理。中途结账只能对前一天最后时刻前发生的住院费用进行结账。</w:t>
      </w:r>
    </w:p>
    <w:p w14:paraId="3275BA5E">
      <w:pPr>
        <w:rPr>
          <w:rFonts w:hint="eastAsia"/>
          <w:szCs w:val="21"/>
          <w:highlight w:val="none"/>
        </w:rPr>
      </w:pPr>
      <w:r>
        <w:rPr>
          <w:rFonts w:hint="eastAsia"/>
          <w:szCs w:val="21"/>
          <w:highlight w:val="none"/>
        </w:rPr>
        <w:t>出院结账。对患者本次住院全部未结费用进行结算处理。</w:t>
      </w:r>
    </w:p>
    <w:p w14:paraId="697B74F3">
      <w:pPr>
        <w:rPr>
          <w:rFonts w:hint="eastAsia"/>
          <w:szCs w:val="21"/>
          <w:highlight w:val="none"/>
        </w:rPr>
      </w:pPr>
      <w:r>
        <w:rPr>
          <w:rFonts w:hint="eastAsia"/>
          <w:szCs w:val="21"/>
          <w:highlight w:val="none"/>
        </w:rPr>
        <w:t>收据打印。根据国家相关规定并结合各医院的实际要求打印结算收据。</w:t>
      </w:r>
    </w:p>
    <w:p w14:paraId="40426F16">
      <w:pPr>
        <w:rPr>
          <w:rFonts w:hint="eastAsia"/>
          <w:szCs w:val="21"/>
          <w:highlight w:val="none"/>
        </w:rPr>
      </w:pPr>
      <w:r>
        <w:rPr>
          <w:szCs w:val="21"/>
          <w:highlight w:val="none"/>
        </w:rPr>
        <w:t>4.住院结账管理</w:t>
      </w:r>
    </w:p>
    <w:p w14:paraId="4FAC6C8B">
      <w:pPr>
        <w:rPr>
          <w:rFonts w:hint="eastAsia"/>
          <w:szCs w:val="21"/>
          <w:highlight w:val="none"/>
        </w:rPr>
      </w:pPr>
      <w:r>
        <w:rPr>
          <w:rFonts w:hint="eastAsia"/>
          <w:szCs w:val="21"/>
          <w:highlight w:val="none"/>
        </w:rPr>
        <w:t>提供住院住院结账管理功能。包括当日患者预交金、入院患者预交费、在院患者各项费用、出院患者结账和退款等账务处理。</w:t>
      </w:r>
    </w:p>
    <w:p w14:paraId="24CCEA43">
      <w:pPr>
        <w:rPr>
          <w:rFonts w:hint="eastAsia"/>
          <w:szCs w:val="21"/>
          <w:highlight w:val="none"/>
        </w:rPr>
      </w:pPr>
      <w:r>
        <w:rPr>
          <w:szCs w:val="21"/>
          <w:highlight w:val="none"/>
        </w:rPr>
        <w:t>5.医保业务处理</w:t>
      </w:r>
    </w:p>
    <w:p w14:paraId="6443D70B">
      <w:pPr>
        <w:rPr>
          <w:rFonts w:hint="eastAsia"/>
          <w:szCs w:val="21"/>
          <w:highlight w:val="none"/>
        </w:rPr>
      </w:pPr>
      <w:r>
        <w:rPr>
          <w:rFonts w:hint="eastAsia"/>
          <w:szCs w:val="21"/>
          <w:highlight w:val="none"/>
        </w:rPr>
        <w:t>支持与医保中心提供的相关接口对接，包括登记信息上传、费用上传、费用预结算、费用结算、结算取消、医保数据对照、诊疗信息上传、医保审核、控费、医保对账等。</w:t>
      </w:r>
    </w:p>
    <w:p w14:paraId="199D9E82">
      <w:pPr>
        <w:rPr>
          <w:rFonts w:hint="eastAsia"/>
          <w:szCs w:val="21"/>
          <w:highlight w:val="none"/>
        </w:rPr>
      </w:pPr>
      <w:r>
        <w:rPr>
          <w:rFonts w:hint="eastAsia"/>
          <w:szCs w:val="21"/>
          <w:highlight w:val="none"/>
        </w:rPr>
        <w:t>支持新农合患者出院结算时，按照各地区关于新农合就医结算的相关规定执行。</w:t>
      </w:r>
    </w:p>
    <w:p w14:paraId="4ED6AF14">
      <w:pPr>
        <w:rPr>
          <w:rFonts w:hint="eastAsia"/>
          <w:szCs w:val="21"/>
          <w:highlight w:val="none"/>
        </w:rPr>
      </w:pPr>
      <w:r>
        <w:rPr>
          <w:rFonts w:hint="eastAsia"/>
          <w:szCs w:val="21"/>
          <w:highlight w:val="none"/>
        </w:rPr>
        <w:t>可实现与异地医保的实时对接，按照“就医地目录、参保地政策、就医地管理”原则进行</w:t>
      </w:r>
      <w:r>
        <w:rPr>
          <w:szCs w:val="21"/>
          <w:highlight w:val="none"/>
        </w:rPr>
        <w:t xml:space="preserve"> 跨地区异地就医结算。</w:t>
      </w:r>
    </w:p>
    <w:p w14:paraId="1D07618B">
      <w:pPr>
        <w:rPr>
          <w:rFonts w:hint="eastAsia"/>
          <w:szCs w:val="21"/>
          <w:highlight w:val="none"/>
        </w:rPr>
      </w:pPr>
      <w:r>
        <w:rPr>
          <w:rFonts w:hint="eastAsia"/>
          <w:szCs w:val="21"/>
          <w:highlight w:val="none"/>
        </w:rPr>
        <w:t>6</w:t>
      </w:r>
      <w:r>
        <w:rPr>
          <w:szCs w:val="21"/>
          <w:highlight w:val="none"/>
        </w:rPr>
        <w:t>.</w:t>
      </w:r>
      <w:r>
        <w:rPr>
          <w:rFonts w:hint="eastAsia"/>
          <w:szCs w:val="21"/>
          <w:highlight w:val="none"/>
        </w:rPr>
        <w:t>票据管理</w:t>
      </w:r>
    </w:p>
    <w:p w14:paraId="3F35CBB7">
      <w:pPr>
        <w:rPr>
          <w:rFonts w:hint="eastAsia"/>
          <w:szCs w:val="21"/>
          <w:highlight w:val="none"/>
        </w:rPr>
      </w:pPr>
      <w:r>
        <w:rPr>
          <w:rFonts w:hint="eastAsia"/>
          <w:szCs w:val="21"/>
          <w:highlight w:val="none"/>
        </w:rPr>
        <w:t>住院收据管理：住院收据的出入库管理，财务通过财政局等渠道购买的收据录入到系统中，针对各科室收费员的出入库及领用做到系统有序管理，让收据可追溯，及时了解当前使用情况。</w:t>
      </w:r>
    </w:p>
    <w:p w14:paraId="0DD50A7E">
      <w:pPr>
        <w:rPr>
          <w:rFonts w:hint="eastAsia"/>
          <w:szCs w:val="21"/>
          <w:highlight w:val="none"/>
        </w:rPr>
      </w:pPr>
      <w:r>
        <w:rPr>
          <w:rFonts w:hint="eastAsia"/>
          <w:szCs w:val="21"/>
          <w:highlight w:val="none"/>
        </w:rPr>
        <w:t>住院收据领用：收费处工作人员及时领用本科室的收据，系统记录领用人信息，更好管理收据存量情况。</w:t>
      </w:r>
    </w:p>
    <w:p w14:paraId="4100438A">
      <w:pPr>
        <w:rPr>
          <w:rFonts w:hint="eastAsia"/>
          <w:szCs w:val="21"/>
          <w:highlight w:val="none"/>
        </w:rPr>
      </w:pPr>
      <w:r>
        <w:rPr>
          <w:rFonts w:hint="eastAsia"/>
          <w:szCs w:val="21"/>
          <w:highlight w:val="none"/>
        </w:rPr>
        <w:t>住院发票管理：针对住院发票的出入库管理，财务通过税务局或财政局等渠道购买的发票录入到系统中，针对各科室收费员的出入库及领用做到系统有序管理，让发票可追溯，及时了解当前使用情况。</w:t>
      </w:r>
    </w:p>
    <w:p w14:paraId="422BCEB6">
      <w:pPr>
        <w:rPr>
          <w:rFonts w:hint="eastAsia"/>
          <w:szCs w:val="21"/>
          <w:highlight w:val="none"/>
        </w:rPr>
      </w:pPr>
      <w:r>
        <w:rPr>
          <w:rFonts w:hint="eastAsia"/>
          <w:szCs w:val="21"/>
          <w:highlight w:val="none"/>
        </w:rPr>
        <w:t>住院发票领用：收费处工作人员及时领用本科室的发票，系统记录领用人信息，更好管理发票存量情况。</w:t>
      </w:r>
    </w:p>
    <w:p w14:paraId="25A60432">
      <w:pPr>
        <w:pStyle w:val="5"/>
        <w:rPr>
          <w:rFonts w:hint="eastAsia" w:ascii="宋体" w:hAnsi="宋体" w:eastAsia="宋体"/>
          <w:sz w:val="21"/>
          <w:szCs w:val="21"/>
          <w:highlight w:val="none"/>
        </w:rPr>
      </w:pPr>
      <w:bookmarkStart w:id="69" w:name="_Toc31570"/>
      <w:r>
        <w:rPr>
          <w:rFonts w:hint="eastAsia" w:ascii="宋体" w:hAnsi="宋体" w:eastAsia="宋体"/>
          <w:sz w:val="21"/>
          <w:szCs w:val="21"/>
          <w:highlight w:val="none"/>
        </w:rPr>
        <w:t>住院入出转管理</w:t>
      </w:r>
      <w:bookmarkEnd w:id="69"/>
    </w:p>
    <w:p w14:paraId="6CFBB11A">
      <w:pPr>
        <w:rPr>
          <w:rFonts w:hint="eastAsia"/>
          <w:szCs w:val="21"/>
          <w:highlight w:val="none"/>
        </w:rPr>
      </w:pPr>
      <w:r>
        <w:rPr>
          <w:rFonts w:hint="eastAsia"/>
          <w:szCs w:val="21"/>
          <w:highlight w:val="none"/>
        </w:rPr>
        <w:t>支持患者办理入院、出院、转院等手续。具体功能包括：入院管理</w:t>
      </w:r>
      <w:r>
        <w:rPr>
          <w:szCs w:val="21"/>
          <w:highlight w:val="none"/>
        </w:rPr>
        <w:t>(入院登记、患者基本信息修改、患者身份变更)、出院管理、转院管理、查询统计。</w:t>
      </w:r>
    </w:p>
    <w:p w14:paraId="0EC62277">
      <w:pPr>
        <w:pStyle w:val="117"/>
        <w:numPr>
          <w:ilvl w:val="0"/>
          <w:numId w:val="5"/>
        </w:numPr>
        <w:spacing w:line="360" w:lineRule="auto"/>
        <w:ind w:firstLineChars="0"/>
        <w:rPr>
          <w:rFonts w:hint="eastAsia" w:ascii="宋体" w:hAnsi="宋体"/>
          <w:szCs w:val="21"/>
          <w:highlight w:val="none"/>
        </w:rPr>
      </w:pPr>
      <w:r>
        <w:rPr>
          <w:rFonts w:hint="eastAsia" w:ascii="宋体" w:hAnsi="宋体"/>
          <w:szCs w:val="21"/>
          <w:highlight w:val="none"/>
        </w:rPr>
        <w:t>入院开单</w:t>
      </w:r>
    </w:p>
    <w:p w14:paraId="6224F7FC">
      <w:pPr>
        <w:pStyle w:val="117"/>
        <w:ind w:left="840" w:firstLine="0" w:firstLineChars="0"/>
        <w:rPr>
          <w:rFonts w:hint="eastAsia" w:ascii="宋体" w:hAnsi="宋体"/>
          <w:szCs w:val="21"/>
          <w:highlight w:val="none"/>
        </w:rPr>
      </w:pPr>
      <w:r>
        <w:rPr>
          <w:rFonts w:hint="eastAsia" w:ascii="宋体" w:hAnsi="宋体"/>
          <w:szCs w:val="21"/>
          <w:highlight w:val="none"/>
        </w:rPr>
        <w:t>患者入院前，门诊医生可开具住院单，完善患者填入院相关信息，医生可查看收治科室的床位使用情况。</w:t>
      </w:r>
    </w:p>
    <w:p w14:paraId="3F4A66B3">
      <w:pPr>
        <w:pStyle w:val="117"/>
        <w:numPr>
          <w:ilvl w:val="0"/>
          <w:numId w:val="5"/>
        </w:numPr>
        <w:spacing w:line="360" w:lineRule="auto"/>
        <w:ind w:firstLineChars="0"/>
        <w:rPr>
          <w:rFonts w:hint="eastAsia" w:ascii="宋体" w:hAnsi="宋体"/>
          <w:szCs w:val="21"/>
          <w:highlight w:val="none"/>
        </w:rPr>
      </w:pPr>
      <w:r>
        <w:rPr>
          <w:rFonts w:hint="eastAsia" w:ascii="宋体" w:hAnsi="宋体"/>
          <w:szCs w:val="21"/>
          <w:highlight w:val="none"/>
        </w:rPr>
        <w:t>入院管理</w:t>
      </w:r>
    </w:p>
    <w:p w14:paraId="2452A6F0">
      <w:pPr>
        <w:pStyle w:val="117"/>
        <w:ind w:left="840" w:firstLine="0" w:firstLineChars="0"/>
        <w:rPr>
          <w:rFonts w:hint="eastAsia" w:ascii="宋体" w:hAnsi="宋体"/>
          <w:szCs w:val="21"/>
          <w:highlight w:val="none"/>
        </w:rPr>
      </w:pPr>
      <w:r>
        <w:rPr>
          <w:rFonts w:hint="eastAsia" w:ascii="宋体" w:hAnsi="宋体"/>
          <w:szCs w:val="21"/>
          <w:highlight w:val="none"/>
        </w:rPr>
        <w:t>待入患者入院开单时填写的信息，可完善其他基本信息，并建立入院档案生成住院号。若为复诊患者，可通过患者主索引读取相关信息。对于尚未入科的患者，可以修改病区。</w:t>
      </w:r>
    </w:p>
    <w:p w14:paraId="11DB0AB9">
      <w:pPr>
        <w:pStyle w:val="117"/>
        <w:numPr>
          <w:ilvl w:val="0"/>
          <w:numId w:val="5"/>
        </w:numPr>
        <w:spacing w:line="360" w:lineRule="auto"/>
        <w:ind w:firstLineChars="0"/>
        <w:rPr>
          <w:rFonts w:hint="eastAsia" w:ascii="宋体" w:hAnsi="宋体"/>
          <w:szCs w:val="21"/>
          <w:highlight w:val="none"/>
        </w:rPr>
      </w:pPr>
      <w:r>
        <w:rPr>
          <w:rFonts w:hint="eastAsia" w:ascii="宋体" w:hAnsi="宋体"/>
          <w:szCs w:val="21"/>
          <w:highlight w:val="none"/>
        </w:rPr>
        <w:t>出院管理</w:t>
      </w:r>
    </w:p>
    <w:p w14:paraId="1B372444">
      <w:pPr>
        <w:pStyle w:val="117"/>
        <w:ind w:left="840" w:firstLine="210" w:firstLineChars="100"/>
        <w:rPr>
          <w:rFonts w:hint="eastAsia" w:ascii="宋体" w:hAnsi="宋体"/>
          <w:szCs w:val="21"/>
          <w:highlight w:val="none"/>
        </w:rPr>
      </w:pPr>
      <w:r>
        <w:rPr>
          <w:rFonts w:hint="eastAsia" w:ascii="宋体" w:hAnsi="宋体"/>
          <w:szCs w:val="21"/>
          <w:highlight w:val="none"/>
        </w:rPr>
        <w:t>患者结账：出院结算前，需病区开立出院证明。对于医保患者，在出院结算前应确保费用明细全部上传，并支持取消结账的功能。</w:t>
      </w:r>
    </w:p>
    <w:p w14:paraId="2D76FC00">
      <w:pPr>
        <w:pStyle w:val="117"/>
        <w:ind w:left="840" w:firstLine="210" w:firstLineChars="100"/>
        <w:rPr>
          <w:rFonts w:hint="eastAsia" w:ascii="宋体" w:hAnsi="宋体"/>
          <w:szCs w:val="21"/>
          <w:highlight w:val="none"/>
        </w:rPr>
      </w:pPr>
      <w:r>
        <w:rPr>
          <w:rFonts w:hint="eastAsia" w:ascii="宋体" w:hAnsi="宋体"/>
          <w:szCs w:val="21"/>
          <w:highlight w:val="none"/>
        </w:rPr>
        <w:t>补记账：支持患者补记账功能，患者额外使用的材料的项目可做补记账处理；支持对补记账记录作废的功能。</w:t>
      </w:r>
    </w:p>
    <w:p w14:paraId="48AE67C9">
      <w:pPr>
        <w:pStyle w:val="117"/>
        <w:ind w:left="840" w:firstLine="210" w:firstLineChars="100"/>
        <w:rPr>
          <w:rFonts w:hint="eastAsia" w:ascii="宋体" w:hAnsi="宋体"/>
          <w:szCs w:val="21"/>
          <w:highlight w:val="none"/>
        </w:rPr>
      </w:pPr>
      <w:r>
        <w:rPr>
          <w:rFonts w:hint="eastAsia" w:ascii="宋体" w:hAnsi="宋体"/>
          <w:szCs w:val="21"/>
          <w:highlight w:val="none"/>
        </w:rPr>
        <w:t>出院患者账页：支持查询统计出院患者的费用账单，提供账单汇总信息以及账单明细的查询功能。</w:t>
      </w:r>
    </w:p>
    <w:p w14:paraId="65D0776A">
      <w:pPr>
        <w:pStyle w:val="5"/>
        <w:rPr>
          <w:rFonts w:hint="eastAsia" w:ascii="宋体" w:hAnsi="宋体" w:eastAsia="宋体"/>
          <w:sz w:val="21"/>
          <w:szCs w:val="21"/>
          <w:highlight w:val="none"/>
        </w:rPr>
      </w:pPr>
      <w:bookmarkStart w:id="70" w:name="_Toc13452"/>
      <w:r>
        <w:rPr>
          <w:rFonts w:hint="eastAsia" w:ascii="宋体" w:hAnsi="宋体" w:eastAsia="宋体"/>
          <w:sz w:val="21"/>
          <w:szCs w:val="21"/>
          <w:highlight w:val="none"/>
        </w:rPr>
        <w:t>住院医生工作站</w:t>
      </w:r>
      <w:bookmarkEnd w:id="70"/>
    </w:p>
    <w:p w14:paraId="0981FED8">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医嘱管理</w:t>
      </w:r>
    </w:p>
    <w:p w14:paraId="5B1A5612">
      <w:pPr>
        <w:rPr>
          <w:rFonts w:hint="eastAsia"/>
          <w:szCs w:val="21"/>
          <w:highlight w:val="none"/>
        </w:rPr>
      </w:pPr>
      <w:r>
        <w:rPr>
          <w:rFonts w:hint="eastAsia"/>
          <w:szCs w:val="21"/>
          <w:highlight w:val="none"/>
        </w:rPr>
        <w:t>要求实现住院用药、检查、检验、手术、治疗、输血等医嘱管理。</w:t>
      </w:r>
    </w:p>
    <w:p w14:paraId="1C64D3D2">
      <w:pPr>
        <w:rPr>
          <w:rFonts w:hint="eastAsia"/>
          <w:szCs w:val="21"/>
          <w:highlight w:val="none"/>
        </w:rPr>
      </w:pPr>
      <w:r>
        <w:rPr>
          <w:szCs w:val="21"/>
          <w:highlight w:val="none"/>
        </w:rPr>
        <w:t>1.医嘱录入</w:t>
      </w:r>
    </w:p>
    <w:p w14:paraId="631EEC9D">
      <w:pPr>
        <w:rPr>
          <w:rFonts w:hint="eastAsia"/>
          <w:szCs w:val="21"/>
          <w:highlight w:val="none"/>
        </w:rPr>
      </w:pPr>
      <w:r>
        <w:rPr>
          <w:rFonts w:hint="eastAsia"/>
          <w:szCs w:val="21"/>
          <w:highlight w:val="none"/>
        </w:rPr>
        <w:t>长期医嘱和临时医嘱的录入功能。包括检查、检验、处方、治疗处置、卫生材料、手术、输血、护理、会诊、转科、出院等。所有医嘱均提供备注，医生可以输入相关注意事项。医生权限管理，如处方权、抗生素分级管理、特殊药品</w:t>
      </w:r>
      <w:r>
        <w:rPr>
          <w:szCs w:val="21"/>
          <w:highlight w:val="none"/>
        </w:rPr>
        <w:t>(毒麻、精神类等)权限、手术权限等。合理用药功能，如药品剂量、药品相互作用、配伍禁忌、适应证等的自动提醒与检索功能。支持所有医嘱单和申请单打印、续打、补打等功能。</w:t>
      </w:r>
    </w:p>
    <w:p w14:paraId="34682E42">
      <w:pPr>
        <w:rPr>
          <w:rFonts w:hint="eastAsia"/>
          <w:szCs w:val="21"/>
          <w:highlight w:val="none"/>
        </w:rPr>
      </w:pPr>
      <w:r>
        <w:rPr>
          <w:szCs w:val="21"/>
          <w:highlight w:val="none"/>
        </w:rPr>
        <w:t>2.医嘱核对</w:t>
      </w:r>
    </w:p>
    <w:p w14:paraId="1BC3710C">
      <w:pPr>
        <w:rPr>
          <w:rFonts w:hint="eastAsia"/>
          <w:szCs w:val="21"/>
          <w:highlight w:val="none"/>
        </w:rPr>
      </w:pPr>
      <w:r>
        <w:rPr>
          <w:rFonts w:hint="eastAsia"/>
          <w:szCs w:val="21"/>
          <w:highlight w:val="none"/>
        </w:rPr>
        <w:t>支持医护人员核对当前医嘱开立是否正确进行核对，核对无误后提交护士，护士接收医嘱后再次对医嘱进行审核确认。</w:t>
      </w:r>
    </w:p>
    <w:p w14:paraId="33D48F62">
      <w:pPr>
        <w:rPr>
          <w:rFonts w:hint="eastAsia"/>
          <w:szCs w:val="21"/>
          <w:highlight w:val="none"/>
        </w:rPr>
      </w:pPr>
      <w:r>
        <w:rPr>
          <w:szCs w:val="21"/>
          <w:highlight w:val="none"/>
        </w:rPr>
        <w:t>3.医嘱作废</w:t>
      </w:r>
    </w:p>
    <w:p w14:paraId="7C8D7B03">
      <w:pPr>
        <w:rPr>
          <w:rFonts w:hint="eastAsia"/>
          <w:szCs w:val="21"/>
          <w:highlight w:val="none"/>
        </w:rPr>
      </w:pPr>
      <w:r>
        <w:rPr>
          <w:rFonts w:hint="eastAsia"/>
          <w:szCs w:val="21"/>
          <w:highlight w:val="none"/>
        </w:rPr>
        <w:t>医生将根据患者病情情况进行医嘱的作废或停止操作，在医嘱的执行栏上标记“作废”或“停止”并有医生签名。医嘱作废或停止后，不能被执行。</w:t>
      </w:r>
    </w:p>
    <w:p w14:paraId="5AB52F2E">
      <w:pPr>
        <w:rPr>
          <w:rFonts w:hint="eastAsia"/>
          <w:szCs w:val="21"/>
          <w:highlight w:val="none"/>
        </w:rPr>
      </w:pPr>
      <w:r>
        <w:rPr>
          <w:szCs w:val="21"/>
          <w:highlight w:val="none"/>
        </w:rPr>
        <w:t>4.医嘱执行</w:t>
      </w:r>
    </w:p>
    <w:p w14:paraId="73DFD2BF">
      <w:pPr>
        <w:rPr>
          <w:rFonts w:hint="eastAsia"/>
          <w:szCs w:val="21"/>
          <w:highlight w:val="none"/>
        </w:rPr>
      </w:pPr>
      <w:r>
        <w:rPr>
          <w:rFonts w:hint="eastAsia"/>
          <w:szCs w:val="21"/>
          <w:highlight w:val="none"/>
        </w:rPr>
        <w:t>相关部门接收并查询患者相关的检查、检验、诊断、处方、治疗处理、手术、输血、转科、出院等诊疗信息，以及相关的费用信息，在医嘱有效的状态下对医嘱进行执行操作。医嘱执行后，医生不能再对医嘱进行作废。医嘱执行时自动计费。</w:t>
      </w:r>
    </w:p>
    <w:p w14:paraId="6CA4DDD3">
      <w:pPr>
        <w:rPr>
          <w:rFonts w:hint="eastAsia"/>
          <w:szCs w:val="21"/>
          <w:highlight w:val="none"/>
        </w:rPr>
      </w:pPr>
      <w:r>
        <w:rPr>
          <w:szCs w:val="21"/>
          <w:highlight w:val="none"/>
        </w:rPr>
        <w:t>5.医嘱模板管理</w:t>
      </w:r>
    </w:p>
    <w:p w14:paraId="0BDECBFC">
      <w:pPr>
        <w:rPr>
          <w:rFonts w:hint="eastAsia"/>
          <w:szCs w:val="21"/>
          <w:highlight w:val="none"/>
        </w:rPr>
      </w:pPr>
      <w:r>
        <w:rPr>
          <w:rFonts w:hint="eastAsia"/>
          <w:szCs w:val="21"/>
          <w:highlight w:val="none"/>
        </w:rPr>
        <w:t>提供医院、部门、医生常用的长期医嘱和临时医嘱模板和模板可视化管理、维护功能。提供编辑模板需要的临床项目字典等医嘱辅助知识库。</w:t>
      </w:r>
    </w:p>
    <w:p w14:paraId="7D443E69">
      <w:pPr>
        <w:rPr>
          <w:rFonts w:hint="eastAsia"/>
          <w:szCs w:val="21"/>
          <w:highlight w:val="none"/>
        </w:rPr>
      </w:pPr>
      <w:r>
        <w:rPr>
          <w:szCs w:val="21"/>
          <w:highlight w:val="none"/>
        </w:rPr>
        <w:t>6.医保政策提醒</w:t>
      </w:r>
    </w:p>
    <w:p w14:paraId="3E1B475E">
      <w:pPr>
        <w:rPr>
          <w:rFonts w:hint="eastAsia"/>
          <w:szCs w:val="21"/>
          <w:highlight w:val="none"/>
        </w:rPr>
      </w:pPr>
      <w:r>
        <w:rPr>
          <w:rFonts w:hint="eastAsia"/>
          <w:szCs w:val="21"/>
          <w:highlight w:val="none"/>
        </w:rPr>
        <w:t>医生在开立医嘱的过程中，支持对相关医嘱项目的医保限制和自费项目的提醒功能，支持提醒后可继续开立医嘱。</w:t>
      </w:r>
    </w:p>
    <w:p w14:paraId="378DB97D">
      <w:pPr>
        <w:rPr>
          <w:rFonts w:hint="eastAsia"/>
          <w:szCs w:val="21"/>
          <w:highlight w:val="none"/>
        </w:rPr>
      </w:pPr>
      <w:r>
        <w:rPr>
          <w:szCs w:val="21"/>
          <w:highlight w:val="none"/>
        </w:rPr>
        <w:t>7.医嘱审核</w:t>
      </w:r>
    </w:p>
    <w:p w14:paraId="5311D02B">
      <w:pPr>
        <w:rPr>
          <w:rFonts w:hint="eastAsia"/>
          <w:szCs w:val="21"/>
          <w:highlight w:val="none"/>
        </w:rPr>
      </w:pPr>
      <w:r>
        <w:rPr>
          <w:rFonts w:hint="eastAsia"/>
          <w:szCs w:val="21"/>
          <w:highlight w:val="none"/>
        </w:rPr>
        <w:t>护士对所有医嘱进行审核确认，根据确认后的医嘱生成用药信息和医嘱执行单，记录医生姓名及时间。可根据医院管理需求，设置已确认的医嘱不得更改。</w:t>
      </w:r>
    </w:p>
    <w:p w14:paraId="6D6BE0B4">
      <w:pPr>
        <w:rPr>
          <w:rFonts w:hint="eastAsia"/>
          <w:szCs w:val="21"/>
          <w:highlight w:val="none"/>
        </w:rPr>
      </w:pPr>
      <w:r>
        <w:rPr>
          <w:rFonts w:hint="eastAsia"/>
          <w:szCs w:val="21"/>
          <w:highlight w:val="none"/>
        </w:rPr>
        <w:t>8</w:t>
      </w:r>
      <w:r>
        <w:rPr>
          <w:szCs w:val="21"/>
          <w:highlight w:val="none"/>
        </w:rPr>
        <w:t>.</w:t>
      </w:r>
      <w:r>
        <w:rPr>
          <w:rFonts w:hint="eastAsia"/>
          <w:szCs w:val="21"/>
          <w:highlight w:val="none"/>
        </w:rPr>
        <w:t>医生待办列表</w:t>
      </w:r>
    </w:p>
    <w:p w14:paraId="5E98467C">
      <w:pPr>
        <w:rPr>
          <w:rFonts w:hint="eastAsia"/>
          <w:b/>
          <w:bCs/>
          <w:szCs w:val="21"/>
          <w:highlight w:val="none"/>
        </w:rPr>
      </w:pPr>
      <w:r>
        <w:rPr>
          <w:rFonts w:hint="eastAsia"/>
          <w:b/>
          <w:bCs/>
          <w:szCs w:val="21"/>
          <w:highlight w:val="none"/>
        </w:rPr>
        <w:t>▲提供医生待办列表功能，可全面掌握待办医生事务。提供电子病历待办事项，包括待书写病历、待审签病历、待提交病历、待整改病历、待归还病历等；提供医生待审批事项，包括待审核处方、待审批用血申请、待审批手术申请等；提供跟踪事项列表，包括医生发出的会诊申请、处方审核申请、抗菌药物申请、用血申请等。</w:t>
      </w:r>
      <w:r>
        <w:rPr>
          <w:b/>
          <w:bCs/>
          <w:szCs w:val="21"/>
          <w:highlight w:val="none"/>
        </w:rPr>
        <w:t>（要求提供符合以上功能说明的产品截图）</w:t>
      </w:r>
    </w:p>
    <w:p w14:paraId="12D4EEDF">
      <w:pPr>
        <w:rPr>
          <w:rFonts w:hint="eastAsia"/>
          <w:b/>
          <w:bCs/>
          <w:szCs w:val="21"/>
          <w:highlight w:val="none"/>
        </w:rPr>
      </w:pPr>
      <w:r>
        <w:rPr>
          <w:rFonts w:hint="eastAsia"/>
          <w:b/>
          <w:bCs/>
          <w:szCs w:val="21"/>
          <w:highlight w:val="none"/>
        </w:rPr>
        <w:t>▲9</w:t>
      </w:r>
      <w:r>
        <w:rPr>
          <w:b/>
          <w:bCs/>
          <w:szCs w:val="21"/>
          <w:highlight w:val="none"/>
        </w:rPr>
        <w:t>. 支持医嘱的预开预停。（要求提供符合以上功能说明的产品截图）</w:t>
      </w:r>
    </w:p>
    <w:p w14:paraId="0DDCA31A">
      <w:pPr>
        <w:rPr>
          <w:rFonts w:hint="eastAsia"/>
          <w:b/>
          <w:bCs/>
          <w:szCs w:val="21"/>
          <w:highlight w:val="none"/>
        </w:rPr>
      </w:pPr>
      <w:r>
        <w:rPr>
          <w:rFonts w:hint="eastAsia"/>
          <w:b/>
          <w:bCs/>
          <w:szCs w:val="21"/>
          <w:highlight w:val="none"/>
        </w:rPr>
        <w:t>▲10</w:t>
      </w:r>
      <w:r>
        <w:rPr>
          <w:b/>
          <w:bCs/>
          <w:szCs w:val="21"/>
          <w:highlight w:val="none"/>
        </w:rPr>
        <w:t>.支持针对特殊级抗生素紧急使用流程。（要求提供符合以上功能说明的产品截图）</w:t>
      </w:r>
    </w:p>
    <w:p w14:paraId="6469D7DD">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费用管理</w:t>
      </w:r>
    </w:p>
    <w:p w14:paraId="4B8B14B3">
      <w:pPr>
        <w:rPr>
          <w:rFonts w:hint="eastAsia"/>
          <w:szCs w:val="21"/>
          <w:highlight w:val="none"/>
        </w:rPr>
      </w:pPr>
      <w:r>
        <w:rPr>
          <w:rFonts w:hint="eastAsia"/>
          <w:szCs w:val="21"/>
          <w:highlight w:val="none"/>
        </w:rPr>
        <w:t>要求提供费用管理有住院病人费用担保、住院单据扣费和住院退费管理等功能。</w:t>
      </w:r>
    </w:p>
    <w:p w14:paraId="31A5E195">
      <w:pPr>
        <w:pStyle w:val="117"/>
        <w:numPr>
          <w:ilvl w:val="0"/>
          <w:numId w:val="6"/>
        </w:numPr>
        <w:spacing w:line="360" w:lineRule="auto"/>
        <w:ind w:firstLineChars="0"/>
        <w:rPr>
          <w:rFonts w:hint="eastAsia" w:ascii="宋体" w:hAnsi="宋体"/>
          <w:szCs w:val="21"/>
          <w:highlight w:val="none"/>
        </w:rPr>
      </w:pPr>
      <w:r>
        <w:rPr>
          <w:rFonts w:hint="eastAsia" w:ascii="宋体" w:hAnsi="宋体"/>
          <w:szCs w:val="21"/>
          <w:highlight w:val="none"/>
        </w:rPr>
        <w:t>病人费用担保</w:t>
      </w:r>
    </w:p>
    <w:p w14:paraId="43CBE0B4">
      <w:pPr>
        <w:rPr>
          <w:rFonts w:hint="eastAsia"/>
          <w:szCs w:val="21"/>
          <w:highlight w:val="none"/>
        </w:rPr>
      </w:pPr>
      <w:r>
        <w:rPr>
          <w:rFonts w:hint="eastAsia"/>
          <w:szCs w:val="21"/>
          <w:highlight w:val="none"/>
        </w:rPr>
        <w:t>生能够为病人设置担保费用以及担保金额，调整病人就医欠费额度。支持设置担保额度，担保有效期。也可以手动取消担保。</w:t>
      </w:r>
    </w:p>
    <w:p w14:paraId="7F782F7B">
      <w:pPr>
        <w:pStyle w:val="117"/>
        <w:numPr>
          <w:ilvl w:val="0"/>
          <w:numId w:val="6"/>
        </w:numPr>
        <w:spacing w:line="360" w:lineRule="auto"/>
        <w:ind w:firstLineChars="0"/>
        <w:rPr>
          <w:rFonts w:hint="eastAsia" w:ascii="宋体" w:hAnsi="宋体"/>
          <w:szCs w:val="21"/>
          <w:highlight w:val="none"/>
        </w:rPr>
      </w:pPr>
      <w:r>
        <w:rPr>
          <w:rFonts w:hint="eastAsia" w:ascii="宋体" w:hAnsi="宋体"/>
          <w:szCs w:val="21"/>
          <w:highlight w:val="none"/>
        </w:rPr>
        <w:t>住院单据扣费</w:t>
      </w:r>
    </w:p>
    <w:p w14:paraId="40C27692">
      <w:pPr>
        <w:rPr>
          <w:rFonts w:hint="eastAsia"/>
          <w:szCs w:val="21"/>
          <w:highlight w:val="none"/>
        </w:rPr>
      </w:pPr>
      <w:r>
        <w:rPr>
          <w:rFonts w:hint="eastAsia"/>
          <w:szCs w:val="21"/>
          <w:highlight w:val="none"/>
        </w:rPr>
        <w:t>住院单据扣费可以对病人治疗过程中产生的费用项目进行扣费与作废，还可以补开遗漏的收费项目。</w:t>
      </w:r>
    </w:p>
    <w:p w14:paraId="7F4BA6A9">
      <w:pPr>
        <w:pStyle w:val="117"/>
        <w:numPr>
          <w:ilvl w:val="0"/>
          <w:numId w:val="6"/>
        </w:numPr>
        <w:spacing w:line="360" w:lineRule="auto"/>
        <w:ind w:firstLineChars="0"/>
        <w:rPr>
          <w:rFonts w:hint="eastAsia" w:ascii="宋体" w:hAnsi="宋体"/>
          <w:szCs w:val="21"/>
          <w:highlight w:val="none"/>
        </w:rPr>
      </w:pPr>
      <w:r>
        <w:rPr>
          <w:rFonts w:hint="eastAsia" w:ascii="宋体" w:hAnsi="宋体"/>
          <w:szCs w:val="21"/>
          <w:highlight w:val="none"/>
        </w:rPr>
        <w:t>住院退费管理</w:t>
      </w:r>
    </w:p>
    <w:p w14:paraId="1445A99E">
      <w:pPr>
        <w:rPr>
          <w:rFonts w:hint="eastAsia"/>
          <w:szCs w:val="21"/>
          <w:highlight w:val="none"/>
        </w:rPr>
      </w:pPr>
      <w:r>
        <w:rPr>
          <w:rFonts w:hint="eastAsia"/>
          <w:szCs w:val="21"/>
          <w:highlight w:val="none"/>
        </w:rPr>
        <w:t>住院退费管理可以选择病人本次住院已经收费的项目进行退费开单，退费执行以及退费查询。</w:t>
      </w:r>
    </w:p>
    <w:p w14:paraId="4F88CE91">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患者管理</w:t>
      </w:r>
    </w:p>
    <w:p w14:paraId="4E69650B">
      <w:pPr>
        <w:rPr>
          <w:rFonts w:hint="eastAsia"/>
          <w:szCs w:val="21"/>
          <w:highlight w:val="none"/>
        </w:rPr>
      </w:pPr>
      <w:r>
        <w:rPr>
          <w:rFonts w:hint="eastAsia"/>
          <w:szCs w:val="21"/>
          <w:highlight w:val="none"/>
        </w:rPr>
        <w:t>要求实现患者床位导航、患者陪护等功能。</w:t>
      </w:r>
    </w:p>
    <w:p w14:paraId="3C564511">
      <w:pPr>
        <w:pStyle w:val="117"/>
        <w:numPr>
          <w:ilvl w:val="0"/>
          <w:numId w:val="7"/>
        </w:numPr>
        <w:spacing w:line="360" w:lineRule="auto"/>
        <w:ind w:firstLineChars="0"/>
        <w:rPr>
          <w:rFonts w:hint="eastAsia" w:ascii="宋体" w:hAnsi="宋体"/>
          <w:szCs w:val="21"/>
          <w:highlight w:val="none"/>
        </w:rPr>
      </w:pPr>
      <w:r>
        <w:rPr>
          <w:rFonts w:hint="eastAsia" w:ascii="宋体" w:hAnsi="宋体"/>
          <w:szCs w:val="21"/>
          <w:highlight w:val="none"/>
        </w:rPr>
        <w:t>床位导航</w:t>
      </w:r>
    </w:p>
    <w:p w14:paraId="54A4707F">
      <w:pPr>
        <w:rPr>
          <w:rFonts w:hint="eastAsia"/>
          <w:szCs w:val="21"/>
          <w:highlight w:val="none"/>
        </w:rPr>
      </w:pPr>
      <w:r>
        <w:rPr>
          <w:rFonts w:hint="eastAsia"/>
          <w:szCs w:val="21"/>
          <w:highlight w:val="none"/>
        </w:rPr>
        <w:t>床位导航可以查看本科室所有病人的床位信息，并且支持各类患者标识的展示。另外还支持各类病人的查看，方便医生快速定位病人。</w:t>
      </w:r>
    </w:p>
    <w:p w14:paraId="437C9160">
      <w:pPr>
        <w:pStyle w:val="117"/>
        <w:numPr>
          <w:ilvl w:val="0"/>
          <w:numId w:val="7"/>
        </w:numPr>
        <w:spacing w:line="360" w:lineRule="auto"/>
        <w:ind w:firstLineChars="0"/>
        <w:rPr>
          <w:rFonts w:hint="eastAsia" w:ascii="宋体" w:hAnsi="宋体"/>
          <w:szCs w:val="21"/>
          <w:highlight w:val="none"/>
        </w:rPr>
      </w:pPr>
      <w:r>
        <w:rPr>
          <w:rFonts w:hint="eastAsia" w:ascii="宋体" w:hAnsi="宋体"/>
          <w:szCs w:val="21"/>
          <w:highlight w:val="none"/>
        </w:rPr>
        <w:t>患者陪护</w:t>
      </w:r>
    </w:p>
    <w:p w14:paraId="1CE1F687">
      <w:pPr>
        <w:rPr>
          <w:rFonts w:hint="eastAsia"/>
          <w:szCs w:val="21"/>
          <w:highlight w:val="none"/>
        </w:rPr>
      </w:pPr>
      <w:r>
        <w:rPr>
          <w:rFonts w:hint="eastAsia"/>
          <w:szCs w:val="21"/>
          <w:highlight w:val="none"/>
        </w:rPr>
        <w:t>患者陪护是在对患者陪护家属进行管理，为陪护家属开单，登记疫苗接种情况。</w:t>
      </w:r>
    </w:p>
    <w:p w14:paraId="23BB6D0A">
      <w:pPr>
        <w:pStyle w:val="117"/>
        <w:numPr>
          <w:ilvl w:val="0"/>
          <w:numId w:val="7"/>
        </w:numPr>
        <w:spacing w:line="360" w:lineRule="auto"/>
        <w:ind w:firstLineChars="0"/>
        <w:rPr>
          <w:rFonts w:hint="eastAsia" w:ascii="宋体" w:hAnsi="宋体"/>
          <w:szCs w:val="21"/>
          <w:highlight w:val="none"/>
        </w:rPr>
      </w:pPr>
      <w:r>
        <w:rPr>
          <w:rFonts w:hint="eastAsia" w:ascii="宋体" w:hAnsi="宋体"/>
          <w:szCs w:val="21"/>
          <w:highlight w:val="none"/>
        </w:rPr>
        <w:t>患者标识管理</w:t>
      </w:r>
    </w:p>
    <w:p w14:paraId="6852E3DC">
      <w:pPr>
        <w:rPr>
          <w:rFonts w:hint="eastAsia"/>
          <w:b/>
          <w:bCs/>
          <w:szCs w:val="21"/>
          <w:highlight w:val="none"/>
        </w:rPr>
      </w:pPr>
      <w:r>
        <w:rPr>
          <w:rFonts w:hint="eastAsia"/>
          <w:b/>
          <w:bCs/>
          <w:szCs w:val="21"/>
          <w:highlight w:val="none"/>
        </w:rPr>
        <w:t>▲提供患者特殊标识功能。要求通过数据服务功能，可视化配置患者标识的名称、颜色、大小、图标、数据加工语法等；要求在患者信息栏，可自动根据患者病历文书数据更新并显示患者标识，也支持对患者外部信息的手工登记患者标记的功能。（要求提供符合以上功能说明的产品截图）</w:t>
      </w:r>
    </w:p>
    <w:p w14:paraId="4EFC56D9">
      <w:pPr>
        <w:rPr>
          <w:rFonts w:hint="eastAsia"/>
          <w:szCs w:val="21"/>
          <w:highlight w:val="none"/>
        </w:rPr>
      </w:pPr>
    </w:p>
    <w:p w14:paraId="419C9A3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数据管理</w:t>
      </w:r>
    </w:p>
    <w:p w14:paraId="2FD4686D">
      <w:pPr>
        <w:rPr>
          <w:rFonts w:hint="eastAsia"/>
          <w:szCs w:val="21"/>
          <w:highlight w:val="none"/>
        </w:rPr>
      </w:pPr>
      <w:r>
        <w:rPr>
          <w:rFonts w:hint="eastAsia"/>
          <w:szCs w:val="21"/>
          <w:highlight w:val="none"/>
        </w:rPr>
        <w:t>要求实现自定义模板维护和管理、医疗组维护、附属账号管理、自定义诊断和手术等功能。</w:t>
      </w:r>
    </w:p>
    <w:p w14:paraId="02B6E588">
      <w:pPr>
        <w:rPr>
          <w:rFonts w:hint="eastAsia"/>
          <w:b/>
          <w:bCs/>
          <w:szCs w:val="21"/>
          <w:highlight w:val="none"/>
        </w:rPr>
      </w:pPr>
      <w:r>
        <w:rPr>
          <w:rFonts w:hint="eastAsia"/>
          <w:b/>
          <w:bCs/>
          <w:szCs w:val="21"/>
          <w:highlight w:val="none"/>
        </w:rPr>
        <w:t>▲临床仪表盘：基于患者的疾病情况，将医生最关注的患者临床指标直观地展现，比如肾病患者，医生通常关注尿素氮、肌肝等指标。（要求提供符合以上功能说明的产品截图）</w:t>
      </w:r>
    </w:p>
    <w:p w14:paraId="3D905445">
      <w:pPr>
        <w:rPr>
          <w:rFonts w:hint="eastAsia"/>
          <w:b/>
          <w:bCs/>
          <w:szCs w:val="21"/>
          <w:highlight w:val="none"/>
        </w:rPr>
      </w:pPr>
      <w:r>
        <w:rPr>
          <w:rFonts w:hint="eastAsia"/>
          <w:b/>
          <w:bCs/>
          <w:szCs w:val="21"/>
          <w:highlight w:val="none"/>
        </w:rPr>
        <w:t>▲支持医院管理部门、临床科室、医生个人终末质控。（要求提供符合以上功能说明的产品截图）</w:t>
      </w:r>
    </w:p>
    <w:p w14:paraId="64FDA7F1">
      <w:pPr>
        <w:rPr>
          <w:rFonts w:hint="eastAsia"/>
          <w:szCs w:val="21"/>
          <w:highlight w:val="none"/>
        </w:rPr>
      </w:pPr>
    </w:p>
    <w:p w14:paraId="7220C754">
      <w:pPr>
        <w:pStyle w:val="5"/>
        <w:rPr>
          <w:rFonts w:hint="eastAsia" w:ascii="宋体" w:hAnsi="宋体" w:eastAsia="宋体"/>
          <w:sz w:val="21"/>
          <w:szCs w:val="21"/>
          <w:highlight w:val="none"/>
        </w:rPr>
      </w:pPr>
      <w:bookmarkStart w:id="71" w:name="_Toc1512"/>
      <w:r>
        <w:rPr>
          <w:rFonts w:hint="eastAsia" w:ascii="宋体" w:hAnsi="宋体" w:eastAsia="宋体"/>
          <w:sz w:val="21"/>
          <w:szCs w:val="21"/>
          <w:highlight w:val="none"/>
        </w:rPr>
        <w:t>住院护士工作站</w:t>
      </w:r>
      <w:bookmarkEnd w:id="71"/>
    </w:p>
    <w:p w14:paraId="6E8BC83D">
      <w:pPr>
        <w:rPr>
          <w:rFonts w:hint="eastAsia"/>
          <w:szCs w:val="21"/>
          <w:highlight w:val="none"/>
        </w:rPr>
      </w:pPr>
      <w:r>
        <w:rPr>
          <w:rFonts w:hint="eastAsia"/>
          <w:szCs w:val="21"/>
          <w:highlight w:val="none"/>
        </w:rPr>
        <w:t>要求支持护士核对并处理医生下达的长期和临时医嘱，对医嘱执行情况进行管理，同时协助护士完成护理日常工作。</w:t>
      </w:r>
    </w:p>
    <w:p w14:paraId="038DCD91">
      <w:pPr>
        <w:rPr>
          <w:rFonts w:hint="eastAsia"/>
          <w:b/>
          <w:bCs/>
          <w:szCs w:val="21"/>
          <w:highlight w:val="none"/>
        </w:rPr>
      </w:pPr>
      <w:r>
        <w:rPr>
          <w:rFonts w:hint="eastAsia"/>
          <w:b/>
          <w:bCs/>
          <w:szCs w:val="21"/>
          <w:highlight w:val="none"/>
        </w:rPr>
        <w:t>▲提供护理任务总览功能，可全面掌握护理任务。提供待办理入出转的任务清单；提供护理文书任务清单，包括护理评估、体温单、护理记录、待提交病历等；提供临床相关事项列表，包括待催缴预交金患者、待接收危急值、待执行护理措施、待执行退费单、待预约检查等。</w:t>
      </w:r>
      <w:r>
        <w:rPr>
          <w:b/>
          <w:bCs/>
          <w:szCs w:val="21"/>
          <w:highlight w:val="none"/>
        </w:rPr>
        <w:t>（要求提供符合以上功能说明的产品截图）</w:t>
      </w:r>
    </w:p>
    <w:p w14:paraId="7213DB76">
      <w:pPr>
        <w:rPr>
          <w:rFonts w:hint="eastAsia"/>
          <w:szCs w:val="21"/>
          <w:highlight w:val="none"/>
        </w:rPr>
      </w:pPr>
    </w:p>
    <w:p w14:paraId="7ED7290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医嘱管理</w:t>
      </w:r>
    </w:p>
    <w:p w14:paraId="1F4D4EB4">
      <w:pPr>
        <w:rPr>
          <w:rFonts w:hint="eastAsia"/>
          <w:szCs w:val="21"/>
          <w:highlight w:val="none"/>
        </w:rPr>
      </w:pPr>
      <w:r>
        <w:rPr>
          <w:szCs w:val="21"/>
          <w:highlight w:val="none"/>
        </w:rPr>
        <w:t>1、非药品医嘱执行</w:t>
      </w:r>
    </w:p>
    <w:p w14:paraId="73D1178B">
      <w:pPr>
        <w:rPr>
          <w:rFonts w:hint="eastAsia"/>
          <w:szCs w:val="21"/>
          <w:highlight w:val="none"/>
        </w:rPr>
      </w:pPr>
      <w:r>
        <w:rPr>
          <w:rFonts w:hint="eastAsia"/>
          <w:szCs w:val="21"/>
          <w:highlight w:val="none"/>
        </w:rPr>
        <w:t>实现检验、检查、治疗、手术等非药品医嘱进行审核、执行打印等进行全过程闭环管理。具体功能包括：患者身份确认、医嘱核对、标本管理、执行确认、执行结果反馈等。</w:t>
      </w:r>
    </w:p>
    <w:p w14:paraId="37812CA1">
      <w:pPr>
        <w:rPr>
          <w:rFonts w:hint="eastAsia"/>
          <w:szCs w:val="21"/>
          <w:highlight w:val="none"/>
        </w:rPr>
      </w:pPr>
      <w:r>
        <w:rPr>
          <w:szCs w:val="21"/>
          <w:highlight w:val="none"/>
        </w:rPr>
        <w:t>2、患者身份确认</w:t>
      </w:r>
    </w:p>
    <w:p w14:paraId="7199DD26">
      <w:pPr>
        <w:rPr>
          <w:rFonts w:hint="eastAsia"/>
          <w:szCs w:val="21"/>
          <w:highlight w:val="none"/>
        </w:rPr>
      </w:pPr>
      <w:r>
        <w:rPr>
          <w:rFonts w:hint="eastAsia"/>
          <w:szCs w:val="21"/>
          <w:highlight w:val="none"/>
        </w:rPr>
        <w:t>打印患者信息条码作为患者的身份标识。护士进行治疗护理时，扫描患者信息条码进行身份识别与确认。护士端可查看患者基本信息，包括患者的住院号、姓名、性别、年龄、入科时间、床号、临床部门、诊断情况、主治医生、疾病状态、饮食情况、护理级别、费用等。通过查看患者的入院评估单与护理记录单，可随时获得患者的病情信息。</w:t>
      </w:r>
    </w:p>
    <w:p w14:paraId="36C5F1A4">
      <w:pPr>
        <w:rPr>
          <w:rFonts w:hint="eastAsia"/>
          <w:szCs w:val="21"/>
          <w:highlight w:val="none"/>
        </w:rPr>
      </w:pPr>
      <w:r>
        <w:rPr>
          <w:szCs w:val="21"/>
          <w:highlight w:val="none"/>
        </w:rPr>
        <w:t>3、医嘱核对</w:t>
      </w:r>
    </w:p>
    <w:p w14:paraId="62D3FDB6">
      <w:pPr>
        <w:rPr>
          <w:rFonts w:hint="eastAsia"/>
          <w:szCs w:val="21"/>
          <w:highlight w:val="none"/>
        </w:rPr>
      </w:pPr>
      <w:r>
        <w:rPr>
          <w:rFonts w:hint="eastAsia"/>
          <w:szCs w:val="21"/>
          <w:highlight w:val="none"/>
        </w:rPr>
        <w:t>护士在工作站、移动护理终端进行医嘱信息核对，确认开嘱时间、开嘱医生、医嘱内容、执行要求与注意事项进行核对，对于存有异议的医嘱禁止执行。</w:t>
      </w:r>
    </w:p>
    <w:p w14:paraId="79B926D9">
      <w:pPr>
        <w:rPr>
          <w:rFonts w:hint="eastAsia"/>
          <w:szCs w:val="21"/>
          <w:highlight w:val="none"/>
        </w:rPr>
      </w:pPr>
      <w:r>
        <w:rPr>
          <w:szCs w:val="21"/>
          <w:highlight w:val="none"/>
        </w:rPr>
        <w:t>4、标本管理</w:t>
      </w:r>
    </w:p>
    <w:p w14:paraId="4F145D13">
      <w:pPr>
        <w:rPr>
          <w:rFonts w:hint="eastAsia"/>
          <w:szCs w:val="21"/>
          <w:highlight w:val="none"/>
        </w:rPr>
      </w:pPr>
      <w:r>
        <w:rPr>
          <w:rFonts w:hint="eastAsia"/>
          <w:szCs w:val="21"/>
          <w:highlight w:val="none"/>
        </w:rPr>
        <w:t>提供检验条码实现检验标本全流程管理。条码标识患者检验标本和检验项目。扫描标本条码，识别患者身份信息、标本信息</w:t>
      </w:r>
      <w:r>
        <w:rPr>
          <w:szCs w:val="21"/>
          <w:highlight w:val="none"/>
        </w:rPr>
        <w:t>(标本种类、采集时间、采集人)、检验项目信息、标本配送、交接信息(配送人、配送时间、接收人、接收地点、接收时间等)。</w:t>
      </w:r>
    </w:p>
    <w:p w14:paraId="5B4380AF">
      <w:pPr>
        <w:rPr>
          <w:rFonts w:hint="eastAsia"/>
          <w:szCs w:val="21"/>
          <w:highlight w:val="none"/>
        </w:rPr>
      </w:pPr>
      <w:r>
        <w:rPr>
          <w:szCs w:val="21"/>
          <w:highlight w:val="none"/>
        </w:rPr>
        <w:t>5、执行确认与结果反馈</w:t>
      </w:r>
    </w:p>
    <w:p w14:paraId="47ACB129">
      <w:pPr>
        <w:rPr>
          <w:rFonts w:hint="eastAsia"/>
          <w:szCs w:val="21"/>
          <w:highlight w:val="none"/>
        </w:rPr>
      </w:pPr>
      <w:r>
        <w:rPr>
          <w:rFonts w:hint="eastAsia"/>
          <w:szCs w:val="21"/>
          <w:highlight w:val="none"/>
        </w:rPr>
        <w:t>提供根据非药品医嘱生成患者的每天护理计划，通过扫描条码，进行非药品医嘱的执行，录入医嘱的实际执行时间和实际执行人等信息，护士长可随时查看全天的医嘱执行情况、各种护理行为的完成情况等信息，并将执行结果反馈医嘱开立的医护人员。</w:t>
      </w:r>
    </w:p>
    <w:p w14:paraId="471547D6">
      <w:pPr>
        <w:rPr>
          <w:rFonts w:hint="eastAsia"/>
          <w:szCs w:val="21"/>
          <w:highlight w:val="none"/>
        </w:rPr>
      </w:pPr>
      <w:r>
        <w:rPr>
          <w:szCs w:val="21"/>
          <w:highlight w:val="none"/>
        </w:rPr>
        <w:t>6、药品医嘱执行</w:t>
      </w:r>
    </w:p>
    <w:p w14:paraId="1671C3B2">
      <w:pPr>
        <w:rPr>
          <w:rFonts w:hint="eastAsia"/>
          <w:szCs w:val="21"/>
          <w:highlight w:val="none"/>
        </w:rPr>
      </w:pPr>
      <w:r>
        <w:rPr>
          <w:rFonts w:hint="eastAsia"/>
          <w:szCs w:val="21"/>
          <w:highlight w:val="none"/>
        </w:rPr>
        <w:t>为保证用药安全，实现患者身份及药品的核对、使用针剂、口服药、外用药等进行全过程管理。具体功能包括：配药管理、标签管理、患者身份查对、药品查对、患者呼叫管理等。</w:t>
      </w:r>
    </w:p>
    <w:p w14:paraId="256D4D2C">
      <w:pPr>
        <w:rPr>
          <w:rFonts w:hint="eastAsia"/>
          <w:szCs w:val="21"/>
          <w:highlight w:val="none"/>
        </w:rPr>
      </w:pPr>
      <w:r>
        <w:rPr>
          <w:szCs w:val="21"/>
          <w:highlight w:val="none"/>
        </w:rPr>
        <w:t>7、配药管理</w:t>
      </w:r>
    </w:p>
    <w:p w14:paraId="6D364BBA">
      <w:pPr>
        <w:rPr>
          <w:rFonts w:hint="eastAsia"/>
          <w:szCs w:val="21"/>
          <w:highlight w:val="none"/>
        </w:rPr>
      </w:pPr>
      <w:r>
        <w:rPr>
          <w:rFonts w:hint="eastAsia"/>
          <w:szCs w:val="21"/>
          <w:highlight w:val="none"/>
        </w:rPr>
        <w:t>按使用方式及种类对医嘱进行区分，将医嘱分为口服、注射、输液、治疗、检验检查、其他等不同类型医嘱。进行整合判定后配药，打印药品条码并贴签。</w:t>
      </w:r>
    </w:p>
    <w:p w14:paraId="570407FE">
      <w:pPr>
        <w:rPr>
          <w:rFonts w:hint="eastAsia"/>
          <w:szCs w:val="21"/>
          <w:highlight w:val="none"/>
        </w:rPr>
      </w:pPr>
      <w:r>
        <w:rPr>
          <w:szCs w:val="21"/>
          <w:highlight w:val="none"/>
        </w:rPr>
        <w:t>8、标签管理</w:t>
      </w:r>
    </w:p>
    <w:p w14:paraId="50B38AFE">
      <w:pPr>
        <w:rPr>
          <w:rFonts w:hint="eastAsia"/>
          <w:szCs w:val="21"/>
          <w:highlight w:val="none"/>
        </w:rPr>
      </w:pPr>
      <w:r>
        <w:rPr>
          <w:rFonts w:hint="eastAsia"/>
          <w:szCs w:val="21"/>
          <w:highlight w:val="none"/>
        </w:rPr>
        <w:t>药品的配药、发药、用药需要经过信息化的确认，每个药品在从入库开始都生成唯一的标签，通过扫描药品标签确认药品的正确性与患者医嘱是否匹配等。通过对药品标签化，形成对药品的闭环管理。</w:t>
      </w:r>
    </w:p>
    <w:p w14:paraId="12E80572">
      <w:pPr>
        <w:rPr>
          <w:rFonts w:hint="eastAsia"/>
          <w:szCs w:val="21"/>
          <w:highlight w:val="none"/>
        </w:rPr>
      </w:pPr>
      <w:r>
        <w:rPr>
          <w:szCs w:val="21"/>
          <w:highlight w:val="none"/>
        </w:rPr>
        <w:t>9、患者身份查对</w:t>
      </w:r>
    </w:p>
    <w:p w14:paraId="6A25B1B7">
      <w:pPr>
        <w:rPr>
          <w:rFonts w:hint="eastAsia"/>
          <w:szCs w:val="21"/>
          <w:highlight w:val="none"/>
        </w:rPr>
      </w:pPr>
      <w:r>
        <w:rPr>
          <w:rFonts w:hint="eastAsia"/>
          <w:szCs w:val="21"/>
          <w:highlight w:val="none"/>
        </w:rPr>
        <w:t>通过扫描药品条码与患者条码核对药品与患者的匹配信息，信息核对一致后发放药品，保证用药安全。</w:t>
      </w:r>
    </w:p>
    <w:p w14:paraId="431FA860">
      <w:pPr>
        <w:rPr>
          <w:rFonts w:hint="eastAsia"/>
          <w:szCs w:val="21"/>
          <w:highlight w:val="none"/>
        </w:rPr>
      </w:pPr>
      <w:r>
        <w:rPr>
          <w:szCs w:val="21"/>
          <w:highlight w:val="none"/>
        </w:rPr>
        <w:t>10、药品查对</w:t>
      </w:r>
    </w:p>
    <w:p w14:paraId="308B3E1F">
      <w:pPr>
        <w:rPr>
          <w:rFonts w:hint="eastAsia"/>
          <w:szCs w:val="21"/>
          <w:highlight w:val="none"/>
        </w:rPr>
      </w:pPr>
      <w:r>
        <w:rPr>
          <w:rFonts w:hint="eastAsia"/>
          <w:szCs w:val="21"/>
          <w:highlight w:val="none"/>
        </w:rPr>
        <w:t>从药品入库开始，对药品进行标签化管理。在患者用药环节，通过扫描药品标签与患者标签进行核对，最终形成药品的全闭环管理。可以追踪药品在全院任何环节中的使用情况。</w:t>
      </w:r>
    </w:p>
    <w:p w14:paraId="68DAFD88">
      <w:pPr>
        <w:rPr>
          <w:rFonts w:hint="eastAsia"/>
          <w:szCs w:val="21"/>
          <w:highlight w:val="none"/>
        </w:rPr>
      </w:pPr>
      <w:r>
        <w:rPr>
          <w:szCs w:val="21"/>
          <w:highlight w:val="none"/>
        </w:rPr>
        <w:t>11、患者呼叫管理</w:t>
      </w:r>
    </w:p>
    <w:p w14:paraId="343D352E">
      <w:pPr>
        <w:rPr>
          <w:rFonts w:hint="eastAsia"/>
          <w:szCs w:val="21"/>
          <w:highlight w:val="none"/>
        </w:rPr>
      </w:pPr>
      <w:r>
        <w:rPr>
          <w:rFonts w:hint="eastAsia"/>
          <w:szCs w:val="21"/>
          <w:highlight w:val="none"/>
        </w:rPr>
        <w:t>患者在药物使用过程中，发生不良反应以及症状，患者、陪床人员及巡视人员可以通过呼叫设备对护士进行呼叫。护士需立即与当值医生反映情况并及时处理。</w:t>
      </w:r>
    </w:p>
    <w:p w14:paraId="2B2DF955">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床位管理</w:t>
      </w:r>
    </w:p>
    <w:p w14:paraId="1DC300A2">
      <w:pPr>
        <w:pStyle w:val="117"/>
        <w:numPr>
          <w:ilvl w:val="0"/>
          <w:numId w:val="8"/>
        </w:numPr>
        <w:spacing w:line="360" w:lineRule="auto"/>
        <w:ind w:firstLineChars="0"/>
        <w:rPr>
          <w:rFonts w:hint="eastAsia" w:ascii="宋体" w:hAnsi="宋体"/>
          <w:szCs w:val="21"/>
          <w:highlight w:val="none"/>
        </w:rPr>
      </w:pPr>
      <w:r>
        <w:rPr>
          <w:rFonts w:hint="eastAsia" w:ascii="宋体" w:hAnsi="宋体"/>
          <w:szCs w:val="21"/>
          <w:highlight w:val="none"/>
        </w:rPr>
        <w:t>床位管理</w:t>
      </w:r>
    </w:p>
    <w:p w14:paraId="5CFBF6A8">
      <w:pPr>
        <w:rPr>
          <w:rFonts w:hint="eastAsia"/>
          <w:szCs w:val="21"/>
          <w:highlight w:val="none"/>
        </w:rPr>
      </w:pPr>
      <w:r>
        <w:rPr>
          <w:rFonts w:hint="eastAsia"/>
          <w:szCs w:val="21"/>
          <w:highlight w:val="none"/>
        </w:rPr>
        <w:t>支持维护床位号、床位类型、床位等级、属性、清洁状态、隔离状态、房间号、地理位置、排序号等信息。可以新增删除修改床位。可根据条件查询床位属性。</w:t>
      </w:r>
    </w:p>
    <w:p w14:paraId="49326086">
      <w:pPr>
        <w:pStyle w:val="117"/>
        <w:numPr>
          <w:ilvl w:val="0"/>
          <w:numId w:val="8"/>
        </w:numPr>
        <w:spacing w:line="360" w:lineRule="auto"/>
        <w:ind w:firstLineChars="0"/>
        <w:rPr>
          <w:rFonts w:hint="eastAsia" w:ascii="宋体" w:hAnsi="宋体"/>
          <w:szCs w:val="21"/>
          <w:highlight w:val="none"/>
        </w:rPr>
      </w:pPr>
      <w:r>
        <w:rPr>
          <w:rFonts w:hint="eastAsia" w:ascii="宋体" w:hAnsi="宋体"/>
          <w:szCs w:val="21"/>
          <w:highlight w:val="none"/>
        </w:rPr>
        <w:t>床位等级费用维护</w:t>
      </w:r>
    </w:p>
    <w:p w14:paraId="2CADD830">
      <w:pPr>
        <w:pStyle w:val="117"/>
        <w:ind w:left="840" w:firstLine="0" w:firstLineChars="0"/>
        <w:rPr>
          <w:rFonts w:hint="eastAsia" w:ascii="宋体" w:hAnsi="宋体"/>
          <w:szCs w:val="21"/>
          <w:highlight w:val="none"/>
        </w:rPr>
      </w:pPr>
      <w:r>
        <w:rPr>
          <w:rFonts w:hint="eastAsia" w:ascii="宋体" w:hAnsi="宋体"/>
          <w:szCs w:val="21"/>
          <w:highlight w:val="none"/>
        </w:rPr>
        <w:t>可设置床位费属性以及设置床位费用项目。</w:t>
      </w:r>
    </w:p>
    <w:p w14:paraId="244B654F">
      <w:pPr>
        <w:pStyle w:val="117"/>
        <w:numPr>
          <w:ilvl w:val="0"/>
          <w:numId w:val="8"/>
        </w:numPr>
        <w:spacing w:line="360" w:lineRule="auto"/>
        <w:ind w:firstLineChars="0"/>
        <w:rPr>
          <w:rFonts w:hint="eastAsia" w:ascii="宋体" w:hAnsi="宋体"/>
          <w:szCs w:val="21"/>
          <w:highlight w:val="none"/>
        </w:rPr>
      </w:pPr>
      <w:r>
        <w:rPr>
          <w:rFonts w:hint="eastAsia" w:ascii="宋体" w:hAnsi="宋体"/>
          <w:szCs w:val="21"/>
          <w:highlight w:val="none"/>
        </w:rPr>
        <w:t>床位导航</w:t>
      </w:r>
    </w:p>
    <w:p w14:paraId="7B7A4031">
      <w:pPr>
        <w:rPr>
          <w:rFonts w:hint="eastAsia"/>
          <w:szCs w:val="21"/>
          <w:highlight w:val="none"/>
        </w:rPr>
      </w:pPr>
      <w:r>
        <w:rPr>
          <w:rFonts w:hint="eastAsia"/>
          <w:szCs w:val="21"/>
          <w:highlight w:val="none"/>
        </w:rPr>
        <w:t>支持床位导航展示。可按照护理等级、患者入出转状态、护理评估结果、手术状态等分类展示各个床位患者情况。</w:t>
      </w:r>
    </w:p>
    <w:p w14:paraId="1BFD965B">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费用管理</w:t>
      </w:r>
    </w:p>
    <w:p w14:paraId="6A7DF2F4">
      <w:pPr>
        <w:pStyle w:val="117"/>
        <w:numPr>
          <w:ilvl w:val="0"/>
          <w:numId w:val="9"/>
        </w:numPr>
        <w:spacing w:line="360" w:lineRule="auto"/>
        <w:ind w:firstLineChars="0"/>
        <w:rPr>
          <w:rFonts w:hint="eastAsia" w:ascii="宋体" w:hAnsi="宋体"/>
          <w:szCs w:val="21"/>
          <w:highlight w:val="none"/>
        </w:rPr>
      </w:pPr>
      <w:r>
        <w:rPr>
          <w:rFonts w:hint="eastAsia" w:ascii="宋体" w:hAnsi="宋体"/>
          <w:szCs w:val="21"/>
          <w:highlight w:val="none"/>
        </w:rPr>
        <w:t>住院单据扣费</w:t>
      </w:r>
    </w:p>
    <w:p w14:paraId="7CDE68EF">
      <w:pPr>
        <w:rPr>
          <w:rFonts w:hint="eastAsia"/>
          <w:szCs w:val="21"/>
          <w:highlight w:val="none"/>
        </w:rPr>
      </w:pPr>
      <w:r>
        <w:rPr>
          <w:rFonts w:hint="eastAsia"/>
          <w:szCs w:val="21"/>
          <w:highlight w:val="none"/>
        </w:rPr>
        <w:t>支持显示用药的各种材料费、诊疗费等需要扣费的项目，可进行直接扣费。支持新增诊疗或材料费用项目，可使用模板新增。可作废未执行的项目。支持进行皮试结果登记，根据结果控制是否执行用药。</w:t>
      </w:r>
    </w:p>
    <w:p w14:paraId="7B6C810C">
      <w:pPr>
        <w:pStyle w:val="117"/>
        <w:numPr>
          <w:ilvl w:val="0"/>
          <w:numId w:val="9"/>
        </w:numPr>
        <w:spacing w:line="360" w:lineRule="auto"/>
        <w:ind w:firstLineChars="0"/>
        <w:rPr>
          <w:rFonts w:hint="eastAsia" w:ascii="宋体" w:hAnsi="宋体"/>
          <w:szCs w:val="21"/>
          <w:highlight w:val="none"/>
        </w:rPr>
      </w:pPr>
      <w:r>
        <w:rPr>
          <w:rFonts w:hint="eastAsia" w:ascii="宋体" w:hAnsi="宋体"/>
          <w:szCs w:val="21"/>
          <w:highlight w:val="none"/>
        </w:rPr>
        <w:t>住院退费管理</w:t>
      </w:r>
    </w:p>
    <w:p w14:paraId="0C9F9CAD">
      <w:pPr>
        <w:rPr>
          <w:rFonts w:hint="eastAsia"/>
          <w:szCs w:val="21"/>
          <w:highlight w:val="none"/>
        </w:rPr>
      </w:pPr>
      <w:r>
        <w:rPr>
          <w:rFonts w:hint="eastAsia"/>
          <w:szCs w:val="21"/>
          <w:highlight w:val="none"/>
        </w:rPr>
        <w:t>针对需要退费的病人可以进行退费开单、退费执行以及退费查询。支持一键退费。</w:t>
      </w:r>
    </w:p>
    <w:p w14:paraId="624A614D">
      <w:pPr>
        <w:pStyle w:val="117"/>
        <w:numPr>
          <w:ilvl w:val="0"/>
          <w:numId w:val="9"/>
        </w:numPr>
        <w:spacing w:line="360" w:lineRule="auto"/>
        <w:ind w:firstLineChars="0"/>
        <w:rPr>
          <w:rFonts w:hint="eastAsia" w:ascii="宋体" w:hAnsi="宋体"/>
          <w:szCs w:val="21"/>
          <w:highlight w:val="none"/>
        </w:rPr>
      </w:pPr>
      <w:r>
        <w:rPr>
          <w:rFonts w:hint="eastAsia" w:ascii="宋体" w:hAnsi="宋体"/>
          <w:szCs w:val="21"/>
          <w:highlight w:val="none"/>
        </w:rPr>
        <w:t>预交金预警</w:t>
      </w:r>
    </w:p>
    <w:p w14:paraId="5A83B99D">
      <w:pPr>
        <w:rPr>
          <w:rFonts w:hint="eastAsia"/>
          <w:szCs w:val="21"/>
          <w:highlight w:val="none"/>
        </w:rPr>
      </w:pPr>
      <w:r>
        <w:rPr>
          <w:rFonts w:hint="eastAsia"/>
          <w:szCs w:val="21"/>
          <w:highlight w:val="none"/>
        </w:rPr>
        <w:t>可以查询当前病区的患者预交金信息。可以设定预交金预警阀值，根据设定的值进行查询。对于超过阀值的病人，可以打印催交单。</w:t>
      </w:r>
    </w:p>
    <w:p w14:paraId="0A74926E">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患者管理</w:t>
      </w:r>
    </w:p>
    <w:p w14:paraId="352249FF">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入科</w:t>
      </w:r>
    </w:p>
    <w:p w14:paraId="7F7D92C6">
      <w:pPr>
        <w:rPr>
          <w:rFonts w:hint="eastAsia"/>
          <w:szCs w:val="21"/>
          <w:highlight w:val="none"/>
        </w:rPr>
      </w:pPr>
      <w:r>
        <w:rPr>
          <w:rFonts w:hint="eastAsia"/>
          <w:szCs w:val="21"/>
          <w:highlight w:val="none"/>
        </w:rPr>
        <w:t>系统支持查询待入科、待转入、待迁入、取消入科、取消转入、取消迁出、取消挂床、取消出院等各个状态需要入科的患者列表。入科时可进行主管医生、主管护士、床位等分配。可进行入院评估、入院体征录入、入院宣教等操作。</w:t>
      </w:r>
    </w:p>
    <w:p w14:paraId="0F74BFA7">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转科</w:t>
      </w:r>
    </w:p>
    <w:p w14:paraId="0CE917C1">
      <w:pPr>
        <w:rPr>
          <w:rFonts w:hint="eastAsia"/>
          <w:szCs w:val="21"/>
          <w:highlight w:val="none"/>
        </w:rPr>
      </w:pPr>
      <w:r>
        <w:rPr>
          <w:rFonts w:hint="eastAsia"/>
          <w:szCs w:val="21"/>
          <w:highlight w:val="none"/>
        </w:rPr>
        <w:t>可查看待转科病人摆药单、未扣费用、退药单、退费单、医嘱等信息。有未处理的信息可以直接处理。确认病人的费用、药品、医嘱都处理完成后进行转科操作。</w:t>
      </w:r>
    </w:p>
    <w:p w14:paraId="6540EF6C">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出院</w:t>
      </w:r>
    </w:p>
    <w:p w14:paraId="072DF7CD">
      <w:pPr>
        <w:rPr>
          <w:rFonts w:hint="eastAsia"/>
          <w:szCs w:val="21"/>
          <w:highlight w:val="none"/>
        </w:rPr>
      </w:pPr>
      <w:r>
        <w:rPr>
          <w:rFonts w:hint="eastAsia"/>
          <w:szCs w:val="21"/>
          <w:highlight w:val="none"/>
        </w:rPr>
        <w:t>可查看待出院病人摆药单、未扣费用、退药单、退费单、医嘱等信息。有未处理的信息可以直接处理。确认病人的费用、药品、医嘱都处理完成后进行出院操作。</w:t>
      </w:r>
    </w:p>
    <w:p w14:paraId="098826BA">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迁出</w:t>
      </w:r>
    </w:p>
    <w:p w14:paraId="47426A56">
      <w:pPr>
        <w:ind w:firstLine="720" w:firstLineChars="300"/>
        <w:rPr>
          <w:rFonts w:hint="eastAsia"/>
          <w:szCs w:val="21"/>
          <w:highlight w:val="none"/>
        </w:rPr>
      </w:pPr>
      <w:r>
        <w:rPr>
          <w:rFonts w:hint="eastAsia"/>
          <w:szCs w:val="21"/>
          <w:highlight w:val="none"/>
        </w:rPr>
        <w:t>可查看待迁出病人摆药单、未扣费用、退药单、退费单、医嘱等信息。</w:t>
      </w:r>
    </w:p>
    <w:p w14:paraId="59F64AFE">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挂床</w:t>
      </w:r>
    </w:p>
    <w:p w14:paraId="58A7E5BD">
      <w:pPr>
        <w:rPr>
          <w:rFonts w:hint="eastAsia"/>
          <w:szCs w:val="21"/>
          <w:highlight w:val="none"/>
        </w:rPr>
      </w:pPr>
      <w:r>
        <w:rPr>
          <w:rFonts w:hint="eastAsia"/>
          <w:szCs w:val="21"/>
          <w:highlight w:val="none"/>
        </w:rPr>
        <w:t>可查看待挂床病人摆药单、未扣费用、退药单、退费单、医嘱等信息。有未处理的信息可以直接处理。确认病人的费用、药品、医嘱都处理完成后进行挂床操作。</w:t>
      </w:r>
    </w:p>
    <w:p w14:paraId="3C2559FA">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住院信息修改</w:t>
      </w:r>
    </w:p>
    <w:p w14:paraId="7FF9AF3F">
      <w:pPr>
        <w:pStyle w:val="117"/>
        <w:ind w:left="840" w:firstLine="0" w:firstLineChars="0"/>
        <w:rPr>
          <w:rFonts w:hint="eastAsia" w:ascii="宋体" w:hAnsi="宋体"/>
          <w:szCs w:val="21"/>
          <w:highlight w:val="none"/>
        </w:rPr>
      </w:pPr>
      <w:r>
        <w:rPr>
          <w:rFonts w:hint="eastAsia" w:ascii="宋体" w:hAnsi="宋体"/>
          <w:szCs w:val="21"/>
          <w:highlight w:val="none"/>
        </w:rPr>
        <w:t>可以修改住院患者的住院信息。修改后的数据会同步更新到其他系统。</w:t>
      </w:r>
    </w:p>
    <w:p w14:paraId="28C50584">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共享病人分发</w:t>
      </w:r>
    </w:p>
    <w:p w14:paraId="297155B9">
      <w:pPr>
        <w:rPr>
          <w:rFonts w:hint="eastAsia"/>
          <w:szCs w:val="21"/>
          <w:highlight w:val="none"/>
        </w:rPr>
      </w:pPr>
      <w:r>
        <w:rPr>
          <w:rFonts w:hint="eastAsia"/>
          <w:szCs w:val="21"/>
          <w:highlight w:val="none"/>
        </w:rPr>
        <w:t>支持将病人共享给其他科室。可以设置共享的有效时间范围。共享的科室收到病人后可以对病人进行操作，查看文书信息、书写护理记录等。支持批量共享操作。</w:t>
      </w:r>
    </w:p>
    <w:p w14:paraId="7BF25998">
      <w:pPr>
        <w:pStyle w:val="117"/>
        <w:numPr>
          <w:ilvl w:val="0"/>
          <w:numId w:val="10"/>
        </w:numPr>
        <w:spacing w:line="360" w:lineRule="auto"/>
        <w:ind w:firstLineChars="0"/>
        <w:rPr>
          <w:rFonts w:hint="eastAsia" w:ascii="宋体" w:hAnsi="宋体"/>
          <w:szCs w:val="21"/>
          <w:highlight w:val="none"/>
        </w:rPr>
      </w:pPr>
      <w:r>
        <w:rPr>
          <w:rFonts w:hint="eastAsia" w:ascii="宋体" w:hAnsi="宋体"/>
          <w:szCs w:val="21"/>
          <w:highlight w:val="none"/>
        </w:rPr>
        <w:t>患者陪护</w:t>
      </w:r>
    </w:p>
    <w:p w14:paraId="1B640FB0">
      <w:pPr>
        <w:pStyle w:val="117"/>
        <w:ind w:left="840" w:firstLine="0" w:firstLineChars="0"/>
        <w:rPr>
          <w:rFonts w:hint="eastAsia" w:ascii="宋体" w:hAnsi="宋体"/>
          <w:szCs w:val="21"/>
          <w:highlight w:val="none"/>
        </w:rPr>
      </w:pPr>
      <w:r>
        <w:rPr>
          <w:rFonts w:hint="eastAsia" w:ascii="宋体" w:hAnsi="宋体"/>
          <w:szCs w:val="21"/>
          <w:highlight w:val="none"/>
        </w:rPr>
        <w:t>可为患者添加陪护人信息。可以查看患者陪护人疫苗等信息。</w:t>
      </w:r>
    </w:p>
    <w:p w14:paraId="68BA82F7">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打印管理</w:t>
      </w:r>
    </w:p>
    <w:p w14:paraId="563F2821">
      <w:pPr>
        <w:pStyle w:val="117"/>
        <w:numPr>
          <w:ilvl w:val="0"/>
          <w:numId w:val="11"/>
        </w:numPr>
        <w:spacing w:line="360" w:lineRule="auto"/>
        <w:ind w:firstLineChars="0"/>
        <w:rPr>
          <w:rFonts w:hint="eastAsia" w:ascii="宋体" w:hAnsi="宋体"/>
          <w:szCs w:val="21"/>
          <w:highlight w:val="none"/>
        </w:rPr>
      </w:pPr>
      <w:r>
        <w:rPr>
          <w:rFonts w:hint="eastAsia" w:ascii="宋体" w:hAnsi="宋体"/>
          <w:szCs w:val="21"/>
          <w:highlight w:val="none"/>
        </w:rPr>
        <w:t>用药打印</w:t>
      </w:r>
    </w:p>
    <w:p w14:paraId="4FF35121">
      <w:pPr>
        <w:rPr>
          <w:rFonts w:hint="eastAsia"/>
          <w:szCs w:val="21"/>
          <w:highlight w:val="none"/>
        </w:rPr>
      </w:pPr>
      <w:r>
        <w:rPr>
          <w:rFonts w:hint="eastAsia"/>
          <w:szCs w:val="21"/>
          <w:highlight w:val="none"/>
        </w:rPr>
        <w:t>支持按照医院定制格式打印输液卡、执行单、巡视单、床头卡、口服卡。支持单个病人打印和多个病人合并打印。</w:t>
      </w:r>
    </w:p>
    <w:p w14:paraId="447C4258">
      <w:pPr>
        <w:pStyle w:val="117"/>
        <w:numPr>
          <w:ilvl w:val="0"/>
          <w:numId w:val="11"/>
        </w:numPr>
        <w:spacing w:line="360" w:lineRule="auto"/>
        <w:ind w:firstLineChars="0"/>
        <w:rPr>
          <w:rFonts w:hint="eastAsia" w:ascii="宋体" w:hAnsi="宋体"/>
          <w:szCs w:val="21"/>
          <w:highlight w:val="none"/>
        </w:rPr>
      </w:pPr>
      <w:r>
        <w:rPr>
          <w:rFonts w:hint="eastAsia" w:ascii="宋体" w:hAnsi="宋体"/>
          <w:szCs w:val="21"/>
          <w:highlight w:val="none"/>
        </w:rPr>
        <w:t>费用清单打印</w:t>
      </w:r>
    </w:p>
    <w:p w14:paraId="6E09FE43">
      <w:pPr>
        <w:rPr>
          <w:rFonts w:hint="eastAsia"/>
          <w:szCs w:val="21"/>
          <w:highlight w:val="none"/>
        </w:rPr>
      </w:pPr>
      <w:r>
        <w:rPr>
          <w:rFonts w:hint="eastAsia"/>
          <w:szCs w:val="21"/>
          <w:highlight w:val="none"/>
        </w:rPr>
        <w:t>支持根据医院格式打印患者的费用清单信息。支持按照发票、费别等信息进行过滤。可以选择不同的格式进行打印。</w:t>
      </w:r>
    </w:p>
    <w:p w14:paraId="106C3772">
      <w:pPr>
        <w:pStyle w:val="117"/>
        <w:numPr>
          <w:ilvl w:val="0"/>
          <w:numId w:val="11"/>
        </w:numPr>
        <w:spacing w:line="360" w:lineRule="auto"/>
        <w:ind w:firstLineChars="0"/>
        <w:rPr>
          <w:rFonts w:hint="eastAsia" w:ascii="宋体" w:hAnsi="宋体"/>
          <w:szCs w:val="21"/>
          <w:highlight w:val="none"/>
        </w:rPr>
      </w:pPr>
      <w:r>
        <w:rPr>
          <w:rFonts w:hint="eastAsia" w:ascii="宋体" w:hAnsi="宋体"/>
          <w:szCs w:val="21"/>
          <w:highlight w:val="none"/>
        </w:rPr>
        <w:t>护理打印</w:t>
      </w:r>
    </w:p>
    <w:p w14:paraId="2297C17F">
      <w:pPr>
        <w:rPr>
          <w:rFonts w:hint="eastAsia"/>
          <w:szCs w:val="21"/>
          <w:highlight w:val="none"/>
        </w:rPr>
      </w:pPr>
      <w:r>
        <w:rPr>
          <w:rFonts w:hint="eastAsia"/>
          <w:szCs w:val="21"/>
          <w:highlight w:val="none"/>
        </w:rPr>
        <w:t>支持根据医院自定义格式选择病人打印医嘱执行单、医嘱本、指引单等。可以选择不同的格式模板进行打印，支持按照床位或者项目进行排序。</w:t>
      </w:r>
    </w:p>
    <w:p w14:paraId="32E6D7A4">
      <w:pPr>
        <w:pStyle w:val="117"/>
        <w:numPr>
          <w:ilvl w:val="0"/>
          <w:numId w:val="11"/>
        </w:numPr>
        <w:spacing w:line="360" w:lineRule="auto"/>
        <w:ind w:firstLineChars="0"/>
        <w:rPr>
          <w:rFonts w:hint="eastAsia" w:ascii="宋体" w:hAnsi="宋体"/>
          <w:szCs w:val="21"/>
          <w:highlight w:val="none"/>
        </w:rPr>
      </w:pPr>
      <w:r>
        <w:rPr>
          <w:rFonts w:hint="eastAsia" w:ascii="宋体" w:hAnsi="宋体"/>
          <w:szCs w:val="21"/>
          <w:highlight w:val="none"/>
        </w:rPr>
        <w:t>变更医嘱打印</w:t>
      </w:r>
    </w:p>
    <w:p w14:paraId="5CEB7263">
      <w:pPr>
        <w:pStyle w:val="117"/>
        <w:ind w:left="840" w:firstLine="0" w:firstLineChars="0"/>
        <w:rPr>
          <w:rFonts w:hint="eastAsia" w:ascii="宋体" w:hAnsi="宋体"/>
          <w:szCs w:val="21"/>
          <w:highlight w:val="none"/>
        </w:rPr>
      </w:pPr>
      <w:r>
        <w:rPr>
          <w:rFonts w:hint="eastAsia" w:ascii="宋体" w:hAnsi="宋体"/>
          <w:szCs w:val="21"/>
          <w:highlight w:val="none"/>
        </w:rPr>
        <w:t>当每日医嘱变更时，可以打印医生今天新开、停嘱、作废了的医嘱。</w:t>
      </w:r>
    </w:p>
    <w:p w14:paraId="4F902890">
      <w:pPr>
        <w:pStyle w:val="117"/>
        <w:numPr>
          <w:ilvl w:val="0"/>
          <w:numId w:val="11"/>
        </w:numPr>
        <w:spacing w:line="360" w:lineRule="auto"/>
        <w:ind w:firstLineChars="0"/>
        <w:rPr>
          <w:rFonts w:hint="eastAsia" w:ascii="宋体" w:hAnsi="宋体"/>
          <w:szCs w:val="21"/>
          <w:highlight w:val="none"/>
        </w:rPr>
      </w:pPr>
      <w:r>
        <w:rPr>
          <w:rFonts w:hint="eastAsia" w:ascii="宋体" w:hAnsi="宋体"/>
          <w:szCs w:val="21"/>
          <w:highlight w:val="none"/>
        </w:rPr>
        <w:t>医嘱打印</w:t>
      </w:r>
    </w:p>
    <w:p w14:paraId="68710C07">
      <w:pPr>
        <w:rPr>
          <w:rFonts w:hint="eastAsia"/>
          <w:szCs w:val="21"/>
          <w:highlight w:val="none"/>
        </w:rPr>
      </w:pPr>
      <w:r>
        <w:rPr>
          <w:rFonts w:hint="eastAsia"/>
          <w:szCs w:val="21"/>
          <w:highlight w:val="none"/>
        </w:rPr>
        <w:t>可打印患者的长期医嘱单和临时医嘱单。可以按照奇偶页、指定页数进行打印。支持续打、重打。</w:t>
      </w:r>
    </w:p>
    <w:p w14:paraId="53E7621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科室事务</w:t>
      </w:r>
    </w:p>
    <w:p w14:paraId="6EAA6491">
      <w:pPr>
        <w:pStyle w:val="117"/>
        <w:numPr>
          <w:ilvl w:val="0"/>
          <w:numId w:val="12"/>
        </w:numPr>
        <w:spacing w:line="360" w:lineRule="auto"/>
        <w:ind w:firstLineChars="0"/>
        <w:rPr>
          <w:rFonts w:hint="eastAsia" w:ascii="宋体" w:hAnsi="宋体"/>
          <w:szCs w:val="21"/>
          <w:highlight w:val="none"/>
        </w:rPr>
      </w:pPr>
      <w:r>
        <w:rPr>
          <w:rFonts w:hint="eastAsia" w:ascii="宋体" w:hAnsi="宋体"/>
          <w:szCs w:val="21"/>
          <w:highlight w:val="none"/>
        </w:rPr>
        <w:t>交班本</w:t>
      </w:r>
    </w:p>
    <w:p w14:paraId="19E0FD93">
      <w:pPr>
        <w:rPr>
          <w:rFonts w:hint="eastAsia"/>
          <w:szCs w:val="21"/>
          <w:highlight w:val="none"/>
        </w:rPr>
      </w:pPr>
      <w:r>
        <w:rPr>
          <w:rFonts w:hint="eastAsia"/>
          <w:szCs w:val="21"/>
          <w:highlight w:val="none"/>
        </w:rPr>
        <w:t>可根据患者状态、护理评估结果快速选择需要交接班病人。交接时可以引用患者体征、检查检验、手术、医嘱等信息。支持按护理责任组交接。支持打印交接班记录。</w:t>
      </w:r>
    </w:p>
    <w:p w14:paraId="676C9D48">
      <w:pPr>
        <w:pStyle w:val="117"/>
        <w:numPr>
          <w:ilvl w:val="0"/>
          <w:numId w:val="12"/>
        </w:numPr>
        <w:spacing w:line="360" w:lineRule="auto"/>
        <w:ind w:firstLineChars="0"/>
        <w:rPr>
          <w:rFonts w:hint="eastAsia" w:ascii="宋体" w:hAnsi="宋体"/>
          <w:szCs w:val="21"/>
          <w:highlight w:val="none"/>
        </w:rPr>
      </w:pPr>
      <w:r>
        <w:rPr>
          <w:rFonts w:hint="eastAsia" w:ascii="宋体" w:hAnsi="宋体"/>
          <w:szCs w:val="21"/>
          <w:highlight w:val="none"/>
        </w:rPr>
        <w:t>责任组</w:t>
      </w:r>
    </w:p>
    <w:p w14:paraId="4CDACBCA">
      <w:pPr>
        <w:pStyle w:val="117"/>
        <w:ind w:left="840" w:firstLine="0" w:firstLineChars="0"/>
        <w:rPr>
          <w:rFonts w:hint="eastAsia" w:ascii="宋体" w:hAnsi="宋体"/>
          <w:szCs w:val="21"/>
          <w:highlight w:val="none"/>
        </w:rPr>
      </w:pPr>
      <w:r>
        <w:rPr>
          <w:rFonts w:hint="eastAsia" w:ascii="宋体" w:hAnsi="宋体"/>
          <w:szCs w:val="21"/>
          <w:highlight w:val="none"/>
        </w:rPr>
        <w:t>支持新增、删除、修改护理责任组人员。可维护责任管理的床位范围。</w:t>
      </w:r>
    </w:p>
    <w:p w14:paraId="00C8EF29">
      <w:pPr>
        <w:pStyle w:val="117"/>
        <w:numPr>
          <w:ilvl w:val="0"/>
          <w:numId w:val="12"/>
        </w:numPr>
        <w:spacing w:line="360" w:lineRule="auto"/>
        <w:ind w:firstLineChars="0"/>
        <w:rPr>
          <w:rFonts w:hint="eastAsia" w:ascii="宋体" w:hAnsi="宋体"/>
          <w:szCs w:val="21"/>
          <w:highlight w:val="none"/>
        </w:rPr>
      </w:pPr>
      <w:r>
        <w:rPr>
          <w:rFonts w:hint="eastAsia" w:ascii="宋体" w:hAnsi="宋体"/>
          <w:szCs w:val="21"/>
          <w:highlight w:val="none"/>
        </w:rPr>
        <w:t>科室药品管理</w:t>
      </w:r>
    </w:p>
    <w:p w14:paraId="378BA527">
      <w:pPr>
        <w:rPr>
          <w:rFonts w:hint="eastAsia"/>
          <w:szCs w:val="21"/>
          <w:highlight w:val="none"/>
        </w:rPr>
      </w:pPr>
      <w:r>
        <w:rPr>
          <w:rFonts w:hint="eastAsia"/>
          <w:szCs w:val="21"/>
          <w:highlight w:val="none"/>
        </w:rPr>
        <w:t>科室可申请备药。科室设置需要备药的药品信息后向药房发起申请单。可将常用的备药单存为模板。可查询药品申领状态以及历史备药详情。</w:t>
      </w:r>
    </w:p>
    <w:p w14:paraId="034B97EC">
      <w:pPr>
        <w:pStyle w:val="117"/>
        <w:numPr>
          <w:ilvl w:val="0"/>
          <w:numId w:val="12"/>
        </w:numPr>
        <w:spacing w:line="360" w:lineRule="auto"/>
        <w:ind w:firstLineChars="0"/>
        <w:rPr>
          <w:rFonts w:hint="eastAsia" w:ascii="宋体" w:hAnsi="宋体"/>
          <w:szCs w:val="21"/>
          <w:highlight w:val="none"/>
        </w:rPr>
      </w:pPr>
      <w:r>
        <w:rPr>
          <w:rFonts w:hint="eastAsia" w:ascii="宋体" w:hAnsi="宋体"/>
          <w:szCs w:val="21"/>
          <w:highlight w:val="none"/>
        </w:rPr>
        <w:t>文档段维护</w:t>
      </w:r>
    </w:p>
    <w:p w14:paraId="060FF402">
      <w:pPr>
        <w:rPr>
          <w:rFonts w:hint="eastAsia"/>
          <w:szCs w:val="21"/>
          <w:highlight w:val="none"/>
        </w:rPr>
      </w:pPr>
      <w:r>
        <w:rPr>
          <w:rFonts w:hint="eastAsia"/>
          <w:szCs w:val="21"/>
          <w:highlight w:val="none"/>
        </w:rPr>
        <w:t>支持维护个人或者科室的文档段用户护理记录等护理文书书写使用。支持将文档段共享到其他科室。</w:t>
      </w:r>
    </w:p>
    <w:p w14:paraId="2D1097D8">
      <w:pPr>
        <w:pStyle w:val="5"/>
        <w:rPr>
          <w:rFonts w:hint="eastAsia" w:ascii="宋体" w:hAnsi="宋体" w:eastAsia="宋体"/>
          <w:sz w:val="21"/>
          <w:szCs w:val="21"/>
          <w:highlight w:val="none"/>
        </w:rPr>
      </w:pPr>
      <w:r>
        <w:rPr>
          <w:rFonts w:hint="eastAsia" w:ascii="宋体" w:hAnsi="宋体" w:eastAsia="宋体"/>
          <w:sz w:val="21"/>
          <w:szCs w:val="21"/>
          <w:highlight w:val="none"/>
        </w:rPr>
        <w:t>医师组管理</w:t>
      </w:r>
    </w:p>
    <w:p w14:paraId="709DFCE4">
      <w:pPr>
        <w:pStyle w:val="117"/>
        <w:rPr>
          <w:rFonts w:hint="eastAsia" w:ascii="宋体" w:hAnsi="宋体"/>
          <w:szCs w:val="21"/>
          <w:highlight w:val="none"/>
        </w:rPr>
      </w:pPr>
      <w:r>
        <w:rPr>
          <w:rFonts w:hint="eastAsia" w:ascii="宋体" w:hAnsi="宋体"/>
          <w:szCs w:val="21"/>
          <w:highlight w:val="none"/>
        </w:rPr>
        <w:t>根据医院发展和改革的需要，提高医疗服务质量，提升科室收益和各项指标，体现“多劳多得”，对医院信息系统进行主诊医师负责制，即医师组项目建设改造。实现医院资源合理分配，全院床位统一调配，医师组精细化绩效考核指标，提高医院医护人员工作效率，从而提升医院效益。</w:t>
      </w:r>
    </w:p>
    <w:p w14:paraId="77FBBA10">
      <w:pPr>
        <w:rPr>
          <w:rFonts w:hint="eastAsia"/>
          <w:szCs w:val="21"/>
          <w:highlight w:val="none"/>
        </w:rPr>
      </w:pPr>
      <w:r>
        <w:rPr>
          <w:rFonts w:hint="eastAsia"/>
          <w:szCs w:val="21"/>
          <w:highlight w:val="none"/>
        </w:rPr>
        <w:t>医师组管理</w:t>
      </w:r>
    </w:p>
    <w:p w14:paraId="0F1DEA62">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医师组管理平台</w:t>
      </w:r>
    </w:p>
    <w:p w14:paraId="09B55ABE">
      <w:pPr>
        <w:pStyle w:val="117"/>
        <w:rPr>
          <w:rFonts w:hint="eastAsia" w:ascii="宋体" w:hAnsi="宋体"/>
          <w:szCs w:val="21"/>
          <w:highlight w:val="none"/>
        </w:rPr>
      </w:pPr>
      <w:r>
        <w:rPr>
          <w:rFonts w:hint="eastAsia" w:ascii="宋体" w:hAnsi="宋体"/>
          <w:szCs w:val="21"/>
          <w:highlight w:val="none"/>
        </w:rPr>
        <w:t>在原有科室层级之下增加科室医师组信息维护平台，可通该功能设置医疗组，分配组内医生，进行医疗组信息维护，并设定调整医疗组内床位数量。</w:t>
      </w:r>
    </w:p>
    <w:p w14:paraId="0D66D3CA">
      <w:pPr>
        <w:pStyle w:val="117"/>
        <w:rPr>
          <w:rFonts w:hint="eastAsia" w:ascii="宋体" w:hAnsi="宋体"/>
          <w:szCs w:val="21"/>
          <w:highlight w:val="none"/>
        </w:rPr>
      </w:pPr>
      <w:r>
        <w:rPr>
          <w:rFonts w:hint="eastAsia" w:ascii="宋体" w:hAnsi="宋体"/>
          <w:szCs w:val="21"/>
          <w:highlight w:val="none"/>
        </w:rPr>
        <w:t>支持HIS登录用户同步功能，可直接将HIS内用户同步至系统中，方便管理员维护用户；</w:t>
      </w:r>
    </w:p>
    <w:p w14:paraId="3CD798AA">
      <w:pPr>
        <w:pStyle w:val="117"/>
        <w:rPr>
          <w:rFonts w:hint="eastAsia" w:ascii="宋体" w:hAnsi="宋体"/>
          <w:szCs w:val="21"/>
          <w:highlight w:val="none"/>
        </w:rPr>
      </w:pPr>
      <w:r>
        <w:rPr>
          <w:rFonts w:hint="eastAsia" w:ascii="宋体" w:hAnsi="宋体"/>
          <w:szCs w:val="21"/>
          <w:highlight w:val="none"/>
        </w:rPr>
        <w:t>支持实时维护并调整科室内医师组架构信息，医师组绑定床位信息，更新医师组内医生信息。</w:t>
      </w:r>
    </w:p>
    <w:p w14:paraId="3608990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医师组床位管理</w:t>
      </w:r>
    </w:p>
    <w:p w14:paraId="02E2C71C">
      <w:pPr>
        <w:pStyle w:val="8"/>
        <w:rPr>
          <w:rFonts w:hint="eastAsia"/>
          <w:sz w:val="21"/>
          <w:szCs w:val="21"/>
          <w:highlight w:val="none"/>
        </w:rPr>
      </w:pPr>
      <w:r>
        <w:rPr>
          <w:sz w:val="21"/>
          <w:szCs w:val="21"/>
          <w:highlight w:val="none"/>
        </w:rPr>
        <w:t>病区管理</w:t>
      </w:r>
    </w:p>
    <w:p w14:paraId="50FD276E">
      <w:pPr>
        <w:pStyle w:val="117"/>
        <w:rPr>
          <w:rFonts w:hint="eastAsia" w:ascii="宋体" w:hAnsi="宋体"/>
          <w:szCs w:val="21"/>
          <w:highlight w:val="none"/>
        </w:rPr>
      </w:pPr>
      <w:r>
        <w:rPr>
          <w:rFonts w:hint="eastAsia" w:ascii="宋体" w:hAnsi="宋体"/>
          <w:szCs w:val="21"/>
          <w:highlight w:val="none"/>
        </w:rPr>
        <w:t>用于管理系统病区的基础信息，包括病区编码、病区名称、所属科室。</w:t>
      </w:r>
    </w:p>
    <w:p w14:paraId="1ADE91E3">
      <w:pPr>
        <w:pStyle w:val="8"/>
        <w:rPr>
          <w:rFonts w:hint="eastAsia"/>
          <w:sz w:val="21"/>
          <w:szCs w:val="21"/>
          <w:highlight w:val="none"/>
        </w:rPr>
      </w:pPr>
      <w:r>
        <w:rPr>
          <w:sz w:val="21"/>
          <w:szCs w:val="21"/>
          <w:highlight w:val="none"/>
        </w:rPr>
        <w:t>病房管理</w:t>
      </w:r>
    </w:p>
    <w:p w14:paraId="678F83A9">
      <w:pPr>
        <w:pStyle w:val="117"/>
        <w:rPr>
          <w:rFonts w:hint="eastAsia" w:ascii="宋体" w:hAnsi="宋体"/>
          <w:szCs w:val="21"/>
          <w:highlight w:val="none"/>
        </w:rPr>
      </w:pPr>
      <w:r>
        <w:rPr>
          <w:rFonts w:hint="eastAsia" w:ascii="宋体" w:hAnsi="宋体"/>
          <w:szCs w:val="21"/>
          <w:highlight w:val="none"/>
        </w:rPr>
        <w:t>类似门诊中的诊室概念，用于维护系统病房的基础信息，包括病房编码、名称、所属科室、所属病区等。</w:t>
      </w:r>
    </w:p>
    <w:p w14:paraId="07BACE34">
      <w:pPr>
        <w:pStyle w:val="8"/>
        <w:rPr>
          <w:rFonts w:hint="eastAsia"/>
          <w:sz w:val="21"/>
          <w:szCs w:val="21"/>
          <w:highlight w:val="none"/>
        </w:rPr>
      </w:pPr>
      <w:r>
        <w:rPr>
          <w:rFonts w:hint="eastAsia"/>
          <w:sz w:val="21"/>
          <w:szCs w:val="21"/>
          <w:highlight w:val="none"/>
        </w:rPr>
        <w:t>床位信息管理</w:t>
      </w:r>
    </w:p>
    <w:p w14:paraId="24855245">
      <w:pPr>
        <w:pStyle w:val="117"/>
        <w:rPr>
          <w:rFonts w:hint="eastAsia" w:ascii="宋体" w:hAnsi="宋体"/>
          <w:szCs w:val="21"/>
          <w:highlight w:val="none"/>
        </w:rPr>
      </w:pPr>
      <w:r>
        <w:rPr>
          <w:rFonts w:hint="eastAsia" w:ascii="宋体" w:hAnsi="宋体"/>
          <w:szCs w:val="21"/>
          <w:highlight w:val="none"/>
        </w:rPr>
        <w:t>对床位的基本信息进行管理，包括床位的编号、价格、所属科室等。</w:t>
      </w:r>
    </w:p>
    <w:p w14:paraId="29B1EF71">
      <w:pPr>
        <w:pStyle w:val="8"/>
        <w:rPr>
          <w:rFonts w:hint="eastAsia"/>
          <w:sz w:val="21"/>
          <w:szCs w:val="21"/>
          <w:highlight w:val="none"/>
        </w:rPr>
      </w:pPr>
      <w:r>
        <w:rPr>
          <w:rFonts w:hint="eastAsia"/>
          <w:sz w:val="21"/>
          <w:szCs w:val="21"/>
          <w:highlight w:val="none"/>
        </w:rPr>
        <w:t>医疗组床位管理</w:t>
      </w:r>
    </w:p>
    <w:p w14:paraId="2A3B9BBE">
      <w:pPr>
        <w:pStyle w:val="117"/>
        <w:rPr>
          <w:rFonts w:hint="eastAsia" w:ascii="宋体" w:hAnsi="宋体"/>
          <w:szCs w:val="21"/>
          <w:highlight w:val="none"/>
        </w:rPr>
      </w:pPr>
      <w:r>
        <w:rPr>
          <w:rFonts w:hint="eastAsia" w:ascii="宋体" w:hAnsi="宋体"/>
          <w:szCs w:val="21"/>
          <w:highlight w:val="none"/>
        </w:rPr>
        <w:t>对医疗组进行床位的分配，每个医疗组都有特定的床位，用于为组下的病人进行床位预约时使用，也可与其他组进行床位借调，解决床位紧张的问题。</w:t>
      </w:r>
    </w:p>
    <w:p w14:paraId="4BD28BC2">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医师组床位预约管理</w:t>
      </w:r>
    </w:p>
    <w:p w14:paraId="6748731B">
      <w:pPr>
        <w:pStyle w:val="117"/>
        <w:rPr>
          <w:rFonts w:hint="eastAsia" w:ascii="宋体" w:hAnsi="宋体"/>
          <w:szCs w:val="21"/>
          <w:highlight w:val="none"/>
        </w:rPr>
      </w:pPr>
      <w:r>
        <w:rPr>
          <w:rFonts w:ascii="宋体" w:hAnsi="宋体"/>
          <w:szCs w:val="21"/>
          <w:highlight w:val="none"/>
        </w:rPr>
        <w:t>增加床位预约平台功能。</w:t>
      </w:r>
    </w:p>
    <w:p w14:paraId="6174C6A5">
      <w:pPr>
        <w:pStyle w:val="117"/>
        <w:rPr>
          <w:rFonts w:hint="eastAsia" w:ascii="宋体" w:hAnsi="宋体"/>
          <w:szCs w:val="21"/>
          <w:highlight w:val="none"/>
        </w:rPr>
      </w:pPr>
      <w:r>
        <w:rPr>
          <w:rFonts w:ascii="宋体" w:hAnsi="宋体"/>
          <w:szCs w:val="21"/>
          <w:highlight w:val="none"/>
        </w:rPr>
        <w:t>预约平台支持预览全院科室已开住院证，未入院病人信息，支持优选空床预约。</w:t>
      </w:r>
    </w:p>
    <w:p w14:paraId="57F5A119">
      <w:pPr>
        <w:pStyle w:val="117"/>
        <w:rPr>
          <w:rFonts w:hint="eastAsia" w:ascii="宋体" w:hAnsi="宋体"/>
          <w:szCs w:val="21"/>
          <w:highlight w:val="none"/>
        </w:rPr>
      </w:pPr>
      <w:r>
        <w:rPr>
          <w:rFonts w:ascii="宋体" w:hAnsi="宋体"/>
          <w:szCs w:val="21"/>
          <w:highlight w:val="none"/>
        </w:rPr>
        <w:t>支持查看各个医疗组已占床位信息，剩余床位信息，当日出院病人床位信息，合理占床约床，提高床位使用率，最终实现</w:t>
      </w:r>
      <w:r>
        <w:rPr>
          <w:rFonts w:hint="eastAsia" w:ascii="宋体" w:hAnsi="宋体"/>
          <w:szCs w:val="21"/>
          <w:highlight w:val="none"/>
        </w:rPr>
        <w:t>全院床位统一调配</w:t>
      </w:r>
      <w:r>
        <w:rPr>
          <w:rFonts w:ascii="宋体" w:hAnsi="宋体"/>
          <w:szCs w:val="21"/>
          <w:highlight w:val="none"/>
        </w:rPr>
        <w:t>。</w:t>
      </w:r>
    </w:p>
    <w:p w14:paraId="05323146">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全流程医疗组</w:t>
      </w:r>
    </w:p>
    <w:p w14:paraId="71990133">
      <w:pPr>
        <w:pStyle w:val="117"/>
        <w:rPr>
          <w:rFonts w:hint="eastAsia" w:ascii="宋体" w:hAnsi="宋体"/>
          <w:szCs w:val="21"/>
          <w:highlight w:val="none"/>
        </w:rPr>
      </w:pPr>
      <w:r>
        <w:rPr>
          <w:rFonts w:hint="eastAsia" w:ascii="宋体" w:hAnsi="宋体"/>
          <w:szCs w:val="21"/>
          <w:highlight w:val="none"/>
        </w:rPr>
        <w:t>通过与HIS系统对接后支持病人门诊收入住院时选择医师组功能，门诊医师可优先选择本医师组床位为病人进行床位预约。未入组医师可按照科室进行床位资源预约。</w:t>
      </w:r>
    </w:p>
    <w:p w14:paraId="15CFF944">
      <w:pPr>
        <w:pStyle w:val="117"/>
        <w:rPr>
          <w:rFonts w:hint="eastAsia" w:ascii="宋体" w:hAnsi="宋体"/>
          <w:szCs w:val="21"/>
          <w:highlight w:val="none"/>
        </w:rPr>
      </w:pPr>
      <w:r>
        <w:rPr>
          <w:rFonts w:hint="eastAsia" w:ascii="宋体" w:hAnsi="宋体"/>
          <w:szCs w:val="21"/>
          <w:highlight w:val="none"/>
        </w:rPr>
        <w:t>同时支持病人入科、转科及医师组转组。</w:t>
      </w:r>
    </w:p>
    <w:p w14:paraId="669A635E">
      <w:pPr>
        <w:pStyle w:val="117"/>
        <w:rPr>
          <w:rFonts w:hint="eastAsia" w:ascii="宋体" w:hAnsi="宋体"/>
          <w:szCs w:val="21"/>
          <w:highlight w:val="none"/>
        </w:rPr>
      </w:pPr>
      <w:r>
        <w:rPr>
          <w:rFonts w:hint="eastAsia" w:ascii="宋体" w:hAnsi="宋体"/>
          <w:szCs w:val="21"/>
          <w:highlight w:val="none"/>
        </w:rPr>
        <w:t>支持按照申请医师组，执行医师组，主管医师组的不同分类进行发生费用统计及核算，实现医师组的精细化记录。</w:t>
      </w:r>
    </w:p>
    <w:p w14:paraId="4BE2F9CB">
      <w:pPr>
        <w:pStyle w:val="117"/>
        <w:rPr>
          <w:rFonts w:hint="eastAsia" w:ascii="宋体" w:hAnsi="宋体"/>
          <w:szCs w:val="21"/>
          <w:highlight w:val="none"/>
        </w:rPr>
      </w:pPr>
      <w:r>
        <w:rPr>
          <w:rFonts w:hint="eastAsia" w:ascii="宋体" w:hAnsi="宋体"/>
          <w:szCs w:val="21"/>
          <w:highlight w:val="none"/>
        </w:rPr>
        <w:t>医生站、护士站、医技、手麻、治疗、配药、计价同步支持病人医师组信息记录。</w:t>
      </w:r>
    </w:p>
    <w:p w14:paraId="5D95C91F">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医疗质量</w:t>
      </w:r>
    </w:p>
    <w:p w14:paraId="56518513">
      <w:pPr>
        <w:pStyle w:val="117"/>
        <w:rPr>
          <w:rFonts w:hint="eastAsia" w:ascii="宋体" w:hAnsi="宋体"/>
          <w:szCs w:val="21"/>
          <w:highlight w:val="none"/>
        </w:rPr>
      </w:pPr>
      <w:r>
        <w:rPr>
          <w:rFonts w:hint="eastAsia" w:ascii="宋体" w:hAnsi="宋体"/>
          <w:szCs w:val="21"/>
          <w:highlight w:val="none"/>
        </w:rPr>
        <w:t>医院医疗质量分析统计均能够按照医师组进行分类考核。</w:t>
      </w:r>
    </w:p>
    <w:p w14:paraId="106B0970">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住院预约管理</w:t>
      </w:r>
    </w:p>
    <w:p w14:paraId="7555D7D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住院预约登记</w:t>
      </w:r>
    </w:p>
    <w:p w14:paraId="794732BE">
      <w:pPr>
        <w:pStyle w:val="117"/>
        <w:rPr>
          <w:rFonts w:hint="eastAsia" w:ascii="宋体" w:hAnsi="宋体"/>
          <w:szCs w:val="21"/>
          <w:highlight w:val="none"/>
        </w:rPr>
      </w:pPr>
      <w:r>
        <w:rPr>
          <w:rFonts w:hint="eastAsia" w:ascii="宋体" w:hAnsi="宋体"/>
          <w:szCs w:val="21"/>
          <w:highlight w:val="none"/>
        </w:rPr>
        <w:t>患者持就诊卡到住院服务中心，刷卡确认身份，系统就会自动判断是否有门诊医生开具的住院证信息。如果当前入院科室有空床，则直接办理入院。</w:t>
      </w:r>
    </w:p>
    <w:p w14:paraId="3B728DCC">
      <w:pPr>
        <w:pStyle w:val="117"/>
        <w:rPr>
          <w:rFonts w:hint="eastAsia" w:ascii="宋体" w:hAnsi="宋体"/>
          <w:szCs w:val="21"/>
          <w:highlight w:val="none"/>
        </w:rPr>
      </w:pPr>
      <w:r>
        <w:rPr>
          <w:rFonts w:hint="eastAsia" w:ascii="宋体" w:hAnsi="宋体"/>
          <w:szCs w:val="21"/>
          <w:highlight w:val="none"/>
        </w:rPr>
        <w:t>没有空床，系统将获取住院证相关信息，进行住院预约登记，患者等待入院通知。</w:t>
      </w:r>
    </w:p>
    <w:p w14:paraId="34B69ECE">
      <w:pPr>
        <w:pStyle w:val="117"/>
        <w:rPr>
          <w:rFonts w:hint="eastAsia" w:ascii="宋体" w:hAnsi="宋体"/>
          <w:szCs w:val="21"/>
          <w:highlight w:val="none"/>
        </w:rPr>
      </w:pPr>
      <w:r>
        <w:rPr>
          <w:rFonts w:hint="eastAsia" w:ascii="宋体" w:hAnsi="宋体"/>
          <w:szCs w:val="21"/>
          <w:highlight w:val="none"/>
        </w:rPr>
        <w:t>系统优先获取住院证上接诊医生所在入院科室的医师组的空床，然后获取医生预出院床位两部分数据。操作人员可以优先使用空床，立刻办理入院。也可以根据患者要求去看指定日期放出状态的预出院床位，给病人预约。如果当前科室两部分数据都没有查询到，那只能进行住院预约动作，患者等待入院通知。</w:t>
      </w:r>
    </w:p>
    <w:p w14:paraId="5CF71A8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住院患者预出院</w:t>
      </w:r>
    </w:p>
    <w:p w14:paraId="0EC28BA3">
      <w:pPr>
        <w:pStyle w:val="117"/>
        <w:rPr>
          <w:rFonts w:hint="eastAsia" w:ascii="宋体" w:hAnsi="宋体"/>
          <w:szCs w:val="21"/>
          <w:highlight w:val="none"/>
        </w:rPr>
      </w:pPr>
      <w:r>
        <w:rPr>
          <w:rFonts w:hint="eastAsia" w:ascii="宋体" w:hAnsi="宋体"/>
          <w:szCs w:val="21"/>
          <w:highlight w:val="none"/>
        </w:rPr>
        <w:t>住院医生可以根据自己所管病人的情况，进行床位的合理预估，给出床位可能空出的日期，系统将这部分预出院床位进行管理。系统设置有预放出床位属性，医生可以根据情况设置，分为放出、预留、占用三种属性。</w:t>
      </w:r>
    </w:p>
    <w:p w14:paraId="58739BB8">
      <w:pPr>
        <w:pStyle w:val="117"/>
        <w:numPr>
          <w:ilvl w:val="0"/>
          <w:numId w:val="13"/>
        </w:numPr>
        <w:spacing w:line="360" w:lineRule="auto"/>
        <w:ind w:firstLineChars="0"/>
        <w:rPr>
          <w:rFonts w:hint="eastAsia" w:ascii="宋体" w:hAnsi="宋体"/>
          <w:szCs w:val="21"/>
          <w:highlight w:val="none"/>
        </w:rPr>
      </w:pPr>
      <w:r>
        <w:rPr>
          <w:rFonts w:hint="eastAsia" w:ascii="宋体" w:hAnsi="宋体"/>
          <w:szCs w:val="21"/>
          <w:highlight w:val="none"/>
        </w:rPr>
        <w:t>放出：这部分床位将实施被系统查询到，供患者预约。</w:t>
      </w:r>
    </w:p>
    <w:p w14:paraId="6629C1D3">
      <w:pPr>
        <w:pStyle w:val="117"/>
        <w:numPr>
          <w:ilvl w:val="0"/>
          <w:numId w:val="13"/>
        </w:numPr>
        <w:spacing w:line="360" w:lineRule="auto"/>
        <w:ind w:firstLineChars="0"/>
        <w:rPr>
          <w:rFonts w:hint="eastAsia" w:ascii="宋体" w:hAnsi="宋体"/>
          <w:szCs w:val="21"/>
          <w:highlight w:val="none"/>
        </w:rPr>
      </w:pPr>
      <w:r>
        <w:rPr>
          <w:rFonts w:hint="eastAsia" w:ascii="宋体" w:hAnsi="宋体"/>
          <w:szCs w:val="21"/>
          <w:highlight w:val="none"/>
        </w:rPr>
        <w:t>预留：这部分床位将无法被系统在预约时查询到，而是放入预留床位信息中，供特殊患者、危重患者等特例患者使用。</w:t>
      </w:r>
    </w:p>
    <w:p w14:paraId="6AFDAFA4">
      <w:pPr>
        <w:pStyle w:val="117"/>
        <w:numPr>
          <w:ilvl w:val="0"/>
          <w:numId w:val="13"/>
        </w:numPr>
        <w:spacing w:line="360" w:lineRule="auto"/>
        <w:ind w:firstLineChars="0"/>
        <w:rPr>
          <w:rFonts w:hint="eastAsia" w:ascii="宋体" w:hAnsi="宋体"/>
          <w:szCs w:val="21"/>
          <w:highlight w:val="none"/>
        </w:rPr>
      </w:pPr>
      <w:r>
        <w:rPr>
          <w:rFonts w:hint="eastAsia" w:ascii="宋体" w:hAnsi="宋体"/>
          <w:szCs w:val="21"/>
          <w:highlight w:val="none"/>
        </w:rPr>
        <w:t>占用：这部分床位是只能在住院预约系统中查询到，无法在住院预约系统中使用，为下一步全院床位使用后，从外科转回本科的病人使用。</w:t>
      </w:r>
    </w:p>
    <w:p w14:paraId="21480750">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入院通知</w:t>
      </w:r>
    </w:p>
    <w:p w14:paraId="634D4EB8">
      <w:pPr>
        <w:pStyle w:val="117"/>
        <w:rPr>
          <w:rFonts w:hint="eastAsia" w:ascii="宋体" w:hAnsi="宋体"/>
          <w:szCs w:val="21"/>
          <w:highlight w:val="none"/>
        </w:rPr>
      </w:pPr>
      <w:r>
        <w:rPr>
          <w:rFonts w:hint="eastAsia" w:ascii="宋体" w:hAnsi="宋体"/>
          <w:szCs w:val="21"/>
          <w:highlight w:val="none"/>
        </w:rPr>
        <w:t>系统排床管理功能根据住院医生开具的嘱托性医嘱（明日出院），减去医生预出院被预约的床位，进行明日床位预算。再根据住院预约信息中的轻重缓急、预约时间进行综合排序，给出待入院病人顺序。如床位管理操作人员确认，则可完成入院通知，真正预占床位，病人来院直接办理入院；如床位管理人员需要根据实际情况调整，则可将队列某些人员进行暂缓，则系统会跳过队列中暂缓的预约患者，顺位向下进行入院通知操作。</w:t>
      </w:r>
    </w:p>
    <w:p w14:paraId="27D1CDB3">
      <w:pPr>
        <w:pStyle w:val="117"/>
        <w:rPr>
          <w:rFonts w:hint="eastAsia" w:ascii="宋体" w:hAnsi="宋体"/>
          <w:szCs w:val="21"/>
          <w:highlight w:val="none"/>
        </w:rPr>
      </w:pPr>
      <w:r>
        <w:rPr>
          <w:rFonts w:hint="eastAsia" w:ascii="宋体" w:hAnsi="宋体"/>
          <w:szCs w:val="21"/>
          <w:highlight w:val="none"/>
        </w:rPr>
        <w:t>建议采取电话通知、短信通知、公众号推送、app提醒等多渠道一并通知的方式，避免推送、短信患者未及时看到的情况。</w:t>
      </w:r>
    </w:p>
    <w:p w14:paraId="36CD123C">
      <w:pPr>
        <w:pStyle w:val="117"/>
        <w:rPr>
          <w:rFonts w:hint="eastAsia" w:ascii="宋体" w:hAnsi="宋体"/>
          <w:szCs w:val="21"/>
          <w:highlight w:val="none"/>
        </w:rPr>
      </w:pPr>
      <w:r>
        <w:rPr>
          <w:rFonts w:hint="eastAsia" w:ascii="宋体" w:hAnsi="宋体"/>
          <w:szCs w:val="21"/>
          <w:highlight w:val="none"/>
        </w:rPr>
        <w:t>特别考虑，在明日出院计算床位时，预留1-2个床位（可根据科室实际情况，分别设置参数），一方面为在院患者明日病情反复预留，另一方面为明日危重患者入院走绿色通道预留。</w:t>
      </w:r>
    </w:p>
    <w:p w14:paraId="7441693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患者提醒</w:t>
      </w:r>
    </w:p>
    <w:p w14:paraId="0C6DCED4">
      <w:pPr>
        <w:pStyle w:val="117"/>
        <w:rPr>
          <w:rFonts w:hint="eastAsia" w:ascii="宋体" w:hAnsi="宋体"/>
          <w:szCs w:val="21"/>
          <w:highlight w:val="none"/>
        </w:rPr>
      </w:pPr>
      <w:r>
        <w:rPr>
          <w:rFonts w:hint="eastAsia" w:ascii="宋体" w:hAnsi="宋体"/>
          <w:szCs w:val="21"/>
          <w:highlight w:val="none"/>
        </w:rPr>
        <w:t>系统根据计算，每天定时给未发送入院通知的患者提供相关就医指导、入院前注意事项、家庭应急措施、医院人文关怀等信息。</w:t>
      </w:r>
    </w:p>
    <w:p w14:paraId="6BA453E2">
      <w:pPr>
        <w:pStyle w:val="117"/>
        <w:rPr>
          <w:rFonts w:hint="eastAsia" w:ascii="宋体" w:hAnsi="宋体"/>
          <w:szCs w:val="21"/>
          <w:highlight w:val="none"/>
        </w:rPr>
      </w:pPr>
      <w:r>
        <w:rPr>
          <w:rFonts w:hint="eastAsia" w:ascii="宋体" w:hAnsi="宋体"/>
          <w:szCs w:val="21"/>
          <w:highlight w:val="none"/>
        </w:rPr>
        <w:t>通过公众号、app等线上方式进行推送。</w:t>
      </w:r>
    </w:p>
    <w:p w14:paraId="1A33002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预约队列管理</w:t>
      </w:r>
    </w:p>
    <w:p w14:paraId="3198FC15">
      <w:pPr>
        <w:pStyle w:val="117"/>
        <w:rPr>
          <w:rFonts w:hint="eastAsia" w:ascii="宋体" w:hAnsi="宋体"/>
          <w:szCs w:val="21"/>
          <w:highlight w:val="none"/>
        </w:rPr>
      </w:pPr>
      <w:r>
        <w:rPr>
          <w:rFonts w:hint="eastAsia" w:ascii="宋体" w:hAnsi="宋体"/>
          <w:szCs w:val="21"/>
          <w:highlight w:val="none"/>
        </w:rPr>
        <w:t>住院预约采用队列管理模式，按照住院预约登记中的入院科室，进行对应的科室预约队列的管理。</w:t>
      </w:r>
    </w:p>
    <w:p w14:paraId="550B8267">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队列维护</w:t>
      </w:r>
    </w:p>
    <w:p w14:paraId="35967BEA">
      <w:pPr>
        <w:pStyle w:val="117"/>
        <w:rPr>
          <w:rFonts w:hint="eastAsia" w:ascii="宋体" w:hAnsi="宋体"/>
          <w:szCs w:val="21"/>
          <w:highlight w:val="none"/>
        </w:rPr>
      </w:pPr>
      <w:r>
        <w:rPr>
          <w:rFonts w:hint="eastAsia" w:ascii="宋体" w:hAnsi="宋体"/>
          <w:szCs w:val="21"/>
          <w:highlight w:val="none"/>
        </w:rPr>
        <w:t>系统默认队列排序规则是预约时间，采用先到先得的基本队列规则。但提供队列排序规则维护功能。例如：患者入院证中的轻重缓急，患者就诊卡中的身份级别。</w:t>
      </w:r>
    </w:p>
    <w:p w14:paraId="691C9952">
      <w:pPr>
        <w:pStyle w:val="117"/>
        <w:rPr>
          <w:rFonts w:hint="eastAsia" w:ascii="宋体" w:hAnsi="宋体"/>
          <w:szCs w:val="21"/>
          <w:highlight w:val="none"/>
        </w:rPr>
      </w:pPr>
      <w:r>
        <w:rPr>
          <w:rFonts w:hint="eastAsia" w:ascii="宋体" w:hAnsi="宋体"/>
          <w:szCs w:val="21"/>
          <w:highlight w:val="none"/>
        </w:rPr>
        <w:t>规则的维护，将直接影响入院通知功能中患者入院的顺序。</w:t>
      </w:r>
    </w:p>
    <w:p w14:paraId="0932CC6A">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队列调整</w:t>
      </w:r>
    </w:p>
    <w:p w14:paraId="7CD8A804">
      <w:pPr>
        <w:pStyle w:val="117"/>
        <w:rPr>
          <w:rFonts w:hint="eastAsia" w:ascii="宋体" w:hAnsi="宋体"/>
          <w:szCs w:val="21"/>
          <w:highlight w:val="none"/>
        </w:rPr>
      </w:pPr>
      <w:r>
        <w:rPr>
          <w:rFonts w:hint="eastAsia" w:ascii="宋体" w:hAnsi="宋体"/>
          <w:szCs w:val="21"/>
          <w:highlight w:val="none"/>
        </w:rPr>
        <w:t>系统提供住院预约队列的调整功能，可以根据实际情况，进行相关科室患者队列顺序的调整。</w:t>
      </w:r>
    </w:p>
    <w:p w14:paraId="1EB2936C">
      <w:pPr>
        <w:pStyle w:val="117"/>
        <w:rPr>
          <w:rFonts w:hint="eastAsia" w:ascii="宋体" w:hAnsi="宋体"/>
          <w:szCs w:val="21"/>
          <w:highlight w:val="none"/>
        </w:rPr>
      </w:pPr>
      <w:r>
        <w:rPr>
          <w:rFonts w:hint="eastAsia" w:ascii="宋体" w:hAnsi="宋体"/>
          <w:szCs w:val="21"/>
          <w:highlight w:val="none"/>
        </w:rPr>
        <w:t>队列调整，将直接影响入院通知功能中患者入院的顺序。</w:t>
      </w:r>
    </w:p>
    <w:p w14:paraId="43CE545A">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查询统计功能</w:t>
      </w:r>
    </w:p>
    <w:p w14:paraId="5D86CA6C">
      <w:pPr>
        <w:pStyle w:val="117"/>
        <w:rPr>
          <w:rFonts w:hint="eastAsia" w:ascii="宋体" w:hAnsi="宋体"/>
          <w:szCs w:val="21"/>
          <w:highlight w:val="none"/>
        </w:rPr>
      </w:pPr>
      <w:r>
        <w:rPr>
          <w:rFonts w:hint="eastAsia" w:ascii="宋体" w:hAnsi="宋体"/>
          <w:szCs w:val="21"/>
          <w:highlight w:val="none"/>
        </w:rPr>
        <w:t>对于住院预约中相关数据的查询统计。可根据情况进行角色或人的查询权限分配。</w:t>
      </w:r>
    </w:p>
    <w:p w14:paraId="17108740">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预约查询</w:t>
      </w:r>
    </w:p>
    <w:p w14:paraId="702158F2">
      <w:pPr>
        <w:pStyle w:val="117"/>
        <w:rPr>
          <w:rFonts w:hint="eastAsia" w:ascii="宋体" w:hAnsi="宋体"/>
          <w:szCs w:val="21"/>
          <w:highlight w:val="none"/>
        </w:rPr>
      </w:pPr>
      <w:r>
        <w:rPr>
          <w:rFonts w:hint="eastAsia" w:ascii="宋体" w:hAnsi="宋体"/>
          <w:szCs w:val="21"/>
          <w:highlight w:val="none"/>
        </w:rPr>
        <w:t>根据时间、患者、科室、病情、入院状态等相关条件进行住院预约的查询。</w:t>
      </w:r>
    </w:p>
    <w:p w14:paraId="4A5E2CAE">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队列查询</w:t>
      </w:r>
    </w:p>
    <w:p w14:paraId="19E4F74A">
      <w:pPr>
        <w:pStyle w:val="117"/>
        <w:rPr>
          <w:rFonts w:hint="eastAsia" w:ascii="宋体" w:hAnsi="宋体"/>
          <w:szCs w:val="21"/>
          <w:highlight w:val="none"/>
        </w:rPr>
      </w:pPr>
      <w:r>
        <w:rPr>
          <w:rFonts w:hint="eastAsia" w:ascii="宋体" w:hAnsi="宋体"/>
          <w:szCs w:val="21"/>
          <w:highlight w:val="none"/>
        </w:rPr>
        <w:t>根据时间、科室、入院状态等相关条件进行住院预约队列的查询。</w:t>
      </w:r>
    </w:p>
    <w:p w14:paraId="7FEF90D2">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明日待入院信息查询</w:t>
      </w:r>
    </w:p>
    <w:p w14:paraId="2493B84F">
      <w:pPr>
        <w:pStyle w:val="117"/>
        <w:rPr>
          <w:rFonts w:hint="eastAsia" w:ascii="宋体" w:hAnsi="宋体"/>
          <w:szCs w:val="21"/>
          <w:highlight w:val="none"/>
        </w:rPr>
      </w:pPr>
      <w:r>
        <w:rPr>
          <w:rFonts w:hint="eastAsia" w:ascii="宋体" w:hAnsi="宋体"/>
          <w:szCs w:val="21"/>
          <w:highlight w:val="none"/>
        </w:rPr>
        <w:t>根据科室，查询到明天待出院信息，符合条件待入院人员信息。</w:t>
      </w:r>
    </w:p>
    <w:p w14:paraId="52127774">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统计功能</w:t>
      </w:r>
    </w:p>
    <w:p w14:paraId="297D854B">
      <w:pPr>
        <w:pStyle w:val="117"/>
        <w:rPr>
          <w:rFonts w:hint="eastAsia" w:ascii="宋体" w:hAnsi="宋体"/>
          <w:szCs w:val="21"/>
          <w:highlight w:val="none"/>
        </w:rPr>
      </w:pPr>
      <w:r>
        <w:rPr>
          <w:rFonts w:hint="eastAsia" w:ascii="宋体" w:hAnsi="宋体"/>
          <w:szCs w:val="21"/>
          <w:highlight w:val="none"/>
        </w:rPr>
        <w:t>支持医院效益分析均按照医师组进行分类考核。</w:t>
      </w:r>
    </w:p>
    <w:p w14:paraId="4F6F5427">
      <w:pPr>
        <w:pStyle w:val="117"/>
        <w:rPr>
          <w:rFonts w:hint="eastAsia" w:ascii="宋体" w:hAnsi="宋体"/>
          <w:szCs w:val="21"/>
          <w:highlight w:val="none"/>
        </w:rPr>
      </w:pPr>
      <w:r>
        <w:rPr>
          <w:rFonts w:hint="eastAsia" w:ascii="宋体" w:hAnsi="宋体"/>
          <w:szCs w:val="21"/>
          <w:highlight w:val="none"/>
        </w:rPr>
        <w:t>所有绩效核算统计报表，统计指标按医师组维度进行统计考核。</w:t>
      </w:r>
    </w:p>
    <w:p w14:paraId="7CFC4810">
      <w:pPr>
        <w:pStyle w:val="117"/>
        <w:rPr>
          <w:rFonts w:hint="eastAsia" w:ascii="宋体" w:hAnsi="宋体"/>
          <w:szCs w:val="21"/>
          <w:highlight w:val="none"/>
        </w:rPr>
      </w:pPr>
      <w:r>
        <w:rPr>
          <w:rFonts w:hint="eastAsia" w:ascii="宋体" w:hAnsi="宋体"/>
          <w:szCs w:val="21"/>
          <w:highlight w:val="none"/>
        </w:rPr>
        <w:t>根据医院要求，制作相关统计报表。</w:t>
      </w:r>
    </w:p>
    <w:p w14:paraId="75657D3A">
      <w:pPr>
        <w:rPr>
          <w:rFonts w:hint="eastAsia"/>
          <w:szCs w:val="21"/>
          <w:highlight w:val="none"/>
        </w:rPr>
      </w:pPr>
    </w:p>
    <w:p w14:paraId="51821E2B">
      <w:pPr>
        <w:pStyle w:val="5"/>
        <w:rPr>
          <w:rFonts w:hint="eastAsia" w:ascii="宋体" w:hAnsi="宋体" w:eastAsia="宋体"/>
          <w:sz w:val="21"/>
          <w:szCs w:val="21"/>
          <w:highlight w:val="none"/>
        </w:rPr>
      </w:pPr>
      <w:bookmarkStart w:id="72" w:name="_Toc18259"/>
      <w:r>
        <w:rPr>
          <w:rFonts w:hint="eastAsia" w:ascii="宋体" w:hAnsi="宋体" w:eastAsia="宋体"/>
          <w:sz w:val="21"/>
          <w:szCs w:val="21"/>
          <w:highlight w:val="none"/>
        </w:rPr>
        <w:t>住院床位预约</w:t>
      </w:r>
    </w:p>
    <w:p w14:paraId="07CC3A75">
      <w:pPr>
        <w:rPr>
          <w:rFonts w:hint="eastAsia"/>
          <w:szCs w:val="21"/>
          <w:highlight w:val="none"/>
        </w:rPr>
      </w:pPr>
      <w:r>
        <w:rPr>
          <w:rFonts w:hint="eastAsia"/>
          <w:szCs w:val="21"/>
          <w:highlight w:val="none"/>
        </w:rPr>
        <w:t>医生开具住院申请单后，医生或者预约中心可查询病区床位情况，有床预约无床登记，极大程度满足患者床位预约需求。要求支持床位预约、床位登记、床位查询、住院患者查询。</w:t>
      </w:r>
    </w:p>
    <w:bookmarkEnd w:id="72"/>
    <w:p w14:paraId="40EB3E05">
      <w:pPr>
        <w:pStyle w:val="4"/>
        <w:rPr>
          <w:rFonts w:hint="eastAsia" w:ascii="宋体" w:hAnsi="宋体"/>
          <w:sz w:val="21"/>
          <w:szCs w:val="21"/>
          <w:highlight w:val="none"/>
        </w:rPr>
      </w:pPr>
      <w:r>
        <w:rPr>
          <w:rFonts w:hint="eastAsia" w:ascii="宋体" w:hAnsi="宋体"/>
          <w:sz w:val="21"/>
          <w:szCs w:val="21"/>
          <w:highlight w:val="none"/>
        </w:rPr>
        <w:t>医技管理</w:t>
      </w:r>
    </w:p>
    <w:p w14:paraId="1BB72368">
      <w:pPr>
        <w:pStyle w:val="5"/>
        <w:rPr>
          <w:rFonts w:hint="eastAsia" w:ascii="宋体" w:hAnsi="宋体" w:eastAsia="宋体"/>
          <w:sz w:val="21"/>
          <w:szCs w:val="21"/>
          <w:highlight w:val="none"/>
        </w:rPr>
      </w:pPr>
      <w:bookmarkStart w:id="73" w:name="_Toc25767"/>
      <w:r>
        <w:rPr>
          <w:rFonts w:hint="eastAsia" w:ascii="宋体" w:hAnsi="宋体" w:eastAsia="宋体"/>
          <w:sz w:val="21"/>
          <w:szCs w:val="21"/>
          <w:highlight w:val="none"/>
        </w:rPr>
        <w:t>医技计费管理系统</w:t>
      </w:r>
      <w:bookmarkEnd w:id="73"/>
    </w:p>
    <w:p w14:paraId="5BD5FB3C">
      <w:pPr>
        <w:rPr>
          <w:rFonts w:hint="eastAsia"/>
          <w:szCs w:val="21"/>
          <w:highlight w:val="none"/>
        </w:rPr>
      </w:pPr>
      <w:r>
        <w:rPr>
          <w:rFonts w:hint="eastAsia"/>
          <w:szCs w:val="21"/>
          <w:highlight w:val="none"/>
        </w:rPr>
        <w:t>要求为门诊、住院检验科、门诊治疗室及其所属各组检查功能科室、治疗、理疗室等科室提供申请单、费用管理（录入、退费申请、分级审核）等，具备以下功能：</w:t>
      </w:r>
    </w:p>
    <w:p w14:paraId="3B141E50">
      <w:pPr>
        <w:rPr>
          <w:rFonts w:hint="eastAsia"/>
          <w:szCs w:val="21"/>
          <w:highlight w:val="none"/>
        </w:rPr>
      </w:pPr>
      <w:r>
        <w:rPr>
          <w:szCs w:val="21"/>
          <w:highlight w:val="none"/>
        </w:rPr>
        <w:t>1、要求能接收医生站的各种功能单据（或自己补开功能单据），进行扣费与结果登记；</w:t>
      </w:r>
    </w:p>
    <w:p w14:paraId="0DDBC406">
      <w:pPr>
        <w:rPr>
          <w:rFonts w:hint="eastAsia"/>
          <w:szCs w:val="21"/>
          <w:highlight w:val="none"/>
        </w:rPr>
      </w:pPr>
      <w:r>
        <w:rPr>
          <w:szCs w:val="21"/>
          <w:highlight w:val="none"/>
        </w:rPr>
        <w:t>2、要求支持在授权下的单据价格修改和非挂号情况下的检验、检查等单据制作与扣费；</w:t>
      </w:r>
    </w:p>
    <w:p w14:paraId="42FBCF4E">
      <w:pPr>
        <w:rPr>
          <w:rFonts w:hint="eastAsia"/>
          <w:szCs w:val="21"/>
          <w:highlight w:val="none"/>
        </w:rPr>
      </w:pPr>
      <w:r>
        <w:rPr>
          <w:szCs w:val="21"/>
          <w:highlight w:val="none"/>
        </w:rPr>
        <w:t xml:space="preserve">3、要求可代理挂号； </w:t>
      </w:r>
    </w:p>
    <w:p w14:paraId="514CB4DB">
      <w:pPr>
        <w:rPr>
          <w:rFonts w:hint="eastAsia"/>
          <w:szCs w:val="21"/>
          <w:highlight w:val="none"/>
        </w:rPr>
      </w:pPr>
      <w:r>
        <w:rPr>
          <w:szCs w:val="21"/>
          <w:highlight w:val="none"/>
        </w:rPr>
        <w:t>4、要求可进行台帐查询与工作量统计；</w:t>
      </w:r>
    </w:p>
    <w:p w14:paraId="06C32761">
      <w:pPr>
        <w:rPr>
          <w:rFonts w:hint="eastAsia"/>
          <w:szCs w:val="21"/>
          <w:highlight w:val="none"/>
        </w:rPr>
      </w:pPr>
      <w:r>
        <w:rPr>
          <w:szCs w:val="21"/>
          <w:highlight w:val="none"/>
        </w:rPr>
        <w:t>5、要求支持接收医生站的手术申请并根据手术申请进行麻醉安排、手术排台、排台信息反馈等功能；</w:t>
      </w:r>
    </w:p>
    <w:p w14:paraId="07CA6459">
      <w:pPr>
        <w:rPr>
          <w:rFonts w:hint="eastAsia"/>
          <w:szCs w:val="21"/>
          <w:highlight w:val="none"/>
        </w:rPr>
      </w:pPr>
      <w:r>
        <w:rPr>
          <w:szCs w:val="21"/>
          <w:highlight w:val="none"/>
        </w:rPr>
        <w:t>6、要求手术麻醉医师能根据手术麻醉系统及住院临床电子病历进行手术医嘱、手术病历的下达、手麻事件的记录；</w:t>
      </w:r>
    </w:p>
    <w:p w14:paraId="7A784EF8">
      <w:pPr>
        <w:rPr>
          <w:rFonts w:hint="eastAsia"/>
          <w:szCs w:val="21"/>
          <w:highlight w:val="none"/>
        </w:rPr>
      </w:pPr>
      <w:r>
        <w:rPr>
          <w:szCs w:val="21"/>
          <w:highlight w:val="none"/>
        </w:rPr>
        <w:t>7、要求支持麻醉护理人员完成手术事件的护理和管理记录。</w:t>
      </w:r>
    </w:p>
    <w:p w14:paraId="747A797A">
      <w:pPr>
        <w:pStyle w:val="5"/>
        <w:rPr>
          <w:rFonts w:hint="eastAsia" w:ascii="宋体" w:hAnsi="宋体" w:eastAsia="宋体"/>
          <w:sz w:val="21"/>
          <w:szCs w:val="21"/>
          <w:highlight w:val="none"/>
        </w:rPr>
      </w:pPr>
      <w:bookmarkStart w:id="74" w:name="_Toc12835"/>
      <w:r>
        <w:rPr>
          <w:rFonts w:hint="eastAsia" w:ascii="宋体" w:hAnsi="宋体" w:eastAsia="宋体"/>
          <w:sz w:val="21"/>
          <w:szCs w:val="21"/>
          <w:highlight w:val="none"/>
        </w:rPr>
        <w:t>医技电子申请单系统</w:t>
      </w:r>
      <w:bookmarkEnd w:id="74"/>
    </w:p>
    <w:p w14:paraId="1993210D">
      <w:pPr>
        <w:rPr>
          <w:rFonts w:hint="eastAsia"/>
          <w:szCs w:val="21"/>
          <w:highlight w:val="none"/>
        </w:rPr>
      </w:pPr>
      <w:r>
        <w:rPr>
          <w:rFonts w:hint="eastAsia"/>
          <w:szCs w:val="21"/>
          <w:highlight w:val="none"/>
        </w:rPr>
        <w:t>要求支持验申请、检查申请、手术申请、治疗申请、病理申请、输血申请、放疗申请、会诊申请、转院申请等，实现智能开单、推送、接收、查询、反馈等管理。</w:t>
      </w:r>
    </w:p>
    <w:p w14:paraId="3C67C092">
      <w:pPr>
        <w:rPr>
          <w:rFonts w:hint="eastAsia"/>
          <w:szCs w:val="21"/>
          <w:highlight w:val="none"/>
        </w:rPr>
      </w:pPr>
      <w:r>
        <w:rPr>
          <w:rFonts w:hint="eastAsia"/>
          <w:szCs w:val="21"/>
          <w:highlight w:val="none"/>
        </w:rPr>
        <w:t>具体功能包括：申请单录入、申请单与医嘱关键信息交互、医嘱自动生成申请单、病史及疾病诊断信息调用、申请项目智能组合、检查检验危急值推送与提醒、模板管理、条码管理、打印等。</w:t>
      </w:r>
    </w:p>
    <w:p w14:paraId="73537A80">
      <w:pPr>
        <w:rPr>
          <w:rFonts w:hint="eastAsia"/>
          <w:szCs w:val="21"/>
          <w:highlight w:val="none"/>
        </w:rPr>
      </w:pPr>
      <w:r>
        <w:rPr>
          <w:rFonts w:hint="eastAsia"/>
          <w:szCs w:val="21"/>
          <w:highlight w:val="none"/>
        </w:rPr>
        <w:t>1</w:t>
      </w:r>
      <w:r>
        <w:rPr>
          <w:szCs w:val="21"/>
          <w:highlight w:val="none"/>
        </w:rPr>
        <w:t>.</w:t>
      </w:r>
      <w:r>
        <w:rPr>
          <w:rFonts w:hint="eastAsia"/>
          <w:szCs w:val="21"/>
          <w:highlight w:val="none"/>
        </w:rPr>
        <w:t>申请单录入</w:t>
      </w:r>
    </w:p>
    <w:p w14:paraId="648F7C0E">
      <w:pPr>
        <w:rPr>
          <w:rFonts w:hint="eastAsia"/>
          <w:szCs w:val="21"/>
          <w:highlight w:val="none"/>
        </w:rPr>
      </w:pPr>
      <w:r>
        <w:rPr>
          <w:rFonts w:hint="eastAsia"/>
          <w:szCs w:val="21"/>
          <w:highlight w:val="none"/>
        </w:rPr>
        <w:t>门诊、住院申请单录入，包括检验申请、检查申请、手术申请、治疗申请、病理申请、输血申请、放疗申请、会诊申请、转院申请、入院申请等申请单的开立、保存、修改和删除等。支持常用项目快捷选择，支持注意事项提醒，支持智能控制前置必做项目，支持申请单中必填项目内容的提醒。</w:t>
      </w:r>
    </w:p>
    <w:p w14:paraId="6F971327">
      <w:pPr>
        <w:rPr>
          <w:rFonts w:hint="eastAsia"/>
          <w:szCs w:val="21"/>
          <w:highlight w:val="none"/>
        </w:rPr>
      </w:pPr>
      <w:r>
        <w:rPr>
          <w:rFonts w:hint="eastAsia"/>
          <w:szCs w:val="21"/>
          <w:highlight w:val="none"/>
        </w:rPr>
        <w:t>2</w:t>
      </w:r>
      <w:r>
        <w:rPr>
          <w:szCs w:val="21"/>
          <w:highlight w:val="none"/>
        </w:rPr>
        <w:t>.</w:t>
      </w:r>
      <w:r>
        <w:rPr>
          <w:rFonts w:hint="eastAsia"/>
          <w:szCs w:val="21"/>
          <w:highlight w:val="none"/>
        </w:rPr>
        <w:t>医嘱与申请单的交互</w:t>
      </w:r>
    </w:p>
    <w:p w14:paraId="11C6B8DB">
      <w:pPr>
        <w:rPr>
          <w:rFonts w:hint="eastAsia"/>
          <w:szCs w:val="21"/>
          <w:highlight w:val="none"/>
        </w:rPr>
      </w:pPr>
      <w:r>
        <w:rPr>
          <w:rFonts w:hint="eastAsia"/>
          <w:szCs w:val="21"/>
          <w:highlight w:val="none"/>
        </w:rPr>
        <w:t>根据医嘱信息按照申请单模板自动生成对应的申请单，或根据申请单内容自动生成医嘱。</w:t>
      </w:r>
    </w:p>
    <w:p w14:paraId="0FAE5C70">
      <w:pPr>
        <w:rPr>
          <w:rFonts w:hint="eastAsia"/>
          <w:szCs w:val="21"/>
          <w:highlight w:val="none"/>
        </w:rPr>
      </w:pPr>
      <w:r>
        <w:rPr>
          <w:rFonts w:hint="eastAsia"/>
          <w:szCs w:val="21"/>
          <w:highlight w:val="none"/>
        </w:rPr>
        <w:t>3</w:t>
      </w:r>
      <w:r>
        <w:rPr>
          <w:szCs w:val="21"/>
          <w:highlight w:val="none"/>
        </w:rPr>
        <w:t>.</w:t>
      </w:r>
      <w:r>
        <w:rPr>
          <w:rFonts w:hint="eastAsia"/>
          <w:szCs w:val="21"/>
          <w:highlight w:val="none"/>
        </w:rPr>
        <w:t>病史及疾病诊断信息调用</w:t>
      </w:r>
    </w:p>
    <w:p w14:paraId="2F1CF4FA">
      <w:pPr>
        <w:rPr>
          <w:rFonts w:hint="eastAsia"/>
          <w:szCs w:val="21"/>
          <w:highlight w:val="none"/>
        </w:rPr>
      </w:pPr>
      <w:r>
        <w:rPr>
          <w:rFonts w:hint="eastAsia"/>
          <w:szCs w:val="21"/>
          <w:highlight w:val="none"/>
        </w:rPr>
        <w:t>根据预先设置的申请单模板，支持调用患者基本信息、患者病史、疾病诊断、相关的历次报告等信息。</w:t>
      </w:r>
    </w:p>
    <w:p w14:paraId="04EEEED2">
      <w:pPr>
        <w:rPr>
          <w:rFonts w:hint="eastAsia"/>
          <w:szCs w:val="21"/>
          <w:highlight w:val="none"/>
        </w:rPr>
      </w:pPr>
      <w:r>
        <w:rPr>
          <w:rFonts w:hint="eastAsia"/>
          <w:szCs w:val="21"/>
          <w:highlight w:val="none"/>
        </w:rPr>
        <w:t>4</w:t>
      </w:r>
      <w:r>
        <w:rPr>
          <w:szCs w:val="21"/>
          <w:highlight w:val="none"/>
        </w:rPr>
        <w:t>.</w:t>
      </w:r>
      <w:r>
        <w:rPr>
          <w:rFonts w:hint="eastAsia"/>
          <w:szCs w:val="21"/>
          <w:highlight w:val="none"/>
        </w:rPr>
        <w:t>申请项目智能组合</w:t>
      </w:r>
    </w:p>
    <w:p w14:paraId="5D4C9327">
      <w:pPr>
        <w:rPr>
          <w:rFonts w:hint="eastAsia"/>
          <w:szCs w:val="21"/>
          <w:highlight w:val="none"/>
        </w:rPr>
      </w:pPr>
      <w:r>
        <w:rPr>
          <w:rFonts w:hint="eastAsia"/>
          <w:szCs w:val="21"/>
          <w:highlight w:val="none"/>
        </w:rPr>
        <w:t>根据申请检验项目、标本类型及检验分组等信息，智能组合并自动计算检验附加费；根据申请检查项目的执行部门、部位等信息，智能组合并自动计算检查费用。</w:t>
      </w:r>
    </w:p>
    <w:p w14:paraId="5DB62718">
      <w:pPr>
        <w:rPr>
          <w:rFonts w:hint="eastAsia"/>
          <w:szCs w:val="21"/>
          <w:highlight w:val="none"/>
        </w:rPr>
      </w:pPr>
      <w:r>
        <w:rPr>
          <w:rFonts w:hint="eastAsia"/>
          <w:szCs w:val="21"/>
          <w:highlight w:val="none"/>
        </w:rPr>
        <w:t>5</w:t>
      </w:r>
      <w:r>
        <w:rPr>
          <w:szCs w:val="21"/>
          <w:highlight w:val="none"/>
        </w:rPr>
        <w:t>.</w:t>
      </w:r>
      <w:r>
        <w:rPr>
          <w:rFonts w:hint="eastAsia"/>
          <w:szCs w:val="21"/>
          <w:highlight w:val="none"/>
        </w:rPr>
        <w:t>模板管理</w:t>
      </w:r>
    </w:p>
    <w:p w14:paraId="30069B16">
      <w:pPr>
        <w:rPr>
          <w:rFonts w:hint="eastAsia"/>
          <w:szCs w:val="21"/>
          <w:highlight w:val="none"/>
        </w:rPr>
      </w:pPr>
      <w:r>
        <w:rPr>
          <w:rFonts w:hint="eastAsia"/>
          <w:szCs w:val="21"/>
          <w:highlight w:val="none"/>
        </w:rPr>
        <w:t>提供检验申请、检查申请、手术申请、治疗申请、病理申请、输血申请、放疗申请、会诊申请、转院申请、入院申请等常见申请单模板，提供各模板常用项目维护管理。</w:t>
      </w:r>
    </w:p>
    <w:p w14:paraId="08786CE4">
      <w:pPr>
        <w:rPr>
          <w:rFonts w:hint="eastAsia"/>
          <w:szCs w:val="21"/>
          <w:highlight w:val="none"/>
        </w:rPr>
      </w:pPr>
      <w:r>
        <w:rPr>
          <w:rFonts w:hint="eastAsia"/>
          <w:szCs w:val="21"/>
          <w:highlight w:val="none"/>
        </w:rPr>
        <w:t>6</w:t>
      </w:r>
      <w:r>
        <w:rPr>
          <w:szCs w:val="21"/>
          <w:highlight w:val="none"/>
        </w:rPr>
        <w:t>.</w:t>
      </w:r>
      <w:r>
        <w:rPr>
          <w:rFonts w:hint="eastAsia"/>
          <w:szCs w:val="21"/>
          <w:highlight w:val="none"/>
        </w:rPr>
        <w:t>条码管理</w:t>
      </w:r>
    </w:p>
    <w:p w14:paraId="0EF62EC3">
      <w:pPr>
        <w:rPr>
          <w:rFonts w:hint="eastAsia"/>
          <w:szCs w:val="21"/>
          <w:highlight w:val="none"/>
        </w:rPr>
      </w:pPr>
      <w:r>
        <w:rPr>
          <w:rFonts w:hint="eastAsia"/>
          <w:szCs w:val="21"/>
          <w:highlight w:val="none"/>
        </w:rPr>
        <w:t>提供申请单条码管理功能，申请单保存时自动生成条码，通过条码实现申请单和标本条码的管理，并实现申请单的流转、状态与定位。</w:t>
      </w:r>
    </w:p>
    <w:p w14:paraId="156CB0B4">
      <w:pPr>
        <w:rPr>
          <w:rFonts w:hint="eastAsia"/>
          <w:szCs w:val="21"/>
          <w:highlight w:val="none"/>
        </w:rPr>
      </w:pPr>
      <w:r>
        <w:rPr>
          <w:rFonts w:hint="eastAsia"/>
          <w:szCs w:val="21"/>
          <w:highlight w:val="none"/>
        </w:rPr>
        <w:t>7</w:t>
      </w:r>
      <w:r>
        <w:rPr>
          <w:szCs w:val="21"/>
          <w:highlight w:val="none"/>
        </w:rPr>
        <w:t>.</w:t>
      </w:r>
      <w:r>
        <w:rPr>
          <w:rFonts w:hint="eastAsia"/>
          <w:szCs w:val="21"/>
          <w:highlight w:val="none"/>
        </w:rPr>
        <w:t>申请单查询</w:t>
      </w:r>
    </w:p>
    <w:p w14:paraId="05C3B645">
      <w:pPr>
        <w:rPr>
          <w:rFonts w:hint="eastAsia"/>
          <w:szCs w:val="21"/>
          <w:highlight w:val="none"/>
        </w:rPr>
      </w:pPr>
      <w:r>
        <w:rPr>
          <w:rFonts w:hint="eastAsia"/>
          <w:szCs w:val="21"/>
          <w:highlight w:val="none"/>
        </w:rPr>
        <w:t>根据用户权限提供医生、护士、医技人员实时查看单个申请单的流转、状态、执行反馈和收费等相关信息和申请单相关统计信息。</w:t>
      </w:r>
    </w:p>
    <w:p w14:paraId="4034367B">
      <w:pPr>
        <w:pStyle w:val="5"/>
        <w:rPr>
          <w:rFonts w:hint="eastAsia" w:ascii="宋体" w:hAnsi="宋体" w:eastAsia="宋体"/>
          <w:sz w:val="21"/>
          <w:szCs w:val="21"/>
          <w:highlight w:val="none"/>
        </w:rPr>
      </w:pPr>
      <w:bookmarkStart w:id="75" w:name="_Toc9719"/>
      <w:r>
        <w:rPr>
          <w:rFonts w:hint="eastAsia" w:ascii="宋体" w:hAnsi="宋体" w:eastAsia="宋体"/>
          <w:sz w:val="21"/>
          <w:szCs w:val="21"/>
          <w:highlight w:val="none"/>
        </w:rPr>
        <w:t>手术计费管理系统</w:t>
      </w:r>
      <w:bookmarkEnd w:id="75"/>
    </w:p>
    <w:p w14:paraId="2E1AD61D">
      <w:pPr>
        <w:rPr>
          <w:rFonts w:hint="eastAsia"/>
          <w:szCs w:val="21"/>
          <w:highlight w:val="none"/>
        </w:rPr>
      </w:pPr>
      <w:r>
        <w:rPr>
          <w:rFonts w:hint="eastAsia"/>
          <w:szCs w:val="21"/>
          <w:highlight w:val="none"/>
        </w:rPr>
        <w:t>要求提供用于住院病人手术与麻醉的申请、审批、安排以及术后有关信息的记录和跟踪等功能的计算机应用程序。</w:t>
      </w:r>
    </w:p>
    <w:p w14:paraId="5694F0AC">
      <w:pPr>
        <w:rPr>
          <w:rFonts w:hint="eastAsia"/>
          <w:szCs w:val="21"/>
          <w:highlight w:val="none"/>
        </w:rPr>
      </w:pPr>
      <w:r>
        <w:rPr>
          <w:rFonts w:hint="eastAsia"/>
          <w:szCs w:val="21"/>
          <w:highlight w:val="none"/>
        </w:rPr>
        <w:t>为门诊、病区的手术申请进行审核、手术排台、人员安排及调整、麻醉安排与调整，术中术后用药、麻醉用药、手术情况登记与计费、麻醉情况登记及计费，手术器械的领用与归还，手术麻醉的退药与退费，手术随访；手术室本身的配置管理；提供各类收入的统计查询等功能。</w:t>
      </w:r>
    </w:p>
    <w:p w14:paraId="2AE1E408">
      <w:pPr>
        <w:rPr>
          <w:rFonts w:hint="eastAsia"/>
          <w:szCs w:val="21"/>
          <w:highlight w:val="none"/>
        </w:rPr>
      </w:pPr>
      <w:r>
        <w:rPr>
          <w:rFonts w:hint="eastAsia"/>
          <w:szCs w:val="21"/>
          <w:highlight w:val="none"/>
        </w:rPr>
        <w:t>支持接收医生站的手术申请并根据手术申请进行麻醉安排、手术排台、排台信息反馈等功能；</w:t>
      </w:r>
    </w:p>
    <w:p w14:paraId="36F5CFD0">
      <w:pPr>
        <w:rPr>
          <w:rFonts w:hint="eastAsia"/>
          <w:szCs w:val="21"/>
          <w:highlight w:val="none"/>
        </w:rPr>
      </w:pPr>
      <w:r>
        <w:rPr>
          <w:rFonts w:hint="eastAsia"/>
          <w:szCs w:val="21"/>
          <w:highlight w:val="none"/>
        </w:rPr>
        <w:t>手术麻醉医师能根据手术麻醉系统及住院临床电子病历进行手术医嘱、手术病历的下达、手麻事件的记录；</w:t>
      </w:r>
    </w:p>
    <w:p w14:paraId="0F322E4A">
      <w:pPr>
        <w:rPr>
          <w:rFonts w:hint="eastAsia"/>
          <w:szCs w:val="21"/>
          <w:highlight w:val="none"/>
        </w:rPr>
      </w:pPr>
      <w:r>
        <w:rPr>
          <w:rFonts w:hint="eastAsia"/>
          <w:szCs w:val="21"/>
          <w:highlight w:val="none"/>
        </w:rPr>
        <w:t>支持麻醉护理人员完成手术事件的护理和管理记录。</w:t>
      </w:r>
    </w:p>
    <w:p w14:paraId="13268A8D">
      <w:pPr>
        <w:rPr>
          <w:rFonts w:hint="eastAsia"/>
          <w:szCs w:val="21"/>
          <w:highlight w:val="none"/>
        </w:rPr>
      </w:pPr>
      <w:r>
        <w:rPr>
          <w:rFonts w:hint="eastAsia"/>
          <w:szCs w:val="21"/>
          <w:highlight w:val="none"/>
        </w:rPr>
        <w:t>提供对手术和麻醉发生的费用进行扣费、退费操作。</w:t>
      </w:r>
    </w:p>
    <w:p w14:paraId="489E0981">
      <w:pPr>
        <w:pStyle w:val="4"/>
        <w:rPr>
          <w:rFonts w:hint="eastAsia" w:ascii="宋体" w:hAnsi="宋体"/>
          <w:sz w:val="21"/>
          <w:szCs w:val="21"/>
          <w:highlight w:val="none"/>
        </w:rPr>
      </w:pPr>
      <w:r>
        <w:rPr>
          <w:rFonts w:hint="eastAsia" w:ascii="宋体" w:hAnsi="宋体"/>
          <w:sz w:val="21"/>
          <w:szCs w:val="21"/>
          <w:highlight w:val="none"/>
        </w:rPr>
        <w:t>药品管理</w:t>
      </w:r>
    </w:p>
    <w:p w14:paraId="71DF823C">
      <w:pPr>
        <w:pStyle w:val="5"/>
        <w:rPr>
          <w:rFonts w:hint="eastAsia" w:ascii="宋体" w:hAnsi="宋体" w:eastAsia="宋体"/>
          <w:sz w:val="21"/>
          <w:szCs w:val="21"/>
          <w:highlight w:val="none"/>
        </w:rPr>
      </w:pPr>
      <w:bookmarkStart w:id="76" w:name="_Toc25679"/>
      <w:r>
        <w:rPr>
          <w:rFonts w:hint="eastAsia" w:ascii="宋体" w:hAnsi="宋体" w:eastAsia="宋体"/>
          <w:sz w:val="21"/>
          <w:szCs w:val="21"/>
          <w:highlight w:val="none"/>
        </w:rPr>
        <w:t>门诊发药管理系统</w:t>
      </w:r>
      <w:bookmarkEnd w:id="76"/>
    </w:p>
    <w:p w14:paraId="269438FA">
      <w:pPr>
        <w:rPr>
          <w:rFonts w:hint="eastAsia"/>
          <w:szCs w:val="21"/>
          <w:highlight w:val="none"/>
        </w:rPr>
      </w:pPr>
      <w:r>
        <w:rPr>
          <w:rFonts w:hint="eastAsia"/>
          <w:szCs w:val="21"/>
          <w:highlight w:val="none"/>
        </w:rPr>
        <w:t>要求支持自动打印药品调配清单，由药师按调配单取药后系统进行调配确认，通过发药机或者人工完成药品调配工作。</w:t>
      </w:r>
    </w:p>
    <w:p w14:paraId="1F5A87FE">
      <w:pPr>
        <w:rPr>
          <w:rFonts w:hint="eastAsia"/>
          <w:szCs w:val="21"/>
          <w:highlight w:val="none"/>
        </w:rPr>
      </w:pPr>
      <w:r>
        <w:rPr>
          <w:rFonts w:hint="eastAsia"/>
          <w:szCs w:val="21"/>
          <w:highlight w:val="none"/>
        </w:rPr>
        <w:t>处方调配完成后，门诊发药系统接收到处方信息，通过刷卡或人工选择等方式确定发药的患者与对应的处方，系统进行发药确认，同时扣减库存，按需要打印用药嘱托给患者。</w:t>
      </w:r>
    </w:p>
    <w:p w14:paraId="6F1FE573">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门诊药房摆药</w:t>
      </w:r>
    </w:p>
    <w:p w14:paraId="35B2663D">
      <w:pPr>
        <w:rPr>
          <w:rFonts w:hint="eastAsia"/>
          <w:szCs w:val="21"/>
          <w:highlight w:val="none"/>
        </w:rPr>
      </w:pPr>
      <w:r>
        <w:rPr>
          <w:rFonts w:hint="eastAsia"/>
          <w:szCs w:val="21"/>
          <w:highlight w:val="none"/>
        </w:rPr>
        <w:t>患者完成结算后,门诊药房自动接单，系统根据医嘱打印药品清单和用药说明标签，由药师、发药机按药品清单摆药。</w:t>
      </w:r>
    </w:p>
    <w:p w14:paraId="1808F693">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门诊摆药重制</w:t>
      </w:r>
    </w:p>
    <w:p w14:paraId="2AE812A9">
      <w:pPr>
        <w:rPr>
          <w:rFonts w:hint="eastAsia"/>
          <w:szCs w:val="21"/>
          <w:highlight w:val="none"/>
        </w:rPr>
      </w:pPr>
      <w:r>
        <w:rPr>
          <w:rFonts w:hint="eastAsia"/>
          <w:szCs w:val="21"/>
          <w:highlight w:val="none"/>
        </w:rPr>
        <w:t>支持对该门诊科室内的所有处方进行重制，根据摆药时间过滤显示，可重制处方、输液卡、瓶签。</w:t>
      </w:r>
    </w:p>
    <w:p w14:paraId="2420AC25">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门诊药房发药</w:t>
      </w:r>
    </w:p>
    <w:p w14:paraId="1478DD9D">
      <w:pPr>
        <w:rPr>
          <w:rFonts w:hint="eastAsia"/>
          <w:szCs w:val="21"/>
          <w:highlight w:val="none"/>
        </w:rPr>
      </w:pPr>
      <w:r>
        <w:rPr>
          <w:rFonts w:hint="eastAsia"/>
          <w:szCs w:val="21"/>
          <w:highlight w:val="none"/>
        </w:rPr>
        <w:t>摆药完成后，门诊发药系统接收到处方信息，通过刷卡或人工选择等方式确定发药的患者与对应的处方，系统进行发药确认。</w:t>
      </w:r>
    </w:p>
    <w:p w14:paraId="7BDA7F29">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患者排队取药</w:t>
      </w:r>
    </w:p>
    <w:p w14:paraId="084D51C4">
      <w:pPr>
        <w:rPr>
          <w:rFonts w:hint="eastAsia"/>
          <w:szCs w:val="21"/>
          <w:highlight w:val="none"/>
        </w:rPr>
      </w:pPr>
      <w:r>
        <w:rPr>
          <w:rFonts w:hint="eastAsia"/>
          <w:szCs w:val="21"/>
          <w:highlight w:val="none"/>
        </w:rPr>
        <w:t>药房前台由发药药师扫描处方条码，上屏呼叫病人来取药。系统需要支持药房前台呼叫病人取药后，系统自动将病人信息通过多媒体显示屏进行显示。</w:t>
      </w:r>
    </w:p>
    <w:p w14:paraId="19468813">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患者取药下屏</w:t>
      </w:r>
    </w:p>
    <w:p w14:paraId="41DEF966">
      <w:pPr>
        <w:rPr>
          <w:rFonts w:hint="eastAsia"/>
          <w:szCs w:val="21"/>
          <w:highlight w:val="none"/>
        </w:rPr>
      </w:pPr>
      <w:r>
        <w:rPr>
          <w:rFonts w:hint="eastAsia"/>
          <w:szCs w:val="21"/>
          <w:highlight w:val="none"/>
        </w:rPr>
        <w:t>病人凭取药凭证或卡取药。发药药师确认病人处方后发给病人药品同时扫描处方标签下屏等。</w:t>
      </w:r>
    </w:p>
    <w:p w14:paraId="2212963F">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门诊退药处理</w:t>
      </w:r>
    </w:p>
    <w:p w14:paraId="3E1AC0B5">
      <w:pPr>
        <w:rPr>
          <w:rFonts w:hint="eastAsia"/>
          <w:szCs w:val="21"/>
          <w:highlight w:val="none"/>
        </w:rPr>
      </w:pPr>
      <w:r>
        <w:rPr>
          <w:rFonts w:hint="eastAsia"/>
          <w:szCs w:val="21"/>
          <w:highlight w:val="none"/>
        </w:rPr>
        <w:t>门诊退药申请由门诊病医生或者药房人员发起，选择需要退的药品及数量。</w:t>
      </w:r>
    </w:p>
    <w:p w14:paraId="235FC715">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门诊费用清单查询</w:t>
      </w:r>
    </w:p>
    <w:p w14:paraId="2C65369D">
      <w:pPr>
        <w:rPr>
          <w:rFonts w:hint="eastAsia"/>
          <w:szCs w:val="21"/>
          <w:highlight w:val="none"/>
        </w:rPr>
      </w:pPr>
      <w:r>
        <w:rPr>
          <w:rFonts w:hint="eastAsia"/>
          <w:szCs w:val="21"/>
          <w:highlight w:val="none"/>
        </w:rPr>
        <w:t>提供患者门诊历史费用查询功能，可根据患者查询历史费用清单，包括项目名称，费用价格等信息。</w:t>
      </w:r>
    </w:p>
    <w:p w14:paraId="41ECF18A">
      <w:pPr>
        <w:pStyle w:val="117"/>
        <w:numPr>
          <w:ilvl w:val="0"/>
          <w:numId w:val="14"/>
        </w:numPr>
        <w:spacing w:line="360" w:lineRule="auto"/>
        <w:ind w:firstLineChars="0"/>
        <w:rPr>
          <w:rFonts w:hint="eastAsia" w:ascii="宋体" w:hAnsi="宋体"/>
          <w:szCs w:val="21"/>
          <w:highlight w:val="none"/>
        </w:rPr>
      </w:pPr>
      <w:r>
        <w:rPr>
          <w:rFonts w:hint="eastAsia" w:ascii="宋体" w:hAnsi="宋体"/>
          <w:szCs w:val="21"/>
          <w:highlight w:val="none"/>
        </w:rPr>
        <w:t>门诊发药工作量</w:t>
      </w:r>
    </w:p>
    <w:p w14:paraId="39FB0011">
      <w:pPr>
        <w:rPr>
          <w:rFonts w:hint="eastAsia"/>
          <w:szCs w:val="21"/>
          <w:highlight w:val="none"/>
        </w:rPr>
      </w:pPr>
      <w:r>
        <w:rPr>
          <w:rFonts w:hint="eastAsia"/>
          <w:szCs w:val="21"/>
          <w:highlight w:val="none"/>
        </w:rPr>
        <w:t>支持统计门诊配药员的工作量，可通过工牌号、时间段检索，查询员工在某个时间段内发药数量。</w:t>
      </w:r>
    </w:p>
    <w:p w14:paraId="6D3E6A35">
      <w:pPr>
        <w:pStyle w:val="5"/>
        <w:rPr>
          <w:rFonts w:hint="eastAsia" w:ascii="宋体" w:hAnsi="宋体" w:eastAsia="宋体"/>
          <w:sz w:val="21"/>
          <w:szCs w:val="21"/>
          <w:highlight w:val="none"/>
        </w:rPr>
      </w:pPr>
      <w:bookmarkStart w:id="77" w:name="_Toc21369"/>
      <w:r>
        <w:rPr>
          <w:rFonts w:hint="eastAsia" w:ascii="宋体" w:hAnsi="宋体" w:eastAsia="宋体"/>
          <w:sz w:val="21"/>
          <w:szCs w:val="21"/>
          <w:highlight w:val="none"/>
        </w:rPr>
        <w:t>住院配药管理系统</w:t>
      </w:r>
      <w:bookmarkEnd w:id="77"/>
    </w:p>
    <w:p w14:paraId="0E7D71E3">
      <w:pPr>
        <w:rPr>
          <w:rFonts w:hint="eastAsia"/>
          <w:szCs w:val="21"/>
          <w:highlight w:val="none"/>
        </w:rPr>
      </w:pPr>
      <w:r>
        <w:rPr>
          <w:rFonts w:hint="eastAsia"/>
          <w:szCs w:val="21"/>
          <w:highlight w:val="none"/>
        </w:rPr>
        <w:t>要求支持各药房、自动包药机、自动发药机的发药流程管理以及退药等功能管理，支持与自动发药机进行对接，确保用药安全，实现药品的可追溯。具体功能包括：住院发药审核、住院药房配发药、住院退药处理等。</w:t>
      </w:r>
    </w:p>
    <w:p w14:paraId="7D86C40A">
      <w:pPr>
        <w:pStyle w:val="117"/>
        <w:numPr>
          <w:ilvl w:val="0"/>
          <w:numId w:val="15"/>
        </w:numPr>
        <w:spacing w:line="360" w:lineRule="auto"/>
        <w:ind w:firstLineChars="0"/>
        <w:rPr>
          <w:rFonts w:hint="eastAsia" w:ascii="宋体" w:hAnsi="宋体"/>
          <w:szCs w:val="21"/>
          <w:highlight w:val="none"/>
        </w:rPr>
      </w:pPr>
      <w:r>
        <w:rPr>
          <w:rFonts w:hint="eastAsia" w:ascii="宋体" w:hAnsi="宋体"/>
          <w:szCs w:val="21"/>
          <w:highlight w:val="none"/>
        </w:rPr>
        <w:t>住院摆药条件设置</w:t>
      </w:r>
    </w:p>
    <w:p w14:paraId="361BA4C7">
      <w:pPr>
        <w:rPr>
          <w:rFonts w:hint="eastAsia"/>
          <w:szCs w:val="21"/>
          <w:highlight w:val="none"/>
        </w:rPr>
      </w:pPr>
      <w:r>
        <w:rPr>
          <w:rFonts w:hint="eastAsia"/>
          <w:szCs w:val="21"/>
          <w:highlight w:val="none"/>
        </w:rPr>
        <w:t>支持根据医院管理要求，设置不同摆药条件的药品规则，摆药时根据摆药条件打印摆药单。</w:t>
      </w:r>
    </w:p>
    <w:p w14:paraId="5D8D248F">
      <w:pPr>
        <w:pStyle w:val="117"/>
        <w:numPr>
          <w:ilvl w:val="0"/>
          <w:numId w:val="15"/>
        </w:numPr>
        <w:spacing w:line="360" w:lineRule="auto"/>
        <w:ind w:firstLineChars="0"/>
        <w:rPr>
          <w:rFonts w:hint="eastAsia" w:ascii="宋体" w:hAnsi="宋体"/>
          <w:szCs w:val="21"/>
          <w:highlight w:val="none"/>
        </w:rPr>
      </w:pPr>
      <w:r>
        <w:rPr>
          <w:rFonts w:hint="eastAsia" w:ascii="宋体" w:hAnsi="宋体"/>
          <w:szCs w:val="21"/>
          <w:highlight w:val="none"/>
        </w:rPr>
        <w:t>住院药房摆药</w:t>
      </w:r>
    </w:p>
    <w:p w14:paraId="0AC0599E">
      <w:pPr>
        <w:rPr>
          <w:rFonts w:hint="eastAsia"/>
          <w:szCs w:val="21"/>
          <w:highlight w:val="none"/>
        </w:rPr>
      </w:pPr>
      <w:r>
        <w:rPr>
          <w:rFonts w:hint="eastAsia"/>
          <w:szCs w:val="21"/>
          <w:highlight w:val="none"/>
        </w:rPr>
        <w:t>病区申请执行后，药房摆药后台接到申请摆药的药品信息，选择病区或科室批量打印摆药单，根据摆药单打印出的数量进行摆药，同时系统扣减库存。</w:t>
      </w:r>
    </w:p>
    <w:p w14:paraId="103AC9CF">
      <w:pPr>
        <w:pStyle w:val="117"/>
        <w:numPr>
          <w:ilvl w:val="0"/>
          <w:numId w:val="15"/>
        </w:numPr>
        <w:spacing w:line="360" w:lineRule="auto"/>
        <w:ind w:firstLineChars="0"/>
        <w:rPr>
          <w:rFonts w:hint="eastAsia" w:ascii="宋体" w:hAnsi="宋体"/>
          <w:szCs w:val="21"/>
          <w:highlight w:val="none"/>
        </w:rPr>
      </w:pPr>
      <w:r>
        <w:rPr>
          <w:rFonts w:hint="eastAsia" w:ascii="宋体" w:hAnsi="宋体"/>
          <w:szCs w:val="21"/>
          <w:highlight w:val="none"/>
        </w:rPr>
        <w:t>住院摆药重制</w:t>
      </w:r>
    </w:p>
    <w:p w14:paraId="3A5CC1A6">
      <w:pPr>
        <w:rPr>
          <w:rFonts w:hint="eastAsia"/>
          <w:szCs w:val="21"/>
          <w:highlight w:val="none"/>
        </w:rPr>
      </w:pPr>
      <w:r>
        <w:rPr>
          <w:rFonts w:hint="eastAsia"/>
          <w:szCs w:val="21"/>
          <w:highlight w:val="none"/>
        </w:rPr>
        <w:t>提供住院摆药单重制功能，选择摆药时间，系统展示时间段内所有摆药单，选择相应病区摆药单号或者患者，重制摆药单。</w:t>
      </w:r>
    </w:p>
    <w:p w14:paraId="137DC0AB">
      <w:pPr>
        <w:pStyle w:val="117"/>
        <w:numPr>
          <w:ilvl w:val="0"/>
          <w:numId w:val="15"/>
        </w:numPr>
        <w:spacing w:line="360" w:lineRule="auto"/>
        <w:ind w:firstLineChars="0"/>
        <w:rPr>
          <w:rFonts w:hint="eastAsia" w:ascii="宋体" w:hAnsi="宋体"/>
          <w:szCs w:val="21"/>
          <w:highlight w:val="none"/>
        </w:rPr>
      </w:pPr>
      <w:r>
        <w:rPr>
          <w:rFonts w:hint="eastAsia" w:ascii="宋体" w:hAnsi="宋体"/>
          <w:szCs w:val="21"/>
          <w:highlight w:val="none"/>
        </w:rPr>
        <w:t>住院退药处理</w:t>
      </w:r>
    </w:p>
    <w:p w14:paraId="5A551EE9">
      <w:pPr>
        <w:rPr>
          <w:rFonts w:hint="eastAsia"/>
          <w:szCs w:val="21"/>
          <w:highlight w:val="none"/>
        </w:rPr>
      </w:pPr>
      <w:r>
        <w:rPr>
          <w:rFonts w:hint="eastAsia"/>
          <w:szCs w:val="21"/>
          <w:highlight w:val="none"/>
        </w:rPr>
        <w:t>提供住院退药申请由护士发起，选择需要退的药品。</w:t>
      </w:r>
    </w:p>
    <w:p w14:paraId="0E8FB2BB">
      <w:pPr>
        <w:rPr>
          <w:rFonts w:hint="eastAsia"/>
          <w:szCs w:val="21"/>
          <w:highlight w:val="none"/>
        </w:rPr>
      </w:pPr>
      <w:r>
        <w:rPr>
          <w:rFonts w:hint="eastAsia"/>
          <w:szCs w:val="21"/>
          <w:highlight w:val="none"/>
        </w:rPr>
        <w:t>提供医嘱停止后，由系统自动判断需要退药的药品，护士手动勾选生成退药申请信息。</w:t>
      </w:r>
    </w:p>
    <w:p w14:paraId="39C85A7E">
      <w:pPr>
        <w:rPr>
          <w:rFonts w:hint="eastAsia"/>
          <w:szCs w:val="21"/>
          <w:highlight w:val="none"/>
        </w:rPr>
      </w:pPr>
      <w:r>
        <w:rPr>
          <w:rFonts w:hint="eastAsia"/>
          <w:szCs w:val="21"/>
          <w:highlight w:val="none"/>
        </w:rPr>
        <w:t>护士复核退药单，将药物送还药房，药房系统进行确认，退药完成。</w:t>
      </w:r>
    </w:p>
    <w:p w14:paraId="56447435">
      <w:pPr>
        <w:rPr>
          <w:rFonts w:hint="eastAsia"/>
          <w:szCs w:val="21"/>
          <w:highlight w:val="none"/>
        </w:rPr>
      </w:pPr>
      <w:r>
        <w:rPr>
          <w:rFonts w:hint="eastAsia"/>
          <w:szCs w:val="21"/>
          <w:highlight w:val="none"/>
        </w:rPr>
        <w:t>支持查询历史退药信息功能，可根据退药日期、科室查询相应的退药历史及明细信息。</w:t>
      </w:r>
    </w:p>
    <w:p w14:paraId="1B2AE654">
      <w:pPr>
        <w:pStyle w:val="5"/>
        <w:rPr>
          <w:rFonts w:hint="eastAsia" w:ascii="宋体" w:hAnsi="宋体" w:eastAsia="宋体"/>
          <w:sz w:val="21"/>
          <w:szCs w:val="21"/>
          <w:highlight w:val="none"/>
        </w:rPr>
      </w:pPr>
      <w:bookmarkStart w:id="78" w:name="_Toc29175"/>
      <w:r>
        <w:rPr>
          <w:rFonts w:hint="eastAsia" w:ascii="宋体" w:hAnsi="宋体" w:eastAsia="宋体"/>
          <w:sz w:val="21"/>
          <w:szCs w:val="21"/>
          <w:highlight w:val="none"/>
        </w:rPr>
        <w:t>门诊取药排队叫号系统</w:t>
      </w:r>
      <w:bookmarkEnd w:id="78"/>
    </w:p>
    <w:p w14:paraId="57D2EC85">
      <w:pPr>
        <w:rPr>
          <w:rFonts w:hint="eastAsia"/>
          <w:szCs w:val="21"/>
          <w:highlight w:val="none"/>
        </w:rPr>
      </w:pPr>
      <w:r>
        <w:rPr>
          <w:rFonts w:hint="eastAsia"/>
          <w:szCs w:val="21"/>
          <w:highlight w:val="none"/>
        </w:rPr>
        <w:t>要求在病人通过门诊自助取药系统进行配药确认后，药房后台能够进行处方打印，并摆药；支持药房前台发药药师扫描处方条码，上屏呼叫病人来取药；支持药房前台呼叫病人取药后，系统自动将病人信息通过多媒体显示屏进行显示；支持病人凭取药凭证或卡来取药时发药药师确认病人处方后发给病人药品同时扫描处方标签下屏。</w:t>
      </w:r>
    </w:p>
    <w:p w14:paraId="51C89982">
      <w:pPr>
        <w:pStyle w:val="5"/>
        <w:rPr>
          <w:rFonts w:hint="eastAsia" w:ascii="宋体" w:hAnsi="宋体" w:eastAsia="宋体"/>
          <w:sz w:val="21"/>
          <w:szCs w:val="21"/>
          <w:highlight w:val="none"/>
        </w:rPr>
      </w:pPr>
      <w:bookmarkStart w:id="79" w:name="_Toc17021"/>
      <w:r>
        <w:rPr>
          <w:rFonts w:hint="eastAsia" w:ascii="宋体" w:hAnsi="宋体" w:eastAsia="宋体"/>
          <w:sz w:val="21"/>
          <w:szCs w:val="21"/>
          <w:highlight w:val="none"/>
        </w:rPr>
        <w:t>药库管理系统</w:t>
      </w:r>
      <w:bookmarkEnd w:id="79"/>
    </w:p>
    <w:p w14:paraId="17B5FF59">
      <w:pPr>
        <w:rPr>
          <w:rFonts w:hint="eastAsia"/>
          <w:szCs w:val="21"/>
          <w:highlight w:val="none"/>
        </w:rPr>
      </w:pPr>
      <w:r>
        <w:rPr>
          <w:rFonts w:hint="eastAsia"/>
          <w:szCs w:val="21"/>
          <w:highlight w:val="none"/>
        </w:rPr>
        <w:t>要求实现医院各级药库、药房的药品进销存管理，可接收院外药品供应链信息，提供完整的药品账务管理，通过药品标识码，实现药品批次追溯功能。</w:t>
      </w:r>
    </w:p>
    <w:p w14:paraId="3C11BB1F">
      <w:pPr>
        <w:rPr>
          <w:rFonts w:hint="eastAsia"/>
          <w:szCs w:val="21"/>
          <w:highlight w:val="none"/>
        </w:rPr>
      </w:pPr>
      <w:r>
        <w:rPr>
          <w:szCs w:val="21"/>
          <w:highlight w:val="none"/>
        </w:rPr>
        <w:t>1、可扩展到多个药库库存单元（中、西、成）。</w:t>
      </w:r>
    </w:p>
    <w:p w14:paraId="0F445A2C">
      <w:pPr>
        <w:rPr>
          <w:rFonts w:hint="eastAsia"/>
          <w:szCs w:val="21"/>
          <w:highlight w:val="none"/>
        </w:rPr>
      </w:pPr>
      <w:r>
        <w:rPr>
          <w:szCs w:val="21"/>
          <w:highlight w:val="none"/>
        </w:rPr>
        <w:t>2、支持根据药品上月耗量或库存限量自动生成采购计划；支持采购计划的多级审核；支持采购单的发送及到货确认功能；支持采购单转成入库单；</w:t>
      </w:r>
    </w:p>
    <w:p w14:paraId="4C440F84">
      <w:pPr>
        <w:rPr>
          <w:rFonts w:hint="eastAsia"/>
          <w:szCs w:val="21"/>
          <w:highlight w:val="none"/>
        </w:rPr>
      </w:pPr>
      <w:r>
        <w:rPr>
          <w:szCs w:val="21"/>
          <w:highlight w:val="none"/>
        </w:rPr>
        <w:t>3、支持药品的采购入库、退药入库、盘盈入库、赠送入库、调拨入库、领用出库、报损出库、退货出库、盘亏出库、调拨出库等多种出入库类别，且可根据要求增删。可自动接收科室领药单，并转化为出库单；</w:t>
      </w:r>
    </w:p>
    <w:p w14:paraId="6A142A5F">
      <w:pPr>
        <w:rPr>
          <w:rFonts w:hint="eastAsia"/>
          <w:szCs w:val="21"/>
          <w:highlight w:val="none"/>
        </w:rPr>
      </w:pPr>
      <w:r>
        <w:rPr>
          <w:szCs w:val="21"/>
          <w:highlight w:val="none"/>
        </w:rPr>
        <w:t>4、在录入出入库单药品信息时，可自动获取药品名称、规格、批号、发票号、进货价、零售价、生产厂家、供货商、包装单位、发药单位等药品信息，以及医疗保险信息中的医疗保险类别、处方药标志、中标标志等并可随时生成各种药品的入库明细、出库明细、盘点明细、调价明细、调拨明细、报损明细、退药明细以及上面各项的汇总数据，且提供打印功能；</w:t>
      </w:r>
    </w:p>
    <w:p w14:paraId="22AA5C2D">
      <w:pPr>
        <w:rPr>
          <w:rFonts w:hint="eastAsia"/>
          <w:szCs w:val="21"/>
          <w:highlight w:val="none"/>
        </w:rPr>
      </w:pPr>
      <w:r>
        <w:rPr>
          <w:szCs w:val="21"/>
          <w:highlight w:val="none"/>
        </w:rPr>
        <w:t>5、药品零售价格可根据院方公式自动计算；</w:t>
      </w:r>
    </w:p>
    <w:p w14:paraId="7C9EDFC5">
      <w:pPr>
        <w:rPr>
          <w:rFonts w:hint="eastAsia"/>
          <w:szCs w:val="21"/>
          <w:highlight w:val="none"/>
        </w:rPr>
      </w:pPr>
      <w:r>
        <w:rPr>
          <w:szCs w:val="21"/>
          <w:highlight w:val="none"/>
        </w:rPr>
        <w:t>6、支持汇款凭证根据供应商的采购入库单自动汇总统计及打印功能；</w:t>
      </w:r>
    </w:p>
    <w:p w14:paraId="75FB75F5">
      <w:pPr>
        <w:rPr>
          <w:rFonts w:hint="eastAsia"/>
          <w:szCs w:val="21"/>
          <w:highlight w:val="none"/>
        </w:rPr>
      </w:pPr>
      <w:r>
        <w:rPr>
          <w:szCs w:val="21"/>
          <w:highlight w:val="none"/>
        </w:rPr>
        <w:t>7、提供药品库存的日结、月结、年结功能，并能校对帐目及库存的平衡关系；</w:t>
      </w:r>
    </w:p>
    <w:p w14:paraId="4AE93FB3">
      <w:pPr>
        <w:rPr>
          <w:rFonts w:hint="eastAsia"/>
          <w:szCs w:val="21"/>
          <w:highlight w:val="none"/>
        </w:rPr>
      </w:pPr>
      <w:r>
        <w:rPr>
          <w:szCs w:val="21"/>
          <w:highlight w:val="none"/>
        </w:rPr>
        <w:t>8、可追踪各个药品的明细流水帐，可随时查验任一品种的库存变化入、出、存明细信息。提供药品的核算功能，可统计分析各药房的消耗、库存；</w:t>
      </w:r>
    </w:p>
    <w:p w14:paraId="713D8E11">
      <w:pPr>
        <w:rPr>
          <w:rFonts w:hint="eastAsia"/>
          <w:szCs w:val="21"/>
          <w:highlight w:val="none"/>
        </w:rPr>
      </w:pPr>
      <w:r>
        <w:rPr>
          <w:szCs w:val="21"/>
          <w:highlight w:val="none"/>
        </w:rPr>
        <w:t>9、提供药品字典库维护功能（如品种、价格、单位、计量、特殊标志等），支持一药多名操作，判断识别，实现统一规范药品名称；</w:t>
      </w:r>
    </w:p>
    <w:p w14:paraId="61800C6C">
      <w:pPr>
        <w:rPr>
          <w:rFonts w:hint="eastAsia"/>
          <w:szCs w:val="21"/>
          <w:highlight w:val="none"/>
        </w:rPr>
      </w:pPr>
      <w:r>
        <w:rPr>
          <w:szCs w:val="21"/>
          <w:highlight w:val="none"/>
        </w:rPr>
        <w:t>10、提供药品的有效期管理、可自动报警和统计过期药品的品种数和金额，并有</w:t>
      </w:r>
      <w:r>
        <w:rPr>
          <w:szCs w:val="21"/>
          <w:highlight w:val="none"/>
        </w:rPr>
        <w:t>库存量，全院库存分布提示功能；</w:t>
      </w:r>
    </w:p>
    <w:p w14:paraId="08697AF5">
      <w:pPr>
        <w:rPr>
          <w:rFonts w:hint="eastAsia"/>
          <w:szCs w:val="21"/>
          <w:highlight w:val="none"/>
        </w:rPr>
      </w:pPr>
      <w:r>
        <w:rPr>
          <w:szCs w:val="21"/>
          <w:highlight w:val="none"/>
        </w:rPr>
        <w:t>11、对毒麻药品、精神药品的种类、贵重药品、院内制剂、进口药品、自费药等均有特定的判断识别处理；</w:t>
      </w:r>
    </w:p>
    <w:p w14:paraId="519EB5CF">
      <w:pPr>
        <w:rPr>
          <w:rFonts w:hint="eastAsia"/>
          <w:szCs w:val="21"/>
          <w:highlight w:val="none"/>
        </w:rPr>
      </w:pPr>
      <w:r>
        <w:rPr>
          <w:szCs w:val="21"/>
          <w:highlight w:val="none"/>
        </w:rPr>
        <w:t>12、支持药品批次管理；要求可根据参数设置药品“先入先出”或“效期先出”原则；</w:t>
      </w:r>
    </w:p>
    <w:p w14:paraId="50B1B7DD">
      <w:pPr>
        <w:rPr>
          <w:rFonts w:hint="eastAsia"/>
          <w:szCs w:val="21"/>
          <w:highlight w:val="none"/>
        </w:rPr>
      </w:pPr>
      <w:r>
        <w:rPr>
          <w:szCs w:val="21"/>
          <w:highlight w:val="none"/>
        </w:rPr>
        <w:t>13、可根据物价部门的现行调价文件实现全院统一调价，提供自动调价确认和手动调价确认两种方式；并可记录调价的明细、时间及调价原因，记录调价的盈亏等信息，传送到药品会计和财务会计；</w:t>
      </w:r>
    </w:p>
    <w:p w14:paraId="4CE7882E">
      <w:pPr>
        <w:rPr>
          <w:rFonts w:hint="eastAsia"/>
          <w:szCs w:val="21"/>
          <w:highlight w:val="none"/>
        </w:rPr>
      </w:pPr>
      <w:r>
        <w:rPr>
          <w:szCs w:val="21"/>
          <w:highlight w:val="none"/>
        </w:rPr>
        <w:t>14、统计查询：支持以上所有工作相关统计、查询和打印功能；</w:t>
      </w:r>
    </w:p>
    <w:p w14:paraId="69601FF4">
      <w:pPr>
        <w:rPr>
          <w:rFonts w:hint="eastAsia"/>
          <w:szCs w:val="21"/>
          <w:highlight w:val="none"/>
        </w:rPr>
      </w:pPr>
      <w:r>
        <w:rPr>
          <w:szCs w:val="21"/>
          <w:highlight w:val="none"/>
        </w:rPr>
        <w:t>15、支持批次管理功能，且效期和批号可修改；</w:t>
      </w:r>
    </w:p>
    <w:p w14:paraId="27B6CC47">
      <w:pPr>
        <w:rPr>
          <w:rFonts w:hint="eastAsia"/>
          <w:szCs w:val="21"/>
          <w:highlight w:val="none"/>
        </w:rPr>
      </w:pPr>
      <w:r>
        <w:rPr>
          <w:szCs w:val="21"/>
          <w:highlight w:val="none"/>
        </w:rPr>
        <w:t>16、具有药品停用和缺药的标识；</w:t>
      </w:r>
    </w:p>
    <w:p w14:paraId="2AC78434">
      <w:pPr>
        <w:rPr>
          <w:rFonts w:hint="eastAsia"/>
          <w:szCs w:val="21"/>
          <w:highlight w:val="none"/>
        </w:rPr>
      </w:pPr>
      <w:r>
        <w:rPr>
          <w:szCs w:val="21"/>
          <w:highlight w:val="none"/>
        </w:rPr>
        <w:t>17、支持按按批次、批号或有效期出库的规则；</w:t>
      </w:r>
    </w:p>
    <w:p w14:paraId="43279283">
      <w:pPr>
        <w:rPr>
          <w:rFonts w:hint="eastAsia"/>
          <w:szCs w:val="21"/>
          <w:highlight w:val="none"/>
        </w:rPr>
      </w:pPr>
      <w:r>
        <w:rPr>
          <w:szCs w:val="21"/>
          <w:highlight w:val="none"/>
        </w:rPr>
        <w:t>18、提供根据药品库存的上下限、同期或临近期间消耗量等多种方法生成药品采购计划的参考量的功能；</w:t>
      </w:r>
    </w:p>
    <w:p w14:paraId="602C7A56">
      <w:pPr>
        <w:rPr>
          <w:rFonts w:hint="eastAsia"/>
          <w:szCs w:val="21"/>
          <w:highlight w:val="none"/>
        </w:rPr>
      </w:pPr>
      <w:r>
        <w:rPr>
          <w:szCs w:val="21"/>
          <w:highlight w:val="none"/>
        </w:rPr>
        <w:t>19、支持药品通用名、商品名、别名管理功能；</w:t>
      </w:r>
    </w:p>
    <w:p w14:paraId="255E31C6">
      <w:pPr>
        <w:rPr>
          <w:rFonts w:hint="eastAsia"/>
          <w:szCs w:val="21"/>
          <w:highlight w:val="none"/>
        </w:rPr>
      </w:pPr>
      <w:r>
        <w:rPr>
          <w:szCs w:val="21"/>
          <w:highlight w:val="none"/>
        </w:rPr>
        <w:t>20、支持药品换包装功能；</w:t>
      </w:r>
    </w:p>
    <w:p w14:paraId="29A84E6D">
      <w:pPr>
        <w:rPr>
          <w:rFonts w:hint="eastAsia"/>
          <w:szCs w:val="21"/>
          <w:highlight w:val="none"/>
        </w:rPr>
      </w:pPr>
      <w:r>
        <w:rPr>
          <w:szCs w:val="21"/>
          <w:highlight w:val="none"/>
        </w:rPr>
        <w:t>21、药库操作人员按角色进行管理，如入库、出库、审核角色功能各不相同；</w:t>
      </w:r>
    </w:p>
    <w:p w14:paraId="38D568BD">
      <w:pPr>
        <w:rPr>
          <w:rFonts w:hint="eastAsia"/>
          <w:szCs w:val="21"/>
          <w:highlight w:val="none"/>
        </w:rPr>
      </w:pPr>
      <w:r>
        <w:rPr>
          <w:szCs w:val="21"/>
          <w:highlight w:val="none"/>
        </w:rPr>
        <w:t>22、能够实现条码化管理；</w:t>
      </w:r>
    </w:p>
    <w:p w14:paraId="6E1FFCE3">
      <w:pPr>
        <w:rPr>
          <w:rFonts w:hint="eastAsia"/>
          <w:szCs w:val="21"/>
          <w:highlight w:val="none"/>
        </w:rPr>
      </w:pPr>
      <w:r>
        <w:rPr>
          <w:szCs w:val="21"/>
          <w:highlight w:val="none"/>
        </w:rPr>
        <w:t>23、提供药品效期、库存的自动报警。</w:t>
      </w:r>
    </w:p>
    <w:p w14:paraId="5C3595B0">
      <w:pPr>
        <w:rPr>
          <w:rFonts w:hint="eastAsia"/>
          <w:szCs w:val="21"/>
          <w:highlight w:val="none"/>
        </w:rPr>
      </w:pPr>
      <w:r>
        <w:rPr>
          <w:szCs w:val="21"/>
          <w:highlight w:val="none"/>
        </w:rPr>
        <w:t>24、支持条形码、二维码、 RFID 等 3 种药物识别方式。</w:t>
      </w:r>
    </w:p>
    <w:p w14:paraId="0EBC5948">
      <w:pPr>
        <w:rPr>
          <w:rFonts w:hint="eastAsia"/>
          <w:szCs w:val="21"/>
          <w:highlight w:val="none"/>
        </w:rPr>
      </w:pPr>
      <w:r>
        <w:rPr>
          <w:rFonts w:hint="eastAsia"/>
          <w:szCs w:val="21"/>
          <w:highlight w:val="none"/>
        </w:rPr>
        <w:t>25、</w:t>
      </w:r>
      <w:r>
        <w:rPr>
          <w:rFonts w:hint="eastAsia"/>
          <w:b/>
          <w:bCs/>
          <w:szCs w:val="21"/>
          <w:highlight w:val="none"/>
        </w:rPr>
        <w:t>▲支持特殊药品使用及管理权限配置功能，支持特殊药品分类目录清单管理，提供醒目的特殊药品标识，提供特殊药品处方权限管理，提供特殊药品的出入库复核权、摆药复核权、药品执行复核权的管理。（要求提供符合以上功能说明的产品截图）</w:t>
      </w:r>
    </w:p>
    <w:p w14:paraId="6AB9D88D">
      <w:pPr>
        <w:pStyle w:val="5"/>
        <w:rPr>
          <w:rFonts w:hint="eastAsia" w:ascii="宋体" w:hAnsi="宋体" w:eastAsia="宋体"/>
          <w:sz w:val="21"/>
          <w:szCs w:val="21"/>
          <w:highlight w:val="none"/>
        </w:rPr>
      </w:pPr>
      <w:bookmarkStart w:id="80" w:name="_Toc15648"/>
      <w:r>
        <w:rPr>
          <w:rFonts w:hint="eastAsia" w:ascii="宋体" w:hAnsi="宋体" w:eastAsia="宋体"/>
          <w:sz w:val="21"/>
          <w:szCs w:val="21"/>
          <w:highlight w:val="none"/>
        </w:rPr>
        <w:t>门急诊药房管理系统</w:t>
      </w:r>
      <w:bookmarkEnd w:id="80"/>
    </w:p>
    <w:p w14:paraId="76B5784E">
      <w:pPr>
        <w:rPr>
          <w:rFonts w:hint="eastAsia"/>
          <w:szCs w:val="21"/>
          <w:highlight w:val="none"/>
        </w:rPr>
      </w:pPr>
      <w:r>
        <w:rPr>
          <w:rFonts w:hint="eastAsia"/>
          <w:szCs w:val="21"/>
          <w:highlight w:val="none"/>
        </w:rPr>
        <w:t>要求实现医院门急诊药房的药品进销存管理，系统包含药品采购入库、药品出库、药品盘点、药品帐页查询、库存管理、盘点结存、科室备药申请、大输液管理等功能，具体内容如下：</w:t>
      </w:r>
    </w:p>
    <w:p w14:paraId="2AD5356F">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入库管理</w:t>
      </w:r>
    </w:p>
    <w:p w14:paraId="506FA8C8">
      <w:pPr>
        <w:rPr>
          <w:rFonts w:hint="eastAsia"/>
          <w:szCs w:val="21"/>
          <w:highlight w:val="none"/>
        </w:rPr>
      </w:pPr>
      <w:r>
        <w:rPr>
          <w:rFonts w:hint="eastAsia"/>
          <w:szCs w:val="21"/>
          <w:highlight w:val="none"/>
        </w:rPr>
        <w:t>包括入库的开单、审核、入账、入库单查询等功能。需要入库的药品按不同单据类型进行新开，保存发送至审核，审核通过后进行入账，完成入库操作。</w:t>
      </w:r>
    </w:p>
    <w:p w14:paraId="66AAE91B">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出库管理</w:t>
      </w:r>
    </w:p>
    <w:p w14:paraId="45BD9297">
      <w:pPr>
        <w:rPr>
          <w:rFonts w:hint="eastAsia"/>
          <w:szCs w:val="21"/>
          <w:highlight w:val="none"/>
        </w:rPr>
      </w:pPr>
      <w:r>
        <w:rPr>
          <w:rFonts w:hint="eastAsia"/>
          <w:szCs w:val="21"/>
          <w:highlight w:val="none"/>
        </w:rPr>
        <w:t>包括出库请求、新开单据、单据审核、单据入账、单据查询等功能。</w:t>
      </w:r>
    </w:p>
    <w:p w14:paraId="14AD8645">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库存管理</w:t>
      </w:r>
    </w:p>
    <w:p w14:paraId="6004CF9E">
      <w:pPr>
        <w:rPr>
          <w:rFonts w:hint="eastAsia"/>
          <w:szCs w:val="21"/>
          <w:highlight w:val="none"/>
        </w:rPr>
      </w:pPr>
      <w:r>
        <w:rPr>
          <w:rFonts w:hint="eastAsia"/>
          <w:szCs w:val="21"/>
          <w:highlight w:val="none"/>
        </w:rPr>
        <w:t>包括库存查询、账页查询、库存预警、库存限量等功能。</w:t>
      </w:r>
    </w:p>
    <w:p w14:paraId="339DD656">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盘点结存</w:t>
      </w:r>
    </w:p>
    <w:p w14:paraId="49347756">
      <w:pPr>
        <w:rPr>
          <w:rFonts w:hint="eastAsia"/>
          <w:szCs w:val="21"/>
          <w:highlight w:val="none"/>
        </w:rPr>
      </w:pPr>
      <w:r>
        <w:rPr>
          <w:rFonts w:hint="eastAsia"/>
          <w:szCs w:val="21"/>
          <w:highlight w:val="none"/>
        </w:rPr>
        <w:t>门急诊药房盘点是指按医院需求定期或临时对库存药品的实际数量进行清查、清点，即为了掌握药品的流动情况（入库、在库、出库的流动状况），对现有药品的实际数量与库存账上记录的数量相核对，以便准确地掌握库存数量。盘点结存包括生成盘点单、盘点录入、盘点冲正、盘点查询、盘点事件管理、药品结存等功能。药房人员通过生成盘点单，新增盘点单，在盘点录入界面录入数据，进入冲正界面进行冲正，在药品结存界面进行结存。</w:t>
      </w:r>
    </w:p>
    <w:p w14:paraId="7CD2ECC3">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科室事务</w:t>
      </w:r>
    </w:p>
    <w:p w14:paraId="42D202D4">
      <w:pPr>
        <w:rPr>
          <w:rFonts w:hint="eastAsia"/>
          <w:szCs w:val="21"/>
          <w:highlight w:val="none"/>
        </w:rPr>
      </w:pPr>
      <w:r>
        <w:rPr>
          <w:rFonts w:hint="eastAsia"/>
          <w:szCs w:val="21"/>
          <w:highlight w:val="none"/>
        </w:rPr>
        <w:t>药房药品请领：门急诊药房新开药品请领单，填写请领药品信息及发药方信息等。</w:t>
      </w:r>
    </w:p>
    <w:p w14:paraId="0DC360F3">
      <w:pPr>
        <w:rPr>
          <w:rFonts w:hint="eastAsia"/>
          <w:szCs w:val="21"/>
          <w:highlight w:val="none"/>
        </w:rPr>
      </w:pPr>
      <w:r>
        <w:rPr>
          <w:rFonts w:hint="eastAsia"/>
          <w:szCs w:val="21"/>
          <w:highlight w:val="none"/>
        </w:rPr>
        <w:t>请领单审核发送：支持药房管理人员审核要求请领信息，并发送给发货方。</w:t>
      </w:r>
    </w:p>
    <w:p w14:paraId="1B6B0D44">
      <w:pPr>
        <w:rPr>
          <w:rFonts w:hint="eastAsia"/>
          <w:szCs w:val="21"/>
          <w:highlight w:val="none"/>
        </w:rPr>
      </w:pPr>
      <w:r>
        <w:rPr>
          <w:rFonts w:hint="eastAsia"/>
          <w:szCs w:val="21"/>
          <w:highlight w:val="none"/>
        </w:rPr>
        <w:t>发货方发货：药房发起请领后，支持发货方在出库请求中转成出库单，并将药房请领药房通过出库方式发货给药房。</w:t>
      </w:r>
    </w:p>
    <w:p w14:paraId="74E8AC03">
      <w:pPr>
        <w:rPr>
          <w:rFonts w:hint="eastAsia"/>
          <w:szCs w:val="21"/>
          <w:highlight w:val="none"/>
        </w:rPr>
      </w:pPr>
      <w:r>
        <w:rPr>
          <w:rFonts w:hint="eastAsia"/>
          <w:szCs w:val="21"/>
          <w:highlight w:val="none"/>
        </w:rPr>
        <w:t>麻醉药品出入库记录：系统记录麻醉药品出入库情况，包括出入库科室、时间、领取数量、药房剩余数量、类别（门诊处方、住院医嘱、科室退药、科室领药、领药入库等）、药品规格等信息，对麻醉药品管理进行全方位管理。</w:t>
      </w:r>
    </w:p>
    <w:p w14:paraId="1D1BE5C7">
      <w:pPr>
        <w:rPr>
          <w:rFonts w:hint="eastAsia"/>
          <w:szCs w:val="21"/>
          <w:highlight w:val="none"/>
        </w:rPr>
      </w:pPr>
      <w:r>
        <w:rPr>
          <w:rFonts w:hint="eastAsia"/>
          <w:szCs w:val="21"/>
          <w:highlight w:val="none"/>
        </w:rPr>
        <w:t>麻醉药品使用记录：系统记录麻醉药品具体使用情况，包括类别（门诊/住院）、患者信息、诊断、麻醉药品名称、规格、使用数量、日期、发药房、发药人员等信息，对麻醉药品使用能够全方位记录</w:t>
      </w:r>
    </w:p>
    <w:p w14:paraId="524AD257">
      <w:pPr>
        <w:pStyle w:val="117"/>
        <w:numPr>
          <w:ilvl w:val="0"/>
          <w:numId w:val="16"/>
        </w:numPr>
        <w:spacing w:line="360" w:lineRule="auto"/>
        <w:ind w:firstLineChars="0"/>
        <w:rPr>
          <w:rFonts w:hint="eastAsia" w:ascii="宋体" w:hAnsi="宋体"/>
          <w:szCs w:val="21"/>
          <w:highlight w:val="none"/>
        </w:rPr>
      </w:pPr>
      <w:r>
        <w:rPr>
          <w:rFonts w:hint="eastAsia" w:ascii="宋体" w:hAnsi="宋体"/>
          <w:szCs w:val="21"/>
          <w:highlight w:val="none"/>
        </w:rPr>
        <w:t>药品货柜维护</w:t>
      </w:r>
    </w:p>
    <w:p w14:paraId="1B7445A6">
      <w:pPr>
        <w:rPr>
          <w:rFonts w:hint="eastAsia"/>
          <w:szCs w:val="21"/>
          <w:highlight w:val="none"/>
        </w:rPr>
      </w:pPr>
      <w:r>
        <w:rPr>
          <w:rFonts w:hint="eastAsia"/>
          <w:szCs w:val="21"/>
          <w:highlight w:val="none"/>
        </w:rPr>
        <w:t>用于维护药品货柜号信息，药品货柜信息包括货柜号和货位号，用于后续出入库、发药等快速查找，定位到药品位置。</w:t>
      </w:r>
    </w:p>
    <w:p w14:paraId="56A0B650">
      <w:pPr>
        <w:pStyle w:val="5"/>
        <w:rPr>
          <w:rFonts w:hint="eastAsia" w:ascii="宋体" w:hAnsi="宋体" w:eastAsia="宋体"/>
          <w:sz w:val="21"/>
          <w:szCs w:val="21"/>
          <w:highlight w:val="none"/>
        </w:rPr>
      </w:pPr>
      <w:bookmarkStart w:id="81" w:name="_Toc30727"/>
      <w:r>
        <w:rPr>
          <w:rFonts w:hint="eastAsia" w:ascii="宋体" w:hAnsi="宋体" w:eastAsia="宋体"/>
          <w:sz w:val="21"/>
          <w:szCs w:val="21"/>
          <w:highlight w:val="none"/>
        </w:rPr>
        <w:t>住院药房管理系统</w:t>
      </w:r>
      <w:bookmarkEnd w:id="81"/>
    </w:p>
    <w:p w14:paraId="6E7F0010">
      <w:pPr>
        <w:rPr>
          <w:rFonts w:hint="eastAsia"/>
          <w:szCs w:val="21"/>
          <w:highlight w:val="none"/>
        </w:rPr>
      </w:pPr>
      <w:r>
        <w:rPr>
          <w:rFonts w:hint="eastAsia"/>
          <w:szCs w:val="21"/>
          <w:highlight w:val="none"/>
        </w:rPr>
        <w:t>要求实现医院住院药房的药品进销存管理，系统包含药品采购入库、药品出库、药品盘点、药品帐页查询、库存管理、盘点结存、科室备药申请、大输液管理等功能，具体内容如下：</w:t>
      </w:r>
    </w:p>
    <w:p w14:paraId="19326053">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入库管理</w:t>
      </w:r>
    </w:p>
    <w:p w14:paraId="3CA60307">
      <w:pPr>
        <w:rPr>
          <w:rFonts w:hint="eastAsia"/>
          <w:szCs w:val="21"/>
          <w:highlight w:val="none"/>
        </w:rPr>
      </w:pPr>
      <w:r>
        <w:rPr>
          <w:rFonts w:hint="eastAsia"/>
          <w:szCs w:val="21"/>
          <w:highlight w:val="none"/>
        </w:rPr>
        <w:t>包括入库的开单、审核、入账、入库单查询等功能。需要入库的药品按不同单据类型进行新开，保存发送至审核，审核通过后进行入账，完成入库操作。</w:t>
      </w:r>
    </w:p>
    <w:p w14:paraId="47CF0A32">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出库管理</w:t>
      </w:r>
    </w:p>
    <w:p w14:paraId="6CC6F428">
      <w:pPr>
        <w:ind w:left="480"/>
        <w:rPr>
          <w:rFonts w:hint="eastAsia"/>
          <w:szCs w:val="21"/>
          <w:highlight w:val="none"/>
        </w:rPr>
      </w:pPr>
      <w:r>
        <w:rPr>
          <w:rFonts w:hint="eastAsia"/>
          <w:szCs w:val="21"/>
          <w:highlight w:val="none"/>
        </w:rPr>
        <w:t>包括出库请求、新开单据、单据审核、单据入账、单据查询等功能。</w:t>
      </w:r>
    </w:p>
    <w:p w14:paraId="27919420">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库存管理</w:t>
      </w:r>
    </w:p>
    <w:p w14:paraId="16EC5131">
      <w:pPr>
        <w:ind w:left="480"/>
        <w:rPr>
          <w:rFonts w:hint="eastAsia"/>
          <w:szCs w:val="21"/>
          <w:highlight w:val="none"/>
        </w:rPr>
      </w:pPr>
      <w:r>
        <w:rPr>
          <w:rFonts w:hint="eastAsia"/>
          <w:szCs w:val="21"/>
          <w:highlight w:val="none"/>
        </w:rPr>
        <w:t>包括库存查询、账页查询、库存预警、库存限量等功能。</w:t>
      </w:r>
    </w:p>
    <w:p w14:paraId="02F375CF">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集中带量采购管理</w:t>
      </w:r>
    </w:p>
    <w:p w14:paraId="50FB31BB">
      <w:pPr>
        <w:rPr>
          <w:rFonts w:hint="eastAsia"/>
          <w:szCs w:val="21"/>
          <w:highlight w:val="none"/>
        </w:rPr>
      </w:pPr>
      <w:r>
        <w:rPr>
          <w:rFonts w:hint="eastAsia"/>
          <w:szCs w:val="21"/>
          <w:highlight w:val="none"/>
        </w:rPr>
        <w:t>药品字典维护集中带量采购药品，维护带量采购药品供应商信息，并在院内药品开药、发药、科室请领、药房请领过程中体现带量采购药品。</w:t>
      </w:r>
    </w:p>
    <w:p w14:paraId="4FAFC13B">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盘点结存</w:t>
      </w:r>
    </w:p>
    <w:p w14:paraId="2494CD4D">
      <w:pPr>
        <w:rPr>
          <w:rFonts w:hint="eastAsia"/>
          <w:szCs w:val="21"/>
          <w:highlight w:val="none"/>
        </w:rPr>
      </w:pPr>
      <w:r>
        <w:rPr>
          <w:rFonts w:hint="eastAsia"/>
          <w:szCs w:val="21"/>
          <w:highlight w:val="none"/>
        </w:rPr>
        <w:t>能够按医院需求定期或临时对库存药品的实际数量进行清查、清点，即为了掌握药品的流动情况（入库、在库、出库的流动状况），对现有药品的实际数量与库存账上记录的数量相核对，以便准确地掌握库存数量。盘点结存包括生成盘点单、盘点录入、盘点冲正、盘点查询、盘点事件管理、药品结存等功能。药房人员通过生成盘点单，在盘点单录入数据，可进行冲正、结存操作。</w:t>
      </w:r>
    </w:p>
    <w:p w14:paraId="7B94C6C8">
      <w:pPr>
        <w:pStyle w:val="117"/>
        <w:numPr>
          <w:ilvl w:val="0"/>
          <w:numId w:val="17"/>
        </w:numPr>
        <w:spacing w:line="360" w:lineRule="auto"/>
        <w:ind w:firstLineChars="0"/>
        <w:rPr>
          <w:rFonts w:hint="eastAsia" w:ascii="宋体" w:hAnsi="宋体"/>
          <w:szCs w:val="21"/>
          <w:highlight w:val="none"/>
        </w:rPr>
      </w:pPr>
      <w:r>
        <w:rPr>
          <w:rFonts w:hint="eastAsia" w:ascii="宋体" w:hAnsi="宋体"/>
          <w:szCs w:val="21"/>
          <w:highlight w:val="none"/>
        </w:rPr>
        <w:t>科室事务</w:t>
      </w:r>
    </w:p>
    <w:p w14:paraId="159ACF42">
      <w:pPr>
        <w:rPr>
          <w:rFonts w:hint="eastAsia"/>
          <w:szCs w:val="21"/>
          <w:highlight w:val="none"/>
        </w:rPr>
      </w:pPr>
      <w:r>
        <w:rPr>
          <w:rFonts w:hint="eastAsia"/>
          <w:szCs w:val="21"/>
          <w:highlight w:val="none"/>
        </w:rPr>
        <w:t>大输液管理：病区校对发送医嘱到药房，住院药房摆药后，自动将大输液类型药品发送到大输液管理，生成大输液请领单。</w:t>
      </w:r>
    </w:p>
    <w:p w14:paraId="6F0DE054">
      <w:pPr>
        <w:rPr>
          <w:rFonts w:hint="eastAsia"/>
          <w:szCs w:val="21"/>
          <w:highlight w:val="none"/>
        </w:rPr>
      </w:pPr>
      <w:r>
        <w:rPr>
          <w:rFonts w:hint="eastAsia"/>
          <w:szCs w:val="21"/>
          <w:highlight w:val="none"/>
        </w:rPr>
        <w:t>大输液配送登记：要求提供病区填写配送登记单，申请药房及药品相关信息，可添加多个药品。</w:t>
      </w:r>
    </w:p>
    <w:p w14:paraId="0263F00E">
      <w:pPr>
        <w:rPr>
          <w:rFonts w:hint="eastAsia" w:cs="宋体"/>
          <w:kern w:val="0"/>
          <w:szCs w:val="21"/>
          <w:highlight w:val="none"/>
        </w:rPr>
      </w:pPr>
      <w:r>
        <w:rPr>
          <w:rFonts w:hint="eastAsia"/>
          <w:szCs w:val="21"/>
          <w:highlight w:val="none"/>
        </w:rPr>
        <w:t>药库确认：</w:t>
      </w:r>
      <w:r>
        <w:rPr>
          <w:rFonts w:hint="eastAsia" w:cs="宋体"/>
          <w:kern w:val="0"/>
          <w:szCs w:val="21"/>
          <w:highlight w:val="none"/>
        </w:rPr>
        <w:t>大输液配送登记对病区提交登记单进行确认，可调整配送数量。</w:t>
      </w:r>
    </w:p>
    <w:p w14:paraId="4EFCEE2D">
      <w:pPr>
        <w:rPr>
          <w:rFonts w:hint="eastAsia"/>
          <w:szCs w:val="21"/>
          <w:highlight w:val="none"/>
        </w:rPr>
      </w:pPr>
      <w:r>
        <w:rPr>
          <w:rFonts w:hint="eastAsia"/>
          <w:szCs w:val="21"/>
          <w:highlight w:val="none"/>
        </w:rPr>
        <w:t>药库发药：药库确认之后，在药库出库管理中新开出库单据，走药品出库流程。</w:t>
      </w:r>
    </w:p>
    <w:p w14:paraId="584A0AD1">
      <w:pPr>
        <w:rPr>
          <w:rFonts w:hint="eastAsia"/>
          <w:szCs w:val="21"/>
          <w:highlight w:val="none"/>
        </w:rPr>
      </w:pPr>
      <w:r>
        <w:rPr>
          <w:rFonts w:hint="eastAsia"/>
          <w:szCs w:val="21"/>
          <w:highlight w:val="none"/>
        </w:rPr>
        <w:t>病区接收：病区接收后，完成大输液发药流程，接收后，会更新本期余数，本期余数会做为下次申请单的上期余数。</w:t>
      </w:r>
    </w:p>
    <w:p w14:paraId="2B8DD5EF">
      <w:pPr>
        <w:rPr>
          <w:rFonts w:hint="eastAsia"/>
          <w:szCs w:val="21"/>
          <w:highlight w:val="none"/>
        </w:rPr>
      </w:pPr>
      <w:r>
        <w:rPr>
          <w:rFonts w:hint="eastAsia"/>
          <w:szCs w:val="21"/>
          <w:highlight w:val="none"/>
        </w:rPr>
        <w:t>大输液发药历史查询：可在查询页面查看历史大输液发药信息。</w:t>
      </w:r>
    </w:p>
    <w:p w14:paraId="7B54FBC6">
      <w:pPr>
        <w:rPr>
          <w:rFonts w:hint="eastAsia"/>
          <w:szCs w:val="21"/>
          <w:highlight w:val="none"/>
        </w:rPr>
      </w:pPr>
      <w:r>
        <w:rPr>
          <w:rFonts w:hint="eastAsia"/>
          <w:szCs w:val="21"/>
          <w:highlight w:val="none"/>
        </w:rPr>
        <w:t>药房药品请领：住院药房新开药品请领单，填写请领药品信息及发药方信息等。</w:t>
      </w:r>
    </w:p>
    <w:p w14:paraId="064BE5DA">
      <w:pPr>
        <w:rPr>
          <w:rFonts w:hint="eastAsia"/>
          <w:szCs w:val="21"/>
          <w:highlight w:val="none"/>
        </w:rPr>
      </w:pPr>
      <w:r>
        <w:rPr>
          <w:rFonts w:hint="eastAsia"/>
          <w:szCs w:val="21"/>
          <w:highlight w:val="none"/>
        </w:rPr>
        <w:t>请领单审核发送：支持药房管理人员审核要求请领信息，并发送给发货方。</w:t>
      </w:r>
    </w:p>
    <w:p w14:paraId="28BD86AE">
      <w:pPr>
        <w:rPr>
          <w:rFonts w:hint="eastAsia"/>
          <w:szCs w:val="21"/>
          <w:highlight w:val="none"/>
        </w:rPr>
      </w:pPr>
      <w:r>
        <w:rPr>
          <w:rFonts w:hint="eastAsia"/>
          <w:szCs w:val="21"/>
          <w:highlight w:val="none"/>
        </w:rPr>
        <w:t>发货方发货：药房发起请领后，支持发货方在出库请求中转成出库单，并将药房请领药房通过出库方式发货给药房。</w:t>
      </w:r>
    </w:p>
    <w:p w14:paraId="09E49AAE">
      <w:pPr>
        <w:rPr>
          <w:rFonts w:hint="eastAsia"/>
          <w:szCs w:val="21"/>
          <w:highlight w:val="none"/>
        </w:rPr>
      </w:pPr>
      <w:r>
        <w:rPr>
          <w:rFonts w:hint="eastAsia"/>
          <w:szCs w:val="21"/>
          <w:highlight w:val="none"/>
        </w:rPr>
        <w:t>药品货柜维护：用于维护药品货柜号信息，药品货柜信息包括货柜号和货位号，用于后续出入库、发药等快速查找，定位到药品位置。</w:t>
      </w:r>
    </w:p>
    <w:p w14:paraId="220EB40B">
      <w:pPr>
        <w:pStyle w:val="5"/>
        <w:rPr>
          <w:rFonts w:hint="eastAsia" w:ascii="宋体" w:hAnsi="宋体" w:eastAsia="宋体"/>
          <w:sz w:val="21"/>
          <w:szCs w:val="21"/>
          <w:highlight w:val="none"/>
        </w:rPr>
      </w:pPr>
      <w:r>
        <w:rPr>
          <w:rFonts w:hint="eastAsia" w:ascii="宋体" w:hAnsi="宋体" w:eastAsia="宋体"/>
          <w:sz w:val="21"/>
          <w:szCs w:val="21"/>
          <w:highlight w:val="none"/>
        </w:rPr>
        <w:t>普通耗材管理</w:t>
      </w:r>
    </w:p>
    <w:p w14:paraId="291DD1A1">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医用耗材管理</w:t>
      </w:r>
    </w:p>
    <w:tbl>
      <w:tblPr>
        <w:tblStyle w:val="44"/>
        <w:tblW w:w="5000" w:type="pct"/>
        <w:jc w:val="center"/>
        <w:tblLayout w:type="autofit"/>
        <w:tblCellMar>
          <w:top w:w="0" w:type="dxa"/>
          <w:left w:w="108" w:type="dxa"/>
          <w:bottom w:w="0" w:type="dxa"/>
          <w:right w:w="108" w:type="dxa"/>
        </w:tblCellMar>
      </w:tblPr>
      <w:tblGrid>
        <w:gridCol w:w="585"/>
        <w:gridCol w:w="1282"/>
        <w:gridCol w:w="1185"/>
        <w:gridCol w:w="2002"/>
        <w:gridCol w:w="3468"/>
      </w:tblGrid>
      <w:tr w14:paraId="121802F4">
        <w:tblPrEx>
          <w:tblCellMar>
            <w:top w:w="0" w:type="dxa"/>
            <w:left w:w="108" w:type="dxa"/>
            <w:bottom w:w="0" w:type="dxa"/>
            <w:right w:w="108" w:type="dxa"/>
          </w:tblCellMar>
        </w:tblPrEx>
        <w:trPr>
          <w:trHeight w:val="398" w:hRule="atLeast"/>
          <w:jc w:val="center"/>
        </w:trPr>
        <w:tc>
          <w:tcPr>
            <w:tcW w:w="343" w:type="pct"/>
            <w:tcBorders>
              <w:top w:val="single" w:color="auto" w:sz="6" w:space="0"/>
              <w:left w:val="single" w:color="auto" w:sz="6" w:space="0"/>
              <w:bottom w:val="single" w:color="auto" w:sz="4" w:space="0"/>
              <w:right w:val="single" w:color="auto" w:sz="6" w:space="0"/>
            </w:tcBorders>
            <w:shd w:val="clear" w:color="auto" w:fill="FFFFFF"/>
          </w:tcPr>
          <w:p w14:paraId="77FFD9D6">
            <w:pPr>
              <w:spacing w:line="276" w:lineRule="auto"/>
              <w:rPr>
                <w:rFonts w:hint="eastAsia"/>
                <w:b/>
                <w:bCs/>
                <w:szCs w:val="21"/>
                <w:highlight w:val="none"/>
                <w:lang w:bidi="ar"/>
              </w:rPr>
            </w:pPr>
            <w:r>
              <w:rPr>
                <w:rFonts w:hint="eastAsia"/>
                <w:b/>
                <w:bCs/>
                <w:szCs w:val="21"/>
                <w:highlight w:val="none"/>
                <w:lang w:bidi="ar"/>
              </w:rPr>
              <w:t>序号</w:t>
            </w:r>
          </w:p>
        </w:tc>
        <w:tc>
          <w:tcPr>
            <w:tcW w:w="752" w:type="pct"/>
            <w:tcBorders>
              <w:top w:val="single" w:color="auto" w:sz="6" w:space="0"/>
              <w:left w:val="single" w:color="auto" w:sz="6" w:space="0"/>
              <w:bottom w:val="single" w:color="auto" w:sz="4" w:space="0"/>
              <w:right w:val="single" w:color="auto" w:sz="6" w:space="0"/>
            </w:tcBorders>
            <w:shd w:val="clear" w:color="auto" w:fill="FFFFFF"/>
            <w:vAlign w:val="center"/>
          </w:tcPr>
          <w:p w14:paraId="2D54EA78">
            <w:pPr>
              <w:spacing w:line="276" w:lineRule="auto"/>
              <w:rPr>
                <w:rFonts w:hint="eastAsia"/>
                <w:b/>
                <w:bCs/>
                <w:szCs w:val="21"/>
                <w:highlight w:val="none"/>
                <w:lang w:bidi="ar"/>
              </w:rPr>
            </w:pPr>
            <w:r>
              <w:rPr>
                <w:rFonts w:hint="eastAsia"/>
                <w:b/>
                <w:bCs/>
                <w:szCs w:val="21"/>
                <w:highlight w:val="none"/>
                <w:lang w:bidi="ar"/>
              </w:rPr>
              <w:t>一级</w:t>
            </w:r>
          </w:p>
          <w:p w14:paraId="2DB3BDA9">
            <w:pPr>
              <w:spacing w:line="276" w:lineRule="auto"/>
              <w:rPr>
                <w:rFonts w:hint="eastAsia"/>
                <w:b/>
                <w:bCs/>
                <w:szCs w:val="21"/>
                <w:highlight w:val="none"/>
                <w:lang w:bidi="ar"/>
              </w:rPr>
            </w:pPr>
            <w:r>
              <w:rPr>
                <w:rFonts w:hint="eastAsia"/>
                <w:b/>
                <w:bCs/>
                <w:szCs w:val="21"/>
                <w:highlight w:val="none"/>
                <w:lang w:bidi="ar"/>
              </w:rPr>
              <w:t>功能模块</w:t>
            </w:r>
          </w:p>
        </w:tc>
        <w:tc>
          <w:tcPr>
            <w:tcW w:w="695" w:type="pct"/>
            <w:tcBorders>
              <w:top w:val="single" w:color="auto" w:sz="6" w:space="0"/>
              <w:left w:val="single" w:color="auto" w:sz="6" w:space="0"/>
              <w:bottom w:val="single" w:color="auto" w:sz="4" w:space="0"/>
              <w:right w:val="single" w:color="auto" w:sz="6" w:space="0"/>
            </w:tcBorders>
            <w:shd w:val="clear" w:color="auto" w:fill="FFFFFF"/>
          </w:tcPr>
          <w:p w14:paraId="637FBB7B">
            <w:pPr>
              <w:spacing w:line="276" w:lineRule="auto"/>
              <w:rPr>
                <w:rFonts w:hint="eastAsia"/>
                <w:b/>
                <w:bCs/>
                <w:szCs w:val="21"/>
                <w:highlight w:val="none"/>
                <w:lang w:bidi="ar"/>
              </w:rPr>
            </w:pPr>
            <w:r>
              <w:rPr>
                <w:rFonts w:hint="eastAsia"/>
                <w:b/>
                <w:bCs/>
                <w:szCs w:val="21"/>
                <w:highlight w:val="none"/>
                <w:lang w:bidi="ar"/>
              </w:rPr>
              <w:t>二级功能菜单</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36485BA4">
            <w:pPr>
              <w:spacing w:line="276" w:lineRule="auto"/>
              <w:rPr>
                <w:rFonts w:hint="eastAsia"/>
                <w:b/>
                <w:bCs/>
                <w:szCs w:val="21"/>
                <w:highlight w:val="none"/>
                <w:lang w:bidi="ar"/>
              </w:rPr>
            </w:pPr>
            <w:r>
              <w:rPr>
                <w:rFonts w:hint="eastAsia"/>
                <w:b/>
                <w:bCs/>
                <w:szCs w:val="21"/>
                <w:highlight w:val="none"/>
                <w:lang w:bidi="ar"/>
              </w:rPr>
              <w:t>三级</w:t>
            </w:r>
          </w:p>
          <w:p w14:paraId="10F06305">
            <w:pPr>
              <w:spacing w:line="276" w:lineRule="auto"/>
              <w:rPr>
                <w:rFonts w:hint="eastAsia"/>
                <w:b/>
                <w:bCs/>
                <w:szCs w:val="21"/>
                <w:highlight w:val="none"/>
                <w:lang w:bidi="ar"/>
              </w:rPr>
            </w:pPr>
            <w:r>
              <w:rPr>
                <w:rFonts w:hint="eastAsia"/>
                <w:b/>
                <w:bCs/>
                <w:szCs w:val="21"/>
                <w:highlight w:val="none"/>
                <w:lang w:bidi="ar"/>
              </w:rPr>
              <w:t>功能菜单</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71137262">
            <w:pPr>
              <w:spacing w:line="276" w:lineRule="auto"/>
              <w:rPr>
                <w:rFonts w:hint="eastAsia"/>
                <w:b/>
                <w:bCs/>
                <w:szCs w:val="21"/>
                <w:highlight w:val="none"/>
              </w:rPr>
            </w:pPr>
            <w:r>
              <w:rPr>
                <w:rFonts w:hint="eastAsia"/>
                <w:b/>
                <w:bCs/>
                <w:szCs w:val="21"/>
                <w:highlight w:val="none"/>
                <w:lang w:bidi="ar"/>
              </w:rPr>
              <w:t>功能描述</w:t>
            </w:r>
          </w:p>
        </w:tc>
      </w:tr>
      <w:tr w14:paraId="609F339D">
        <w:tblPrEx>
          <w:tblCellMar>
            <w:top w:w="0" w:type="dxa"/>
            <w:left w:w="108" w:type="dxa"/>
            <w:bottom w:w="0" w:type="dxa"/>
            <w:right w:w="108" w:type="dxa"/>
          </w:tblCellMar>
        </w:tblPrEx>
        <w:trPr>
          <w:trHeight w:val="398" w:hRule="atLeast"/>
          <w:jc w:val="center"/>
        </w:trPr>
        <w:tc>
          <w:tcPr>
            <w:tcW w:w="343" w:type="pct"/>
            <w:vMerge w:val="restart"/>
            <w:tcBorders>
              <w:left w:val="single" w:color="auto" w:sz="6" w:space="0"/>
              <w:right w:val="single" w:color="auto" w:sz="6" w:space="0"/>
            </w:tcBorders>
            <w:shd w:val="clear" w:color="auto" w:fill="FFFFFF"/>
            <w:vAlign w:val="center"/>
          </w:tcPr>
          <w:p w14:paraId="3E360D1A">
            <w:pPr>
              <w:spacing w:line="276" w:lineRule="auto"/>
              <w:rPr>
                <w:rFonts w:hint="eastAsia"/>
                <w:bCs/>
                <w:szCs w:val="21"/>
                <w:highlight w:val="none"/>
                <w:lang w:bidi="ar"/>
              </w:rPr>
            </w:pPr>
            <w:r>
              <w:rPr>
                <w:rFonts w:hint="eastAsia"/>
                <w:bCs/>
                <w:szCs w:val="21"/>
                <w:highlight w:val="none"/>
                <w:lang w:bidi="ar"/>
              </w:rPr>
              <w:t>1</w:t>
            </w:r>
          </w:p>
        </w:tc>
        <w:tc>
          <w:tcPr>
            <w:tcW w:w="752" w:type="pct"/>
            <w:vMerge w:val="restart"/>
            <w:tcBorders>
              <w:left w:val="single" w:color="auto" w:sz="6" w:space="0"/>
              <w:right w:val="single" w:color="auto" w:sz="6" w:space="0"/>
            </w:tcBorders>
            <w:shd w:val="clear" w:color="auto" w:fill="FFFFFF"/>
            <w:vAlign w:val="center"/>
          </w:tcPr>
          <w:p w14:paraId="3AA17CB5">
            <w:pPr>
              <w:spacing w:line="276" w:lineRule="auto"/>
              <w:rPr>
                <w:rFonts w:hint="eastAsia"/>
                <w:bCs/>
                <w:szCs w:val="21"/>
                <w:highlight w:val="none"/>
                <w:lang w:bidi="ar"/>
              </w:rPr>
            </w:pPr>
            <w:r>
              <w:rPr>
                <w:rFonts w:hint="eastAsia"/>
                <w:bCs/>
                <w:szCs w:val="21"/>
                <w:highlight w:val="none"/>
                <w:lang w:bidi="ar"/>
              </w:rPr>
              <w:t>系统</w:t>
            </w:r>
          </w:p>
          <w:p w14:paraId="6039F28F">
            <w:pPr>
              <w:spacing w:line="276" w:lineRule="auto"/>
              <w:rPr>
                <w:rFonts w:hint="eastAsia"/>
                <w:bCs/>
                <w:szCs w:val="21"/>
                <w:highlight w:val="none"/>
                <w:lang w:bidi="ar"/>
              </w:rPr>
            </w:pPr>
            <w:r>
              <w:rPr>
                <w:rFonts w:hint="eastAsia"/>
                <w:bCs/>
                <w:szCs w:val="21"/>
                <w:highlight w:val="none"/>
                <w:lang w:bidi="ar"/>
              </w:rPr>
              <w:t>权限</w:t>
            </w:r>
          </w:p>
        </w:tc>
        <w:tc>
          <w:tcPr>
            <w:tcW w:w="695" w:type="pct"/>
            <w:vMerge w:val="restart"/>
            <w:tcBorders>
              <w:left w:val="single" w:color="auto" w:sz="6" w:space="0"/>
              <w:right w:val="single" w:color="auto" w:sz="6" w:space="0"/>
            </w:tcBorders>
            <w:shd w:val="clear" w:color="auto" w:fill="FFFFFF"/>
            <w:vAlign w:val="center"/>
          </w:tcPr>
          <w:p w14:paraId="2A1B4ABE">
            <w:pPr>
              <w:spacing w:line="276" w:lineRule="auto"/>
              <w:rPr>
                <w:rFonts w:hint="eastAsia"/>
                <w:bCs/>
                <w:szCs w:val="21"/>
                <w:highlight w:val="none"/>
                <w:lang w:bidi="ar"/>
              </w:rPr>
            </w:pPr>
            <w:r>
              <w:rPr>
                <w:rFonts w:hint="eastAsia"/>
                <w:bCs/>
                <w:szCs w:val="21"/>
                <w:highlight w:val="none"/>
                <w:lang w:bidi="ar"/>
              </w:rPr>
              <w:t>基本设置</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740F18FC">
            <w:pPr>
              <w:spacing w:line="276" w:lineRule="auto"/>
              <w:rPr>
                <w:rFonts w:hint="eastAsia"/>
                <w:bCs/>
                <w:szCs w:val="21"/>
                <w:highlight w:val="none"/>
                <w:lang w:bidi="ar"/>
              </w:rPr>
            </w:pPr>
            <w:r>
              <w:rPr>
                <w:rFonts w:hint="eastAsia"/>
                <w:bCs/>
                <w:szCs w:val="21"/>
                <w:highlight w:val="none"/>
                <w:lang w:bidi="ar"/>
              </w:rPr>
              <w:t>科室信息</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023E8412">
            <w:pPr>
              <w:spacing w:line="276" w:lineRule="auto"/>
              <w:rPr>
                <w:rFonts w:hint="eastAsia"/>
                <w:bCs/>
                <w:szCs w:val="21"/>
                <w:highlight w:val="none"/>
                <w:lang w:bidi="ar"/>
              </w:rPr>
            </w:pPr>
            <w:r>
              <w:rPr>
                <w:rFonts w:hint="eastAsia"/>
                <w:bCs/>
                <w:szCs w:val="21"/>
                <w:highlight w:val="none"/>
                <w:lang w:bidi="ar"/>
              </w:rPr>
              <w:t>1、维护科室信息，包括：科室编码、科室名称、财务科室代码、科室负责人信息、科室分类</w:t>
            </w:r>
          </w:p>
          <w:p w14:paraId="335D5838">
            <w:pPr>
              <w:spacing w:line="276" w:lineRule="auto"/>
              <w:rPr>
                <w:rFonts w:hint="eastAsia"/>
                <w:bCs/>
                <w:szCs w:val="21"/>
                <w:highlight w:val="none"/>
                <w:lang w:bidi="ar"/>
              </w:rPr>
            </w:pPr>
            <w:r>
              <w:rPr>
                <w:rFonts w:hint="eastAsia"/>
                <w:bCs/>
                <w:szCs w:val="21"/>
                <w:highlight w:val="none"/>
                <w:lang w:bidi="ar"/>
              </w:rPr>
              <w:t>2、HIS科室信息：</w:t>
            </w:r>
          </w:p>
          <w:p w14:paraId="1F0E203C">
            <w:pPr>
              <w:spacing w:line="276" w:lineRule="auto"/>
              <w:rPr>
                <w:rFonts w:hint="eastAsia"/>
                <w:bCs/>
                <w:szCs w:val="21"/>
                <w:highlight w:val="none"/>
                <w:lang w:bidi="ar"/>
              </w:rPr>
            </w:pPr>
            <w:r>
              <w:rPr>
                <w:rFonts w:hint="eastAsia"/>
                <w:bCs/>
                <w:szCs w:val="21"/>
                <w:highlight w:val="none"/>
                <w:lang w:bidi="ar"/>
              </w:rPr>
              <w:t>（1）HIS科室代码、名称</w:t>
            </w:r>
          </w:p>
          <w:p w14:paraId="7BF757A3">
            <w:pPr>
              <w:spacing w:line="276" w:lineRule="auto"/>
              <w:rPr>
                <w:rFonts w:hint="eastAsia"/>
                <w:bCs/>
                <w:szCs w:val="21"/>
                <w:highlight w:val="none"/>
                <w:lang w:bidi="ar"/>
              </w:rPr>
            </w:pPr>
            <w:r>
              <w:rPr>
                <w:rFonts w:hint="eastAsia"/>
                <w:bCs/>
                <w:szCs w:val="21"/>
                <w:highlight w:val="none"/>
                <w:lang w:bidi="ar"/>
              </w:rPr>
              <w:t>（2）二级库情况</w:t>
            </w:r>
          </w:p>
          <w:p w14:paraId="5AEA111C">
            <w:pPr>
              <w:spacing w:line="276" w:lineRule="auto"/>
              <w:rPr>
                <w:rFonts w:hint="eastAsia"/>
                <w:bCs/>
                <w:szCs w:val="21"/>
                <w:highlight w:val="none"/>
                <w:lang w:bidi="ar"/>
              </w:rPr>
            </w:pPr>
            <w:r>
              <w:rPr>
                <w:rFonts w:hint="eastAsia"/>
                <w:bCs/>
                <w:szCs w:val="21"/>
                <w:highlight w:val="none"/>
                <w:lang w:bidi="ar"/>
              </w:rPr>
              <w:t>（3）HIS科室同步</w:t>
            </w:r>
          </w:p>
        </w:tc>
      </w:tr>
      <w:tr w14:paraId="49AF2530">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568C0312">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45EBF1A">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51D6220F">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1EE57C95">
            <w:pPr>
              <w:spacing w:line="276" w:lineRule="auto"/>
              <w:rPr>
                <w:rFonts w:hint="eastAsia"/>
                <w:bCs/>
                <w:szCs w:val="21"/>
                <w:highlight w:val="none"/>
                <w:lang w:bidi="ar"/>
              </w:rPr>
            </w:pPr>
            <w:r>
              <w:rPr>
                <w:rFonts w:hint="eastAsia"/>
                <w:bCs/>
                <w:szCs w:val="21"/>
                <w:highlight w:val="none"/>
                <w:lang w:bidi="ar"/>
              </w:rPr>
              <w:t>仓库资料</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64E91F84">
            <w:pPr>
              <w:spacing w:line="276" w:lineRule="auto"/>
              <w:rPr>
                <w:rFonts w:hint="eastAsia"/>
                <w:bCs/>
                <w:szCs w:val="21"/>
                <w:highlight w:val="none"/>
                <w:lang w:bidi="ar"/>
              </w:rPr>
            </w:pPr>
            <w:r>
              <w:rPr>
                <w:rFonts w:hint="eastAsia"/>
                <w:bCs/>
                <w:szCs w:val="21"/>
                <w:highlight w:val="none"/>
                <w:lang w:bidi="ar"/>
              </w:rPr>
              <w:t>1.仓库设定：包括一级库、二级库</w:t>
            </w:r>
          </w:p>
          <w:p w14:paraId="5E6AFE6B">
            <w:pPr>
              <w:spacing w:line="276" w:lineRule="auto"/>
              <w:rPr>
                <w:rFonts w:hint="eastAsia"/>
                <w:bCs/>
                <w:szCs w:val="21"/>
                <w:highlight w:val="none"/>
                <w:lang w:bidi="ar"/>
              </w:rPr>
            </w:pPr>
            <w:r>
              <w:rPr>
                <w:rFonts w:hint="eastAsia"/>
                <w:bCs/>
                <w:szCs w:val="21"/>
                <w:highlight w:val="none"/>
                <w:lang w:bidi="ar"/>
              </w:rPr>
              <w:t>2、仓库权限设定</w:t>
            </w:r>
          </w:p>
        </w:tc>
      </w:tr>
      <w:tr w14:paraId="44C09AC2">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5F3285DE">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04670EA">
            <w:pPr>
              <w:spacing w:line="276" w:lineRule="auto"/>
              <w:rPr>
                <w:rFonts w:hint="eastAsia"/>
                <w:bCs/>
                <w:szCs w:val="21"/>
                <w:highlight w:val="none"/>
                <w:lang w:bidi="ar"/>
              </w:rPr>
            </w:pPr>
          </w:p>
        </w:tc>
        <w:tc>
          <w:tcPr>
            <w:tcW w:w="695" w:type="pct"/>
            <w:tcBorders>
              <w:left w:val="single" w:color="auto" w:sz="6" w:space="0"/>
              <w:right w:val="single" w:color="auto" w:sz="6" w:space="0"/>
            </w:tcBorders>
            <w:shd w:val="clear" w:color="auto" w:fill="FFFFFF"/>
          </w:tcPr>
          <w:p w14:paraId="19667DA1">
            <w:pPr>
              <w:spacing w:line="276" w:lineRule="auto"/>
              <w:rPr>
                <w:rFonts w:hint="eastAsia"/>
                <w:bCs/>
                <w:szCs w:val="21"/>
                <w:highlight w:val="none"/>
                <w:lang w:bidi="ar"/>
              </w:rPr>
            </w:pPr>
            <w:r>
              <w:rPr>
                <w:rFonts w:hint="eastAsia"/>
                <w:bCs/>
                <w:szCs w:val="21"/>
                <w:highlight w:val="none"/>
                <w:lang w:bidi="ar"/>
              </w:rPr>
              <w:t>用户及权限</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0BEE3AF2">
            <w:pPr>
              <w:spacing w:line="276" w:lineRule="auto"/>
              <w:rPr>
                <w:rFonts w:hint="eastAsia"/>
                <w:bCs/>
                <w:szCs w:val="21"/>
                <w:highlight w:val="none"/>
                <w:lang w:bidi="ar"/>
              </w:rPr>
            </w:pPr>
            <w:r>
              <w:rPr>
                <w:rFonts w:hint="eastAsia"/>
                <w:bCs/>
                <w:szCs w:val="21"/>
                <w:highlight w:val="none"/>
                <w:lang w:bidi="ar"/>
              </w:rPr>
              <w:t>工作人员</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4D5804E5">
            <w:pPr>
              <w:spacing w:line="276" w:lineRule="auto"/>
              <w:rPr>
                <w:rFonts w:hint="eastAsia"/>
                <w:bCs/>
                <w:szCs w:val="21"/>
                <w:highlight w:val="none"/>
                <w:lang w:bidi="ar"/>
              </w:rPr>
            </w:pPr>
            <w:r>
              <w:rPr>
                <w:rFonts w:hint="eastAsia"/>
                <w:bCs/>
                <w:szCs w:val="21"/>
                <w:highlight w:val="none"/>
                <w:lang w:bidi="ar"/>
              </w:rPr>
              <w:t>增加科室人员信息，姓名、工号、电话等</w:t>
            </w:r>
          </w:p>
        </w:tc>
      </w:tr>
      <w:tr w14:paraId="04561065">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2BFDEEF4">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47C4BE63">
            <w:pPr>
              <w:spacing w:line="276" w:lineRule="auto"/>
              <w:rPr>
                <w:rFonts w:hint="eastAsia"/>
                <w:bCs/>
                <w:szCs w:val="21"/>
                <w:highlight w:val="none"/>
                <w:lang w:bidi="ar"/>
              </w:rPr>
            </w:pPr>
          </w:p>
        </w:tc>
        <w:tc>
          <w:tcPr>
            <w:tcW w:w="695" w:type="pct"/>
            <w:tcBorders>
              <w:left w:val="single" w:color="auto" w:sz="6" w:space="0"/>
              <w:right w:val="single" w:color="auto" w:sz="6" w:space="0"/>
            </w:tcBorders>
            <w:shd w:val="clear" w:color="auto" w:fill="FFFFFF"/>
          </w:tcPr>
          <w:p w14:paraId="61C8BB32">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6CC26832">
            <w:pPr>
              <w:spacing w:line="276" w:lineRule="auto"/>
              <w:rPr>
                <w:rFonts w:hint="eastAsia"/>
                <w:bCs/>
                <w:szCs w:val="21"/>
                <w:highlight w:val="none"/>
                <w:lang w:bidi="ar"/>
              </w:rPr>
            </w:pPr>
            <w:r>
              <w:rPr>
                <w:rFonts w:hint="eastAsia"/>
                <w:bCs/>
                <w:szCs w:val="21"/>
                <w:highlight w:val="none"/>
                <w:lang w:bidi="ar"/>
              </w:rPr>
              <w:t>用户信息</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792429BE">
            <w:pPr>
              <w:spacing w:line="276" w:lineRule="auto"/>
              <w:rPr>
                <w:rFonts w:hint="eastAsia"/>
                <w:bCs/>
                <w:szCs w:val="21"/>
                <w:highlight w:val="none"/>
                <w:lang w:bidi="ar"/>
              </w:rPr>
            </w:pPr>
            <w:r>
              <w:rPr>
                <w:rFonts w:hint="eastAsia"/>
                <w:bCs/>
                <w:szCs w:val="21"/>
                <w:highlight w:val="none"/>
                <w:lang w:bidi="ar"/>
              </w:rPr>
              <w:t>1.管理登录账号、密码、设置用户分组；用户启用与作废</w:t>
            </w:r>
          </w:p>
          <w:p w14:paraId="7B62474B">
            <w:pPr>
              <w:spacing w:line="276" w:lineRule="auto"/>
              <w:rPr>
                <w:rFonts w:hint="eastAsia"/>
                <w:bCs/>
                <w:szCs w:val="21"/>
                <w:highlight w:val="none"/>
                <w:lang w:bidi="ar"/>
              </w:rPr>
            </w:pPr>
            <w:r>
              <w:rPr>
                <w:rFonts w:hint="eastAsia"/>
                <w:bCs/>
                <w:szCs w:val="21"/>
                <w:highlight w:val="none"/>
                <w:lang w:bidi="ar"/>
              </w:rPr>
              <w:t>2.记录HIS用户信息</w:t>
            </w:r>
          </w:p>
        </w:tc>
      </w:tr>
      <w:tr w14:paraId="00AA2050">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74BFA7D0">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7795CE72">
            <w:pPr>
              <w:spacing w:line="276" w:lineRule="auto"/>
              <w:rPr>
                <w:rFonts w:hint="eastAsia"/>
                <w:bCs/>
                <w:szCs w:val="21"/>
                <w:highlight w:val="none"/>
                <w:lang w:bidi="ar"/>
              </w:rPr>
            </w:pPr>
          </w:p>
        </w:tc>
        <w:tc>
          <w:tcPr>
            <w:tcW w:w="695" w:type="pct"/>
            <w:tcBorders>
              <w:left w:val="single" w:color="auto" w:sz="6" w:space="0"/>
              <w:right w:val="single" w:color="auto" w:sz="6" w:space="0"/>
            </w:tcBorders>
            <w:shd w:val="clear" w:color="auto" w:fill="FFFFFF"/>
          </w:tcPr>
          <w:p w14:paraId="491DDD3B">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19BCF6FA">
            <w:pPr>
              <w:spacing w:line="276" w:lineRule="auto"/>
              <w:rPr>
                <w:rFonts w:hint="eastAsia"/>
                <w:bCs/>
                <w:szCs w:val="21"/>
                <w:highlight w:val="none"/>
                <w:lang w:bidi="ar"/>
              </w:rPr>
            </w:pPr>
            <w:r>
              <w:rPr>
                <w:rFonts w:hint="eastAsia"/>
                <w:bCs/>
                <w:szCs w:val="21"/>
                <w:highlight w:val="none"/>
                <w:lang w:bidi="ar"/>
              </w:rPr>
              <w:t>用户权限</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015BA6CC">
            <w:pPr>
              <w:spacing w:line="276" w:lineRule="auto"/>
              <w:rPr>
                <w:rFonts w:hint="eastAsia"/>
                <w:bCs/>
                <w:szCs w:val="21"/>
                <w:highlight w:val="none"/>
                <w:lang w:bidi="ar"/>
              </w:rPr>
            </w:pPr>
            <w:r>
              <w:rPr>
                <w:rFonts w:hint="eastAsia"/>
                <w:bCs/>
                <w:szCs w:val="21"/>
                <w:highlight w:val="none"/>
                <w:lang w:bidi="ar"/>
              </w:rPr>
              <w:t>根据不同用户设置</w:t>
            </w:r>
          </w:p>
          <w:p w14:paraId="341A88A6">
            <w:pPr>
              <w:pStyle w:val="117"/>
              <w:numPr>
                <w:ilvl w:val="0"/>
                <w:numId w:val="18"/>
              </w:numPr>
              <w:spacing w:line="276" w:lineRule="auto"/>
              <w:ind w:firstLineChars="0"/>
              <w:jc w:val="left"/>
              <w:rPr>
                <w:rFonts w:hint="eastAsia" w:ascii="宋体" w:hAnsi="宋体"/>
                <w:bCs/>
                <w:szCs w:val="21"/>
                <w:highlight w:val="none"/>
                <w:lang w:bidi="ar"/>
              </w:rPr>
            </w:pPr>
            <w:r>
              <w:rPr>
                <w:rFonts w:hint="eastAsia" w:ascii="宋体" w:hAnsi="宋体"/>
                <w:bCs/>
                <w:szCs w:val="21"/>
                <w:highlight w:val="none"/>
                <w:lang w:bidi="ar"/>
              </w:rPr>
              <w:t>菜单权限设置</w:t>
            </w:r>
          </w:p>
          <w:p w14:paraId="78F9060B">
            <w:pPr>
              <w:pStyle w:val="117"/>
              <w:numPr>
                <w:ilvl w:val="0"/>
                <w:numId w:val="18"/>
              </w:numPr>
              <w:spacing w:line="276" w:lineRule="auto"/>
              <w:ind w:firstLineChars="0"/>
              <w:jc w:val="left"/>
              <w:rPr>
                <w:rFonts w:hint="eastAsia" w:ascii="宋体" w:hAnsi="宋体"/>
                <w:bCs/>
                <w:szCs w:val="21"/>
                <w:highlight w:val="none"/>
                <w:lang w:bidi="ar"/>
              </w:rPr>
            </w:pPr>
            <w:r>
              <w:rPr>
                <w:rFonts w:hint="eastAsia" w:ascii="宋体" w:hAnsi="宋体"/>
                <w:bCs/>
                <w:szCs w:val="21"/>
                <w:highlight w:val="none"/>
                <w:lang w:bidi="ar"/>
              </w:rPr>
              <w:t>科室权限设置</w:t>
            </w:r>
          </w:p>
          <w:p w14:paraId="0469D31E">
            <w:pPr>
              <w:pStyle w:val="117"/>
              <w:numPr>
                <w:ilvl w:val="0"/>
                <w:numId w:val="18"/>
              </w:numPr>
              <w:spacing w:line="276" w:lineRule="auto"/>
              <w:ind w:firstLineChars="0"/>
              <w:jc w:val="left"/>
              <w:rPr>
                <w:rFonts w:hint="eastAsia" w:ascii="宋体" w:hAnsi="宋体"/>
                <w:bCs/>
                <w:szCs w:val="21"/>
                <w:highlight w:val="none"/>
                <w:lang w:bidi="ar"/>
              </w:rPr>
            </w:pPr>
            <w:r>
              <w:rPr>
                <w:rFonts w:hint="eastAsia" w:ascii="宋体" w:hAnsi="宋体"/>
                <w:bCs/>
                <w:szCs w:val="21"/>
                <w:highlight w:val="none"/>
                <w:lang w:bidi="ar"/>
              </w:rPr>
              <w:t>HIS科室权限</w:t>
            </w:r>
          </w:p>
          <w:p w14:paraId="6AD4CC2F">
            <w:pPr>
              <w:pStyle w:val="117"/>
              <w:numPr>
                <w:ilvl w:val="0"/>
                <w:numId w:val="18"/>
              </w:numPr>
              <w:spacing w:line="276" w:lineRule="auto"/>
              <w:ind w:firstLineChars="0"/>
              <w:jc w:val="left"/>
              <w:rPr>
                <w:rFonts w:hint="eastAsia" w:ascii="宋体" w:hAnsi="宋体"/>
                <w:bCs/>
                <w:szCs w:val="21"/>
                <w:highlight w:val="none"/>
                <w:lang w:bidi="ar"/>
              </w:rPr>
            </w:pPr>
            <w:r>
              <w:rPr>
                <w:rFonts w:hint="eastAsia" w:ascii="宋体" w:hAnsi="宋体"/>
                <w:bCs/>
                <w:szCs w:val="21"/>
                <w:highlight w:val="none"/>
                <w:lang w:bidi="ar"/>
              </w:rPr>
              <w:t>仓库权限</w:t>
            </w:r>
          </w:p>
        </w:tc>
      </w:tr>
      <w:tr w14:paraId="0EC58217">
        <w:tblPrEx>
          <w:tblCellMar>
            <w:top w:w="0" w:type="dxa"/>
            <w:left w:w="108" w:type="dxa"/>
            <w:bottom w:w="0" w:type="dxa"/>
            <w:right w:w="108" w:type="dxa"/>
          </w:tblCellMar>
        </w:tblPrEx>
        <w:trPr>
          <w:trHeight w:val="398" w:hRule="atLeast"/>
          <w:jc w:val="center"/>
        </w:trPr>
        <w:tc>
          <w:tcPr>
            <w:tcW w:w="343" w:type="pct"/>
            <w:vMerge w:val="restart"/>
            <w:tcBorders>
              <w:top w:val="single" w:color="auto" w:sz="6" w:space="0"/>
              <w:left w:val="single" w:color="auto" w:sz="6" w:space="0"/>
              <w:right w:val="single" w:color="auto" w:sz="6" w:space="0"/>
            </w:tcBorders>
            <w:shd w:val="clear" w:color="auto" w:fill="FFFFFF"/>
            <w:vAlign w:val="center"/>
          </w:tcPr>
          <w:p w14:paraId="19A64CA5">
            <w:pPr>
              <w:spacing w:line="276" w:lineRule="auto"/>
              <w:rPr>
                <w:rFonts w:hint="eastAsia"/>
                <w:bCs/>
                <w:szCs w:val="21"/>
                <w:highlight w:val="none"/>
                <w:lang w:bidi="ar"/>
              </w:rPr>
            </w:pPr>
            <w:r>
              <w:rPr>
                <w:rFonts w:hint="eastAsia"/>
                <w:bCs/>
                <w:szCs w:val="21"/>
                <w:highlight w:val="none"/>
                <w:lang w:bidi="ar"/>
              </w:rPr>
              <w:t>2</w:t>
            </w:r>
          </w:p>
          <w:p w14:paraId="1BD71689">
            <w:pPr>
              <w:spacing w:line="276" w:lineRule="auto"/>
              <w:rPr>
                <w:rFonts w:hint="eastAsia"/>
                <w:bCs/>
                <w:szCs w:val="21"/>
                <w:highlight w:val="none"/>
                <w:lang w:bidi="ar"/>
              </w:rPr>
            </w:pPr>
          </w:p>
        </w:tc>
        <w:tc>
          <w:tcPr>
            <w:tcW w:w="752" w:type="pct"/>
            <w:vMerge w:val="restart"/>
            <w:tcBorders>
              <w:top w:val="single" w:color="auto" w:sz="6" w:space="0"/>
              <w:left w:val="single" w:color="auto" w:sz="6" w:space="0"/>
              <w:right w:val="single" w:color="auto" w:sz="6" w:space="0"/>
            </w:tcBorders>
            <w:shd w:val="clear" w:color="auto" w:fill="FFFFFF"/>
            <w:vAlign w:val="center"/>
          </w:tcPr>
          <w:p w14:paraId="2588346A">
            <w:pPr>
              <w:spacing w:line="276" w:lineRule="auto"/>
              <w:rPr>
                <w:rFonts w:hint="eastAsia"/>
                <w:bCs/>
                <w:szCs w:val="21"/>
                <w:highlight w:val="none"/>
                <w:lang w:bidi="ar"/>
              </w:rPr>
            </w:pPr>
            <w:r>
              <w:rPr>
                <w:rFonts w:hint="eastAsia"/>
                <w:bCs/>
                <w:szCs w:val="21"/>
                <w:highlight w:val="none"/>
                <w:lang w:bidi="ar"/>
              </w:rPr>
              <w:t>基础数据维护</w:t>
            </w:r>
          </w:p>
        </w:tc>
        <w:tc>
          <w:tcPr>
            <w:tcW w:w="695" w:type="pct"/>
            <w:vMerge w:val="restart"/>
            <w:tcBorders>
              <w:top w:val="single" w:color="auto" w:sz="6" w:space="0"/>
              <w:left w:val="single" w:color="auto" w:sz="6" w:space="0"/>
              <w:right w:val="single" w:color="auto" w:sz="6" w:space="0"/>
            </w:tcBorders>
            <w:shd w:val="clear" w:color="auto" w:fill="FFFFFF"/>
            <w:vAlign w:val="center"/>
          </w:tcPr>
          <w:p w14:paraId="754F8FE6">
            <w:pPr>
              <w:spacing w:line="276" w:lineRule="auto"/>
              <w:rPr>
                <w:rFonts w:hint="eastAsia"/>
                <w:bCs/>
                <w:szCs w:val="21"/>
                <w:highlight w:val="none"/>
                <w:lang w:bidi="ar"/>
              </w:rPr>
            </w:pPr>
            <w:r>
              <w:rPr>
                <w:rFonts w:hint="eastAsia"/>
                <w:bCs/>
                <w:szCs w:val="21"/>
                <w:highlight w:val="none"/>
                <w:lang w:bidi="ar"/>
              </w:rPr>
              <w:t>物资信息</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08505465">
            <w:pPr>
              <w:spacing w:line="276" w:lineRule="auto"/>
              <w:rPr>
                <w:rFonts w:hint="eastAsia"/>
                <w:bCs/>
                <w:szCs w:val="21"/>
                <w:highlight w:val="none"/>
                <w:lang w:bidi="ar"/>
              </w:rPr>
            </w:pPr>
            <w:r>
              <w:rPr>
                <w:rFonts w:hint="eastAsia"/>
                <w:bCs/>
                <w:szCs w:val="21"/>
                <w:highlight w:val="none"/>
                <w:lang w:bidi="ar"/>
              </w:rPr>
              <w:t>物资字典</w:t>
            </w:r>
          </w:p>
        </w:tc>
        <w:tc>
          <w:tcPr>
            <w:tcW w:w="2034" w:type="pct"/>
            <w:tcBorders>
              <w:top w:val="single" w:color="auto" w:sz="6" w:space="0"/>
              <w:left w:val="single" w:color="auto" w:sz="6" w:space="0"/>
              <w:bottom w:val="single" w:color="auto" w:sz="4" w:space="0"/>
              <w:right w:val="single" w:color="auto" w:sz="6" w:space="0"/>
            </w:tcBorders>
            <w:shd w:val="clear" w:color="auto" w:fill="FFFFFF"/>
          </w:tcPr>
          <w:p w14:paraId="0CC25CDE">
            <w:pPr>
              <w:spacing w:line="276" w:lineRule="auto"/>
              <w:rPr>
                <w:rFonts w:hint="eastAsia"/>
                <w:bCs/>
                <w:szCs w:val="21"/>
                <w:highlight w:val="none"/>
                <w:lang w:bidi="ar"/>
              </w:rPr>
            </w:pPr>
            <w:r>
              <w:rPr>
                <w:rFonts w:hint="eastAsia"/>
                <w:bCs/>
                <w:szCs w:val="21"/>
                <w:highlight w:val="none"/>
                <w:lang w:bidi="ar"/>
              </w:rPr>
              <w:t>1.物资字典维护</w:t>
            </w:r>
          </w:p>
          <w:p w14:paraId="177170A4">
            <w:pPr>
              <w:spacing w:line="276" w:lineRule="auto"/>
              <w:rPr>
                <w:rFonts w:hint="eastAsia"/>
                <w:bCs/>
                <w:szCs w:val="21"/>
                <w:highlight w:val="none"/>
                <w:lang w:bidi="ar"/>
              </w:rPr>
            </w:pPr>
            <w:r>
              <w:rPr>
                <w:rFonts w:hint="eastAsia"/>
                <w:bCs/>
                <w:szCs w:val="21"/>
                <w:highlight w:val="none"/>
                <w:lang w:bidi="ar"/>
              </w:rPr>
              <w:t>（1</w:t>
            </w:r>
            <w:r>
              <w:rPr>
                <w:bCs/>
                <w:szCs w:val="21"/>
                <w:highlight w:val="none"/>
                <w:lang w:bidi="ar"/>
              </w:rPr>
              <w:t>）</w:t>
            </w:r>
            <w:r>
              <w:rPr>
                <w:rFonts w:hint="eastAsia"/>
                <w:bCs/>
                <w:szCs w:val="21"/>
                <w:highlight w:val="none"/>
                <w:lang w:bidi="ar"/>
              </w:rPr>
              <w:t>基本信息维护，包括不限于：资质名称、规格型号、采购价格、包装情况、UDI编码、注册证等信息。</w:t>
            </w:r>
          </w:p>
          <w:p w14:paraId="75FAFBB2">
            <w:pPr>
              <w:spacing w:line="276" w:lineRule="auto"/>
              <w:rPr>
                <w:rFonts w:hint="eastAsia"/>
                <w:bCs/>
                <w:szCs w:val="21"/>
                <w:highlight w:val="none"/>
                <w:lang w:bidi="ar"/>
              </w:rPr>
            </w:pPr>
            <w:r>
              <w:rPr>
                <w:rFonts w:hint="eastAsia"/>
                <w:bCs/>
                <w:szCs w:val="21"/>
                <w:highlight w:val="none"/>
                <w:lang w:bidi="ar"/>
              </w:rPr>
              <w:t>（2）收费信息维护</w:t>
            </w:r>
          </w:p>
          <w:p w14:paraId="3896DDBE">
            <w:pPr>
              <w:spacing w:line="276" w:lineRule="auto"/>
              <w:rPr>
                <w:rFonts w:hint="eastAsia"/>
                <w:bCs/>
                <w:szCs w:val="21"/>
                <w:highlight w:val="none"/>
                <w:lang w:bidi="ar"/>
              </w:rPr>
            </w:pPr>
            <w:r>
              <w:rPr>
                <w:rFonts w:hint="eastAsia"/>
                <w:bCs/>
                <w:szCs w:val="21"/>
                <w:highlight w:val="none"/>
                <w:lang w:bidi="ar"/>
              </w:rPr>
              <w:t>（3）历史变更信息</w:t>
            </w:r>
          </w:p>
        </w:tc>
      </w:tr>
      <w:tr w14:paraId="5DB19BD8">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4A1C6B72">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F52CC01">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6669292A">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6B5D1230">
            <w:pPr>
              <w:spacing w:line="276" w:lineRule="auto"/>
              <w:rPr>
                <w:rFonts w:hint="eastAsia"/>
                <w:bCs/>
                <w:szCs w:val="21"/>
                <w:highlight w:val="none"/>
                <w:lang w:bidi="ar"/>
              </w:rPr>
            </w:pPr>
            <w:r>
              <w:rPr>
                <w:rFonts w:hint="eastAsia"/>
                <w:bCs/>
                <w:szCs w:val="21"/>
                <w:highlight w:val="none"/>
                <w:lang w:bidi="ar"/>
              </w:rPr>
              <w:t>库存基数</w:t>
            </w:r>
          </w:p>
        </w:tc>
        <w:tc>
          <w:tcPr>
            <w:tcW w:w="2034" w:type="pct"/>
            <w:tcBorders>
              <w:top w:val="single" w:color="auto" w:sz="6" w:space="0"/>
              <w:left w:val="single" w:color="auto" w:sz="6" w:space="0"/>
              <w:bottom w:val="single" w:color="auto" w:sz="4" w:space="0"/>
              <w:right w:val="single" w:color="auto" w:sz="6" w:space="0"/>
            </w:tcBorders>
            <w:shd w:val="clear" w:color="auto" w:fill="FFFFFF"/>
          </w:tcPr>
          <w:p w14:paraId="6C8FA4C9">
            <w:pPr>
              <w:spacing w:line="276" w:lineRule="auto"/>
              <w:rPr>
                <w:rFonts w:hint="eastAsia"/>
                <w:bCs/>
                <w:szCs w:val="21"/>
                <w:highlight w:val="none"/>
                <w:lang w:bidi="ar"/>
              </w:rPr>
            </w:pPr>
            <w:r>
              <w:rPr>
                <w:rFonts w:hint="eastAsia"/>
                <w:bCs/>
                <w:szCs w:val="21"/>
                <w:highlight w:val="none"/>
                <w:lang w:bidi="ar"/>
              </w:rPr>
              <w:t>设置一级库库存上下限</w:t>
            </w:r>
          </w:p>
        </w:tc>
      </w:tr>
      <w:tr w14:paraId="342C06C6">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01B48BCF">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06642B9E">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4BE9EE58">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68697B4D">
            <w:pPr>
              <w:spacing w:line="276" w:lineRule="auto"/>
              <w:rPr>
                <w:rFonts w:hint="eastAsia"/>
                <w:bCs/>
                <w:szCs w:val="21"/>
                <w:highlight w:val="none"/>
                <w:lang w:bidi="ar"/>
              </w:rPr>
            </w:pPr>
            <w:r>
              <w:rPr>
                <w:rFonts w:hint="eastAsia"/>
                <w:bCs/>
                <w:szCs w:val="21"/>
                <w:highlight w:val="none"/>
                <w:lang w:bidi="ar"/>
              </w:rPr>
              <w:t>分类目录</w:t>
            </w:r>
          </w:p>
        </w:tc>
        <w:tc>
          <w:tcPr>
            <w:tcW w:w="2034" w:type="pct"/>
            <w:tcBorders>
              <w:top w:val="single" w:color="auto" w:sz="6" w:space="0"/>
              <w:left w:val="single" w:color="auto" w:sz="6" w:space="0"/>
              <w:bottom w:val="single" w:color="auto" w:sz="4" w:space="0"/>
              <w:right w:val="single" w:color="auto" w:sz="6" w:space="0"/>
            </w:tcBorders>
            <w:shd w:val="clear" w:color="auto" w:fill="FFFFFF"/>
          </w:tcPr>
          <w:p w14:paraId="31AC259F">
            <w:pPr>
              <w:spacing w:line="276" w:lineRule="auto"/>
              <w:rPr>
                <w:rFonts w:hint="eastAsia"/>
                <w:bCs/>
                <w:szCs w:val="21"/>
                <w:highlight w:val="none"/>
                <w:lang w:bidi="ar"/>
              </w:rPr>
            </w:pPr>
            <w:r>
              <w:rPr>
                <w:rFonts w:hint="eastAsia"/>
                <w:bCs/>
                <w:szCs w:val="21"/>
                <w:highlight w:val="none"/>
                <w:lang w:bidi="ar"/>
              </w:rPr>
              <w:t>用于统一管理财务分类、68分类、医保分类、核算分类等信息</w:t>
            </w:r>
          </w:p>
        </w:tc>
      </w:tr>
      <w:tr w14:paraId="7887687D">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180CB4BF">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A7EBC8F">
            <w:pPr>
              <w:spacing w:line="276" w:lineRule="auto"/>
              <w:rPr>
                <w:rFonts w:hint="eastAsia"/>
                <w:bCs/>
                <w:szCs w:val="21"/>
                <w:highlight w:val="none"/>
                <w:lang w:bidi="ar"/>
              </w:rPr>
            </w:pPr>
          </w:p>
        </w:tc>
        <w:tc>
          <w:tcPr>
            <w:tcW w:w="695" w:type="pct"/>
            <w:vMerge w:val="restart"/>
            <w:tcBorders>
              <w:left w:val="single" w:color="auto" w:sz="6" w:space="0"/>
              <w:right w:val="single" w:color="auto" w:sz="6" w:space="0"/>
            </w:tcBorders>
            <w:shd w:val="clear" w:color="auto" w:fill="FFFFFF"/>
            <w:vAlign w:val="center"/>
          </w:tcPr>
          <w:p w14:paraId="2B148421">
            <w:pPr>
              <w:spacing w:line="276" w:lineRule="auto"/>
              <w:rPr>
                <w:rFonts w:hint="eastAsia"/>
                <w:bCs/>
                <w:szCs w:val="21"/>
                <w:highlight w:val="none"/>
                <w:lang w:bidi="ar"/>
              </w:rPr>
            </w:pPr>
            <w:r>
              <w:rPr>
                <w:rFonts w:hint="eastAsia"/>
                <w:bCs/>
                <w:szCs w:val="21"/>
                <w:highlight w:val="none"/>
                <w:lang w:bidi="ar"/>
              </w:rPr>
              <w:t>供应商信息</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4D1DB915">
            <w:pPr>
              <w:spacing w:line="276" w:lineRule="auto"/>
              <w:rPr>
                <w:rFonts w:hint="eastAsia"/>
                <w:bCs/>
                <w:szCs w:val="21"/>
                <w:highlight w:val="none"/>
                <w:lang w:bidi="ar"/>
              </w:rPr>
            </w:pPr>
            <w:r>
              <w:rPr>
                <w:rFonts w:hint="eastAsia"/>
                <w:bCs/>
                <w:szCs w:val="21"/>
                <w:highlight w:val="none"/>
                <w:lang w:bidi="ar"/>
              </w:rPr>
              <w:t>供应商管理</w:t>
            </w:r>
          </w:p>
        </w:tc>
        <w:tc>
          <w:tcPr>
            <w:tcW w:w="2034" w:type="pct"/>
            <w:tcBorders>
              <w:top w:val="single" w:color="auto" w:sz="6" w:space="0"/>
              <w:left w:val="single" w:color="auto" w:sz="6" w:space="0"/>
              <w:bottom w:val="single" w:color="auto" w:sz="4" w:space="0"/>
              <w:right w:val="single" w:color="auto" w:sz="6" w:space="0"/>
            </w:tcBorders>
            <w:shd w:val="clear" w:color="auto" w:fill="FFFFFF"/>
          </w:tcPr>
          <w:p w14:paraId="08524555">
            <w:pPr>
              <w:spacing w:line="276" w:lineRule="auto"/>
              <w:rPr>
                <w:rFonts w:hint="eastAsia"/>
                <w:bCs/>
                <w:szCs w:val="21"/>
                <w:highlight w:val="none"/>
                <w:lang w:bidi="ar"/>
              </w:rPr>
            </w:pPr>
            <w:r>
              <w:rPr>
                <w:rFonts w:hint="eastAsia"/>
                <w:bCs/>
                <w:szCs w:val="21"/>
                <w:highlight w:val="none"/>
                <w:lang w:bidi="ar"/>
              </w:rPr>
              <w:t>供应商新增功能</w:t>
            </w:r>
          </w:p>
          <w:p w14:paraId="573A742B">
            <w:pPr>
              <w:spacing w:line="276" w:lineRule="auto"/>
              <w:rPr>
                <w:rFonts w:hint="eastAsia"/>
                <w:bCs/>
                <w:szCs w:val="21"/>
                <w:highlight w:val="none"/>
                <w:lang w:bidi="ar"/>
              </w:rPr>
            </w:pPr>
            <w:r>
              <w:rPr>
                <w:rFonts w:hint="eastAsia"/>
                <w:bCs/>
                <w:szCs w:val="21"/>
                <w:highlight w:val="none"/>
                <w:lang w:bidi="ar"/>
              </w:rPr>
              <w:t>维护此供应商联系人</w:t>
            </w:r>
          </w:p>
        </w:tc>
      </w:tr>
      <w:tr w14:paraId="08D24177">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7DC07F90">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CEAB6C4">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337255FF">
            <w:pPr>
              <w:spacing w:line="276" w:lineRule="auto"/>
              <w:rPr>
                <w:rFonts w:hint="eastAsia"/>
                <w:bCs/>
                <w:szCs w:val="21"/>
                <w:highlight w:val="none"/>
                <w:lang w:bidi="ar"/>
              </w:rPr>
            </w:pP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4459D47B">
            <w:pPr>
              <w:spacing w:line="276" w:lineRule="auto"/>
              <w:rPr>
                <w:rFonts w:hint="eastAsia"/>
                <w:bCs/>
                <w:szCs w:val="21"/>
                <w:highlight w:val="none"/>
                <w:lang w:bidi="ar"/>
              </w:rPr>
            </w:pPr>
            <w:r>
              <w:rPr>
                <w:rFonts w:hint="eastAsia"/>
                <w:bCs/>
                <w:szCs w:val="21"/>
                <w:highlight w:val="none"/>
                <w:lang w:bidi="ar"/>
              </w:rPr>
              <w:t>供应商资质管理</w:t>
            </w:r>
          </w:p>
        </w:tc>
        <w:tc>
          <w:tcPr>
            <w:tcW w:w="2034" w:type="pct"/>
            <w:tcBorders>
              <w:top w:val="single" w:color="auto" w:sz="6" w:space="0"/>
              <w:left w:val="single" w:color="auto" w:sz="6" w:space="0"/>
              <w:bottom w:val="single" w:color="auto" w:sz="4" w:space="0"/>
              <w:right w:val="single" w:color="auto" w:sz="6" w:space="0"/>
            </w:tcBorders>
            <w:shd w:val="clear" w:color="auto" w:fill="FFFFFF"/>
          </w:tcPr>
          <w:p w14:paraId="4539390B">
            <w:pPr>
              <w:spacing w:line="276" w:lineRule="auto"/>
              <w:rPr>
                <w:rFonts w:hint="eastAsia"/>
                <w:bCs/>
                <w:szCs w:val="21"/>
                <w:highlight w:val="none"/>
                <w:lang w:bidi="ar"/>
              </w:rPr>
            </w:pPr>
            <w:r>
              <w:rPr>
                <w:rFonts w:hint="eastAsia"/>
                <w:bCs/>
                <w:szCs w:val="21"/>
                <w:highlight w:val="none"/>
                <w:lang w:bidi="ar"/>
              </w:rPr>
              <w:t>1、供应商资质管理</w:t>
            </w:r>
          </w:p>
          <w:p w14:paraId="3F4E23FA">
            <w:pPr>
              <w:spacing w:line="276" w:lineRule="auto"/>
              <w:rPr>
                <w:rFonts w:hint="eastAsia"/>
                <w:bCs/>
                <w:szCs w:val="21"/>
                <w:highlight w:val="none"/>
                <w:lang w:bidi="ar"/>
              </w:rPr>
            </w:pPr>
            <w:r>
              <w:rPr>
                <w:rFonts w:hint="eastAsia"/>
                <w:bCs/>
                <w:szCs w:val="21"/>
                <w:highlight w:val="none"/>
                <w:lang w:bidi="ar"/>
              </w:rPr>
              <w:t>（1）营业执照</w:t>
            </w:r>
          </w:p>
          <w:p w14:paraId="33C70483">
            <w:pPr>
              <w:spacing w:line="276" w:lineRule="auto"/>
              <w:rPr>
                <w:rFonts w:hint="eastAsia"/>
                <w:bCs/>
                <w:szCs w:val="21"/>
                <w:highlight w:val="none"/>
                <w:lang w:bidi="ar"/>
              </w:rPr>
            </w:pPr>
            <w:r>
              <w:rPr>
                <w:rFonts w:hint="eastAsia"/>
                <w:bCs/>
                <w:szCs w:val="21"/>
                <w:highlight w:val="none"/>
                <w:lang w:bidi="ar"/>
              </w:rPr>
              <w:t>（2）经营许可证</w:t>
            </w:r>
          </w:p>
          <w:p w14:paraId="7504F57F">
            <w:pPr>
              <w:spacing w:line="276" w:lineRule="auto"/>
              <w:rPr>
                <w:rFonts w:hint="eastAsia"/>
                <w:bCs/>
                <w:szCs w:val="21"/>
                <w:highlight w:val="none"/>
                <w:lang w:bidi="ar"/>
              </w:rPr>
            </w:pPr>
            <w:r>
              <w:rPr>
                <w:rFonts w:hint="eastAsia"/>
                <w:bCs/>
                <w:szCs w:val="21"/>
                <w:highlight w:val="none"/>
                <w:lang w:bidi="ar"/>
              </w:rPr>
              <w:t>（3）注册证</w:t>
            </w:r>
          </w:p>
          <w:p w14:paraId="5A4AF628">
            <w:pPr>
              <w:spacing w:line="276" w:lineRule="auto"/>
              <w:rPr>
                <w:rFonts w:hint="eastAsia"/>
                <w:bCs/>
                <w:szCs w:val="21"/>
                <w:highlight w:val="none"/>
                <w:lang w:bidi="ar"/>
              </w:rPr>
            </w:pPr>
            <w:r>
              <w:rPr>
                <w:rFonts w:hint="eastAsia"/>
                <w:bCs/>
                <w:szCs w:val="21"/>
                <w:highlight w:val="none"/>
                <w:lang w:bidi="ar"/>
              </w:rPr>
              <w:t>（4）其他资质</w:t>
            </w:r>
          </w:p>
        </w:tc>
      </w:tr>
      <w:tr w14:paraId="6FE19E61">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0526190C">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219B9849">
            <w:pPr>
              <w:spacing w:line="276" w:lineRule="auto"/>
              <w:rPr>
                <w:rFonts w:hint="eastAsia"/>
                <w:bCs/>
                <w:szCs w:val="21"/>
                <w:highlight w:val="none"/>
                <w:lang w:bidi="ar"/>
              </w:rPr>
            </w:pPr>
          </w:p>
        </w:tc>
        <w:tc>
          <w:tcPr>
            <w:tcW w:w="695" w:type="pct"/>
            <w:tcBorders>
              <w:left w:val="single" w:color="auto" w:sz="6" w:space="0"/>
              <w:right w:val="single" w:color="auto" w:sz="6" w:space="0"/>
            </w:tcBorders>
            <w:shd w:val="clear" w:color="auto" w:fill="FFFFFF"/>
          </w:tcPr>
          <w:p w14:paraId="692DE176">
            <w:pPr>
              <w:spacing w:line="276" w:lineRule="auto"/>
              <w:rPr>
                <w:rFonts w:hint="eastAsia"/>
                <w:bCs/>
                <w:szCs w:val="21"/>
                <w:highlight w:val="none"/>
                <w:lang w:bidi="ar"/>
              </w:rPr>
            </w:pPr>
            <w:r>
              <w:rPr>
                <w:rFonts w:hint="eastAsia"/>
                <w:bCs/>
                <w:szCs w:val="21"/>
                <w:highlight w:val="none"/>
                <w:lang w:bidi="ar"/>
              </w:rPr>
              <w:t>数据查询</w:t>
            </w:r>
          </w:p>
        </w:tc>
        <w:tc>
          <w:tcPr>
            <w:tcW w:w="1174" w:type="pct"/>
            <w:tcBorders>
              <w:top w:val="single" w:color="auto" w:sz="6" w:space="0"/>
              <w:left w:val="single" w:color="auto" w:sz="6" w:space="0"/>
              <w:bottom w:val="single" w:color="auto" w:sz="4" w:space="0"/>
              <w:right w:val="single" w:color="auto" w:sz="6" w:space="0"/>
            </w:tcBorders>
            <w:shd w:val="clear" w:color="auto" w:fill="FFFFFF"/>
          </w:tcPr>
          <w:p w14:paraId="202F6DDF">
            <w:pPr>
              <w:spacing w:line="276" w:lineRule="auto"/>
              <w:rPr>
                <w:rFonts w:hint="eastAsia"/>
                <w:bCs/>
                <w:szCs w:val="21"/>
                <w:highlight w:val="none"/>
                <w:lang w:bidi="ar"/>
              </w:rPr>
            </w:pPr>
            <w:r>
              <w:rPr>
                <w:rFonts w:hint="eastAsia"/>
                <w:bCs/>
                <w:szCs w:val="21"/>
                <w:highlight w:val="none"/>
                <w:lang w:bidi="ar"/>
              </w:rPr>
              <w:t>物资字典查询</w:t>
            </w:r>
          </w:p>
        </w:tc>
        <w:tc>
          <w:tcPr>
            <w:tcW w:w="2034" w:type="pct"/>
            <w:tcBorders>
              <w:top w:val="single" w:color="auto" w:sz="6" w:space="0"/>
              <w:left w:val="single" w:color="auto" w:sz="6" w:space="0"/>
              <w:bottom w:val="single" w:color="auto" w:sz="4" w:space="0"/>
              <w:right w:val="single" w:color="auto" w:sz="6" w:space="0"/>
            </w:tcBorders>
            <w:shd w:val="clear" w:color="auto" w:fill="FFFFFF"/>
            <w:vAlign w:val="center"/>
          </w:tcPr>
          <w:p w14:paraId="5696BD1B">
            <w:pPr>
              <w:spacing w:line="276" w:lineRule="auto"/>
              <w:rPr>
                <w:rFonts w:hint="eastAsia"/>
                <w:bCs/>
                <w:szCs w:val="21"/>
                <w:highlight w:val="none"/>
                <w:lang w:bidi="ar"/>
              </w:rPr>
            </w:pPr>
            <w:r>
              <w:rPr>
                <w:rFonts w:hint="eastAsia"/>
                <w:bCs/>
                <w:szCs w:val="21"/>
                <w:highlight w:val="none"/>
                <w:lang w:bidi="ar"/>
              </w:rPr>
              <w:t>支持物资字典的变动管理，比如“停用”等</w:t>
            </w:r>
          </w:p>
        </w:tc>
      </w:tr>
      <w:tr w14:paraId="2A160BE2">
        <w:tblPrEx>
          <w:tblCellMar>
            <w:top w:w="0" w:type="dxa"/>
            <w:left w:w="108" w:type="dxa"/>
            <w:bottom w:w="0" w:type="dxa"/>
            <w:right w:w="108" w:type="dxa"/>
          </w:tblCellMar>
        </w:tblPrEx>
        <w:trPr>
          <w:trHeight w:val="3283" w:hRule="atLeast"/>
          <w:jc w:val="center"/>
        </w:trPr>
        <w:tc>
          <w:tcPr>
            <w:tcW w:w="343" w:type="pct"/>
            <w:vMerge w:val="restart"/>
            <w:tcBorders>
              <w:top w:val="single" w:color="auto" w:sz="6" w:space="0"/>
              <w:left w:val="single" w:color="auto" w:sz="6" w:space="0"/>
              <w:right w:val="single" w:color="auto" w:sz="6" w:space="0"/>
            </w:tcBorders>
            <w:shd w:val="clear" w:color="auto" w:fill="FFFFFF"/>
            <w:vAlign w:val="center"/>
          </w:tcPr>
          <w:p w14:paraId="3D85ECD2">
            <w:pPr>
              <w:spacing w:line="276" w:lineRule="auto"/>
              <w:rPr>
                <w:rFonts w:hint="eastAsia"/>
                <w:bCs/>
                <w:szCs w:val="21"/>
                <w:highlight w:val="none"/>
                <w:lang w:bidi="ar"/>
              </w:rPr>
            </w:pPr>
            <w:r>
              <w:rPr>
                <w:rFonts w:hint="eastAsia"/>
                <w:bCs/>
                <w:szCs w:val="21"/>
                <w:highlight w:val="none"/>
                <w:lang w:bidi="ar"/>
              </w:rPr>
              <w:t>3</w:t>
            </w:r>
          </w:p>
        </w:tc>
        <w:tc>
          <w:tcPr>
            <w:tcW w:w="752" w:type="pct"/>
            <w:vMerge w:val="restart"/>
            <w:tcBorders>
              <w:top w:val="single" w:color="auto" w:sz="6" w:space="0"/>
              <w:left w:val="single" w:color="auto" w:sz="6" w:space="0"/>
              <w:right w:val="single" w:color="auto" w:sz="6" w:space="0"/>
            </w:tcBorders>
            <w:shd w:val="clear" w:color="auto" w:fill="FFFFFF"/>
            <w:vAlign w:val="center"/>
          </w:tcPr>
          <w:p w14:paraId="55DAF83F">
            <w:pPr>
              <w:spacing w:line="276" w:lineRule="auto"/>
              <w:rPr>
                <w:rFonts w:hint="eastAsia"/>
                <w:bCs/>
                <w:szCs w:val="21"/>
                <w:highlight w:val="none"/>
                <w:lang w:bidi="ar"/>
              </w:rPr>
            </w:pPr>
          </w:p>
          <w:p w14:paraId="4C727F6C">
            <w:pPr>
              <w:spacing w:line="276" w:lineRule="auto"/>
              <w:rPr>
                <w:rFonts w:hint="eastAsia"/>
                <w:bCs/>
                <w:szCs w:val="21"/>
                <w:highlight w:val="none"/>
                <w:lang w:bidi="ar"/>
              </w:rPr>
            </w:pPr>
          </w:p>
          <w:p w14:paraId="5F8F39B5">
            <w:pPr>
              <w:spacing w:line="276" w:lineRule="auto"/>
              <w:rPr>
                <w:rFonts w:hint="eastAsia"/>
                <w:bCs/>
                <w:szCs w:val="21"/>
                <w:highlight w:val="none"/>
                <w:lang w:bidi="ar"/>
              </w:rPr>
            </w:pPr>
          </w:p>
          <w:p w14:paraId="14A5CF0A">
            <w:pPr>
              <w:spacing w:line="276" w:lineRule="auto"/>
              <w:rPr>
                <w:rFonts w:hint="eastAsia"/>
                <w:bCs/>
                <w:szCs w:val="21"/>
                <w:highlight w:val="none"/>
                <w:lang w:bidi="ar"/>
              </w:rPr>
            </w:pPr>
          </w:p>
          <w:p w14:paraId="380476E5">
            <w:pPr>
              <w:spacing w:line="276" w:lineRule="auto"/>
              <w:rPr>
                <w:rFonts w:hint="eastAsia"/>
                <w:bCs/>
                <w:szCs w:val="21"/>
                <w:highlight w:val="none"/>
                <w:lang w:bidi="ar"/>
              </w:rPr>
            </w:pPr>
          </w:p>
          <w:p w14:paraId="1E51F4E1">
            <w:pPr>
              <w:spacing w:line="276" w:lineRule="auto"/>
              <w:rPr>
                <w:rFonts w:hint="eastAsia"/>
                <w:bCs/>
                <w:szCs w:val="21"/>
                <w:highlight w:val="none"/>
                <w:lang w:bidi="ar"/>
              </w:rPr>
            </w:pPr>
          </w:p>
          <w:p w14:paraId="492C0C5E">
            <w:pPr>
              <w:spacing w:line="276" w:lineRule="auto"/>
              <w:rPr>
                <w:rFonts w:hint="eastAsia"/>
                <w:bCs/>
                <w:szCs w:val="21"/>
                <w:highlight w:val="none"/>
                <w:lang w:bidi="ar"/>
              </w:rPr>
            </w:pPr>
          </w:p>
          <w:p w14:paraId="39E34791">
            <w:pPr>
              <w:spacing w:line="276" w:lineRule="auto"/>
              <w:rPr>
                <w:rFonts w:hint="eastAsia"/>
                <w:bCs/>
                <w:szCs w:val="21"/>
                <w:highlight w:val="none"/>
                <w:lang w:bidi="ar"/>
              </w:rPr>
            </w:pPr>
          </w:p>
          <w:p w14:paraId="5F3D6236">
            <w:pPr>
              <w:spacing w:line="276" w:lineRule="auto"/>
              <w:rPr>
                <w:rFonts w:hint="eastAsia"/>
                <w:bCs/>
                <w:szCs w:val="21"/>
                <w:highlight w:val="none"/>
                <w:lang w:bidi="ar"/>
              </w:rPr>
            </w:pPr>
          </w:p>
          <w:p w14:paraId="50ED97F8">
            <w:pPr>
              <w:spacing w:line="276" w:lineRule="auto"/>
              <w:rPr>
                <w:rFonts w:hint="eastAsia"/>
                <w:bCs/>
                <w:szCs w:val="21"/>
                <w:highlight w:val="none"/>
                <w:lang w:bidi="ar"/>
              </w:rPr>
            </w:pPr>
          </w:p>
          <w:p w14:paraId="45EBE394">
            <w:pPr>
              <w:spacing w:line="276" w:lineRule="auto"/>
              <w:rPr>
                <w:rFonts w:hint="eastAsia"/>
                <w:bCs/>
                <w:szCs w:val="21"/>
                <w:highlight w:val="none"/>
                <w:lang w:bidi="ar"/>
              </w:rPr>
            </w:pPr>
          </w:p>
          <w:p w14:paraId="0586807B">
            <w:pPr>
              <w:spacing w:line="276" w:lineRule="auto"/>
              <w:rPr>
                <w:rFonts w:hint="eastAsia"/>
                <w:bCs/>
                <w:szCs w:val="21"/>
                <w:highlight w:val="none"/>
                <w:lang w:bidi="ar"/>
              </w:rPr>
            </w:pPr>
          </w:p>
          <w:p w14:paraId="13FBAEC0">
            <w:pPr>
              <w:spacing w:line="276" w:lineRule="auto"/>
              <w:rPr>
                <w:rFonts w:hint="eastAsia"/>
                <w:bCs/>
                <w:szCs w:val="21"/>
                <w:highlight w:val="none"/>
                <w:lang w:bidi="ar"/>
              </w:rPr>
            </w:pPr>
          </w:p>
          <w:p w14:paraId="396BBAD7">
            <w:pPr>
              <w:spacing w:line="276" w:lineRule="auto"/>
              <w:rPr>
                <w:rFonts w:hint="eastAsia"/>
                <w:bCs/>
                <w:szCs w:val="21"/>
                <w:highlight w:val="none"/>
                <w:lang w:bidi="ar"/>
              </w:rPr>
            </w:pPr>
          </w:p>
          <w:p w14:paraId="74EBA1B2">
            <w:pPr>
              <w:spacing w:line="276" w:lineRule="auto"/>
              <w:rPr>
                <w:rFonts w:hint="eastAsia"/>
                <w:bCs/>
                <w:szCs w:val="21"/>
                <w:highlight w:val="none"/>
                <w:lang w:bidi="ar"/>
              </w:rPr>
            </w:pPr>
          </w:p>
          <w:p w14:paraId="0EA71078">
            <w:pPr>
              <w:spacing w:line="276" w:lineRule="auto"/>
              <w:rPr>
                <w:rFonts w:hint="eastAsia"/>
                <w:bCs/>
                <w:szCs w:val="21"/>
                <w:highlight w:val="none"/>
                <w:lang w:bidi="ar"/>
              </w:rPr>
            </w:pPr>
            <w:r>
              <w:rPr>
                <w:rFonts w:hint="eastAsia"/>
                <w:bCs/>
                <w:szCs w:val="21"/>
                <w:highlight w:val="none"/>
                <w:lang w:bidi="ar"/>
              </w:rPr>
              <w:t>普通耗材管理（一级库）</w:t>
            </w:r>
          </w:p>
        </w:tc>
        <w:tc>
          <w:tcPr>
            <w:tcW w:w="695" w:type="pct"/>
            <w:vMerge w:val="restart"/>
            <w:tcBorders>
              <w:top w:val="single" w:color="auto" w:sz="6" w:space="0"/>
              <w:left w:val="single" w:color="auto" w:sz="6" w:space="0"/>
              <w:right w:val="single" w:color="auto" w:sz="6" w:space="0"/>
            </w:tcBorders>
            <w:shd w:val="clear" w:color="auto" w:fill="FFFFFF"/>
            <w:vAlign w:val="center"/>
          </w:tcPr>
          <w:p w14:paraId="3A2F872A">
            <w:pPr>
              <w:spacing w:line="276" w:lineRule="auto"/>
              <w:rPr>
                <w:rFonts w:hint="eastAsia"/>
                <w:bCs/>
                <w:szCs w:val="21"/>
                <w:highlight w:val="none"/>
                <w:lang w:bidi="ar"/>
              </w:rPr>
            </w:pPr>
            <w:r>
              <w:rPr>
                <w:rFonts w:hint="eastAsia"/>
                <w:bCs/>
                <w:szCs w:val="21"/>
                <w:highlight w:val="none"/>
                <w:lang w:bidi="ar"/>
              </w:rPr>
              <w:t>库房</w:t>
            </w:r>
          </w:p>
          <w:p w14:paraId="4C61193E">
            <w:pPr>
              <w:spacing w:line="276" w:lineRule="auto"/>
              <w:rPr>
                <w:rFonts w:hint="eastAsia"/>
                <w:bCs/>
                <w:szCs w:val="21"/>
                <w:highlight w:val="none"/>
                <w:lang w:bidi="ar"/>
              </w:rPr>
            </w:pPr>
            <w:r>
              <w:rPr>
                <w:rFonts w:hint="eastAsia"/>
                <w:bCs/>
                <w:szCs w:val="21"/>
                <w:highlight w:val="none"/>
                <w:lang w:bidi="ar"/>
              </w:rPr>
              <w:t>业务</w:t>
            </w:r>
          </w:p>
        </w:tc>
        <w:tc>
          <w:tcPr>
            <w:tcW w:w="1174" w:type="pct"/>
            <w:tcBorders>
              <w:top w:val="single" w:color="auto" w:sz="6" w:space="0"/>
              <w:left w:val="single" w:color="auto" w:sz="6" w:space="0"/>
              <w:right w:val="single" w:color="auto" w:sz="6" w:space="0"/>
            </w:tcBorders>
            <w:shd w:val="clear" w:color="auto" w:fill="FFFFFF"/>
            <w:vAlign w:val="center"/>
          </w:tcPr>
          <w:p w14:paraId="44124833">
            <w:pPr>
              <w:spacing w:line="276" w:lineRule="auto"/>
              <w:rPr>
                <w:rFonts w:hint="eastAsia"/>
                <w:bCs/>
                <w:szCs w:val="21"/>
                <w:highlight w:val="none"/>
                <w:lang w:bidi="ar"/>
              </w:rPr>
            </w:pPr>
            <w:r>
              <w:rPr>
                <w:rFonts w:hint="eastAsia"/>
                <w:bCs/>
                <w:szCs w:val="21"/>
                <w:highlight w:val="none"/>
                <w:lang w:bidi="ar"/>
              </w:rPr>
              <w:t>物资入库普通耗材管理（一级库）</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0C689CDB">
            <w:pPr>
              <w:spacing w:line="276" w:lineRule="auto"/>
              <w:rPr>
                <w:rFonts w:hint="eastAsia"/>
                <w:bCs/>
                <w:szCs w:val="21"/>
                <w:highlight w:val="none"/>
                <w:lang w:bidi="ar"/>
              </w:rPr>
            </w:pPr>
            <w:r>
              <w:rPr>
                <w:rFonts w:hint="eastAsia"/>
                <w:bCs/>
                <w:szCs w:val="21"/>
                <w:highlight w:val="none"/>
                <w:lang w:bidi="ar"/>
              </w:rPr>
              <w:t>1、支持手工逐条入库，根据物资编码</w:t>
            </w:r>
          </w:p>
          <w:p w14:paraId="2456263F">
            <w:pPr>
              <w:spacing w:line="276" w:lineRule="auto"/>
              <w:rPr>
                <w:rFonts w:hint="eastAsia"/>
                <w:bCs/>
                <w:szCs w:val="21"/>
                <w:highlight w:val="none"/>
                <w:lang w:bidi="ar"/>
              </w:rPr>
            </w:pPr>
            <w:r>
              <w:rPr>
                <w:rFonts w:hint="eastAsia"/>
                <w:bCs/>
                <w:szCs w:val="21"/>
                <w:highlight w:val="none"/>
                <w:lang w:bidi="ar"/>
              </w:rPr>
              <w:t>2、支持扫描配送单条码整单入库</w:t>
            </w:r>
          </w:p>
          <w:p w14:paraId="18060A91">
            <w:pPr>
              <w:spacing w:line="276" w:lineRule="auto"/>
              <w:rPr>
                <w:rFonts w:hint="eastAsia"/>
                <w:bCs/>
                <w:szCs w:val="21"/>
                <w:highlight w:val="none"/>
                <w:lang w:bidi="ar"/>
              </w:rPr>
            </w:pPr>
            <w:r>
              <w:rPr>
                <w:rFonts w:hint="eastAsia"/>
                <w:bCs/>
                <w:szCs w:val="21"/>
                <w:highlight w:val="none"/>
                <w:lang w:bidi="ar"/>
              </w:rPr>
              <w:t>3、具备快速入库功能：</w:t>
            </w:r>
          </w:p>
          <w:p w14:paraId="3AD021AF">
            <w:pPr>
              <w:spacing w:line="276" w:lineRule="auto"/>
              <w:rPr>
                <w:rFonts w:hint="eastAsia"/>
                <w:bCs/>
                <w:szCs w:val="21"/>
                <w:highlight w:val="none"/>
                <w:lang w:bidi="ar"/>
              </w:rPr>
            </w:pPr>
            <w:r>
              <w:rPr>
                <w:rFonts w:hint="eastAsia"/>
                <w:bCs/>
                <w:szCs w:val="21"/>
                <w:highlight w:val="none"/>
                <w:lang w:bidi="ar"/>
              </w:rPr>
              <w:t>根据名称、物资编码</w:t>
            </w:r>
          </w:p>
          <w:p w14:paraId="5DA91B93">
            <w:pPr>
              <w:spacing w:line="276" w:lineRule="auto"/>
              <w:rPr>
                <w:rFonts w:hint="eastAsia"/>
                <w:bCs/>
                <w:szCs w:val="21"/>
                <w:highlight w:val="none"/>
                <w:lang w:bidi="ar"/>
              </w:rPr>
            </w:pPr>
            <w:r>
              <w:rPr>
                <w:rFonts w:hint="eastAsia"/>
                <w:bCs/>
                <w:szCs w:val="21"/>
                <w:highlight w:val="none"/>
                <w:lang w:bidi="ar"/>
              </w:rPr>
              <w:t>能录入效期批次等数据</w:t>
            </w:r>
          </w:p>
          <w:p w14:paraId="3B93D0E9">
            <w:pPr>
              <w:spacing w:line="276" w:lineRule="auto"/>
              <w:rPr>
                <w:rFonts w:hint="eastAsia"/>
                <w:bCs/>
                <w:szCs w:val="21"/>
                <w:highlight w:val="none"/>
                <w:lang w:bidi="ar"/>
              </w:rPr>
            </w:pPr>
            <w:r>
              <w:rPr>
                <w:rFonts w:hint="eastAsia"/>
                <w:bCs/>
                <w:szCs w:val="21"/>
                <w:highlight w:val="none"/>
                <w:lang w:bidi="ar"/>
              </w:rPr>
              <w:t>4、具备入库后直接出库功能</w:t>
            </w:r>
          </w:p>
          <w:p w14:paraId="30C253CF">
            <w:pPr>
              <w:spacing w:line="276" w:lineRule="auto"/>
              <w:rPr>
                <w:rFonts w:hint="eastAsia"/>
                <w:bCs/>
                <w:szCs w:val="21"/>
                <w:highlight w:val="none"/>
                <w:lang w:bidi="ar"/>
              </w:rPr>
            </w:pPr>
            <w:r>
              <w:rPr>
                <w:rFonts w:hint="eastAsia"/>
                <w:bCs/>
                <w:szCs w:val="21"/>
                <w:highlight w:val="none"/>
                <w:lang w:bidi="ar"/>
              </w:rPr>
              <w:t>5、具备单据预览、打印功能</w:t>
            </w:r>
          </w:p>
        </w:tc>
      </w:tr>
      <w:tr w14:paraId="2B25E1BA">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2AD2B538">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707EF032">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50D1999C">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13FEE1CC">
            <w:pPr>
              <w:spacing w:line="276" w:lineRule="auto"/>
              <w:rPr>
                <w:rFonts w:hint="eastAsia"/>
                <w:bCs/>
                <w:szCs w:val="21"/>
                <w:highlight w:val="none"/>
                <w:lang w:bidi="ar"/>
              </w:rPr>
            </w:pPr>
            <w:r>
              <w:rPr>
                <w:rFonts w:hint="eastAsia"/>
                <w:bCs/>
                <w:szCs w:val="21"/>
                <w:highlight w:val="none"/>
                <w:lang w:bidi="ar"/>
              </w:rPr>
              <w:t>物资出库</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42906B5">
            <w:pPr>
              <w:spacing w:line="276" w:lineRule="auto"/>
              <w:rPr>
                <w:rFonts w:hint="eastAsia"/>
                <w:bCs/>
                <w:szCs w:val="21"/>
                <w:highlight w:val="none"/>
                <w:lang w:bidi="ar"/>
              </w:rPr>
            </w:pPr>
            <w:r>
              <w:rPr>
                <w:rFonts w:hint="eastAsia"/>
                <w:bCs/>
                <w:szCs w:val="21"/>
                <w:highlight w:val="none"/>
                <w:lang w:bidi="ar"/>
              </w:rPr>
              <w:t>科室请领出库</w:t>
            </w:r>
          </w:p>
          <w:p w14:paraId="24F31F0E">
            <w:pPr>
              <w:spacing w:line="276" w:lineRule="auto"/>
              <w:rPr>
                <w:rFonts w:hint="eastAsia"/>
                <w:bCs/>
                <w:szCs w:val="21"/>
                <w:highlight w:val="none"/>
                <w:lang w:bidi="ar"/>
              </w:rPr>
            </w:pPr>
            <w:r>
              <w:rPr>
                <w:rFonts w:hint="eastAsia"/>
                <w:bCs/>
                <w:szCs w:val="21"/>
                <w:highlight w:val="none"/>
                <w:lang w:bidi="ar"/>
              </w:rPr>
              <w:t>科室计划出库</w:t>
            </w:r>
          </w:p>
          <w:p w14:paraId="1DFB12A3">
            <w:pPr>
              <w:spacing w:line="276" w:lineRule="auto"/>
              <w:rPr>
                <w:rFonts w:hint="eastAsia"/>
                <w:bCs/>
                <w:szCs w:val="21"/>
                <w:highlight w:val="none"/>
                <w:lang w:bidi="ar"/>
              </w:rPr>
            </w:pPr>
            <w:r>
              <w:rPr>
                <w:rFonts w:hint="eastAsia"/>
                <w:bCs/>
                <w:szCs w:val="21"/>
                <w:highlight w:val="none"/>
                <w:lang w:bidi="ar"/>
              </w:rPr>
              <w:t>支持手工创建出库单</w:t>
            </w:r>
          </w:p>
          <w:p w14:paraId="4406B3AF">
            <w:pPr>
              <w:spacing w:line="276" w:lineRule="auto"/>
              <w:rPr>
                <w:rFonts w:hint="eastAsia"/>
                <w:bCs/>
                <w:szCs w:val="21"/>
                <w:highlight w:val="none"/>
                <w:lang w:bidi="ar"/>
              </w:rPr>
            </w:pPr>
            <w:r>
              <w:rPr>
                <w:rFonts w:hint="eastAsia"/>
                <w:bCs/>
                <w:szCs w:val="21"/>
                <w:highlight w:val="none"/>
                <w:lang w:bidi="ar"/>
              </w:rPr>
              <w:t>出库具备审核功能</w:t>
            </w:r>
          </w:p>
          <w:p w14:paraId="50280A74">
            <w:pPr>
              <w:spacing w:line="276" w:lineRule="auto"/>
              <w:rPr>
                <w:rFonts w:hint="eastAsia"/>
                <w:bCs/>
                <w:szCs w:val="21"/>
                <w:highlight w:val="none"/>
                <w:lang w:bidi="ar"/>
              </w:rPr>
            </w:pPr>
            <w:r>
              <w:rPr>
                <w:rFonts w:hint="eastAsia"/>
                <w:bCs/>
                <w:szCs w:val="21"/>
                <w:highlight w:val="none"/>
                <w:lang w:bidi="ar"/>
              </w:rPr>
              <w:t>出库单具备预览、打印功能</w:t>
            </w:r>
          </w:p>
        </w:tc>
      </w:tr>
      <w:tr w14:paraId="08562D7C">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67517163">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A77D47B">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221F53A5">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26D89611">
            <w:pPr>
              <w:spacing w:line="276" w:lineRule="auto"/>
              <w:rPr>
                <w:rFonts w:hint="eastAsia"/>
                <w:bCs/>
                <w:szCs w:val="21"/>
                <w:highlight w:val="none"/>
                <w:lang w:bidi="ar"/>
              </w:rPr>
            </w:pPr>
            <w:r>
              <w:rPr>
                <w:rFonts w:hint="eastAsia"/>
                <w:bCs/>
                <w:szCs w:val="21"/>
                <w:highlight w:val="none"/>
                <w:lang w:bidi="ar"/>
              </w:rPr>
              <w:t>物资退库</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5E01DBB2">
            <w:pPr>
              <w:spacing w:line="276" w:lineRule="auto"/>
              <w:rPr>
                <w:rFonts w:hint="eastAsia"/>
                <w:bCs/>
                <w:szCs w:val="21"/>
                <w:highlight w:val="none"/>
                <w:lang w:bidi="ar"/>
              </w:rPr>
            </w:pPr>
            <w:r>
              <w:rPr>
                <w:rFonts w:hint="eastAsia"/>
                <w:bCs/>
                <w:szCs w:val="21"/>
                <w:highlight w:val="none"/>
                <w:lang w:bidi="ar"/>
              </w:rPr>
              <w:t>由临床科室退货至申领库房</w:t>
            </w:r>
          </w:p>
        </w:tc>
      </w:tr>
      <w:tr w14:paraId="42F57379">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6D1B9E26">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78F092C">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255FB015">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62F2D9F6">
            <w:pPr>
              <w:spacing w:line="276" w:lineRule="auto"/>
              <w:rPr>
                <w:rFonts w:hint="eastAsia"/>
                <w:bCs/>
                <w:szCs w:val="21"/>
                <w:highlight w:val="none"/>
                <w:lang w:bidi="ar"/>
              </w:rPr>
            </w:pPr>
            <w:r>
              <w:rPr>
                <w:rFonts w:hint="eastAsia"/>
                <w:bCs/>
                <w:szCs w:val="21"/>
                <w:highlight w:val="none"/>
                <w:lang w:bidi="ar"/>
              </w:rPr>
              <w:t>物资退货</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19A0A563">
            <w:pPr>
              <w:spacing w:line="276" w:lineRule="auto"/>
              <w:rPr>
                <w:rFonts w:hint="eastAsia"/>
                <w:bCs/>
                <w:szCs w:val="21"/>
                <w:highlight w:val="none"/>
                <w:lang w:bidi="ar"/>
              </w:rPr>
            </w:pPr>
            <w:r>
              <w:rPr>
                <w:rFonts w:hint="eastAsia"/>
                <w:bCs/>
                <w:szCs w:val="21"/>
                <w:highlight w:val="none"/>
                <w:lang w:bidi="ar"/>
              </w:rPr>
              <w:t>由采购库房退货给供应商</w:t>
            </w:r>
          </w:p>
        </w:tc>
      </w:tr>
      <w:tr w14:paraId="31CF429B">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5D5BBEC0">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23B1A4C4">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710AC4F2">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45327EA3">
            <w:pPr>
              <w:spacing w:line="276" w:lineRule="auto"/>
              <w:rPr>
                <w:rFonts w:hint="eastAsia"/>
                <w:bCs/>
                <w:szCs w:val="21"/>
                <w:highlight w:val="none"/>
                <w:lang w:bidi="ar"/>
              </w:rPr>
            </w:pPr>
            <w:r>
              <w:rPr>
                <w:rFonts w:hint="eastAsia"/>
                <w:bCs/>
                <w:szCs w:val="21"/>
                <w:highlight w:val="none"/>
                <w:lang w:bidi="ar"/>
              </w:rPr>
              <w:t>库房盘点</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D30FD78">
            <w:pPr>
              <w:spacing w:line="276" w:lineRule="auto"/>
              <w:rPr>
                <w:rFonts w:hint="eastAsia"/>
                <w:bCs/>
                <w:szCs w:val="21"/>
                <w:highlight w:val="none"/>
                <w:lang w:bidi="ar"/>
              </w:rPr>
            </w:pPr>
            <w:r>
              <w:rPr>
                <w:rFonts w:hint="eastAsia"/>
                <w:bCs/>
                <w:szCs w:val="21"/>
                <w:highlight w:val="none"/>
                <w:lang w:bidi="ar"/>
              </w:rPr>
              <w:t>制定盘点计划表</w:t>
            </w:r>
          </w:p>
          <w:p w14:paraId="1B78BEA9">
            <w:pPr>
              <w:spacing w:line="276" w:lineRule="auto"/>
              <w:rPr>
                <w:rFonts w:hint="eastAsia"/>
                <w:bCs/>
                <w:szCs w:val="21"/>
                <w:highlight w:val="none"/>
                <w:lang w:bidi="ar"/>
              </w:rPr>
            </w:pPr>
            <w:r>
              <w:rPr>
                <w:rFonts w:hint="eastAsia"/>
                <w:bCs/>
                <w:szCs w:val="21"/>
                <w:highlight w:val="none"/>
                <w:lang w:bidi="ar"/>
              </w:rPr>
              <w:t>能预览打印盘点表</w:t>
            </w:r>
          </w:p>
          <w:p w14:paraId="0237199D">
            <w:pPr>
              <w:spacing w:line="276" w:lineRule="auto"/>
              <w:rPr>
                <w:rFonts w:hint="eastAsia"/>
                <w:bCs/>
                <w:szCs w:val="21"/>
                <w:highlight w:val="none"/>
                <w:lang w:bidi="ar"/>
              </w:rPr>
            </w:pPr>
            <w:r>
              <w:rPr>
                <w:rFonts w:hint="eastAsia"/>
                <w:bCs/>
                <w:szCs w:val="21"/>
                <w:highlight w:val="none"/>
                <w:lang w:bidi="ar"/>
              </w:rPr>
              <w:t>盘点表</w:t>
            </w:r>
          </w:p>
          <w:p w14:paraId="16DE42B3">
            <w:pPr>
              <w:spacing w:line="276" w:lineRule="auto"/>
              <w:rPr>
                <w:rFonts w:hint="eastAsia"/>
                <w:bCs/>
                <w:szCs w:val="21"/>
                <w:highlight w:val="none"/>
                <w:lang w:bidi="ar"/>
              </w:rPr>
            </w:pPr>
            <w:r>
              <w:rPr>
                <w:rFonts w:hint="eastAsia"/>
                <w:bCs/>
                <w:szCs w:val="21"/>
                <w:highlight w:val="none"/>
                <w:lang w:bidi="ar"/>
              </w:rPr>
              <w:t>盘盈表（区分批次）</w:t>
            </w:r>
          </w:p>
          <w:p w14:paraId="67B19C60">
            <w:pPr>
              <w:spacing w:line="276" w:lineRule="auto"/>
              <w:rPr>
                <w:rFonts w:hint="eastAsia"/>
                <w:bCs/>
                <w:szCs w:val="21"/>
                <w:highlight w:val="none"/>
                <w:lang w:bidi="ar"/>
              </w:rPr>
            </w:pPr>
            <w:r>
              <w:rPr>
                <w:rFonts w:hint="eastAsia"/>
                <w:bCs/>
                <w:szCs w:val="21"/>
                <w:highlight w:val="none"/>
                <w:lang w:bidi="ar"/>
              </w:rPr>
              <w:t>盘盈表（不区分批次）</w:t>
            </w:r>
          </w:p>
          <w:p w14:paraId="23C90D6E">
            <w:pPr>
              <w:spacing w:line="276" w:lineRule="auto"/>
              <w:rPr>
                <w:rFonts w:hint="eastAsia"/>
                <w:bCs/>
                <w:szCs w:val="21"/>
                <w:highlight w:val="none"/>
                <w:lang w:bidi="ar"/>
              </w:rPr>
            </w:pPr>
            <w:r>
              <w:rPr>
                <w:rFonts w:hint="eastAsia"/>
                <w:bCs/>
                <w:szCs w:val="21"/>
                <w:highlight w:val="none"/>
                <w:lang w:bidi="ar"/>
              </w:rPr>
              <w:t>盘亏表（区分批次）</w:t>
            </w:r>
          </w:p>
          <w:p w14:paraId="731506C8">
            <w:pPr>
              <w:spacing w:line="276" w:lineRule="auto"/>
              <w:rPr>
                <w:rFonts w:hint="eastAsia"/>
                <w:bCs/>
                <w:szCs w:val="21"/>
                <w:highlight w:val="none"/>
                <w:lang w:bidi="ar"/>
              </w:rPr>
            </w:pPr>
            <w:r>
              <w:rPr>
                <w:rFonts w:hint="eastAsia"/>
                <w:bCs/>
                <w:szCs w:val="21"/>
                <w:highlight w:val="none"/>
                <w:lang w:bidi="ar"/>
              </w:rPr>
              <w:t>盘亏表（不区分批次）</w:t>
            </w:r>
          </w:p>
          <w:p w14:paraId="08B20DFC">
            <w:pPr>
              <w:spacing w:line="276" w:lineRule="auto"/>
              <w:rPr>
                <w:rFonts w:hint="eastAsia"/>
                <w:bCs/>
                <w:szCs w:val="21"/>
                <w:highlight w:val="none"/>
                <w:lang w:bidi="ar"/>
              </w:rPr>
            </w:pPr>
            <w:r>
              <w:rPr>
                <w:rFonts w:hint="eastAsia"/>
                <w:bCs/>
                <w:szCs w:val="21"/>
                <w:highlight w:val="none"/>
                <w:lang w:bidi="ar"/>
              </w:rPr>
              <w:t>库房变动表</w:t>
            </w:r>
          </w:p>
        </w:tc>
      </w:tr>
      <w:tr w14:paraId="5A980F57">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773B07C7">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2EA64478">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3B9D8E14">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266070FB">
            <w:pPr>
              <w:spacing w:line="276" w:lineRule="auto"/>
              <w:rPr>
                <w:rFonts w:hint="eastAsia"/>
                <w:bCs/>
                <w:szCs w:val="21"/>
                <w:highlight w:val="none"/>
                <w:lang w:bidi="ar"/>
              </w:rPr>
            </w:pPr>
            <w:r>
              <w:rPr>
                <w:rFonts w:hint="eastAsia"/>
                <w:bCs/>
                <w:szCs w:val="21"/>
                <w:highlight w:val="none"/>
                <w:lang w:bidi="ar"/>
              </w:rPr>
              <w:t>库存报废</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5CDB0D3F">
            <w:pPr>
              <w:spacing w:line="276" w:lineRule="auto"/>
              <w:rPr>
                <w:rFonts w:hint="eastAsia"/>
                <w:bCs/>
                <w:szCs w:val="21"/>
                <w:highlight w:val="none"/>
                <w:lang w:bidi="ar"/>
              </w:rPr>
            </w:pPr>
            <w:r>
              <w:rPr>
                <w:rFonts w:hint="eastAsia"/>
                <w:bCs/>
                <w:szCs w:val="21"/>
                <w:highlight w:val="none"/>
                <w:lang w:bidi="ar"/>
              </w:rPr>
              <w:t>盘点后针对盘亏情况，进行处理</w:t>
            </w:r>
          </w:p>
        </w:tc>
      </w:tr>
      <w:tr w14:paraId="34E4DD5A">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16915433">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6057E8F7">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27912DAA">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079195BF">
            <w:pPr>
              <w:spacing w:line="276" w:lineRule="auto"/>
              <w:rPr>
                <w:rFonts w:hint="eastAsia"/>
                <w:bCs/>
                <w:szCs w:val="21"/>
                <w:highlight w:val="none"/>
                <w:lang w:bidi="ar"/>
              </w:rPr>
            </w:pPr>
            <w:r>
              <w:rPr>
                <w:rFonts w:hint="eastAsia"/>
                <w:bCs/>
                <w:szCs w:val="21"/>
                <w:highlight w:val="none"/>
                <w:lang w:bidi="ar"/>
              </w:rPr>
              <w:t>直入直出</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772A82B2">
            <w:pPr>
              <w:spacing w:line="276" w:lineRule="auto"/>
              <w:rPr>
                <w:rFonts w:hint="eastAsia"/>
                <w:bCs/>
                <w:szCs w:val="21"/>
                <w:highlight w:val="none"/>
                <w:lang w:bidi="ar"/>
              </w:rPr>
            </w:pPr>
            <w:r>
              <w:rPr>
                <w:rFonts w:hint="eastAsia"/>
                <w:bCs/>
                <w:szCs w:val="21"/>
                <w:highlight w:val="none"/>
                <w:lang w:bidi="ar"/>
              </w:rPr>
              <w:t>针对部分耗材进行一次性入库、出库；提高出入库效率</w:t>
            </w:r>
          </w:p>
        </w:tc>
      </w:tr>
      <w:tr w14:paraId="1BCCA050">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4B0C94BF">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CB32F11">
            <w:pPr>
              <w:spacing w:line="276" w:lineRule="auto"/>
              <w:rPr>
                <w:rFonts w:hint="eastAsia"/>
                <w:szCs w:val="21"/>
                <w:highlight w:val="none"/>
                <w:lang w:bidi="ar"/>
              </w:rPr>
            </w:pPr>
          </w:p>
        </w:tc>
        <w:tc>
          <w:tcPr>
            <w:tcW w:w="695" w:type="pct"/>
            <w:vMerge w:val="restart"/>
            <w:tcBorders>
              <w:top w:val="single" w:color="auto" w:sz="6" w:space="0"/>
              <w:left w:val="single" w:color="auto" w:sz="6" w:space="0"/>
              <w:right w:val="single" w:color="auto" w:sz="6" w:space="0"/>
            </w:tcBorders>
            <w:shd w:val="clear" w:color="auto" w:fill="FFFFFF"/>
            <w:vAlign w:val="center"/>
          </w:tcPr>
          <w:p w14:paraId="4121642F">
            <w:pPr>
              <w:spacing w:line="276" w:lineRule="auto"/>
              <w:rPr>
                <w:rFonts w:hint="eastAsia"/>
                <w:bCs/>
                <w:szCs w:val="21"/>
                <w:highlight w:val="none"/>
                <w:lang w:bidi="ar"/>
              </w:rPr>
            </w:pPr>
            <w:r>
              <w:rPr>
                <w:rFonts w:hint="eastAsia"/>
                <w:bCs/>
                <w:szCs w:val="21"/>
                <w:highlight w:val="none"/>
                <w:lang w:bidi="ar"/>
              </w:rPr>
              <w:t>查询统计</w:t>
            </w:r>
          </w:p>
        </w:tc>
        <w:tc>
          <w:tcPr>
            <w:tcW w:w="1174" w:type="pct"/>
            <w:tcBorders>
              <w:top w:val="single" w:color="auto" w:sz="6" w:space="0"/>
              <w:left w:val="single" w:color="auto" w:sz="6" w:space="0"/>
              <w:right w:val="single" w:color="auto" w:sz="6" w:space="0"/>
            </w:tcBorders>
            <w:shd w:val="clear" w:color="auto" w:fill="FFFFFF"/>
          </w:tcPr>
          <w:p w14:paraId="390D4414">
            <w:pPr>
              <w:spacing w:line="276" w:lineRule="auto"/>
              <w:rPr>
                <w:rFonts w:hint="eastAsia"/>
                <w:bCs/>
                <w:szCs w:val="21"/>
                <w:highlight w:val="none"/>
                <w:lang w:bidi="ar"/>
              </w:rPr>
            </w:pPr>
            <w:r>
              <w:rPr>
                <w:rFonts w:hint="eastAsia"/>
                <w:bCs/>
                <w:szCs w:val="21"/>
                <w:highlight w:val="none"/>
                <w:lang w:bidi="ar"/>
              </w:rPr>
              <w:t>科室计划查询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4CF98769">
            <w:pPr>
              <w:spacing w:line="276" w:lineRule="auto"/>
              <w:rPr>
                <w:rFonts w:hint="eastAsia"/>
                <w:bCs/>
                <w:szCs w:val="21"/>
                <w:highlight w:val="none"/>
                <w:lang w:bidi="ar"/>
              </w:rPr>
            </w:pPr>
            <w:r>
              <w:rPr>
                <w:rFonts w:hint="eastAsia"/>
                <w:bCs/>
                <w:szCs w:val="21"/>
                <w:highlight w:val="none"/>
                <w:lang w:bidi="ar"/>
              </w:rPr>
              <w:t>查询科室计划申报情况</w:t>
            </w:r>
          </w:p>
        </w:tc>
      </w:tr>
      <w:tr w14:paraId="41B85F98">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142ED663">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63E345B7">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20F66EB3">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29018E1D">
            <w:pPr>
              <w:spacing w:line="276" w:lineRule="auto"/>
              <w:rPr>
                <w:rFonts w:hint="eastAsia"/>
                <w:bCs/>
                <w:szCs w:val="21"/>
                <w:highlight w:val="none"/>
                <w:lang w:bidi="ar"/>
              </w:rPr>
            </w:pPr>
            <w:r>
              <w:rPr>
                <w:rFonts w:hint="eastAsia"/>
                <w:bCs/>
                <w:szCs w:val="21"/>
                <w:highlight w:val="none"/>
                <w:lang w:bidi="ar"/>
              </w:rPr>
              <w:t>综合业务查询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BB5B425">
            <w:pPr>
              <w:spacing w:line="276" w:lineRule="auto"/>
              <w:rPr>
                <w:rFonts w:hint="eastAsia"/>
                <w:bCs/>
                <w:szCs w:val="21"/>
                <w:highlight w:val="none"/>
                <w:lang w:bidi="ar"/>
              </w:rPr>
            </w:pPr>
            <w:r>
              <w:rPr>
                <w:rFonts w:hint="eastAsia"/>
                <w:bCs/>
                <w:szCs w:val="21"/>
                <w:highlight w:val="none"/>
                <w:lang w:bidi="ar"/>
              </w:rPr>
              <w:t>1、查询范围：入库、出库、退货、退库</w:t>
            </w:r>
          </w:p>
          <w:p w14:paraId="44CCBF77">
            <w:pPr>
              <w:spacing w:line="276" w:lineRule="auto"/>
              <w:rPr>
                <w:rFonts w:hint="eastAsia"/>
                <w:bCs/>
                <w:szCs w:val="21"/>
                <w:highlight w:val="none"/>
                <w:lang w:bidi="ar"/>
              </w:rPr>
            </w:pPr>
            <w:r>
              <w:rPr>
                <w:rFonts w:hint="eastAsia"/>
                <w:bCs/>
                <w:szCs w:val="21"/>
                <w:highlight w:val="none"/>
                <w:lang w:bidi="ar"/>
              </w:rPr>
              <w:t>2、根据特定条件查询：</w:t>
            </w:r>
          </w:p>
          <w:p w14:paraId="7DDA11C4">
            <w:pPr>
              <w:spacing w:line="276" w:lineRule="auto"/>
              <w:rPr>
                <w:rFonts w:hint="eastAsia"/>
                <w:bCs/>
                <w:szCs w:val="21"/>
                <w:highlight w:val="none"/>
                <w:lang w:bidi="ar"/>
              </w:rPr>
            </w:pPr>
            <w:r>
              <w:rPr>
                <w:rFonts w:hint="eastAsia"/>
                <w:bCs/>
                <w:szCs w:val="21"/>
                <w:highlight w:val="none"/>
                <w:lang w:bidi="ar"/>
              </w:rPr>
              <w:t>如库房、配送商、分类、厂家等</w:t>
            </w:r>
          </w:p>
          <w:p w14:paraId="31E88EBB">
            <w:pPr>
              <w:spacing w:line="276" w:lineRule="auto"/>
              <w:rPr>
                <w:rFonts w:hint="eastAsia"/>
                <w:bCs/>
                <w:szCs w:val="21"/>
                <w:highlight w:val="none"/>
                <w:lang w:bidi="ar"/>
              </w:rPr>
            </w:pPr>
            <w:r>
              <w:rPr>
                <w:rFonts w:hint="eastAsia"/>
                <w:bCs/>
                <w:szCs w:val="21"/>
                <w:highlight w:val="none"/>
                <w:lang w:bidi="ar"/>
              </w:rPr>
              <w:t>3、能导出excel表格</w:t>
            </w:r>
          </w:p>
        </w:tc>
      </w:tr>
      <w:tr w14:paraId="371042E8">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593824E1">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9EBC3B2">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44BF7C73">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01161A21">
            <w:pPr>
              <w:spacing w:line="276" w:lineRule="auto"/>
              <w:rPr>
                <w:rFonts w:hint="eastAsia"/>
                <w:bCs/>
                <w:szCs w:val="21"/>
                <w:highlight w:val="none"/>
                <w:lang w:bidi="ar"/>
              </w:rPr>
            </w:pPr>
            <w:r>
              <w:rPr>
                <w:rFonts w:hint="eastAsia"/>
                <w:bCs/>
                <w:szCs w:val="21"/>
                <w:highlight w:val="none"/>
                <w:lang w:bidi="ar"/>
              </w:rPr>
              <w:t>库房业务查询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47F50901">
            <w:pPr>
              <w:spacing w:line="276" w:lineRule="auto"/>
              <w:rPr>
                <w:rFonts w:hint="eastAsia"/>
                <w:bCs/>
                <w:szCs w:val="21"/>
                <w:highlight w:val="none"/>
                <w:lang w:bidi="ar"/>
              </w:rPr>
            </w:pPr>
            <w:r>
              <w:rPr>
                <w:rFonts w:hint="eastAsia"/>
                <w:bCs/>
                <w:szCs w:val="21"/>
                <w:highlight w:val="none"/>
                <w:lang w:bidi="ar"/>
              </w:rPr>
              <w:t>1、查询范围：入库、出库、退货、退库</w:t>
            </w:r>
          </w:p>
          <w:p w14:paraId="1E673ADE">
            <w:pPr>
              <w:spacing w:line="276" w:lineRule="auto"/>
              <w:rPr>
                <w:rFonts w:hint="eastAsia"/>
                <w:bCs/>
                <w:szCs w:val="21"/>
                <w:highlight w:val="none"/>
                <w:lang w:bidi="ar"/>
              </w:rPr>
            </w:pPr>
            <w:r>
              <w:rPr>
                <w:rFonts w:hint="eastAsia"/>
                <w:bCs/>
                <w:szCs w:val="21"/>
                <w:highlight w:val="none"/>
                <w:lang w:bidi="ar"/>
              </w:rPr>
              <w:t>2、根据特定条件查询：</w:t>
            </w:r>
          </w:p>
          <w:p w14:paraId="794A0ADF">
            <w:pPr>
              <w:spacing w:line="276" w:lineRule="auto"/>
              <w:rPr>
                <w:rFonts w:hint="eastAsia"/>
                <w:bCs/>
                <w:szCs w:val="21"/>
                <w:highlight w:val="none"/>
                <w:lang w:bidi="ar"/>
              </w:rPr>
            </w:pPr>
            <w:r>
              <w:rPr>
                <w:rFonts w:hint="eastAsia"/>
                <w:bCs/>
                <w:szCs w:val="21"/>
                <w:highlight w:val="none"/>
                <w:lang w:bidi="ar"/>
              </w:rPr>
              <w:t>如库房、配送商、分类、厂家等</w:t>
            </w:r>
          </w:p>
          <w:p w14:paraId="288FFE01">
            <w:pPr>
              <w:spacing w:line="276" w:lineRule="auto"/>
              <w:rPr>
                <w:rFonts w:hint="eastAsia"/>
                <w:bCs/>
                <w:szCs w:val="21"/>
                <w:highlight w:val="none"/>
                <w:lang w:bidi="ar"/>
              </w:rPr>
            </w:pPr>
            <w:r>
              <w:rPr>
                <w:rFonts w:hint="eastAsia"/>
                <w:bCs/>
                <w:szCs w:val="21"/>
                <w:highlight w:val="none"/>
                <w:lang w:bidi="ar"/>
              </w:rPr>
              <w:t>3、能导出excel表格</w:t>
            </w:r>
          </w:p>
        </w:tc>
      </w:tr>
      <w:tr w14:paraId="06E71C88">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05E39042">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0621DC84">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5C1571B1">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3DB786EA">
            <w:pPr>
              <w:spacing w:line="276" w:lineRule="auto"/>
              <w:rPr>
                <w:rFonts w:hint="eastAsia"/>
                <w:bCs/>
                <w:szCs w:val="21"/>
                <w:highlight w:val="none"/>
                <w:lang w:bidi="ar"/>
              </w:rPr>
            </w:pPr>
            <w:r>
              <w:rPr>
                <w:rFonts w:hint="eastAsia"/>
                <w:bCs/>
                <w:szCs w:val="21"/>
                <w:highlight w:val="none"/>
                <w:lang w:bidi="ar"/>
              </w:rPr>
              <w:t>一级库库存查询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44BFA343">
            <w:pPr>
              <w:spacing w:line="276" w:lineRule="auto"/>
              <w:rPr>
                <w:rFonts w:hint="eastAsia"/>
                <w:bCs/>
                <w:szCs w:val="21"/>
                <w:highlight w:val="none"/>
                <w:lang w:bidi="ar"/>
              </w:rPr>
            </w:pPr>
            <w:r>
              <w:rPr>
                <w:rFonts w:hint="eastAsia"/>
                <w:bCs/>
                <w:szCs w:val="21"/>
                <w:highlight w:val="none"/>
                <w:lang w:bidi="ar"/>
              </w:rPr>
              <w:t>根据库房、物资名称、分类进行汇总查询；能查看效期批次</w:t>
            </w:r>
          </w:p>
        </w:tc>
      </w:tr>
      <w:tr w14:paraId="1021E2BA">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6B3E430D">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4E9F4C06">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50345739">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030305C5">
            <w:pPr>
              <w:spacing w:line="276" w:lineRule="auto"/>
              <w:rPr>
                <w:rFonts w:hint="eastAsia"/>
                <w:bCs/>
                <w:szCs w:val="21"/>
                <w:highlight w:val="none"/>
                <w:lang w:bidi="ar"/>
              </w:rPr>
            </w:pPr>
            <w:r>
              <w:rPr>
                <w:rFonts w:hint="eastAsia"/>
                <w:bCs/>
                <w:szCs w:val="21"/>
                <w:highlight w:val="none"/>
                <w:lang w:bidi="ar"/>
              </w:rPr>
              <w:t>二级库库存查询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260104CD">
            <w:pPr>
              <w:spacing w:line="276" w:lineRule="auto"/>
              <w:rPr>
                <w:rFonts w:hint="eastAsia"/>
                <w:bCs/>
                <w:szCs w:val="21"/>
                <w:highlight w:val="none"/>
                <w:lang w:bidi="ar"/>
              </w:rPr>
            </w:pPr>
            <w:r>
              <w:rPr>
                <w:rFonts w:hint="eastAsia"/>
                <w:bCs/>
                <w:szCs w:val="21"/>
                <w:highlight w:val="none"/>
                <w:lang w:bidi="ar"/>
              </w:rPr>
              <w:t>查看全院二级库存</w:t>
            </w:r>
          </w:p>
        </w:tc>
      </w:tr>
      <w:tr w14:paraId="4C13EEC1">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vAlign w:val="center"/>
          </w:tcPr>
          <w:p w14:paraId="7F03B12A">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4BB08FEB">
            <w:pPr>
              <w:spacing w:line="276" w:lineRule="auto"/>
              <w:rPr>
                <w:rFonts w:hint="eastAsia"/>
                <w:szCs w:val="21"/>
                <w:highlight w:val="none"/>
                <w:lang w:bidi="ar"/>
              </w:rPr>
            </w:pPr>
          </w:p>
        </w:tc>
        <w:tc>
          <w:tcPr>
            <w:tcW w:w="695" w:type="pct"/>
            <w:vMerge w:val="continue"/>
            <w:tcBorders>
              <w:left w:val="single" w:color="auto" w:sz="6" w:space="0"/>
              <w:right w:val="single" w:color="auto" w:sz="6" w:space="0"/>
            </w:tcBorders>
            <w:shd w:val="clear" w:color="auto" w:fill="FFFFFF"/>
          </w:tcPr>
          <w:p w14:paraId="4F8E075B">
            <w:pPr>
              <w:spacing w:line="276" w:lineRule="auto"/>
              <w:rPr>
                <w:rFonts w:hint="eastAsia"/>
                <w:bCs/>
                <w:szCs w:val="21"/>
                <w:highlight w:val="none"/>
                <w:lang w:bidi="ar"/>
              </w:rPr>
            </w:pPr>
          </w:p>
        </w:tc>
        <w:tc>
          <w:tcPr>
            <w:tcW w:w="1174" w:type="pct"/>
            <w:tcBorders>
              <w:top w:val="single" w:color="auto" w:sz="6" w:space="0"/>
              <w:left w:val="single" w:color="auto" w:sz="6" w:space="0"/>
              <w:right w:val="single" w:color="auto" w:sz="6" w:space="0"/>
            </w:tcBorders>
            <w:shd w:val="clear" w:color="auto" w:fill="FFFFFF"/>
          </w:tcPr>
          <w:p w14:paraId="16BD17DC">
            <w:pPr>
              <w:spacing w:line="276" w:lineRule="auto"/>
              <w:rPr>
                <w:rFonts w:hint="eastAsia"/>
                <w:bCs/>
                <w:szCs w:val="21"/>
                <w:highlight w:val="none"/>
                <w:lang w:bidi="ar"/>
              </w:rPr>
            </w:pPr>
            <w:r>
              <w:rPr>
                <w:rFonts w:hint="eastAsia"/>
                <w:bCs/>
                <w:szCs w:val="21"/>
                <w:highlight w:val="none"/>
                <w:lang w:bidi="ar"/>
              </w:rPr>
              <w:t>耗材分析统计</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6F4918AD">
            <w:pPr>
              <w:spacing w:line="276" w:lineRule="auto"/>
              <w:rPr>
                <w:rFonts w:hint="eastAsia"/>
                <w:bCs/>
                <w:szCs w:val="21"/>
                <w:highlight w:val="none"/>
                <w:lang w:bidi="ar"/>
              </w:rPr>
            </w:pPr>
            <w:r>
              <w:rPr>
                <w:rFonts w:hint="eastAsia"/>
                <w:bCs/>
                <w:szCs w:val="21"/>
                <w:highlight w:val="none"/>
                <w:lang w:bidi="ar"/>
              </w:rPr>
              <w:t>耗材出入库统计趋势图</w:t>
            </w:r>
          </w:p>
          <w:p w14:paraId="6244A92B">
            <w:pPr>
              <w:spacing w:line="276" w:lineRule="auto"/>
              <w:rPr>
                <w:rFonts w:hint="eastAsia"/>
                <w:bCs/>
                <w:szCs w:val="21"/>
                <w:highlight w:val="none"/>
                <w:lang w:bidi="ar"/>
              </w:rPr>
            </w:pPr>
            <w:r>
              <w:rPr>
                <w:rFonts w:hint="eastAsia"/>
                <w:bCs/>
                <w:szCs w:val="21"/>
                <w:highlight w:val="none"/>
                <w:lang w:bidi="ar"/>
              </w:rPr>
              <w:t>耗材统计排名：产品、供应商、科室</w:t>
            </w:r>
          </w:p>
          <w:p w14:paraId="7F1ACE6E">
            <w:pPr>
              <w:spacing w:line="276" w:lineRule="auto"/>
              <w:rPr>
                <w:rFonts w:hint="eastAsia"/>
                <w:bCs/>
                <w:szCs w:val="21"/>
                <w:highlight w:val="none"/>
                <w:lang w:bidi="ar"/>
              </w:rPr>
            </w:pPr>
            <w:r>
              <w:rPr>
                <w:rFonts w:hint="eastAsia"/>
                <w:bCs/>
                <w:szCs w:val="21"/>
                <w:highlight w:val="none"/>
                <w:lang w:bidi="ar"/>
              </w:rPr>
              <w:t>耗材统计：环比</w:t>
            </w:r>
          </w:p>
          <w:p w14:paraId="426E3CCF">
            <w:pPr>
              <w:spacing w:line="276" w:lineRule="auto"/>
              <w:rPr>
                <w:rFonts w:hint="eastAsia"/>
                <w:bCs/>
                <w:szCs w:val="21"/>
                <w:highlight w:val="none"/>
                <w:lang w:bidi="ar"/>
              </w:rPr>
            </w:pPr>
            <w:r>
              <w:rPr>
                <w:rFonts w:hint="eastAsia"/>
                <w:bCs/>
                <w:szCs w:val="21"/>
                <w:highlight w:val="none"/>
                <w:lang w:bidi="ar"/>
              </w:rPr>
              <w:t>耗材统计：同比</w:t>
            </w:r>
          </w:p>
          <w:p w14:paraId="1A1FABF1">
            <w:pPr>
              <w:spacing w:line="276" w:lineRule="auto"/>
              <w:rPr>
                <w:rFonts w:hint="eastAsia"/>
                <w:bCs/>
                <w:szCs w:val="21"/>
                <w:highlight w:val="none"/>
                <w:lang w:bidi="ar"/>
              </w:rPr>
            </w:pPr>
            <w:r>
              <w:rPr>
                <w:rFonts w:hint="eastAsia"/>
                <w:bCs/>
                <w:szCs w:val="21"/>
                <w:highlight w:val="none"/>
                <w:lang w:bidi="ar"/>
              </w:rPr>
              <w:t>其他自定义统计</w:t>
            </w:r>
          </w:p>
        </w:tc>
      </w:tr>
      <w:tr w14:paraId="6F0750F8">
        <w:tblPrEx>
          <w:tblCellMar>
            <w:top w:w="0" w:type="dxa"/>
            <w:left w:w="108" w:type="dxa"/>
            <w:bottom w:w="0" w:type="dxa"/>
            <w:right w:w="108" w:type="dxa"/>
          </w:tblCellMar>
        </w:tblPrEx>
        <w:trPr>
          <w:trHeight w:val="398" w:hRule="atLeast"/>
          <w:jc w:val="center"/>
        </w:trPr>
        <w:tc>
          <w:tcPr>
            <w:tcW w:w="343" w:type="pct"/>
            <w:vMerge w:val="restart"/>
            <w:tcBorders>
              <w:top w:val="single" w:color="auto" w:sz="6" w:space="0"/>
              <w:left w:val="single" w:color="auto" w:sz="6" w:space="0"/>
              <w:right w:val="single" w:color="auto" w:sz="6" w:space="0"/>
            </w:tcBorders>
            <w:shd w:val="clear" w:color="auto" w:fill="FFFFFF"/>
            <w:vAlign w:val="center"/>
          </w:tcPr>
          <w:p w14:paraId="33BB306A">
            <w:pPr>
              <w:spacing w:line="276" w:lineRule="auto"/>
              <w:rPr>
                <w:rFonts w:hint="eastAsia"/>
                <w:bCs/>
                <w:szCs w:val="21"/>
                <w:highlight w:val="none"/>
                <w:lang w:bidi="ar"/>
              </w:rPr>
            </w:pPr>
            <w:r>
              <w:rPr>
                <w:rFonts w:hint="eastAsia"/>
                <w:bCs/>
                <w:szCs w:val="21"/>
                <w:highlight w:val="none"/>
                <w:lang w:bidi="ar"/>
              </w:rPr>
              <w:t>4</w:t>
            </w:r>
          </w:p>
        </w:tc>
        <w:tc>
          <w:tcPr>
            <w:tcW w:w="752" w:type="pct"/>
            <w:vMerge w:val="restart"/>
            <w:tcBorders>
              <w:top w:val="single" w:color="auto" w:sz="6" w:space="0"/>
              <w:left w:val="single" w:color="auto" w:sz="6" w:space="0"/>
              <w:right w:val="single" w:color="auto" w:sz="6" w:space="0"/>
            </w:tcBorders>
            <w:shd w:val="clear" w:color="auto" w:fill="FFFFFF"/>
            <w:vAlign w:val="center"/>
          </w:tcPr>
          <w:p w14:paraId="2F3D253B">
            <w:pPr>
              <w:spacing w:line="276" w:lineRule="auto"/>
              <w:rPr>
                <w:rFonts w:hint="eastAsia"/>
                <w:szCs w:val="21"/>
                <w:highlight w:val="none"/>
                <w:lang w:bidi="ar"/>
              </w:rPr>
            </w:pPr>
            <w:r>
              <w:rPr>
                <w:rFonts w:hint="eastAsia"/>
                <w:szCs w:val="21"/>
                <w:highlight w:val="none"/>
                <w:lang w:bidi="ar"/>
              </w:rPr>
              <w:t>普通临床科室</w:t>
            </w:r>
          </w:p>
          <w:p w14:paraId="57CA104A">
            <w:pPr>
              <w:spacing w:line="276" w:lineRule="auto"/>
              <w:rPr>
                <w:rFonts w:hint="eastAsia"/>
                <w:szCs w:val="21"/>
                <w:highlight w:val="none"/>
                <w:lang w:bidi="ar"/>
              </w:rPr>
            </w:pPr>
            <w:r>
              <w:rPr>
                <w:rFonts w:hint="eastAsia"/>
                <w:szCs w:val="21"/>
                <w:highlight w:val="none"/>
                <w:lang w:bidi="ar"/>
              </w:rPr>
              <w:t>二级库</w:t>
            </w:r>
          </w:p>
          <w:p w14:paraId="7DDFC823">
            <w:pPr>
              <w:spacing w:line="276" w:lineRule="auto"/>
              <w:rPr>
                <w:rFonts w:hint="eastAsia"/>
                <w:szCs w:val="21"/>
                <w:highlight w:val="none"/>
                <w:lang w:bidi="ar"/>
              </w:rPr>
            </w:pPr>
            <w:r>
              <w:rPr>
                <w:rFonts w:hint="eastAsia"/>
                <w:szCs w:val="21"/>
                <w:highlight w:val="none"/>
                <w:lang w:bidi="ar"/>
              </w:rPr>
              <w:t>管理</w:t>
            </w:r>
          </w:p>
          <w:p w14:paraId="0D0DDE14">
            <w:pPr>
              <w:spacing w:line="276" w:lineRule="auto"/>
              <w:rPr>
                <w:rFonts w:hint="eastAsia"/>
                <w:bCs/>
                <w:color w:val="FF0000"/>
                <w:szCs w:val="21"/>
                <w:highlight w:val="none"/>
                <w:lang w:bidi="ar"/>
              </w:rPr>
            </w:pPr>
          </w:p>
        </w:tc>
        <w:tc>
          <w:tcPr>
            <w:tcW w:w="695" w:type="pct"/>
            <w:vMerge w:val="restart"/>
            <w:tcBorders>
              <w:top w:val="single" w:color="auto" w:sz="6" w:space="0"/>
              <w:left w:val="single" w:color="auto" w:sz="6" w:space="0"/>
              <w:right w:val="single" w:color="auto" w:sz="6" w:space="0"/>
            </w:tcBorders>
            <w:shd w:val="clear" w:color="auto" w:fill="FFFFFF"/>
            <w:vAlign w:val="center"/>
          </w:tcPr>
          <w:p w14:paraId="680D6660">
            <w:pPr>
              <w:spacing w:line="276" w:lineRule="auto"/>
              <w:rPr>
                <w:rFonts w:hint="eastAsia"/>
                <w:bCs/>
                <w:szCs w:val="21"/>
                <w:highlight w:val="none"/>
                <w:lang w:bidi="ar"/>
              </w:rPr>
            </w:pPr>
            <w:r>
              <w:rPr>
                <w:rFonts w:hint="eastAsia"/>
                <w:bCs/>
                <w:szCs w:val="21"/>
                <w:highlight w:val="none"/>
                <w:lang w:bidi="ar"/>
              </w:rPr>
              <w:t>基础</w:t>
            </w:r>
          </w:p>
          <w:p w14:paraId="651D6B28">
            <w:pPr>
              <w:spacing w:line="276" w:lineRule="auto"/>
              <w:rPr>
                <w:rFonts w:hint="eastAsia"/>
                <w:bCs/>
                <w:szCs w:val="21"/>
                <w:highlight w:val="none"/>
                <w:lang w:bidi="ar"/>
              </w:rPr>
            </w:pPr>
            <w:r>
              <w:rPr>
                <w:rFonts w:hint="eastAsia"/>
                <w:bCs/>
                <w:szCs w:val="21"/>
                <w:highlight w:val="none"/>
                <w:lang w:bidi="ar"/>
              </w:rPr>
              <w:t>维护</w:t>
            </w:r>
          </w:p>
        </w:tc>
        <w:tc>
          <w:tcPr>
            <w:tcW w:w="1174" w:type="pct"/>
            <w:tcBorders>
              <w:top w:val="single" w:color="auto" w:sz="6" w:space="0"/>
              <w:left w:val="single" w:color="auto" w:sz="6" w:space="0"/>
              <w:right w:val="single" w:color="auto" w:sz="6" w:space="0"/>
            </w:tcBorders>
            <w:shd w:val="clear" w:color="auto" w:fill="FFFFFF"/>
          </w:tcPr>
          <w:p w14:paraId="34A4C828">
            <w:pPr>
              <w:spacing w:line="276" w:lineRule="auto"/>
              <w:rPr>
                <w:rFonts w:hint="eastAsia"/>
                <w:bCs/>
                <w:szCs w:val="21"/>
                <w:highlight w:val="none"/>
                <w:lang w:bidi="ar"/>
              </w:rPr>
            </w:pPr>
            <w:r>
              <w:rPr>
                <w:rFonts w:hint="eastAsia"/>
                <w:bCs/>
                <w:szCs w:val="21"/>
                <w:highlight w:val="none"/>
                <w:lang w:bidi="ar"/>
              </w:rPr>
              <w:t>二级库基数</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09F6C37">
            <w:pPr>
              <w:spacing w:line="276" w:lineRule="auto"/>
              <w:rPr>
                <w:rFonts w:hint="eastAsia"/>
                <w:bCs/>
                <w:szCs w:val="21"/>
                <w:highlight w:val="none"/>
                <w:lang w:bidi="ar"/>
              </w:rPr>
            </w:pPr>
            <w:r>
              <w:rPr>
                <w:rFonts w:hint="eastAsia"/>
                <w:bCs/>
                <w:szCs w:val="21"/>
                <w:highlight w:val="none"/>
                <w:lang w:bidi="ar"/>
              </w:rPr>
              <w:t>设定每一个二级库可领用物资的最高库存、最低库存、每次领用最大量等</w:t>
            </w:r>
          </w:p>
        </w:tc>
      </w:tr>
      <w:tr w14:paraId="16AA51E3">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06BA35E1">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0B1AEEA">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2B900700">
            <w:pPr>
              <w:spacing w:line="276" w:lineRule="auto"/>
              <w:rPr>
                <w:rFonts w:hint="eastAsia"/>
                <w:bCs/>
                <w:szCs w:val="21"/>
                <w:highlight w:val="none"/>
                <w:lang w:bidi="ar"/>
              </w:rPr>
            </w:pPr>
          </w:p>
        </w:tc>
        <w:tc>
          <w:tcPr>
            <w:tcW w:w="1174" w:type="pct"/>
            <w:tcBorders>
              <w:left w:val="single" w:color="auto" w:sz="6" w:space="0"/>
              <w:right w:val="single" w:color="auto" w:sz="6" w:space="0"/>
            </w:tcBorders>
            <w:shd w:val="clear" w:color="auto" w:fill="FFFFFF"/>
          </w:tcPr>
          <w:p w14:paraId="4F69431F">
            <w:pPr>
              <w:spacing w:line="276" w:lineRule="auto"/>
              <w:rPr>
                <w:rFonts w:hint="eastAsia"/>
                <w:bCs/>
                <w:szCs w:val="21"/>
                <w:highlight w:val="none"/>
                <w:lang w:bidi="ar"/>
              </w:rPr>
            </w:pPr>
            <w:r>
              <w:rPr>
                <w:rFonts w:hint="eastAsia"/>
                <w:bCs/>
                <w:szCs w:val="21"/>
                <w:highlight w:val="none"/>
                <w:lang w:bidi="ar"/>
              </w:rPr>
              <w:t>二级库模板</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1440D7FA">
            <w:pPr>
              <w:spacing w:line="276" w:lineRule="auto"/>
              <w:rPr>
                <w:rFonts w:hint="eastAsia"/>
                <w:bCs/>
                <w:szCs w:val="21"/>
                <w:highlight w:val="none"/>
                <w:lang w:bidi="ar"/>
              </w:rPr>
            </w:pPr>
            <w:r>
              <w:rPr>
                <w:rFonts w:hint="eastAsia"/>
                <w:bCs/>
                <w:szCs w:val="21"/>
                <w:highlight w:val="none"/>
                <w:lang w:bidi="ar"/>
              </w:rPr>
              <w:t>制定每个二级库物资模板</w:t>
            </w:r>
          </w:p>
        </w:tc>
      </w:tr>
      <w:tr w14:paraId="1FB579AC">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1F14308F">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64978F2D">
            <w:pPr>
              <w:spacing w:line="276" w:lineRule="auto"/>
              <w:rPr>
                <w:rFonts w:hint="eastAsia"/>
                <w:bCs/>
                <w:szCs w:val="21"/>
                <w:highlight w:val="none"/>
                <w:lang w:bidi="ar"/>
              </w:rPr>
            </w:pPr>
          </w:p>
        </w:tc>
        <w:tc>
          <w:tcPr>
            <w:tcW w:w="695" w:type="pct"/>
            <w:vMerge w:val="restart"/>
            <w:tcBorders>
              <w:left w:val="single" w:color="auto" w:sz="6" w:space="0"/>
              <w:right w:val="single" w:color="auto" w:sz="6" w:space="0"/>
            </w:tcBorders>
            <w:shd w:val="clear" w:color="auto" w:fill="FFFFFF"/>
            <w:vAlign w:val="center"/>
          </w:tcPr>
          <w:p w14:paraId="255C9827">
            <w:pPr>
              <w:spacing w:line="276" w:lineRule="auto"/>
              <w:rPr>
                <w:rFonts w:hint="eastAsia"/>
                <w:bCs/>
                <w:szCs w:val="21"/>
                <w:highlight w:val="none"/>
                <w:lang w:bidi="ar"/>
              </w:rPr>
            </w:pPr>
            <w:r>
              <w:rPr>
                <w:rFonts w:hint="eastAsia"/>
                <w:bCs/>
                <w:szCs w:val="21"/>
                <w:highlight w:val="none"/>
                <w:lang w:bidi="ar"/>
              </w:rPr>
              <w:t>物资</w:t>
            </w:r>
          </w:p>
          <w:p w14:paraId="6C45CBBC">
            <w:pPr>
              <w:spacing w:line="276" w:lineRule="auto"/>
              <w:rPr>
                <w:rFonts w:hint="eastAsia"/>
                <w:bCs/>
                <w:szCs w:val="21"/>
                <w:highlight w:val="none"/>
                <w:lang w:bidi="ar"/>
              </w:rPr>
            </w:pPr>
            <w:r>
              <w:rPr>
                <w:rFonts w:hint="eastAsia"/>
                <w:bCs/>
                <w:szCs w:val="21"/>
                <w:highlight w:val="none"/>
                <w:lang w:bidi="ar"/>
              </w:rPr>
              <w:t>申请</w:t>
            </w:r>
          </w:p>
        </w:tc>
        <w:tc>
          <w:tcPr>
            <w:tcW w:w="1174" w:type="pct"/>
            <w:tcBorders>
              <w:left w:val="single" w:color="auto" w:sz="6" w:space="0"/>
              <w:right w:val="single" w:color="auto" w:sz="6" w:space="0"/>
            </w:tcBorders>
            <w:shd w:val="clear" w:color="auto" w:fill="FFFFFF"/>
            <w:vAlign w:val="center"/>
          </w:tcPr>
          <w:p w14:paraId="4CA5D4A5">
            <w:pPr>
              <w:spacing w:line="276" w:lineRule="auto"/>
              <w:rPr>
                <w:rFonts w:hint="eastAsia"/>
                <w:bCs/>
                <w:szCs w:val="21"/>
                <w:highlight w:val="none"/>
                <w:lang w:bidi="ar"/>
              </w:rPr>
            </w:pPr>
            <w:r>
              <w:rPr>
                <w:rFonts w:hint="eastAsia"/>
                <w:bCs/>
                <w:szCs w:val="21"/>
                <w:highlight w:val="none"/>
                <w:lang w:bidi="ar"/>
              </w:rPr>
              <w:t>日常申请</w:t>
            </w:r>
          </w:p>
          <w:p w14:paraId="10DBA6C5">
            <w:pPr>
              <w:spacing w:line="276" w:lineRule="auto"/>
              <w:rPr>
                <w:rFonts w:hint="eastAsia"/>
                <w:bCs/>
                <w:szCs w:val="21"/>
                <w:highlight w:val="none"/>
                <w:lang w:bidi="ar"/>
              </w:rPr>
            </w:pPr>
            <w:r>
              <w:rPr>
                <w:rFonts w:hint="eastAsia"/>
                <w:bCs/>
                <w:szCs w:val="21"/>
                <w:highlight w:val="none"/>
                <w:lang w:bidi="ar"/>
              </w:rPr>
              <w:t>（针对一级库常规备货物资）</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55998B76">
            <w:pPr>
              <w:spacing w:line="276" w:lineRule="auto"/>
              <w:rPr>
                <w:rFonts w:hint="eastAsia"/>
                <w:bCs/>
                <w:szCs w:val="21"/>
                <w:highlight w:val="none"/>
                <w:lang w:bidi="ar"/>
              </w:rPr>
            </w:pPr>
            <w:r>
              <w:rPr>
                <w:rFonts w:hint="eastAsia"/>
                <w:bCs/>
                <w:szCs w:val="21"/>
                <w:highlight w:val="none"/>
                <w:lang w:bidi="ar"/>
              </w:rPr>
              <w:t>1、支持临床科室向多个库房申领</w:t>
            </w:r>
          </w:p>
          <w:p w14:paraId="7E881B09">
            <w:pPr>
              <w:spacing w:line="276" w:lineRule="auto"/>
              <w:rPr>
                <w:rFonts w:hint="eastAsia"/>
                <w:bCs/>
                <w:szCs w:val="21"/>
                <w:highlight w:val="none"/>
                <w:lang w:bidi="ar"/>
              </w:rPr>
            </w:pPr>
            <w:r>
              <w:rPr>
                <w:rFonts w:hint="eastAsia"/>
                <w:bCs/>
                <w:szCs w:val="21"/>
                <w:highlight w:val="none"/>
                <w:lang w:bidi="ar"/>
              </w:rPr>
              <w:t>（1）中心库房</w:t>
            </w:r>
          </w:p>
          <w:p w14:paraId="46821B0F">
            <w:pPr>
              <w:spacing w:line="276" w:lineRule="auto"/>
              <w:rPr>
                <w:rFonts w:hint="eastAsia"/>
                <w:bCs/>
                <w:szCs w:val="21"/>
                <w:highlight w:val="none"/>
                <w:lang w:bidi="ar"/>
              </w:rPr>
            </w:pPr>
            <w:r>
              <w:rPr>
                <w:rFonts w:hint="eastAsia"/>
                <w:bCs/>
                <w:szCs w:val="21"/>
                <w:highlight w:val="none"/>
                <w:lang w:bidi="ar"/>
              </w:rPr>
              <w:t>（2）消毒供应中心</w:t>
            </w:r>
          </w:p>
          <w:p w14:paraId="0854F2C8">
            <w:pPr>
              <w:spacing w:line="276" w:lineRule="auto"/>
              <w:rPr>
                <w:rFonts w:hint="eastAsia"/>
                <w:bCs/>
                <w:szCs w:val="21"/>
                <w:highlight w:val="none"/>
                <w:lang w:bidi="ar"/>
              </w:rPr>
            </w:pPr>
            <w:r>
              <w:rPr>
                <w:rFonts w:hint="eastAsia"/>
                <w:bCs/>
                <w:szCs w:val="21"/>
                <w:highlight w:val="none"/>
                <w:lang w:bidi="ar"/>
              </w:rPr>
              <w:t>（3）其他库房</w:t>
            </w:r>
          </w:p>
          <w:p w14:paraId="3DF29E73">
            <w:pPr>
              <w:spacing w:line="276" w:lineRule="auto"/>
              <w:rPr>
                <w:rFonts w:hint="eastAsia"/>
                <w:bCs/>
                <w:szCs w:val="21"/>
                <w:highlight w:val="none"/>
                <w:lang w:bidi="ar"/>
              </w:rPr>
            </w:pPr>
            <w:r>
              <w:rPr>
                <w:rFonts w:hint="eastAsia"/>
                <w:bCs/>
                <w:szCs w:val="21"/>
                <w:highlight w:val="none"/>
                <w:lang w:bidi="ar"/>
              </w:rPr>
              <w:t>2、支持对二级库物资进行分类管理</w:t>
            </w:r>
          </w:p>
        </w:tc>
      </w:tr>
      <w:tr w14:paraId="21F97C0D">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10097170">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55180C5">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32C5F06A">
            <w:pPr>
              <w:spacing w:line="276" w:lineRule="auto"/>
              <w:rPr>
                <w:rFonts w:hint="eastAsia"/>
                <w:bCs/>
                <w:szCs w:val="21"/>
                <w:highlight w:val="none"/>
                <w:lang w:bidi="ar"/>
              </w:rPr>
            </w:pPr>
          </w:p>
        </w:tc>
        <w:tc>
          <w:tcPr>
            <w:tcW w:w="1174" w:type="pct"/>
            <w:tcBorders>
              <w:left w:val="single" w:color="auto" w:sz="6" w:space="0"/>
              <w:right w:val="single" w:color="auto" w:sz="6" w:space="0"/>
            </w:tcBorders>
            <w:shd w:val="clear" w:color="auto" w:fill="FFFFFF"/>
            <w:vAlign w:val="center"/>
          </w:tcPr>
          <w:p w14:paraId="6EA4ED18">
            <w:pPr>
              <w:spacing w:line="276" w:lineRule="auto"/>
              <w:rPr>
                <w:rFonts w:hint="eastAsia"/>
                <w:bCs/>
                <w:szCs w:val="21"/>
                <w:highlight w:val="none"/>
                <w:lang w:bidi="ar"/>
              </w:rPr>
            </w:pPr>
            <w:r>
              <w:rPr>
                <w:rFonts w:hint="eastAsia"/>
                <w:bCs/>
                <w:szCs w:val="21"/>
                <w:highlight w:val="none"/>
                <w:lang w:bidi="ar"/>
              </w:rPr>
              <w:t>计划请领</w:t>
            </w:r>
          </w:p>
          <w:p w14:paraId="4828A2B6">
            <w:pPr>
              <w:spacing w:line="276" w:lineRule="auto"/>
              <w:rPr>
                <w:rFonts w:hint="eastAsia"/>
                <w:bCs/>
                <w:szCs w:val="21"/>
                <w:highlight w:val="none"/>
                <w:lang w:bidi="ar"/>
              </w:rPr>
            </w:pPr>
            <w:r>
              <w:rPr>
                <w:rFonts w:hint="eastAsia"/>
                <w:bCs/>
                <w:szCs w:val="21"/>
                <w:highlight w:val="none"/>
                <w:lang w:bidi="ar"/>
              </w:rPr>
              <w:t>（针对非植介入专科专用耗材）</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59F6F6A8">
            <w:pPr>
              <w:spacing w:line="276" w:lineRule="auto"/>
              <w:rPr>
                <w:rFonts w:hint="eastAsia"/>
                <w:bCs/>
                <w:szCs w:val="21"/>
                <w:highlight w:val="none"/>
                <w:lang w:bidi="ar"/>
              </w:rPr>
            </w:pPr>
            <w:r>
              <w:rPr>
                <w:rFonts w:hint="eastAsia"/>
                <w:bCs/>
                <w:szCs w:val="21"/>
                <w:highlight w:val="none"/>
                <w:lang w:bidi="ar"/>
              </w:rPr>
              <w:t>1、支持对二级库物资进行分类管理</w:t>
            </w:r>
          </w:p>
          <w:p w14:paraId="7261835D">
            <w:pPr>
              <w:spacing w:line="276" w:lineRule="auto"/>
              <w:rPr>
                <w:rFonts w:hint="eastAsia"/>
                <w:bCs/>
                <w:szCs w:val="21"/>
                <w:highlight w:val="none"/>
                <w:lang w:bidi="ar"/>
              </w:rPr>
            </w:pPr>
            <w:r>
              <w:rPr>
                <w:rFonts w:hint="eastAsia"/>
                <w:bCs/>
                <w:szCs w:val="21"/>
                <w:highlight w:val="none"/>
                <w:lang w:bidi="ar"/>
              </w:rPr>
              <w:t>2、可以查看申领记录</w:t>
            </w:r>
          </w:p>
        </w:tc>
      </w:tr>
      <w:tr w14:paraId="5700C4BE">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7B18BC89">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7F05CE59">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1CCA32D5">
            <w:pPr>
              <w:spacing w:line="276" w:lineRule="auto"/>
              <w:rPr>
                <w:rFonts w:hint="eastAsia"/>
                <w:bCs/>
                <w:szCs w:val="21"/>
                <w:highlight w:val="none"/>
                <w:lang w:bidi="ar"/>
              </w:rPr>
            </w:pPr>
          </w:p>
        </w:tc>
        <w:tc>
          <w:tcPr>
            <w:tcW w:w="1174" w:type="pct"/>
            <w:tcBorders>
              <w:left w:val="single" w:color="auto" w:sz="6" w:space="0"/>
              <w:right w:val="single" w:color="auto" w:sz="6" w:space="0"/>
            </w:tcBorders>
            <w:shd w:val="clear" w:color="auto" w:fill="FFFFFF"/>
            <w:vAlign w:val="center"/>
          </w:tcPr>
          <w:p w14:paraId="140CCAA8">
            <w:pPr>
              <w:spacing w:line="276" w:lineRule="auto"/>
              <w:rPr>
                <w:rFonts w:hint="eastAsia"/>
                <w:bCs/>
                <w:szCs w:val="21"/>
                <w:highlight w:val="none"/>
                <w:lang w:bidi="ar"/>
              </w:rPr>
            </w:pPr>
            <w:r>
              <w:rPr>
                <w:rFonts w:hint="eastAsia"/>
                <w:bCs/>
                <w:szCs w:val="21"/>
                <w:highlight w:val="none"/>
                <w:lang w:bidi="ar"/>
              </w:rPr>
              <w:t>请领查询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49C74820">
            <w:pPr>
              <w:spacing w:line="276" w:lineRule="auto"/>
              <w:rPr>
                <w:rFonts w:hint="eastAsia"/>
                <w:bCs/>
                <w:szCs w:val="21"/>
                <w:highlight w:val="none"/>
                <w:lang w:bidi="ar"/>
              </w:rPr>
            </w:pPr>
            <w:r>
              <w:rPr>
                <w:rFonts w:hint="eastAsia"/>
                <w:bCs/>
                <w:szCs w:val="21"/>
                <w:highlight w:val="none"/>
                <w:lang w:bidi="ar"/>
              </w:rPr>
              <w:t>日常请领查询</w:t>
            </w:r>
          </w:p>
          <w:p w14:paraId="7D26DD32">
            <w:pPr>
              <w:spacing w:line="276" w:lineRule="auto"/>
              <w:rPr>
                <w:rFonts w:hint="eastAsia"/>
                <w:bCs/>
                <w:szCs w:val="21"/>
                <w:highlight w:val="none"/>
                <w:lang w:bidi="ar"/>
              </w:rPr>
            </w:pPr>
            <w:r>
              <w:rPr>
                <w:rFonts w:hint="eastAsia"/>
                <w:bCs/>
                <w:szCs w:val="21"/>
                <w:highlight w:val="none"/>
                <w:lang w:bidi="ar"/>
              </w:rPr>
              <w:t>计划请领查询</w:t>
            </w:r>
          </w:p>
        </w:tc>
      </w:tr>
      <w:tr w14:paraId="2FF222E6">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53889759">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A230182">
            <w:pPr>
              <w:spacing w:line="276" w:lineRule="auto"/>
              <w:rPr>
                <w:rFonts w:hint="eastAsia"/>
                <w:bCs/>
                <w:szCs w:val="21"/>
                <w:highlight w:val="none"/>
                <w:lang w:bidi="ar"/>
              </w:rPr>
            </w:pPr>
          </w:p>
        </w:tc>
        <w:tc>
          <w:tcPr>
            <w:tcW w:w="695" w:type="pct"/>
            <w:vMerge w:val="restart"/>
            <w:tcBorders>
              <w:left w:val="single" w:color="auto" w:sz="6" w:space="0"/>
              <w:right w:val="single" w:color="auto" w:sz="6" w:space="0"/>
            </w:tcBorders>
            <w:shd w:val="clear" w:color="auto" w:fill="FFFFFF"/>
            <w:vAlign w:val="center"/>
          </w:tcPr>
          <w:p w14:paraId="6BFD9956">
            <w:pPr>
              <w:spacing w:line="276" w:lineRule="auto"/>
              <w:rPr>
                <w:rFonts w:hint="eastAsia"/>
                <w:bCs/>
                <w:szCs w:val="21"/>
                <w:highlight w:val="none"/>
                <w:lang w:bidi="ar"/>
              </w:rPr>
            </w:pPr>
            <w:r>
              <w:rPr>
                <w:rFonts w:hint="eastAsia"/>
                <w:bCs/>
                <w:szCs w:val="21"/>
                <w:highlight w:val="none"/>
                <w:lang w:bidi="ar"/>
              </w:rPr>
              <w:t>二级库业务</w:t>
            </w:r>
          </w:p>
        </w:tc>
        <w:tc>
          <w:tcPr>
            <w:tcW w:w="1174" w:type="pct"/>
            <w:tcBorders>
              <w:left w:val="single" w:color="auto" w:sz="6" w:space="0"/>
              <w:bottom w:val="single" w:color="auto" w:sz="6" w:space="0"/>
              <w:right w:val="single" w:color="auto" w:sz="6" w:space="0"/>
            </w:tcBorders>
            <w:shd w:val="clear" w:color="auto" w:fill="FFFFFF"/>
          </w:tcPr>
          <w:p w14:paraId="7AF07286">
            <w:pPr>
              <w:spacing w:line="276" w:lineRule="auto"/>
              <w:rPr>
                <w:rFonts w:hint="eastAsia"/>
                <w:bCs/>
                <w:szCs w:val="21"/>
                <w:highlight w:val="none"/>
                <w:lang w:bidi="ar"/>
              </w:rPr>
            </w:pPr>
            <w:r>
              <w:rPr>
                <w:rFonts w:hint="eastAsia"/>
                <w:bCs/>
                <w:szCs w:val="21"/>
                <w:highlight w:val="none"/>
                <w:lang w:bidi="ar"/>
              </w:rPr>
              <w:t>常规入库</w:t>
            </w:r>
          </w:p>
          <w:p w14:paraId="7566694D">
            <w:pPr>
              <w:spacing w:line="276" w:lineRule="auto"/>
              <w:rPr>
                <w:rFonts w:hint="eastAsia"/>
                <w:bCs/>
                <w:szCs w:val="21"/>
                <w:highlight w:val="none"/>
                <w:lang w:bidi="ar"/>
              </w:rPr>
            </w:pPr>
            <w:r>
              <w:rPr>
                <w:rFonts w:hint="eastAsia"/>
                <w:bCs/>
                <w:szCs w:val="21"/>
                <w:highlight w:val="none"/>
                <w:lang w:bidi="ar"/>
              </w:rPr>
              <w:t>（通用物资）</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74E29B17">
            <w:pPr>
              <w:spacing w:line="276" w:lineRule="auto"/>
              <w:rPr>
                <w:rFonts w:hint="eastAsia"/>
                <w:bCs/>
                <w:szCs w:val="21"/>
                <w:highlight w:val="none"/>
                <w:lang w:bidi="ar"/>
              </w:rPr>
            </w:pPr>
            <w:r>
              <w:rPr>
                <w:rFonts w:hint="eastAsia"/>
                <w:bCs/>
                <w:szCs w:val="21"/>
                <w:highlight w:val="none"/>
                <w:lang w:bidi="ar"/>
              </w:rPr>
              <w:t>移库入库</w:t>
            </w:r>
          </w:p>
          <w:p w14:paraId="3464C5C1">
            <w:pPr>
              <w:spacing w:line="276" w:lineRule="auto"/>
              <w:rPr>
                <w:rFonts w:hint="eastAsia"/>
                <w:bCs/>
                <w:szCs w:val="21"/>
                <w:highlight w:val="none"/>
                <w:lang w:bidi="ar"/>
              </w:rPr>
            </w:pPr>
            <w:r>
              <w:rPr>
                <w:rFonts w:hint="eastAsia"/>
                <w:bCs/>
                <w:szCs w:val="21"/>
                <w:highlight w:val="none"/>
                <w:lang w:bidi="ar"/>
              </w:rPr>
              <w:t>盘盈入库</w:t>
            </w:r>
          </w:p>
          <w:p w14:paraId="19035575">
            <w:pPr>
              <w:spacing w:line="276" w:lineRule="auto"/>
              <w:rPr>
                <w:rFonts w:hint="eastAsia"/>
                <w:bCs/>
                <w:szCs w:val="21"/>
                <w:highlight w:val="none"/>
                <w:lang w:bidi="ar"/>
              </w:rPr>
            </w:pPr>
            <w:r>
              <w:rPr>
                <w:rFonts w:hint="eastAsia"/>
                <w:bCs/>
                <w:szCs w:val="21"/>
                <w:highlight w:val="none"/>
                <w:lang w:bidi="ar"/>
              </w:rPr>
              <w:t>初始入库</w:t>
            </w:r>
          </w:p>
        </w:tc>
      </w:tr>
      <w:tr w14:paraId="1353E646">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7731B0A3">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48524A4F">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17F9A486">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5F296AC4">
            <w:pPr>
              <w:spacing w:line="276" w:lineRule="auto"/>
              <w:rPr>
                <w:rFonts w:hint="eastAsia"/>
                <w:bCs/>
                <w:szCs w:val="21"/>
                <w:highlight w:val="none"/>
                <w:lang w:bidi="ar"/>
              </w:rPr>
            </w:pPr>
            <w:r>
              <w:rPr>
                <w:rFonts w:hint="eastAsia"/>
                <w:bCs/>
                <w:szCs w:val="21"/>
                <w:highlight w:val="none"/>
                <w:lang w:bidi="ar"/>
              </w:rPr>
              <w:t>常规出库</w:t>
            </w:r>
          </w:p>
          <w:p w14:paraId="52F1C2FC">
            <w:pPr>
              <w:spacing w:line="276" w:lineRule="auto"/>
              <w:rPr>
                <w:rFonts w:hint="eastAsia"/>
                <w:bCs/>
                <w:szCs w:val="21"/>
                <w:highlight w:val="none"/>
                <w:lang w:bidi="ar"/>
              </w:rPr>
            </w:pPr>
            <w:r>
              <w:rPr>
                <w:rFonts w:hint="eastAsia"/>
                <w:bCs/>
                <w:szCs w:val="21"/>
                <w:highlight w:val="none"/>
                <w:lang w:bidi="ar"/>
              </w:rPr>
              <w:t>（通用物资）</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1FD218F6">
            <w:pPr>
              <w:spacing w:line="276" w:lineRule="auto"/>
              <w:rPr>
                <w:rFonts w:hint="eastAsia"/>
                <w:bCs/>
                <w:szCs w:val="21"/>
                <w:highlight w:val="none"/>
                <w:lang w:bidi="ar"/>
              </w:rPr>
            </w:pPr>
            <w:r>
              <w:rPr>
                <w:rFonts w:hint="eastAsia"/>
                <w:bCs/>
                <w:szCs w:val="21"/>
                <w:highlight w:val="none"/>
                <w:lang w:bidi="ar"/>
              </w:rPr>
              <w:t>调拨出库</w:t>
            </w:r>
          </w:p>
          <w:p w14:paraId="5A145FEB">
            <w:pPr>
              <w:spacing w:line="276" w:lineRule="auto"/>
              <w:rPr>
                <w:rFonts w:hint="eastAsia"/>
                <w:bCs/>
                <w:szCs w:val="21"/>
                <w:highlight w:val="none"/>
                <w:lang w:bidi="ar"/>
              </w:rPr>
            </w:pPr>
            <w:r>
              <w:rPr>
                <w:rFonts w:hint="eastAsia"/>
                <w:bCs/>
                <w:szCs w:val="21"/>
                <w:highlight w:val="none"/>
                <w:lang w:bidi="ar"/>
              </w:rPr>
              <w:t>病人消耗出库</w:t>
            </w:r>
          </w:p>
          <w:p w14:paraId="5AB0B04F">
            <w:pPr>
              <w:spacing w:line="276" w:lineRule="auto"/>
              <w:rPr>
                <w:rFonts w:hint="eastAsia"/>
                <w:bCs/>
                <w:szCs w:val="21"/>
                <w:highlight w:val="none"/>
                <w:lang w:bidi="ar"/>
              </w:rPr>
            </w:pPr>
            <w:r>
              <w:rPr>
                <w:rFonts w:hint="eastAsia"/>
                <w:bCs/>
                <w:szCs w:val="21"/>
                <w:highlight w:val="none"/>
                <w:lang w:bidi="ar"/>
              </w:rPr>
              <w:t>科室消耗出库</w:t>
            </w:r>
          </w:p>
          <w:p w14:paraId="47689CCB">
            <w:pPr>
              <w:spacing w:line="276" w:lineRule="auto"/>
              <w:rPr>
                <w:rFonts w:hint="eastAsia"/>
                <w:bCs/>
                <w:szCs w:val="21"/>
                <w:highlight w:val="none"/>
                <w:lang w:bidi="ar"/>
              </w:rPr>
            </w:pPr>
            <w:r>
              <w:rPr>
                <w:rFonts w:hint="eastAsia"/>
                <w:bCs/>
                <w:szCs w:val="21"/>
                <w:highlight w:val="none"/>
                <w:lang w:bidi="ar"/>
              </w:rPr>
              <w:t>损耗出库</w:t>
            </w:r>
          </w:p>
        </w:tc>
      </w:tr>
      <w:tr w14:paraId="644930A4">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14B5CCB2">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1D7A8429">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002CD4EB">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52F0DB71">
            <w:pPr>
              <w:spacing w:line="276" w:lineRule="auto"/>
              <w:rPr>
                <w:rFonts w:hint="eastAsia"/>
                <w:bCs/>
                <w:szCs w:val="21"/>
                <w:highlight w:val="none"/>
                <w:lang w:bidi="ar"/>
              </w:rPr>
            </w:pPr>
            <w:r>
              <w:rPr>
                <w:rFonts w:hint="eastAsia"/>
                <w:bCs/>
                <w:szCs w:val="21"/>
                <w:highlight w:val="none"/>
                <w:lang w:bidi="ar"/>
              </w:rPr>
              <w:t>常规审核</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7D1F4DFF">
            <w:pPr>
              <w:spacing w:line="276" w:lineRule="auto"/>
              <w:rPr>
                <w:rFonts w:hint="eastAsia"/>
                <w:bCs/>
                <w:szCs w:val="21"/>
                <w:highlight w:val="none"/>
                <w:lang w:bidi="ar"/>
              </w:rPr>
            </w:pPr>
            <w:r>
              <w:rPr>
                <w:rFonts w:hint="eastAsia"/>
                <w:bCs/>
                <w:szCs w:val="21"/>
                <w:highlight w:val="none"/>
                <w:lang w:bidi="ar"/>
              </w:rPr>
              <w:t>盘盈入库审核</w:t>
            </w:r>
          </w:p>
          <w:p w14:paraId="350036F5">
            <w:pPr>
              <w:spacing w:line="276" w:lineRule="auto"/>
              <w:rPr>
                <w:rFonts w:hint="eastAsia"/>
                <w:bCs/>
                <w:szCs w:val="21"/>
                <w:highlight w:val="none"/>
                <w:lang w:bidi="ar"/>
              </w:rPr>
            </w:pPr>
            <w:r>
              <w:rPr>
                <w:rFonts w:hint="eastAsia"/>
                <w:bCs/>
                <w:szCs w:val="21"/>
                <w:highlight w:val="none"/>
                <w:lang w:bidi="ar"/>
              </w:rPr>
              <w:t>盘亏出库审核</w:t>
            </w:r>
          </w:p>
        </w:tc>
      </w:tr>
      <w:tr w14:paraId="21D6E951">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66DBE309">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1CA1B9D9">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03636AB0">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1800A5E6">
            <w:pPr>
              <w:spacing w:line="276" w:lineRule="auto"/>
              <w:rPr>
                <w:rFonts w:hint="eastAsia"/>
                <w:bCs/>
                <w:szCs w:val="21"/>
                <w:highlight w:val="none"/>
                <w:lang w:bidi="ar"/>
              </w:rPr>
            </w:pPr>
            <w:r>
              <w:rPr>
                <w:rFonts w:hint="eastAsia"/>
                <w:bCs/>
                <w:szCs w:val="21"/>
                <w:highlight w:val="none"/>
                <w:lang w:bidi="ar"/>
              </w:rPr>
              <w:t>二级库盘点</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6BE938BA">
            <w:pPr>
              <w:spacing w:line="276" w:lineRule="auto"/>
              <w:rPr>
                <w:rFonts w:hint="eastAsia"/>
                <w:bCs/>
                <w:szCs w:val="21"/>
                <w:highlight w:val="none"/>
                <w:lang w:bidi="ar"/>
              </w:rPr>
            </w:pPr>
            <w:r>
              <w:rPr>
                <w:rFonts w:hint="eastAsia"/>
                <w:bCs/>
                <w:szCs w:val="21"/>
                <w:highlight w:val="none"/>
                <w:lang w:bidi="ar"/>
              </w:rPr>
              <w:t>创建盘点单</w:t>
            </w:r>
          </w:p>
          <w:p w14:paraId="6D321F0B">
            <w:pPr>
              <w:spacing w:line="276" w:lineRule="auto"/>
              <w:rPr>
                <w:rFonts w:hint="eastAsia"/>
                <w:bCs/>
                <w:szCs w:val="21"/>
                <w:highlight w:val="none"/>
                <w:lang w:bidi="ar"/>
              </w:rPr>
            </w:pPr>
            <w:r>
              <w:rPr>
                <w:rFonts w:hint="eastAsia"/>
                <w:bCs/>
                <w:szCs w:val="21"/>
                <w:highlight w:val="none"/>
                <w:lang w:bidi="ar"/>
              </w:rPr>
              <w:t>盘点详情记录</w:t>
            </w:r>
          </w:p>
          <w:p w14:paraId="36DDE35B">
            <w:pPr>
              <w:spacing w:line="276" w:lineRule="auto"/>
              <w:rPr>
                <w:rFonts w:hint="eastAsia"/>
                <w:bCs/>
                <w:szCs w:val="21"/>
                <w:highlight w:val="none"/>
                <w:lang w:bidi="ar"/>
              </w:rPr>
            </w:pPr>
            <w:r>
              <w:rPr>
                <w:rFonts w:hint="eastAsia"/>
                <w:bCs/>
                <w:szCs w:val="21"/>
                <w:highlight w:val="none"/>
                <w:lang w:bidi="ar"/>
              </w:rPr>
              <w:t>盘点报表管理</w:t>
            </w:r>
          </w:p>
          <w:p w14:paraId="7967E55C">
            <w:pPr>
              <w:spacing w:line="276" w:lineRule="auto"/>
              <w:rPr>
                <w:rFonts w:hint="eastAsia"/>
                <w:bCs/>
                <w:szCs w:val="21"/>
                <w:highlight w:val="none"/>
                <w:lang w:bidi="ar"/>
              </w:rPr>
            </w:pPr>
            <w:r>
              <w:rPr>
                <w:rFonts w:hint="eastAsia"/>
                <w:bCs/>
                <w:szCs w:val="21"/>
                <w:highlight w:val="none"/>
                <w:lang w:bidi="ar"/>
              </w:rPr>
              <w:t>其他</w:t>
            </w:r>
          </w:p>
        </w:tc>
      </w:tr>
      <w:tr w14:paraId="1FCECC30">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4CC19BAC">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3A7DE7C2">
            <w:pPr>
              <w:spacing w:line="276" w:lineRule="auto"/>
              <w:rPr>
                <w:rFonts w:hint="eastAsia"/>
                <w:bCs/>
                <w:szCs w:val="21"/>
                <w:highlight w:val="none"/>
                <w:lang w:bidi="ar"/>
              </w:rPr>
            </w:pPr>
          </w:p>
        </w:tc>
        <w:tc>
          <w:tcPr>
            <w:tcW w:w="695" w:type="pct"/>
            <w:vMerge w:val="restart"/>
            <w:tcBorders>
              <w:left w:val="single" w:color="auto" w:sz="6" w:space="0"/>
              <w:right w:val="single" w:color="auto" w:sz="6" w:space="0"/>
            </w:tcBorders>
            <w:shd w:val="clear" w:color="auto" w:fill="FFFFFF"/>
            <w:vAlign w:val="center"/>
          </w:tcPr>
          <w:p w14:paraId="0B30C1E4">
            <w:pPr>
              <w:spacing w:line="276" w:lineRule="auto"/>
              <w:rPr>
                <w:rFonts w:hint="eastAsia"/>
                <w:bCs/>
                <w:szCs w:val="21"/>
                <w:highlight w:val="none"/>
                <w:lang w:bidi="ar"/>
              </w:rPr>
            </w:pPr>
            <w:r>
              <w:rPr>
                <w:rFonts w:hint="eastAsia"/>
                <w:bCs/>
                <w:szCs w:val="21"/>
                <w:highlight w:val="none"/>
                <w:lang w:bidi="ar"/>
              </w:rPr>
              <w:t>使用</w:t>
            </w:r>
          </w:p>
          <w:p w14:paraId="688AF515">
            <w:pPr>
              <w:spacing w:line="276" w:lineRule="auto"/>
              <w:rPr>
                <w:rFonts w:hint="eastAsia"/>
                <w:bCs/>
                <w:szCs w:val="21"/>
                <w:highlight w:val="none"/>
                <w:lang w:bidi="ar"/>
              </w:rPr>
            </w:pPr>
            <w:r>
              <w:rPr>
                <w:rFonts w:hint="eastAsia"/>
                <w:bCs/>
                <w:szCs w:val="21"/>
                <w:highlight w:val="none"/>
                <w:lang w:bidi="ar"/>
              </w:rPr>
              <w:t>登记</w:t>
            </w:r>
          </w:p>
        </w:tc>
        <w:tc>
          <w:tcPr>
            <w:tcW w:w="1174" w:type="pct"/>
            <w:tcBorders>
              <w:left w:val="single" w:color="auto" w:sz="6" w:space="0"/>
              <w:bottom w:val="single" w:color="auto" w:sz="6" w:space="0"/>
              <w:right w:val="single" w:color="auto" w:sz="6" w:space="0"/>
            </w:tcBorders>
            <w:shd w:val="clear" w:color="auto" w:fill="FFFFFF"/>
            <w:vAlign w:val="center"/>
          </w:tcPr>
          <w:p w14:paraId="35E91BBE">
            <w:pPr>
              <w:spacing w:line="276" w:lineRule="auto"/>
              <w:rPr>
                <w:rFonts w:hint="eastAsia"/>
                <w:bCs/>
                <w:szCs w:val="21"/>
                <w:highlight w:val="none"/>
                <w:lang w:bidi="ar"/>
              </w:rPr>
            </w:pPr>
            <w:r>
              <w:rPr>
                <w:rFonts w:hint="eastAsia"/>
                <w:bCs/>
                <w:szCs w:val="21"/>
                <w:highlight w:val="none"/>
                <w:lang w:bidi="ar"/>
              </w:rPr>
              <w:t>住院使用登记</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4ADA1E31">
            <w:pPr>
              <w:spacing w:line="276" w:lineRule="auto"/>
              <w:rPr>
                <w:rFonts w:hint="eastAsia"/>
                <w:bCs/>
                <w:szCs w:val="21"/>
                <w:highlight w:val="none"/>
                <w:lang w:bidi="ar"/>
              </w:rPr>
            </w:pPr>
            <w:r>
              <w:rPr>
                <w:rFonts w:hint="eastAsia"/>
                <w:bCs/>
                <w:szCs w:val="21"/>
                <w:highlight w:val="none"/>
                <w:lang w:bidi="ar"/>
              </w:rPr>
              <w:t>关联患者在物资系统记费</w:t>
            </w:r>
          </w:p>
          <w:p w14:paraId="2CC5134C">
            <w:pPr>
              <w:spacing w:line="276" w:lineRule="auto"/>
              <w:rPr>
                <w:rFonts w:hint="eastAsia"/>
                <w:bCs/>
                <w:szCs w:val="21"/>
                <w:highlight w:val="none"/>
                <w:lang w:bidi="ar"/>
              </w:rPr>
            </w:pPr>
            <w:r>
              <w:rPr>
                <w:rFonts w:hint="eastAsia"/>
                <w:bCs/>
                <w:szCs w:val="21"/>
                <w:highlight w:val="none"/>
                <w:lang w:bidi="ar"/>
              </w:rPr>
              <w:t>具备审核功能</w:t>
            </w:r>
          </w:p>
          <w:p w14:paraId="1F8207C1">
            <w:pPr>
              <w:spacing w:line="276" w:lineRule="auto"/>
              <w:rPr>
                <w:rFonts w:hint="eastAsia"/>
                <w:bCs/>
                <w:szCs w:val="21"/>
                <w:highlight w:val="none"/>
                <w:lang w:bidi="ar"/>
              </w:rPr>
            </w:pPr>
            <w:r>
              <w:rPr>
                <w:rFonts w:hint="eastAsia"/>
                <w:bCs/>
                <w:szCs w:val="21"/>
                <w:highlight w:val="none"/>
                <w:lang w:bidi="ar"/>
              </w:rPr>
              <w:t>能与HIS联动，查看扣费详情</w:t>
            </w:r>
          </w:p>
          <w:p w14:paraId="5A7032FB">
            <w:pPr>
              <w:spacing w:line="276" w:lineRule="auto"/>
              <w:rPr>
                <w:rFonts w:hint="eastAsia"/>
                <w:bCs/>
                <w:szCs w:val="21"/>
                <w:highlight w:val="none"/>
                <w:lang w:bidi="ar"/>
              </w:rPr>
            </w:pPr>
            <w:r>
              <w:rPr>
                <w:rFonts w:hint="eastAsia"/>
                <w:bCs/>
                <w:szCs w:val="21"/>
                <w:highlight w:val="none"/>
                <w:lang w:bidi="ar"/>
              </w:rPr>
              <w:t>能打印使用清单</w:t>
            </w:r>
          </w:p>
          <w:p w14:paraId="1D60A60C">
            <w:pPr>
              <w:spacing w:line="276" w:lineRule="auto"/>
              <w:rPr>
                <w:rFonts w:hint="eastAsia"/>
                <w:bCs/>
                <w:szCs w:val="21"/>
                <w:highlight w:val="none"/>
                <w:lang w:bidi="ar"/>
              </w:rPr>
            </w:pPr>
            <w:r>
              <w:rPr>
                <w:rFonts w:hint="eastAsia"/>
                <w:bCs/>
                <w:szCs w:val="21"/>
                <w:highlight w:val="none"/>
                <w:lang w:bidi="ar"/>
              </w:rPr>
              <w:t>其他</w:t>
            </w:r>
          </w:p>
        </w:tc>
      </w:tr>
      <w:tr w14:paraId="735C8769">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5B7C1F42">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43C80E4E">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6CD98C51">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70E8F24A">
            <w:pPr>
              <w:spacing w:line="276" w:lineRule="auto"/>
              <w:rPr>
                <w:rFonts w:hint="eastAsia"/>
                <w:bCs/>
                <w:szCs w:val="21"/>
                <w:highlight w:val="none"/>
                <w:lang w:bidi="ar"/>
              </w:rPr>
            </w:pPr>
            <w:r>
              <w:rPr>
                <w:rFonts w:hint="eastAsia"/>
                <w:bCs/>
                <w:szCs w:val="21"/>
                <w:highlight w:val="none"/>
                <w:lang w:bidi="ar"/>
              </w:rPr>
              <w:t>门诊使用登记</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3A3EC42">
            <w:pPr>
              <w:spacing w:line="276" w:lineRule="auto"/>
              <w:rPr>
                <w:rFonts w:hint="eastAsia"/>
                <w:bCs/>
                <w:szCs w:val="21"/>
                <w:highlight w:val="none"/>
                <w:lang w:bidi="ar"/>
              </w:rPr>
            </w:pPr>
            <w:r>
              <w:rPr>
                <w:rFonts w:hint="eastAsia"/>
                <w:bCs/>
                <w:szCs w:val="21"/>
                <w:highlight w:val="none"/>
                <w:lang w:bidi="ar"/>
              </w:rPr>
              <w:t>关联门诊号进行使用登记</w:t>
            </w:r>
          </w:p>
          <w:p w14:paraId="32AB5EB1">
            <w:pPr>
              <w:spacing w:line="276" w:lineRule="auto"/>
              <w:rPr>
                <w:rFonts w:hint="eastAsia"/>
                <w:bCs/>
                <w:szCs w:val="21"/>
                <w:highlight w:val="none"/>
                <w:lang w:bidi="ar"/>
              </w:rPr>
            </w:pPr>
            <w:r>
              <w:rPr>
                <w:rFonts w:hint="eastAsia"/>
                <w:bCs/>
                <w:szCs w:val="21"/>
                <w:highlight w:val="none"/>
                <w:lang w:bidi="ar"/>
              </w:rPr>
              <w:t>扣费情况根据门诊HIS系统决定</w:t>
            </w:r>
          </w:p>
        </w:tc>
      </w:tr>
      <w:tr w14:paraId="308EFBC2">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3FC3C28D">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40B7B5B">
            <w:pPr>
              <w:spacing w:line="276" w:lineRule="auto"/>
              <w:rPr>
                <w:rFonts w:hint="eastAsia"/>
                <w:bCs/>
                <w:szCs w:val="21"/>
                <w:highlight w:val="none"/>
                <w:lang w:bidi="ar"/>
              </w:rPr>
            </w:pPr>
          </w:p>
        </w:tc>
        <w:tc>
          <w:tcPr>
            <w:tcW w:w="695" w:type="pct"/>
            <w:vMerge w:val="restart"/>
            <w:tcBorders>
              <w:left w:val="single" w:color="auto" w:sz="6" w:space="0"/>
              <w:right w:val="single" w:color="auto" w:sz="6" w:space="0"/>
            </w:tcBorders>
            <w:shd w:val="clear" w:color="auto" w:fill="FFFFFF"/>
            <w:vAlign w:val="center"/>
          </w:tcPr>
          <w:p w14:paraId="57882D9F">
            <w:pPr>
              <w:spacing w:line="276" w:lineRule="auto"/>
              <w:rPr>
                <w:rFonts w:hint="eastAsia"/>
                <w:bCs/>
                <w:szCs w:val="21"/>
                <w:highlight w:val="none"/>
                <w:lang w:bidi="ar"/>
              </w:rPr>
            </w:pPr>
            <w:r>
              <w:rPr>
                <w:rFonts w:hint="eastAsia"/>
                <w:bCs/>
                <w:szCs w:val="21"/>
                <w:highlight w:val="none"/>
                <w:lang w:bidi="ar"/>
              </w:rPr>
              <w:t>查询统计</w:t>
            </w:r>
          </w:p>
        </w:tc>
        <w:tc>
          <w:tcPr>
            <w:tcW w:w="1174" w:type="pct"/>
            <w:tcBorders>
              <w:left w:val="single" w:color="auto" w:sz="6" w:space="0"/>
              <w:bottom w:val="single" w:color="auto" w:sz="6" w:space="0"/>
              <w:right w:val="single" w:color="auto" w:sz="6" w:space="0"/>
            </w:tcBorders>
            <w:shd w:val="clear" w:color="auto" w:fill="FFFFFF"/>
          </w:tcPr>
          <w:p w14:paraId="1E4B0541">
            <w:pPr>
              <w:spacing w:line="276" w:lineRule="auto"/>
              <w:rPr>
                <w:rFonts w:hint="eastAsia"/>
                <w:bCs/>
                <w:szCs w:val="21"/>
                <w:highlight w:val="none"/>
                <w:lang w:bidi="ar"/>
              </w:rPr>
            </w:pPr>
            <w:r>
              <w:rPr>
                <w:rFonts w:hint="eastAsia"/>
                <w:bCs/>
                <w:szCs w:val="21"/>
                <w:highlight w:val="none"/>
                <w:lang w:bidi="ar"/>
              </w:rPr>
              <w:t>科室库存查询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F1555F2">
            <w:pPr>
              <w:spacing w:line="276" w:lineRule="auto"/>
              <w:rPr>
                <w:rFonts w:hint="eastAsia"/>
                <w:bCs/>
                <w:szCs w:val="21"/>
                <w:highlight w:val="none"/>
                <w:lang w:bidi="ar"/>
              </w:rPr>
            </w:pPr>
            <w:r>
              <w:rPr>
                <w:rFonts w:hint="eastAsia"/>
                <w:bCs/>
                <w:szCs w:val="21"/>
                <w:highlight w:val="none"/>
                <w:lang w:bidi="ar"/>
              </w:rPr>
              <w:t>查看二级库库存情况</w:t>
            </w:r>
          </w:p>
        </w:tc>
      </w:tr>
      <w:tr w14:paraId="612DE2D0">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785D08F4">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242D83C9">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01257557">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15132A61">
            <w:pPr>
              <w:spacing w:line="276" w:lineRule="auto"/>
              <w:rPr>
                <w:rFonts w:hint="eastAsia"/>
                <w:bCs/>
                <w:szCs w:val="21"/>
                <w:highlight w:val="none"/>
                <w:lang w:bidi="ar"/>
              </w:rPr>
            </w:pPr>
            <w:r>
              <w:rPr>
                <w:rFonts w:hint="eastAsia"/>
                <w:bCs/>
                <w:szCs w:val="21"/>
                <w:highlight w:val="none"/>
                <w:lang w:bidi="ar"/>
              </w:rPr>
              <w:t>科室业务查询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1B4D7F51">
            <w:pPr>
              <w:spacing w:line="276" w:lineRule="auto"/>
              <w:rPr>
                <w:rFonts w:hint="eastAsia"/>
                <w:bCs/>
                <w:szCs w:val="21"/>
                <w:highlight w:val="none"/>
                <w:lang w:bidi="ar"/>
              </w:rPr>
            </w:pPr>
            <w:r>
              <w:rPr>
                <w:rFonts w:hint="eastAsia"/>
                <w:bCs/>
                <w:szCs w:val="21"/>
                <w:highlight w:val="none"/>
                <w:lang w:bidi="ar"/>
              </w:rPr>
              <w:t>请领查询</w:t>
            </w:r>
          </w:p>
          <w:p w14:paraId="071A0E9F">
            <w:pPr>
              <w:spacing w:line="276" w:lineRule="auto"/>
              <w:rPr>
                <w:rFonts w:hint="eastAsia"/>
                <w:bCs/>
                <w:szCs w:val="21"/>
                <w:highlight w:val="none"/>
                <w:lang w:bidi="ar"/>
              </w:rPr>
            </w:pPr>
            <w:r>
              <w:rPr>
                <w:rFonts w:hint="eastAsia"/>
                <w:bCs/>
                <w:szCs w:val="21"/>
                <w:highlight w:val="none"/>
                <w:lang w:bidi="ar"/>
              </w:rPr>
              <w:t>计划查询</w:t>
            </w:r>
          </w:p>
          <w:p w14:paraId="0DAFB0D6">
            <w:pPr>
              <w:spacing w:line="276" w:lineRule="auto"/>
              <w:rPr>
                <w:rFonts w:hint="eastAsia"/>
                <w:bCs/>
                <w:szCs w:val="21"/>
                <w:highlight w:val="none"/>
                <w:lang w:bidi="ar"/>
              </w:rPr>
            </w:pPr>
            <w:r>
              <w:rPr>
                <w:rFonts w:hint="eastAsia"/>
                <w:bCs/>
                <w:szCs w:val="21"/>
                <w:highlight w:val="none"/>
                <w:lang w:bidi="ar"/>
              </w:rPr>
              <w:t>出库查询</w:t>
            </w:r>
          </w:p>
          <w:p w14:paraId="281FAD04">
            <w:pPr>
              <w:spacing w:line="276" w:lineRule="auto"/>
              <w:rPr>
                <w:rFonts w:hint="eastAsia"/>
                <w:bCs/>
                <w:szCs w:val="21"/>
                <w:highlight w:val="none"/>
                <w:lang w:bidi="ar"/>
              </w:rPr>
            </w:pPr>
            <w:r>
              <w:rPr>
                <w:rFonts w:hint="eastAsia"/>
                <w:bCs/>
                <w:szCs w:val="21"/>
                <w:highlight w:val="none"/>
                <w:lang w:bidi="ar"/>
              </w:rPr>
              <w:t>盘点查询</w:t>
            </w:r>
          </w:p>
          <w:p w14:paraId="623D352D">
            <w:pPr>
              <w:spacing w:line="276" w:lineRule="auto"/>
              <w:rPr>
                <w:rFonts w:hint="eastAsia"/>
                <w:bCs/>
                <w:szCs w:val="21"/>
                <w:highlight w:val="none"/>
                <w:lang w:bidi="ar"/>
              </w:rPr>
            </w:pPr>
            <w:r>
              <w:rPr>
                <w:rFonts w:hint="eastAsia"/>
                <w:bCs/>
                <w:szCs w:val="21"/>
                <w:highlight w:val="none"/>
                <w:lang w:bidi="ar"/>
              </w:rPr>
              <w:t>5、导出及打印功能</w:t>
            </w:r>
          </w:p>
        </w:tc>
      </w:tr>
      <w:tr w14:paraId="72448718">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38633774">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1533A93">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00FB06A7">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393AE1B3">
            <w:pPr>
              <w:spacing w:line="276" w:lineRule="auto"/>
              <w:rPr>
                <w:rFonts w:hint="eastAsia"/>
                <w:bCs/>
                <w:szCs w:val="21"/>
                <w:highlight w:val="none"/>
                <w:lang w:bidi="ar"/>
              </w:rPr>
            </w:pPr>
            <w:r>
              <w:rPr>
                <w:rFonts w:hint="eastAsia"/>
                <w:bCs/>
                <w:szCs w:val="21"/>
                <w:highlight w:val="none"/>
                <w:lang w:bidi="ar"/>
              </w:rPr>
              <w:t>使用登记查询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22F1703D">
            <w:pPr>
              <w:spacing w:line="276" w:lineRule="auto"/>
              <w:rPr>
                <w:rFonts w:hint="eastAsia"/>
                <w:bCs/>
                <w:szCs w:val="21"/>
                <w:highlight w:val="none"/>
                <w:lang w:bidi="ar"/>
              </w:rPr>
            </w:pPr>
            <w:r>
              <w:rPr>
                <w:rFonts w:hint="eastAsia"/>
                <w:bCs/>
                <w:szCs w:val="21"/>
                <w:highlight w:val="none"/>
                <w:lang w:bidi="ar"/>
              </w:rPr>
              <w:t>根据各种条件进行使用查询，能最终追踪到科室、医生、患者、使用时间</w:t>
            </w:r>
          </w:p>
          <w:p w14:paraId="236B9BCB">
            <w:pPr>
              <w:spacing w:line="276" w:lineRule="auto"/>
              <w:rPr>
                <w:rFonts w:hint="eastAsia"/>
                <w:bCs/>
                <w:szCs w:val="21"/>
                <w:highlight w:val="none"/>
                <w:lang w:bidi="ar"/>
              </w:rPr>
            </w:pPr>
            <w:r>
              <w:rPr>
                <w:rFonts w:hint="eastAsia"/>
                <w:bCs/>
                <w:szCs w:val="21"/>
                <w:highlight w:val="none"/>
                <w:lang w:bidi="ar"/>
              </w:rPr>
              <w:t>支持信息导出及打印</w:t>
            </w:r>
          </w:p>
        </w:tc>
      </w:tr>
      <w:tr w14:paraId="2664D19D">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49FFA771">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6FC7807A">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5398ADC6">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234F5CAC">
            <w:pPr>
              <w:spacing w:line="276" w:lineRule="auto"/>
              <w:rPr>
                <w:rFonts w:hint="eastAsia"/>
                <w:bCs/>
                <w:szCs w:val="21"/>
                <w:highlight w:val="none"/>
                <w:lang w:bidi="ar"/>
              </w:rPr>
            </w:pPr>
            <w:r>
              <w:rPr>
                <w:rFonts w:hint="eastAsia"/>
                <w:bCs/>
                <w:szCs w:val="21"/>
                <w:highlight w:val="none"/>
                <w:lang w:bidi="ar"/>
              </w:rPr>
              <w:t>HIS记费查询</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36A300DC">
            <w:pPr>
              <w:spacing w:line="276" w:lineRule="auto"/>
              <w:rPr>
                <w:rFonts w:hint="eastAsia"/>
                <w:bCs/>
                <w:szCs w:val="21"/>
                <w:highlight w:val="none"/>
                <w:lang w:bidi="ar"/>
              </w:rPr>
            </w:pPr>
            <w:r>
              <w:rPr>
                <w:rFonts w:hint="eastAsia"/>
                <w:bCs/>
                <w:szCs w:val="21"/>
                <w:highlight w:val="none"/>
                <w:lang w:bidi="ar"/>
              </w:rPr>
              <w:t>根据条件查询HIS记费记录</w:t>
            </w:r>
          </w:p>
        </w:tc>
      </w:tr>
      <w:tr w14:paraId="3E3F73FB">
        <w:tblPrEx>
          <w:tblCellMar>
            <w:top w:w="0" w:type="dxa"/>
            <w:left w:w="108" w:type="dxa"/>
            <w:bottom w:w="0" w:type="dxa"/>
            <w:right w:w="108" w:type="dxa"/>
          </w:tblCellMar>
        </w:tblPrEx>
        <w:trPr>
          <w:trHeight w:val="398" w:hRule="atLeast"/>
          <w:jc w:val="center"/>
        </w:trPr>
        <w:tc>
          <w:tcPr>
            <w:tcW w:w="343" w:type="pct"/>
            <w:vMerge w:val="continue"/>
            <w:tcBorders>
              <w:left w:val="single" w:color="auto" w:sz="6" w:space="0"/>
              <w:right w:val="single" w:color="auto" w:sz="6" w:space="0"/>
            </w:tcBorders>
            <w:shd w:val="clear" w:color="auto" w:fill="FFFFFF"/>
          </w:tcPr>
          <w:p w14:paraId="04CA37C6">
            <w:pPr>
              <w:spacing w:line="276" w:lineRule="auto"/>
              <w:rPr>
                <w:rFonts w:hint="eastAsia"/>
                <w:bCs/>
                <w:szCs w:val="21"/>
                <w:highlight w:val="none"/>
                <w:lang w:bidi="ar"/>
              </w:rPr>
            </w:pPr>
          </w:p>
        </w:tc>
        <w:tc>
          <w:tcPr>
            <w:tcW w:w="752" w:type="pct"/>
            <w:vMerge w:val="continue"/>
            <w:tcBorders>
              <w:left w:val="single" w:color="auto" w:sz="6" w:space="0"/>
              <w:right w:val="single" w:color="auto" w:sz="6" w:space="0"/>
            </w:tcBorders>
            <w:shd w:val="clear" w:color="auto" w:fill="FFFFFF"/>
            <w:vAlign w:val="center"/>
          </w:tcPr>
          <w:p w14:paraId="5CCA6232">
            <w:pPr>
              <w:spacing w:line="276" w:lineRule="auto"/>
              <w:rPr>
                <w:rFonts w:hint="eastAsia"/>
                <w:bCs/>
                <w:szCs w:val="21"/>
                <w:highlight w:val="none"/>
                <w:lang w:bidi="ar"/>
              </w:rPr>
            </w:pPr>
          </w:p>
        </w:tc>
        <w:tc>
          <w:tcPr>
            <w:tcW w:w="695" w:type="pct"/>
            <w:vMerge w:val="continue"/>
            <w:tcBorders>
              <w:left w:val="single" w:color="auto" w:sz="6" w:space="0"/>
              <w:right w:val="single" w:color="auto" w:sz="6" w:space="0"/>
            </w:tcBorders>
            <w:shd w:val="clear" w:color="auto" w:fill="FFFFFF"/>
          </w:tcPr>
          <w:p w14:paraId="5B260C00">
            <w:pPr>
              <w:spacing w:line="276" w:lineRule="auto"/>
              <w:rPr>
                <w:rFonts w:hint="eastAsia"/>
                <w:bCs/>
                <w:szCs w:val="21"/>
                <w:highlight w:val="none"/>
                <w:lang w:bidi="ar"/>
              </w:rPr>
            </w:pPr>
          </w:p>
        </w:tc>
        <w:tc>
          <w:tcPr>
            <w:tcW w:w="1174" w:type="pct"/>
            <w:tcBorders>
              <w:left w:val="single" w:color="auto" w:sz="6" w:space="0"/>
              <w:bottom w:val="single" w:color="auto" w:sz="6" w:space="0"/>
              <w:right w:val="single" w:color="auto" w:sz="6" w:space="0"/>
            </w:tcBorders>
            <w:shd w:val="clear" w:color="auto" w:fill="FFFFFF"/>
          </w:tcPr>
          <w:p w14:paraId="5DA75528">
            <w:pPr>
              <w:spacing w:line="276" w:lineRule="auto"/>
              <w:rPr>
                <w:rFonts w:hint="eastAsia"/>
                <w:bCs/>
                <w:szCs w:val="21"/>
                <w:highlight w:val="none"/>
                <w:lang w:bidi="ar"/>
              </w:rPr>
            </w:pPr>
            <w:r>
              <w:rPr>
                <w:rFonts w:hint="eastAsia"/>
                <w:bCs/>
                <w:szCs w:val="21"/>
                <w:highlight w:val="none"/>
                <w:lang w:bidi="ar"/>
              </w:rPr>
              <w:t>使用登记校对</w:t>
            </w:r>
          </w:p>
        </w:tc>
        <w:tc>
          <w:tcPr>
            <w:tcW w:w="2034" w:type="pct"/>
            <w:tcBorders>
              <w:top w:val="single" w:color="auto" w:sz="6" w:space="0"/>
              <w:left w:val="single" w:color="auto" w:sz="6" w:space="0"/>
              <w:bottom w:val="single" w:color="auto" w:sz="6" w:space="0"/>
              <w:right w:val="single" w:color="auto" w:sz="6" w:space="0"/>
            </w:tcBorders>
            <w:shd w:val="clear" w:color="auto" w:fill="FFFFFF"/>
            <w:vAlign w:val="center"/>
          </w:tcPr>
          <w:p w14:paraId="777AD4B7">
            <w:pPr>
              <w:spacing w:line="276" w:lineRule="auto"/>
              <w:rPr>
                <w:rFonts w:hint="eastAsia"/>
                <w:bCs/>
                <w:szCs w:val="21"/>
                <w:highlight w:val="none"/>
                <w:lang w:bidi="ar"/>
              </w:rPr>
            </w:pPr>
            <w:r>
              <w:rPr>
                <w:rFonts w:hint="eastAsia"/>
                <w:bCs/>
                <w:szCs w:val="21"/>
                <w:highlight w:val="none"/>
                <w:lang w:bidi="ar"/>
              </w:rPr>
              <w:t>使用登记与HIS记费进行比对，避免漏记、多记、错计</w:t>
            </w:r>
          </w:p>
        </w:tc>
      </w:tr>
    </w:tbl>
    <w:p w14:paraId="235135A2">
      <w:pPr>
        <w:rPr>
          <w:rFonts w:hint="eastAsia"/>
          <w:szCs w:val="21"/>
          <w:highlight w:val="none"/>
        </w:rPr>
      </w:pPr>
    </w:p>
    <w:p w14:paraId="7D834C55">
      <w:pPr>
        <w:pStyle w:val="4"/>
        <w:rPr>
          <w:rFonts w:hint="eastAsia" w:ascii="宋体" w:hAnsi="宋体"/>
          <w:sz w:val="21"/>
          <w:szCs w:val="21"/>
          <w:highlight w:val="none"/>
        </w:rPr>
      </w:pPr>
      <w:r>
        <w:rPr>
          <w:rFonts w:hint="eastAsia" w:ascii="宋体" w:hAnsi="宋体"/>
          <w:sz w:val="21"/>
          <w:szCs w:val="21"/>
          <w:highlight w:val="none"/>
        </w:rPr>
        <w:t>医疗管理</w:t>
      </w:r>
    </w:p>
    <w:p w14:paraId="311459D5">
      <w:pPr>
        <w:pStyle w:val="5"/>
        <w:rPr>
          <w:rFonts w:hint="eastAsia" w:ascii="宋体" w:hAnsi="宋体" w:eastAsia="宋体"/>
          <w:sz w:val="21"/>
          <w:szCs w:val="21"/>
          <w:highlight w:val="none"/>
        </w:rPr>
      </w:pPr>
      <w:bookmarkStart w:id="82" w:name="_Toc14480"/>
      <w:r>
        <w:rPr>
          <w:rFonts w:hint="eastAsia" w:ascii="宋体" w:hAnsi="宋体" w:eastAsia="宋体"/>
          <w:sz w:val="21"/>
          <w:szCs w:val="21"/>
          <w:highlight w:val="none"/>
        </w:rPr>
        <w:t>医保对账管理系统</w:t>
      </w:r>
      <w:bookmarkEnd w:id="82"/>
    </w:p>
    <w:p w14:paraId="74C70B14">
      <w:pPr>
        <w:rPr>
          <w:rFonts w:hint="eastAsia"/>
          <w:szCs w:val="21"/>
          <w:highlight w:val="none"/>
        </w:rPr>
      </w:pPr>
      <w:r>
        <w:rPr>
          <w:rFonts w:hint="eastAsia"/>
          <w:szCs w:val="21"/>
          <w:highlight w:val="none"/>
        </w:rPr>
        <w:t>要求为医院端提供医保控费管理，能辅助医院做好医保费用的合理管控，为医院医疗运营管理提供决策支持。具体功能包括：医保下载管理、医保对照管理、医保单病种管理、医保特殊病种管理、医保审批管理、医保门诊交易、医保住院交易、医保日志管理、医保对账报表。</w:t>
      </w:r>
    </w:p>
    <w:p w14:paraId="13010224">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医保下载管理</w:t>
      </w:r>
    </w:p>
    <w:p w14:paraId="28BBECEE">
      <w:pPr>
        <w:rPr>
          <w:rFonts w:hint="eastAsia"/>
          <w:szCs w:val="21"/>
          <w:highlight w:val="none"/>
        </w:rPr>
      </w:pPr>
      <w:r>
        <w:rPr>
          <w:rFonts w:hint="eastAsia"/>
          <w:szCs w:val="21"/>
          <w:highlight w:val="none"/>
        </w:rPr>
        <w:t>医保下载主要是获取并下载对应医保相关信息，包括目录材料等对照信息下载、医保药品下载、ICD/病种下载、诊疗项目下载、补偿类型下载等内容。</w:t>
      </w:r>
    </w:p>
    <w:p w14:paraId="4C7D35BC">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医保对照管理</w:t>
      </w:r>
    </w:p>
    <w:p w14:paraId="7A834DE0">
      <w:pPr>
        <w:rPr>
          <w:rFonts w:hint="eastAsia"/>
          <w:szCs w:val="21"/>
          <w:highlight w:val="none"/>
        </w:rPr>
      </w:pPr>
      <w:r>
        <w:rPr>
          <w:rFonts w:hint="eastAsia"/>
          <w:szCs w:val="21"/>
          <w:highlight w:val="none"/>
        </w:rPr>
        <w:t>医保对照管理主要是对医保目录的下载，根据下载的医保数据进行院内检验检查药品等项目的对照更新。</w:t>
      </w:r>
    </w:p>
    <w:p w14:paraId="1A4F8FC0">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医保特殊病种管理</w:t>
      </w:r>
    </w:p>
    <w:p w14:paraId="794A7883">
      <w:pPr>
        <w:rPr>
          <w:rFonts w:hint="eastAsia"/>
          <w:szCs w:val="21"/>
          <w:highlight w:val="none"/>
        </w:rPr>
      </w:pPr>
      <w:r>
        <w:rPr>
          <w:rFonts w:hint="eastAsia"/>
          <w:szCs w:val="21"/>
          <w:highlight w:val="none"/>
        </w:rPr>
        <w:t>特殊病种管理主要是针对医保价项进行特殊病种或单病种价项信息维护，还支持单病种材料信息的维护。</w:t>
      </w:r>
    </w:p>
    <w:p w14:paraId="38FE2989">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医保审批管理</w:t>
      </w:r>
    </w:p>
    <w:p w14:paraId="098C2EA3">
      <w:pPr>
        <w:ind w:left="480"/>
        <w:rPr>
          <w:rFonts w:hint="eastAsia"/>
          <w:szCs w:val="21"/>
          <w:highlight w:val="none"/>
        </w:rPr>
      </w:pPr>
      <w:r>
        <w:rPr>
          <w:rFonts w:hint="eastAsia"/>
          <w:szCs w:val="21"/>
          <w:highlight w:val="none"/>
        </w:rPr>
        <w:t>针对医保患者病种及申请信息进行审批和查看，支持暂时锁定。</w:t>
      </w:r>
    </w:p>
    <w:p w14:paraId="61E5C9BA">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医保签到签退</w:t>
      </w:r>
    </w:p>
    <w:p w14:paraId="4778CC59">
      <w:pPr>
        <w:pStyle w:val="117"/>
        <w:ind w:left="840" w:firstLine="0" w:firstLineChars="0"/>
        <w:rPr>
          <w:rFonts w:hint="eastAsia" w:ascii="宋体" w:hAnsi="宋体"/>
          <w:szCs w:val="21"/>
          <w:highlight w:val="none"/>
        </w:rPr>
      </w:pPr>
      <w:r>
        <w:rPr>
          <w:rFonts w:hint="eastAsia" w:ascii="宋体" w:hAnsi="宋体"/>
          <w:szCs w:val="21"/>
          <w:highlight w:val="none"/>
        </w:rPr>
        <w:t>医保收费员日常的签到签退。</w:t>
      </w:r>
    </w:p>
    <w:p w14:paraId="00443BC4">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医保门诊交易</w:t>
      </w:r>
    </w:p>
    <w:p w14:paraId="54B581FA">
      <w:pPr>
        <w:rPr>
          <w:rFonts w:hint="eastAsia"/>
          <w:szCs w:val="21"/>
          <w:highlight w:val="none"/>
        </w:rPr>
      </w:pPr>
      <w:r>
        <w:rPr>
          <w:rFonts w:hint="eastAsia"/>
          <w:szCs w:val="21"/>
          <w:highlight w:val="none"/>
        </w:rPr>
        <w:t>在门诊收费进行费用结算时，通过读取医保卡获取病人信息进行医保结算，同时也支持费别转换，满足因临时未携带医保证件情况下就医行为，后续转换为医保结算方便患者报销。</w:t>
      </w:r>
    </w:p>
    <w:p w14:paraId="5248415E">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医保住院交易</w:t>
      </w:r>
    </w:p>
    <w:p w14:paraId="39008A71">
      <w:pPr>
        <w:rPr>
          <w:rFonts w:hint="eastAsia"/>
          <w:szCs w:val="21"/>
          <w:highlight w:val="none"/>
        </w:rPr>
      </w:pPr>
      <w:r>
        <w:rPr>
          <w:rFonts w:hint="eastAsia"/>
          <w:szCs w:val="21"/>
          <w:highlight w:val="none"/>
        </w:rPr>
        <w:t>在出院结算时，通过读取医保卡获取病人信息进行医保结算，同时也支持费别转换，满足因临时未携带医保证件情况下就医行为，后续转换为医保结算方便患者报销。</w:t>
      </w:r>
    </w:p>
    <w:p w14:paraId="64CBDBFA">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医保日志管理</w:t>
      </w:r>
    </w:p>
    <w:p w14:paraId="7BC2F83C">
      <w:pPr>
        <w:rPr>
          <w:rFonts w:hint="eastAsia"/>
          <w:szCs w:val="21"/>
          <w:highlight w:val="none"/>
        </w:rPr>
      </w:pPr>
      <w:r>
        <w:rPr>
          <w:rFonts w:hint="eastAsia"/>
          <w:szCs w:val="21"/>
          <w:highlight w:val="none"/>
        </w:rPr>
        <w:t>医保日志管理主要是记录门诊住院医保费用或信息传送的出入参操作日志内容，对交易日志进行费用明细的上传和下载。</w:t>
      </w:r>
    </w:p>
    <w:p w14:paraId="01B9FDA7">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医保代支付绑定</w:t>
      </w:r>
    </w:p>
    <w:p w14:paraId="574499DA">
      <w:pPr>
        <w:rPr>
          <w:rFonts w:hint="eastAsia"/>
          <w:szCs w:val="21"/>
          <w:highlight w:val="none"/>
        </w:rPr>
      </w:pPr>
      <w:r>
        <w:rPr>
          <w:rFonts w:hint="eastAsia"/>
          <w:szCs w:val="21"/>
          <w:highlight w:val="none"/>
        </w:rPr>
        <w:t>患者意外无法自行进行医保支付时，允许医保授权绑定授权人管理。</w:t>
      </w:r>
    </w:p>
    <w:p w14:paraId="7DCF2426">
      <w:pPr>
        <w:pStyle w:val="117"/>
        <w:numPr>
          <w:ilvl w:val="0"/>
          <w:numId w:val="19"/>
        </w:numPr>
        <w:spacing w:line="360" w:lineRule="auto"/>
        <w:ind w:firstLineChars="0"/>
        <w:rPr>
          <w:rFonts w:hint="eastAsia" w:ascii="宋体" w:hAnsi="宋体"/>
          <w:szCs w:val="21"/>
          <w:highlight w:val="none"/>
        </w:rPr>
      </w:pPr>
      <w:r>
        <w:rPr>
          <w:rFonts w:hint="eastAsia" w:ascii="宋体" w:hAnsi="宋体"/>
          <w:szCs w:val="21"/>
          <w:highlight w:val="none"/>
        </w:rPr>
        <w:t>医保对账报表</w:t>
      </w:r>
    </w:p>
    <w:p w14:paraId="0EAAC27D">
      <w:pPr>
        <w:rPr>
          <w:rFonts w:hint="eastAsia"/>
          <w:szCs w:val="21"/>
          <w:highlight w:val="none"/>
        </w:rPr>
      </w:pPr>
      <w:r>
        <w:rPr>
          <w:rFonts w:hint="eastAsia"/>
          <w:szCs w:val="21"/>
          <w:highlight w:val="none"/>
        </w:rPr>
        <w:t>医保对账：主要是结合国家医保对账接口及院内结算数据进行医保结算信息的对账，对账功能主要分为对总账和对明细帐。</w:t>
      </w:r>
    </w:p>
    <w:p w14:paraId="47F3F27A">
      <w:pPr>
        <w:rPr>
          <w:rFonts w:hint="eastAsia"/>
          <w:szCs w:val="21"/>
          <w:highlight w:val="none"/>
        </w:rPr>
      </w:pPr>
      <w:r>
        <w:rPr>
          <w:rFonts w:hint="eastAsia"/>
          <w:szCs w:val="21"/>
          <w:highlight w:val="none"/>
        </w:rPr>
        <w:t>对总账：将特定险种病人的结算总额数据与医保数据进行核对。</w:t>
      </w:r>
    </w:p>
    <w:p w14:paraId="74AA0D95">
      <w:pPr>
        <w:rPr>
          <w:rFonts w:hint="eastAsia"/>
          <w:szCs w:val="21"/>
          <w:highlight w:val="none"/>
        </w:rPr>
      </w:pPr>
      <w:r>
        <w:rPr>
          <w:rFonts w:hint="eastAsia"/>
          <w:szCs w:val="21"/>
          <w:highlight w:val="none"/>
        </w:rPr>
        <w:t>对明细账：将每个病人的结算信息上传到医保端进行对账。若只显示医保登记号和医保结算号，说明该病人存在医保单边帐。就需要进行特殊处理。</w:t>
      </w:r>
    </w:p>
    <w:p w14:paraId="3AD7F01C">
      <w:pPr>
        <w:pStyle w:val="5"/>
        <w:rPr>
          <w:rFonts w:hint="eastAsia" w:ascii="宋体" w:hAnsi="宋体" w:eastAsia="宋体"/>
          <w:sz w:val="21"/>
          <w:szCs w:val="21"/>
          <w:highlight w:val="none"/>
        </w:rPr>
      </w:pPr>
      <w:bookmarkStart w:id="83" w:name="_Toc3626"/>
      <w:r>
        <w:rPr>
          <w:rFonts w:hint="eastAsia" w:ascii="宋体" w:hAnsi="宋体" w:eastAsia="宋体"/>
          <w:sz w:val="21"/>
          <w:szCs w:val="21"/>
          <w:highlight w:val="none"/>
        </w:rPr>
        <w:t>临床路径管理系统</w:t>
      </w:r>
      <w:bookmarkEnd w:id="83"/>
    </w:p>
    <w:p w14:paraId="09233A11">
      <w:pPr>
        <w:rPr>
          <w:rFonts w:hint="eastAsia"/>
          <w:szCs w:val="21"/>
          <w:highlight w:val="none"/>
        </w:rPr>
      </w:pPr>
      <w:r>
        <w:rPr>
          <w:rFonts w:hint="eastAsia"/>
          <w:szCs w:val="21"/>
          <w:highlight w:val="none"/>
        </w:rPr>
        <w:t>要求按照《临床路径管理指导原则(试行)》，实现疾病规范化的医疗服务。具体功能包括：入出路径管理、变异管理、路径医嘱模板及其联动管理、临床路径规则管理、查询统计等。满足以下功能：</w:t>
      </w:r>
    </w:p>
    <w:p w14:paraId="27775420">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病种定义</w:t>
      </w:r>
    </w:p>
    <w:p w14:paraId="27E32113">
      <w:pPr>
        <w:rPr>
          <w:rFonts w:hint="eastAsia"/>
          <w:szCs w:val="21"/>
          <w:highlight w:val="none"/>
        </w:rPr>
      </w:pPr>
      <w:r>
        <w:rPr>
          <w:rFonts w:hint="eastAsia"/>
          <w:szCs w:val="21"/>
          <w:highlight w:val="none"/>
        </w:rPr>
        <w:t>提供定义需要执行临床路径的病种，支持指定病种适用的科室、路径费用设置、路径审核、路径停用配置等。提供根据标准住院天数的设置来设置病例的标准诊疗费用。</w:t>
      </w:r>
    </w:p>
    <w:p w14:paraId="4F789A6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路径医嘱方案维护</w:t>
      </w:r>
    </w:p>
    <w:p w14:paraId="60C7A28D">
      <w:pPr>
        <w:rPr>
          <w:rFonts w:hint="eastAsia"/>
          <w:szCs w:val="21"/>
          <w:highlight w:val="none"/>
        </w:rPr>
      </w:pPr>
      <w:r>
        <w:rPr>
          <w:rFonts w:hint="eastAsia"/>
          <w:szCs w:val="21"/>
          <w:highlight w:val="none"/>
        </w:rPr>
        <w:t>以时间为主线对路径表单内容进行定义。针对不同病种，制定不同临床路径。一个病种可制定多条治疗路径和子路径。</w:t>
      </w:r>
    </w:p>
    <w:p w14:paraId="65B3EC36">
      <w:pPr>
        <w:rPr>
          <w:rFonts w:hint="eastAsia"/>
          <w:szCs w:val="21"/>
          <w:highlight w:val="none"/>
        </w:rPr>
      </w:pPr>
      <w:r>
        <w:rPr>
          <w:rFonts w:hint="eastAsia"/>
          <w:szCs w:val="21"/>
          <w:highlight w:val="none"/>
        </w:rPr>
        <w:t>设置每个路径的准入条件及性别，以及路径日（阶段日）需完成治疗内容，路径内容主要包括常规诊疗项目、检验项目、检查项目、药品、手术项目、营养项目、护理项目、中医特色治疗项目等。且针对路径可以设置豁免变异项目。</w:t>
      </w:r>
    </w:p>
    <w:p w14:paraId="4279D086">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医嘱方案管理</w:t>
      </w:r>
    </w:p>
    <w:p w14:paraId="564176A6">
      <w:pPr>
        <w:rPr>
          <w:rFonts w:hint="eastAsia"/>
          <w:szCs w:val="21"/>
          <w:highlight w:val="none"/>
        </w:rPr>
      </w:pPr>
      <w:r>
        <w:rPr>
          <w:rFonts w:hint="eastAsia"/>
          <w:szCs w:val="21"/>
          <w:highlight w:val="none"/>
        </w:rPr>
        <w:t>提供常用模板的配置功能，如医嘱模板、护理模板、检查模板、检验模板、手术模板等；支持模板按不同属性分类，如按模板类型、病种、西医诊断、中医诊断、中医证型等。</w:t>
      </w:r>
    </w:p>
    <w:p w14:paraId="2871B392">
      <w:pPr>
        <w:rPr>
          <w:rFonts w:hint="eastAsia"/>
          <w:szCs w:val="21"/>
          <w:highlight w:val="none"/>
        </w:rPr>
      </w:pPr>
      <w:r>
        <w:rPr>
          <w:rFonts w:hint="eastAsia"/>
          <w:szCs w:val="21"/>
          <w:highlight w:val="none"/>
        </w:rPr>
        <w:t>在设置临床路径时，支持调用临床路径内容模板，对模板进行选择性引用，支持在模板引用后修改。模板类型至少包括引用时间模板(如入院第一天所需完成的项目和术后三天所需完成的项目)、引用临床业务模板(如医嘱模板、护理模板、检查模板、检验模板等)、引用执行人类型模板(如护理人员模板等)。</w:t>
      </w:r>
    </w:p>
    <w:p w14:paraId="2D02A5C8">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进入路径规则管理</w:t>
      </w:r>
    </w:p>
    <w:p w14:paraId="599EB6E8">
      <w:pPr>
        <w:rPr>
          <w:rFonts w:hint="eastAsia"/>
          <w:szCs w:val="21"/>
          <w:highlight w:val="none"/>
        </w:rPr>
      </w:pPr>
      <w:r>
        <w:rPr>
          <w:rFonts w:hint="eastAsia"/>
          <w:szCs w:val="21"/>
          <w:highlight w:val="none"/>
        </w:rPr>
        <w:t>提供多种入径判断规则配置，如西医诊断名称匹配、中医诊断名称匹配、中医证型名称匹配等；可根据年龄、性别等多种条件组合；并支持自动入径和手动入径规则配置。</w:t>
      </w:r>
    </w:p>
    <w:p w14:paraId="38DBC689">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路径执行管理</w:t>
      </w:r>
    </w:p>
    <w:p w14:paraId="625C50F5">
      <w:pPr>
        <w:rPr>
          <w:rFonts w:hint="eastAsia"/>
          <w:szCs w:val="21"/>
          <w:highlight w:val="none"/>
        </w:rPr>
      </w:pPr>
      <w:r>
        <w:rPr>
          <w:rFonts w:hint="eastAsia"/>
          <w:szCs w:val="21"/>
          <w:highlight w:val="none"/>
        </w:rPr>
        <w:t>可以对路径项目执行和停止。</w:t>
      </w:r>
    </w:p>
    <w:p w14:paraId="0A9AA305">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路径变异规则管理</w:t>
      </w:r>
    </w:p>
    <w:p w14:paraId="696CAC63">
      <w:pPr>
        <w:rPr>
          <w:rFonts w:hint="eastAsia"/>
          <w:szCs w:val="21"/>
          <w:highlight w:val="none"/>
        </w:rPr>
      </w:pPr>
      <w:r>
        <w:rPr>
          <w:rFonts w:hint="eastAsia"/>
          <w:szCs w:val="21"/>
          <w:highlight w:val="none"/>
        </w:rPr>
        <w:t>提供多种变异规则配置，包括完整性规则：路径中规定必须限时完成的路径内容，如果未完成，必须填写变异原因；依存性规则：某项内容的填写必须依赖于其他内容的填写，如诊疗工作和医嘱项的某些关联项，必须同时填写或者同时不填写。路径变异时输入变异原因。</w:t>
      </w:r>
    </w:p>
    <w:p w14:paraId="091E4D4D">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退出路径规则管理</w:t>
      </w:r>
    </w:p>
    <w:p w14:paraId="6A8835B2">
      <w:pPr>
        <w:rPr>
          <w:rFonts w:hint="eastAsia"/>
          <w:szCs w:val="21"/>
          <w:highlight w:val="none"/>
        </w:rPr>
      </w:pPr>
      <w:r>
        <w:rPr>
          <w:rFonts w:hint="eastAsia"/>
          <w:szCs w:val="21"/>
          <w:highlight w:val="none"/>
        </w:rPr>
        <w:t>提供路径准出条件设置，如治愈、好转、未愈等情况；路径异常退出，要提示输入退出原因。</w:t>
      </w:r>
    </w:p>
    <w:p w14:paraId="0680ECBF">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查询统计</w:t>
      </w:r>
    </w:p>
    <w:p w14:paraId="1B071143">
      <w:pPr>
        <w:rPr>
          <w:rFonts w:hint="eastAsia"/>
          <w:szCs w:val="21"/>
          <w:highlight w:val="none"/>
        </w:rPr>
      </w:pPr>
      <w:r>
        <w:rPr>
          <w:rFonts w:hint="eastAsia"/>
          <w:szCs w:val="21"/>
          <w:highlight w:val="none"/>
        </w:rPr>
        <w:t>提供面向医院管理层、临床科室管理者、临床路径执行者等不同级别的查询功能。包括全院级、科室级使用的各个临床路径的使用人次、变更人次、终止人次、完成人次、执行率、治愈率、变异率、平均住院费用、平均住院天数等指标的统计分析。</w:t>
      </w:r>
    </w:p>
    <w:p w14:paraId="792E01D1">
      <w:pPr>
        <w:pStyle w:val="5"/>
        <w:rPr>
          <w:rFonts w:hint="eastAsia" w:ascii="宋体" w:hAnsi="宋体" w:eastAsia="宋体"/>
          <w:sz w:val="21"/>
          <w:szCs w:val="21"/>
          <w:highlight w:val="none"/>
        </w:rPr>
      </w:pPr>
      <w:bookmarkStart w:id="84" w:name="_Toc18154"/>
      <w:r>
        <w:rPr>
          <w:rFonts w:hint="eastAsia" w:ascii="宋体" w:hAnsi="宋体" w:eastAsia="宋体"/>
          <w:sz w:val="21"/>
          <w:szCs w:val="21"/>
          <w:highlight w:val="none"/>
        </w:rPr>
        <w:t>手术分级管理系统</w:t>
      </w:r>
      <w:bookmarkEnd w:id="84"/>
    </w:p>
    <w:p w14:paraId="75089DE4">
      <w:pPr>
        <w:rPr>
          <w:rFonts w:hint="eastAsia"/>
          <w:szCs w:val="21"/>
          <w:highlight w:val="none"/>
        </w:rPr>
      </w:pPr>
      <w:r>
        <w:rPr>
          <w:rFonts w:hint="eastAsia"/>
          <w:szCs w:val="21"/>
          <w:highlight w:val="none"/>
        </w:rPr>
        <w:t>要求以手术分级目录为基础，为具有不同专业技术职务任职资格的手术医生授予相应的手术权限，在手术申请流程中实现分级审批，保障手术安全进行。具体功能包括：手术等级设置、手术分级授权、分级审批流程等。</w:t>
      </w:r>
    </w:p>
    <w:p w14:paraId="669E347A">
      <w:pPr>
        <w:rPr>
          <w:rFonts w:hint="eastAsia"/>
          <w:szCs w:val="21"/>
          <w:highlight w:val="none"/>
        </w:rPr>
      </w:pPr>
      <w:r>
        <w:rPr>
          <w:szCs w:val="21"/>
          <w:highlight w:val="none"/>
        </w:rPr>
        <w:t>1、手术等级设置</w:t>
      </w:r>
    </w:p>
    <w:p w14:paraId="5E5027E0">
      <w:pPr>
        <w:rPr>
          <w:rFonts w:hint="eastAsia"/>
          <w:szCs w:val="21"/>
          <w:highlight w:val="none"/>
        </w:rPr>
      </w:pPr>
      <w:r>
        <w:rPr>
          <w:rFonts w:hint="eastAsia"/>
          <w:szCs w:val="21"/>
          <w:highlight w:val="none"/>
        </w:rPr>
        <w:t>根据医疗机构级别和登记的诊疗科目，遵循国家、地方级的手术分级标准及ICD-9手术编码设置不同的手术等级。</w:t>
      </w:r>
    </w:p>
    <w:p w14:paraId="4416AA5F">
      <w:pPr>
        <w:rPr>
          <w:rFonts w:hint="eastAsia"/>
          <w:szCs w:val="21"/>
          <w:highlight w:val="none"/>
        </w:rPr>
      </w:pPr>
      <w:r>
        <w:rPr>
          <w:szCs w:val="21"/>
          <w:highlight w:val="none"/>
        </w:rPr>
        <w:t>2、手术分级授权</w:t>
      </w:r>
    </w:p>
    <w:p w14:paraId="3492CADD">
      <w:pPr>
        <w:rPr>
          <w:rFonts w:hint="eastAsia"/>
          <w:szCs w:val="21"/>
          <w:highlight w:val="none"/>
        </w:rPr>
      </w:pPr>
      <w:r>
        <w:rPr>
          <w:rFonts w:hint="eastAsia"/>
          <w:szCs w:val="21"/>
          <w:highlight w:val="none"/>
        </w:rPr>
        <w:t>支持按医生手术职称自动或人工进行手术分级授权和审核，包括手术分级授权的新增、修改、删除、查询等功能。</w:t>
      </w:r>
    </w:p>
    <w:p w14:paraId="7E7D5DA4">
      <w:pPr>
        <w:rPr>
          <w:rFonts w:hint="eastAsia"/>
          <w:szCs w:val="21"/>
          <w:highlight w:val="none"/>
        </w:rPr>
      </w:pPr>
      <w:r>
        <w:rPr>
          <w:szCs w:val="21"/>
          <w:highlight w:val="none"/>
        </w:rPr>
        <w:t>3、手术级别管理</w:t>
      </w:r>
    </w:p>
    <w:p w14:paraId="2A7E6938">
      <w:pPr>
        <w:rPr>
          <w:rFonts w:hint="eastAsia"/>
          <w:szCs w:val="21"/>
          <w:highlight w:val="none"/>
        </w:rPr>
      </w:pPr>
      <w:r>
        <w:rPr>
          <w:rFonts w:hint="eastAsia"/>
          <w:szCs w:val="21"/>
          <w:highlight w:val="none"/>
        </w:rPr>
        <w:t>医生开具手术申请单时，根据手术技术难度、复杂性和风险度</w:t>
      </w:r>
      <w:r>
        <w:rPr>
          <w:szCs w:val="21"/>
          <w:highlight w:val="none"/>
        </w:rPr>
        <w:t>(如麻醉类型、是否输血、是否有附加手术等条件)进行手术级别确认。</w:t>
      </w:r>
    </w:p>
    <w:p w14:paraId="4E9760EF">
      <w:pPr>
        <w:rPr>
          <w:rFonts w:hint="eastAsia"/>
          <w:szCs w:val="21"/>
          <w:highlight w:val="none"/>
        </w:rPr>
      </w:pPr>
      <w:r>
        <w:rPr>
          <w:szCs w:val="21"/>
          <w:highlight w:val="none"/>
        </w:rPr>
        <w:t>4、分级审批管理</w:t>
      </w:r>
    </w:p>
    <w:p w14:paraId="206E97A1">
      <w:pPr>
        <w:rPr>
          <w:rFonts w:hint="eastAsia"/>
          <w:szCs w:val="21"/>
          <w:highlight w:val="none"/>
        </w:rPr>
      </w:pPr>
      <w:r>
        <w:rPr>
          <w:rFonts w:hint="eastAsia"/>
          <w:szCs w:val="21"/>
          <w:highlight w:val="none"/>
        </w:rPr>
        <w:t>支持对不同级别手术由不同级别医生进行审批，对资格准人手术、高度风险手术、急诊手术、新技术新项目科研手术等特殊手术分级审批。</w:t>
      </w:r>
    </w:p>
    <w:p w14:paraId="4DBBB70E">
      <w:pPr>
        <w:pStyle w:val="5"/>
        <w:rPr>
          <w:rFonts w:hint="eastAsia" w:ascii="宋体" w:hAnsi="宋体" w:eastAsia="宋体"/>
          <w:sz w:val="21"/>
          <w:szCs w:val="21"/>
          <w:highlight w:val="none"/>
        </w:rPr>
      </w:pPr>
      <w:bookmarkStart w:id="85" w:name="_Toc12912"/>
      <w:r>
        <w:rPr>
          <w:rFonts w:hint="eastAsia" w:ascii="宋体" w:hAnsi="宋体" w:eastAsia="宋体"/>
          <w:sz w:val="21"/>
          <w:szCs w:val="21"/>
          <w:highlight w:val="none"/>
        </w:rPr>
        <w:t>抗生素分级管理系统</w:t>
      </w:r>
      <w:bookmarkEnd w:id="85"/>
    </w:p>
    <w:p w14:paraId="356A7D70">
      <w:pPr>
        <w:rPr>
          <w:rFonts w:hint="eastAsia"/>
          <w:szCs w:val="21"/>
          <w:highlight w:val="none"/>
        </w:rPr>
      </w:pPr>
      <w:r>
        <w:rPr>
          <w:rFonts w:hint="eastAsia"/>
          <w:szCs w:val="21"/>
          <w:highlight w:val="none"/>
        </w:rPr>
        <w:t>要求提供对抗菌药物实现分级管控权限设置，监控抗菌药物在临床的使用情况，进行抗菌药物使用的全程干预、警示、评估和点评。具体功能包括：抗菌药品管理、抗菌药物分级授权、抗菌药申请填写、抗菌药用药审批。</w:t>
      </w:r>
    </w:p>
    <w:p w14:paraId="515AF400">
      <w:pPr>
        <w:pStyle w:val="117"/>
        <w:numPr>
          <w:ilvl w:val="0"/>
          <w:numId w:val="20"/>
        </w:numPr>
        <w:spacing w:line="360" w:lineRule="auto"/>
        <w:ind w:firstLineChars="0"/>
        <w:rPr>
          <w:rFonts w:hint="eastAsia" w:ascii="宋体" w:hAnsi="宋体"/>
          <w:szCs w:val="21"/>
          <w:highlight w:val="none"/>
        </w:rPr>
      </w:pPr>
      <w:r>
        <w:rPr>
          <w:rFonts w:hint="eastAsia" w:ascii="宋体" w:hAnsi="宋体"/>
          <w:szCs w:val="21"/>
          <w:highlight w:val="none"/>
        </w:rPr>
        <w:t>抗菌药物管理</w:t>
      </w:r>
    </w:p>
    <w:p w14:paraId="294F7453">
      <w:pPr>
        <w:rPr>
          <w:rFonts w:hint="eastAsia"/>
          <w:szCs w:val="21"/>
          <w:highlight w:val="none"/>
        </w:rPr>
      </w:pPr>
      <w:r>
        <w:rPr>
          <w:rFonts w:hint="eastAsia"/>
          <w:szCs w:val="21"/>
          <w:highlight w:val="none"/>
        </w:rPr>
        <w:t>提供抗菌药物管理功能，在药品字典中，针对抗菌药物有专门的类别管理，并在字典中选择相应的抗菌药权限等级。</w:t>
      </w:r>
    </w:p>
    <w:p w14:paraId="682E6333">
      <w:pPr>
        <w:pStyle w:val="117"/>
        <w:numPr>
          <w:ilvl w:val="0"/>
          <w:numId w:val="20"/>
        </w:numPr>
        <w:spacing w:line="360" w:lineRule="auto"/>
        <w:ind w:firstLineChars="0"/>
        <w:rPr>
          <w:rFonts w:hint="eastAsia" w:ascii="宋体" w:hAnsi="宋体"/>
          <w:szCs w:val="21"/>
          <w:highlight w:val="none"/>
        </w:rPr>
      </w:pPr>
      <w:r>
        <w:rPr>
          <w:rFonts w:hint="eastAsia" w:ascii="宋体" w:hAnsi="宋体"/>
          <w:szCs w:val="21"/>
          <w:highlight w:val="none"/>
        </w:rPr>
        <w:t>抗菌药物分级授权</w:t>
      </w:r>
    </w:p>
    <w:p w14:paraId="56A08D91">
      <w:pPr>
        <w:rPr>
          <w:rFonts w:hint="eastAsia"/>
          <w:szCs w:val="21"/>
          <w:highlight w:val="none"/>
        </w:rPr>
      </w:pPr>
      <w:r>
        <w:rPr>
          <w:rFonts w:hint="eastAsia"/>
          <w:szCs w:val="21"/>
          <w:highlight w:val="none"/>
        </w:rPr>
        <w:t>提供抗菌药物分级授权，在员工字典中，针对抗菌药物有专门的权限管理，针对不同员工分配不同级别权限。</w:t>
      </w:r>
    </w:p>
    <w:p w14:paraId="6863DF0C">
      <w:pPr>
        <w:pStyle w:val="117"/>
        <w:numPr>
          <w:ilvl w:val="0"/>
          <w:numId w:val="20"/>
        </w:numPr>
        <w:spacing w:line="360" w:lineRule="auto"/>
        <w:ind w:firstLineChars="0"/>
        <w:rPr>
          <w:rFonts w:hint="eastAsia" w:ascii="宋体" w:hAnsi="宋体"/>
          <w:szCs w:val="21"/>
          <w:highlight w:val="none"/>
        </w:rPr>
      </w:pPr>
      <w:r>
        <w:rPr>
          <w:rFonts w:hint="eastAsia" w:ascii="宋体" w:hAnsi="宋体"/>
          <w:szCs w:val="21"/>
          <w:highlight w:val="none"/>
        </w:rPr>
        <w:t>抗菌药申请填写</w:t>
      </w:r>
    </w:p>
    <w:p w14:paraId="5A70B45D">
      <w:pPr>
        <w:rPr>
          <w:rFonts w:hint="eastAsia"/>
          <w:szCs w:val="21"/>
          <w:highlight w:val="none"/>
        </w:rPr>
      </w:pPr>
      <w:r>
        <w:rPr>
          <w:rFonts w:hint="eastAsia"/>
          <w:szCs w:val="21"/>
          <w:highlight w:val="none"/>
        </w:rPr>
        <w:t>开门诊或者住院医嘱时，若开具的是抗菌药，提示需要先填写抗菌药申请单。</w:t>
      </w:r>
    </w:p>
    <w:p w14:paraId="30C427EE">
      <w:pPr>
        <w:pStyle w:val="117"/>
        <w:numPr>
          <w:ilvl w:val="0"/>
          <w:numId w:val="20"/>
        </w:numPr>
        <w:spacing w:line="360" w:lineRule="auto"/>
        <w:ind w:firstLineChars="0"/>
        <w:rPr>
          <w:rFonts w:hint="eastAsia" w:ascii="宋体" w:hAnsi="宋体"/>
          <w:szCs w:val="21"/>
          <w:highlight w:val="none"/>
        </w:rPr>
      </w:pPr>
      <w:r>
        <w:rPr>
          <w:rFonts w:hint="eastAsia" w:ascii="宋体" w:hAnsi="宋体"/>
          <w:szCs w:val="21"/>
          <w:highlight w:val="none"/>
        </w:rPr>
        <w:t>抗菌药用药审批</w:t>
      </w:r>
    </w:p>
    <w:p w14:paraId="703CAE9F">
      <w:pPr>
        <w:rPr>
          <w:rFonts w:hint="eastAsia"/>
          <w:szCs w:val="21"/>
          <w:highlight w:val="none"/>
        </w:rPr>
      </w:pPr>
      <w:r>
        <w:rPr>
          <w:rFonts w:hint="eastAsia"/>
          <w:szCs w:val="21"/>
          <w:highlight w:val="none"/>
        </w:rPr>
        <w:t>系统根据一线、二线、三线抗菌药提供相应审批流程，填写抗菌药申请单后。审批人在审核页面审核通过，该患者该抗菌药即可正常发出。</w:t>
      </w:r>
    </w:p>
    <w:p w14:paraId="63040FCE">
      <w:pPr>
        <w:pStyle w:val="3"/>
        <w:rPr>
          <w:rFonts w:hint="eastAsia" w:ascii="宋体" w:hAnsi="宋体"/>
          <w:sz w:val="21"/>
          <w:szCs w:val="21"/>
          <w:highlight w:val="none"/>
        </w:rPr>
      </w:pPr>
      <w:r>
        <w:rPr>
          <w:rFonts w:hint="eastAsia" w:ascii="宋体" w:hAnsi="宋体"/>
          <w:sz w:val="21"/>
          <w:szCs w:val="21"/>
          <w:highlight w:val="none"/>
        </w:rPr>
        <w:t>电子病历系统（EMR）升级</w:t>
      </w:r>
    </w:p>
    <w:p w14:paraId="2DDF5064">
      <w:pPr>
        <w:pStyle w:val="4"/>
        <w:rPr>
          <w:rFonts w:hint="eastAsia" w:ascii="宋体" w:hAnsi="宋体"/>
          <w:sz w:val="21"/>
          <w:szCs w:val="21"/>
          <w:highlight w:val="none"/>
        </w:rPr>
      </w:pPr>
      <w:r>
        <w:rPr>
          <w:rFonts w:hint="eastAsia" w:ascii="宋体" w:hAnsi="宋体"/>
          <w:sz w:val="21"/>
          <w:szCs w:val="21"/>
          <w:highlight w:val="none"/>
        </w:rPr>
        <w:t>电子病历</w:t>
      </w:r>
    </w:p>
    <w:p w14:paraId="6B1BDE26">
      <w:pPr>
        <w:pStyle w:val="5"/>
        <w:rPr>
          <w:rFonts w:hint="eastAsia" w:ascii="宋体" w:hAnsi="宋体" w:eastAsia="宋体"/>
          <w:sz w:val="21"/>
          <w:szCs w:val="21"/>
          <w:highlight w:val="none"/>
        </w:rPr>
      </w:pPr>
      <w:bookmarkStart w:id="86" w:name="_Toc10042"/>
      <w:r>
        <w:rPr>
          <w:rFonts w:hint="eastAsia" w:ascii="宋体" w:hAnsi="宋体" w:eastAsia="宋体"/>
          <w:sz w:val="21"/>
          <w:szCs w:val="21"/>
          <w:highlight w:val="none"/>
        </w:rPr>
        <w:t>门诊电子病历系统</w:t>
      </w:r>
      <w:bookmarkEnd w:id="86"/>
    </w:p>
    <w:p w14:paraId="27263F22">
      <w:pPr>
        <w:rPr>
          <w:rFonts w:hint="eastAsia"/>
          <w:szCs w:val="21"/>
          <w:highlight w:val="none"/>
        </w:rPr>
      </w:pPr>
      <w:r>
        <w:rPr>
          <w:rFonts w:hint="eastAsia"/>
          <w:szCs w:val="21"/>
          <w:highlight w:val="none"/>
        </w:rPr>
        <w:t>门诊电子病历是在门诊医疗活动中，医护人员通过问诊、查体、辅助检查、诊断、治疗等医疗活动获得有关资料，并进行归纳、分析、整理形成的医疗活动记录。</w:t>
      </w:r>
    </w:p>
    <w:p w14:paraId="0150C16A">
      <w:pPr>
        <w:rPr>
          <w:rFonts w:hint="eastAsia"/>
          <w:szCs w:val="21"/>
          <w:highlight w:val="none"/>
        </w:rPr>
      </w:pPr>
      <w:r>
        <w:rPr>
          <w:rFonts w:hint="eastAsia"/>
          <w:szCs w:val="21"/>
          <w:highlight w:val="none"/>
        </w:rPr>
        <w:t>门诊电子病历系统按照《病历书写基本规范》要求，确保病历书写及时、完整、规范。可以集成到医疗机构的门诊医生站系统中，采用结构化结合自由文本的录入模式。</w:t>
      </w:r>
    </w:p>
    <w:p w14:paraId="1218AC9E">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病历分类和模板</w:t>
      </w:r>
    </w:p>
    <w:p w14:paraId="57A2EA36">
      <w:pPr>
        <w:rPr>
          <w:rFonts w:hint="eastAsia"/>
          <w:szCs w:val="21"/>
          <w:highlight w:val="none"/>
        </w:rPr>
      </w:pPr>
      <w:r>
        <w:rPr>
          <w:rFonts w:hint="eastAsia"/>
          <w:szCs w:val="21"/>
          <w:highlight w:val="none"/>
        </w:rPr>
        <w:t>门诊电子病历主要包括初诊电子病历、复诊电子病历、急诊电子病历、电子传染病报告、电子出生证明和电子死亡医学证明等。</w:t>
      </w:r>
    </w:p>
    <w:p w14:paraId="20000388">
      <w:pPr>
        <w:rPr>
          <w:rFonts w:hint="eastAsia"/>
          <w:szCs w:val="21"/>
          <w:highlight w:val="none"/>
        </w:rPr>
      </w:pPr>
      <w:r>
        <w:rPr>
          <w:rFonts w:hint="eastAsia"/>
          <w:szCs w:val="21"/>
          <w:highlight w:val="none"/>
        </w:rPr>
        <w:t>提供结构化病历模板、内容段落模板两级模板。结构化模板可包含单选项、多选项、必填项、填空、不可修改文本等元素。</w:t>
      </w:r>
    </w:p>
    <w:p w14:paraId="3B943566">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病历内容</w:t>
      </w:r>
    </w:p>
    <w:p w14:paraId="3FD15E59">
      <w:pPr>
        <w:rPr>
          <w:rFonts w:hint="eastAsia"/>
          <w:szCs w:val="21"/>
          <w:highlight w:val="none"/>
        </w:rPr>
      </w:pPr>
      <w:r>
        <w:rPr>
          <w:szCs w:val="21"/>
          <w:highlight w:val="none"/>
        </w:rPr>
        <w:t>门、急诊病历首页内容包括患者姓名、性别、出生年月日、民族、婚姻状况、职业、工作单位、住址、药物过敏史等项目。</w:t>
      </w:r>
      <w:r>
        <w:rPr>
          <w:rFonts w:hint="eastAsia"/>
          <w:szCs w:val="21"/>
          <w:highlight w:val="none"/>
        </w:rPr>
        <w:t xml:space="preserve">  </w:t>
      </w:r>
    </w:p>
    <w:p w14:paraId="5E1D636F">
      <w:pPr>
        <w:rPr>
          <w:rFonts w:hint="eastAsia"/>
          <w:szCs w:val="21"/>
          <w:highlight w:val="none"/>
        </w:rPr>
      </w:pPr>
      <w:r>
        <w:rPr>
          <w:szCs w:val="21"/>
          <w:highlight w:val="none"/>
        </w:rPr>
        <w:t>2</w:t>
      </w:r>
      <w:r>
        <w:rPr>
          <w:rFonts w:hint="eastAsia"/>
          <w:szCs w:val="21"/>
          <w:highlight w:val="none"/>
        </w:rPr>
        <w:t>、</w:t>
      </w:r>
      <w:r>
        <w:rPr>
          <w:szCs w:val="21"/>
          <w:highlight w:val="none"/>
        </w:rPr>
        <w:t>病历记录书写内容包括初诊标识、就诊时间、科别、主诉、现病史、既往史，阳性体征、必要的阴性体征、辅助检查结果、诊断及治疗意见和医师签名等。</w:t>
      </w:r>
    </w:p>
    <w:p w14:paraId="287C70C4">
      <w:pPr>
        <w:rPr>
          <w:rFonts w:hint="eastAsia"/>
          <w:szCs w:val="21"/>
          <w:highlight w:val="none"/>
        </w:rPr>
      </w:pPr>
      <w:r>
        <w:rPr>
          <w:rFonts w:hint="eastAsia"/>
          <w:szCs w:val="21"/>
          <w:highlight w:val="none"/>
        </w:rPr>
        <w:t>3、</w:t>
      </w:r>
      <w:r>
        <w:rPr>
          <w:szCs w:val="21"/>
          <w:highlight w:val="none"/>
        </w:rPr>
        <w:t>急诊病历书写就诊时间应当具体到分钟。</w:t>
      </w:r>
    </w:p>
    <w:p w14:paraId="48FEE811">
      <w:pPr>
        <w:rPr>
          <w:rFonts w:hint="eastAsia"/>
          <w:szCs w:val="21"/>
          <w:highlight w:val="none"/>
        </w:rPr>
      </w:pPr>
      <w:r>
        <w:rPr>
          <w:rFonts w:hint="eastAsia"/>
          <w:szCs w:val="21"/>
          <w:highlight w:val="none"/>
        </w:rPr>
        <w:t>4、</w:t>
      </w:r>
      <w:r>
        <w:rPr>
          <w:szCs w:val="21"/>
          <w:highlight w:val="none"/>
        </w:rPr>
        <w:t>在病历记录中可插入来自于系统内部或外部的疾病知识资料库相关知识文本</w:t>
      </w:r>
      <w:r>
        <w:rPr>
          <w:rFonts w:hint="eastAsia"/>
          <w:szCs w:val="21"/>
          <w:highlight w:val="none"/>
        </w:rPr>
        <w:t>。</w:t>
      </w:r>
    </w:p>
    <w:p w14:paraId="7619BE59">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诊断录入</w:t>
      </w:r>
    </w:p>
    <w:p w14:paraId="54A844EE">
      <w:pPr>
        <w:rPr>
          <w:rFonts w:hint="eastAsia"/>
          <w:szCs w:val="21"/>
          <w:highlight w:val="none"/>
        </w:rPr>
      </w:pPr>
      <w:r>
        <w:rPr>
          <w:szCs w:val="21"/>
          <w:highlight w:val="none"/>
        </w:rPr>
        <w:t>1、疾病诊断采用ICD10疾病分类编码作字典，可对疾病诊断补充说明。</w:t>
      </w:r>
    </w:p>
    <w:p w14:paraId="56694E2E">
      <w:pPr>
        <w:rPr>
          <w:rFonts w:hint="eastAsia"/>
          <w:szCs w:val="21"/>
          <w:highlight w:val="none"/>
        </w:rPr>
      </w:pPr>
      <w:r>
        <w:rPr>
          <w:szCs w:val="21"/>
          <w:highlight w:val="none"/>
        </w:rPr>
        <w:t>2、医院可自定义诊断，对应到ICD10疾病分类编码。</w:t>
      </w:r>
    </w:p>
    <w:p w14:paraId="20E90DE2">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病历双签</w:t>
      </w:r>
    </w:p>
    <w:p w14:paraId="27C66268">
      <w:pPr>
        <w:ind w:firstLine="720" w:firstLineChars="300"/>
        <w:rPr>
          <w:rFonts w:hint="eastAsia"/>
          <w:szCs w:val="21"/>
          <w:highlight w:val="none"/>
        </w:rPr>
      </w:pPr>
      <w:r>
        <w:rPr>
          <w:rFonts w:hint="eastAsia"/>
          <w:szCs w:val="21"/>
          <w:highlight w:val="none"/>
        </w:rPr>
        <w:t>提供病历记录双签名功能。由实习医师、试用期医务人员代理书写病历时，应当经过本医疗机构注册的医生审阅、修改，并保留书写者与审阅者的双签名</w:t>
      </w:r>
      <w:r>
        <w:rPr>
          <w:szCs w:val="21"/>
          <w:highlight w:val="none"/>
        </w:rPr>
        <w:t>。</w:t>
      </w:r>
    </w:p>
    <w:p w14:paraId="00B9F851">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续写病历</w:t>
      </w:r>
    </w:p>
    <w:p w14:paraId="7977E84E">
      <w:pPr>
        <w:rPr>
          <w:rFonts w:hint="eastAsia"/>
          <w:szCs w:val="21"/>
          <w:highlight w:val="none"/>
        </w:rPr>
      </w:pPr>
      <w:r>
        <w:rPr>
          <w:rFonts w:hint="eastAsia"/>
          <w:szCs w:val="21"/>
          <w:highlight w:val="none"/>
        </w:rPr>
        <w:t>针对复诊患者，可选择初诊病历进行复诊续写；自动引用初诊病历的主诉、现病史、既往史和体格检查等信息</w:t>
      </w:r>
      <w:r>
        <w:rPr>
          <w:szCs w:val="21"/>
          <w:highlight w:val="none"/>
        </w:rPr>
        <w:t>。</w:t>
      </w:r>
    </w:p>
    <w:p w14:paraId="0817F0FA">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病历内容质控</w:t>
      </w:r>
    </w:p>
    <w:p w14:paraId="19845068">
      <w:pPr>
        <w:rPr>
          <w:rFonts w:hint="eastAsia"/>
          <w:szCs w:val="21"/>
          <w:highlight w:val="none"/>
        </w:rPr>
      </w:pPr>
      <w:r>
        <w:rPr>
          <w:szCs w:val="21"/>
          <w:highlight w:val="none"/>
        </w:rPr>
        <w:t xml:space="preserve">1、在病历书写过程中，对病历的完整性、规范性、合理性进行自动检查和提醒。 </w:t>
      </w:r>
    </w:p>
    <w:p w14:paraId="040D785B">
      <w:pPr>
        <w:rPr>
          <w:rFonts w:hint="eastAsia"/>
          <w:szCs w:val="21"/>
          <w:highlight w:val="none"/>
        </w:rPr>
      </w:pPr>
      <w:r>
        <w:rPr>
          <w:szCs w:val="21"/>
          <w:highlight w:val="none"/>
        </w:rPr>
        <w:t>2、结合预先设置的门诊病历质控规则，自动生成病历质量评分和质量报告。</w:t>
      </w:r>
    </w:p>
    <w:p w14:paraId="13CEF4FB">
      <w:pPr>
        <w:rPr>
          <w:rFonts w:hint="eastAsia"/>
          <w:szCs w:val="21"/>
          <w:highlight w:val="none"/>
        </w:rPr>
      </w:pPr>
      <w:r>
        <w:rPr>
          <w:szCs w:val="21"/>
          <w:highlight w:val="none"/>
        </w:rPr>
        <w:t>3、针对结构化病历记录项目进行内容合理性检查与提示。</w:t>
      </w:r>
    </w:p>
    <w:p w14:paraId="05990453">
      <w:pPr>
        <w:rPr>
          <w:rFonts w:hint="eastAsia"/>
          <w:szCs w:val="21"/>
          <w:highlight w:val="none"/>
        </w:rPr>
      </w:pPr>
      <w:r>
        <w:rPr>
          <w:szCs w:val="21"/>
          <w:highlight w:val="none"/>
        </w:rPr>
        <w:t>4、针对有传染病史、过敏史等患者及疾病诊断为传染病的患者，自动给与提醒和警示。</w:t>
      </w:r>
    </w:p>
    <w:p w14:paraId="5A478E09">
      <w:pPr>
        <w:rPr>
          <w:rFonts w:hint="eastAsia"/>
          <w:szCs w:val="21"/>
          <w:highlight w:val="none"/>
        </w:rPr>
      </w:pPr>
      <w:r>
        <w:rPr>
          <w:szCs w:val="21"/>
          <w:highlight w:val="none"/>
        </w:rPr>
        <w:t>5、病历指定内容中可复制、粘贴患者既往病历相同信息；禁止复制、张贴非患者本人信息。</w:t>
      </w:r>
    </w:p>
    <w:p w14:paraId="0620DDB8">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离线病历保存</w:t>
      </w:r>
    </w:p>
    <w:p w14:paraId="35E68548">
      <w:pPr>
        <w:rPr>
          <w:rFonts w:hint="eastAsia"/>
          <w:szCs w:val="21"/>
          <w:highlight w:val="none"/>
        </w:rPr>
      </w:pPr>
      <w:r>
        <w:rPr>
          <w:rFonts w:hint="eastAsia"/>
          <w:szCs w:val="21"/>
          <w:highlight w:val="none"/>
        </w:rPr>
        <w:t>程序因为网络等情况异常关闭的时候，可离线保存病历，再次打开时可选择是否恢复之前书写的病历</w:t>
      </w:r>
      <w:r>
        <w:rPr>
          <w:szCs w:val="21"/>
          <w:highlight w:val="none"/>
        </w:rPr>
        <w:t>。</w:t>
      </w:r>
    </w:p>
    <w:p w14:paraId="6793DFCA">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传染病上报</w:t>
      </w:r>
    </w:p>
    <w:p w14:paraId="2EFD30E9">
      <w:pPr>
        <w:pStyle w:val="117"/>
        <w:numPr>
          <w:ilvl w:val="0"/>
          <w:numId w:val="21"/>
        </w:numPr>
        <w:spacing w:line="360" w:lineRule="auto"/>
        <w:ind w:firstLineChars="0"/>
        <w:rPr>
          <w:rFonts w:hint="eastAsia" w:ascii="宋体" w:hAnsi="宋体"/>
          <w:szCs w:val="21"/>
          <w:highlight w:val="none"/>
        </w:rPr>
      </w:pPr>
      <w:r>
        <w:rPr>
          <w:rFonts w:ascii="宋体" w:hAnsi="宋体"/>
          <w:szCs w:val="21"/>
          <w:highlight w:val="none"/>
        </w:rPr>
        <w:t>提供电子传染病报告填写和上报的功能；根据患者诊断自动触发上报录入界面。</w:t>
      </w:r>
    </w:p>
    <w:p w14:paraId="424A1D08">
      <w:pPr>
        <w:pStyle w:val="117"/>
        <w:numPr>
          <w:ilvl w:val="0"/>
          <w:numId w:val="21"/>
        </w:numPr>
        <w:spacing w:line="360" w:lineRule="auto"/>
        <w:ind w:firstLineChars="0"/>
        <w:rPr>
          <w:rFonts w:hint="eastAsia" w:ascii="宋体" w:hAnsi="宋体"/>
          <w:szCs w:val="21"/>
          <w:highlight w:val="none"/>
        </w:rPr>
      </w:pPr>
      <w:r>
        <w:rPr>
          <w:rFonts w:ascii="宋体" w:hAnsi="宋体"/>
          <w:szCs w:val="21"/>
          <w:highlight w:val="none"/>
        </w:rPr>
        <w:t>提供电子死亡医学证明填写和上报功能，也提供疾病证明等其他证明材料</w:t>
      </w:r>
      <w:r>
        <w:rPr>
          <w:rFonts w:hint="eastAsia" w:ascii="宋体" w:hAnsi="宋体"/>
          <w:szCs w:val="21"/>
          <w:highlight w:val="none"/>
        </w:rPr>
        <w:t>。</w:t>
      </w:r>
    </w:p>
    <w:p w14:paraId="3048933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病种引用</w:t>
      </w:r>
    </w:p>
    <w:p w14:paraId="6B43D674">
      <w:pPr>
        <w:rPr>
          <w:rFonts w:hint="eastAsia"/>
          <w:szCs w:val="21"/>
          <w:highlight w:val="none"/>
        </w:rPr>
      </w:pPr>
      <w:r>
        <w:rPr>
          <w:rFonts w:hint="eastAsia"/>
          <w:szCs w:val="21"/>
          <w:highlight w:val="none"/>
        </w:rPr>
        <w:t>支持直接引用维护好的病种模板，快速完成病历的书写，并且可对当前病历另存为病种，供下次引用。病种共享权限分为个人、科室、全院，支持根据个人、科室、全院不同的行政范围维护病种模板</w:t>
      </w:r>
      <w:r>
        <w:rPr>
          <w:szCs w:val="21"/>
          <w:highlight w:val="none"/>
        </w:rPr>
        <w:t>。</w:t>
      </w:r>
    </w:p>
    <w:p w14:paraId="2487128F">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辅助工具</w:t>
      </w:r>
    </w:p>
    <w:p w14:paraId="6CDFB982">
      <w:pPr>
        <w:rPr>
          <w:rFonts w:hint="eastAsia"/>
          <w:szCs w:val="21"/>
          <w:highlight w:val="none"/>
        </w:rPr>
      </w:pPr>
      <w:r>
        <w:rPr>
          <w:szCs w:val="21"/>
          <w:highlight w:val="none"/>
        </w:rPr>
        <w:t>1、提供辅助工具，可输入常用字符、特殊字符。</w:t>
      </w:r>
    </w:p>
    <w:p w14:paraId="5DDCADF4">
      <w:pPr>
        <w:rPr>
          <w:rFonts w:hint="eastAsia"/>
          <w:szCs w:val="21"/>
          <w:highlight w:val="none"/>
        </w:rPr>
      </w:pPr>
      <w:r>
        <w:rPr>
          <w:szCs w:val="21"/>
          <w:highlight w:val="none"/>
        </w:rPr>
        <w:t>2、提供结构化模板辅助录入功能，也可自由文本录入。</w:t>
      </w:r>
    </w:p>
    <w:p w14:paraId="760A620C">
      <w:pPr>
        <w:rPr>
          <w:rFonts w:hint="eastAsia"/>
          <w:szCs w:val="21"/>
          <w:highlight w:val="none"/>
        </w:rPr>
      </w:pPr>
      <w:r>
        <w:rPr>
          <w:szCs w:val="21"/>
          <w:highlight w:val="none"/>
        </w:rPr>
        <w:t>3、可在病历记录中嵌入图片、表格、多媒体数据并进行编辑。</w:t>
      </w:r>
    </w:p>
    <w:p w14:paraId="07606298">
      <w:pPr>
        <w:rPr>
          <w:rFonts w:hint="eastAsia"/>
          <w:szCs w:val="21"/>
          <w:highlight w:val="none"/>
        </w:rPr>
      </w:pPr>
      <w:r>
        <w:rPr>
          <w:szCs w:val="21"/>
          <w:highlight w:val="none"/>
        </w:rPr>
        <w:t>4、常用术语词库辅助录入，术语词库包括症状名称、体征名称、疾病名称、药物名称、手术名称、操作名称等。</w:t>
      </w:r>
    </w:p>
    <w:p w14:paraId="17B31AFE">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文档段管理</w:t>
      </w:r>
    </w:p>
    <w:p w14:paraId="4D1F3779">
      <w:pPr>
        <w:rPr>
          <w:rFonts w:hint="eastAsia"/>
          <w:szCs w:val="21"/>
          <w:highlight w:val="none"/>
        </w:rPr>
      </w:pPr>
      <w:r>
        <w:rPr>
          <w:rFonts w:hint="eastAsia"/>
          <w:szCs w:val="21"/>
          <w:highlight w:val="none"/>
        </w:rPr>
        <w:t>文档段管理支持医生自由维护个人文档段或科室文档段。支持文档段关联病历节点，配置后自动引用到病历节点内，也可以选中某段文档段文字，引用到对应光标的位置。支持对文档段进行新增、修改、删除等操作</w:t>
      </w:r>
      <w:r>
        <w:rPr>
          <w:szCs w:val="21"/>
          <w:highlight w:val="none"/>
        </w:rPr>
        <w:t>。</w:t>
      </w:r>
    </w:p>
    <w:p w14:paraId="419FF573">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检查检验数据引用</w:t>
      </w:r>
    </w:p>
    <w:p w14:paraId="3098041C">
      <w:pPr>
        <w:rPr>
          <w:rFonts w:hint="eastAsia"/>
          <w:szCs w:val="21"/>
          <w:highlight w:val="none"/>
        </w:rPr>
      </w:pPr>
      <w:r>
        <w:rPr>
          <w:rFonts w:hint="eastAsia"/>
          <w:szCs w:val="21"/>
          <w:highlight w:val="none"/>
        </w:rPr>
        <w:t>支持查看历次就诊的检查检验报告数据，并可查看细项的趋势图，可设置引用的字段，一键引用到病历中</w:t>
      </w:r>
      <w:r>
        <w:rPr>
          <w:szCs w:val="21"/>
          <w:highlight w:val="none"/>
        </w:rPr>
        <w:t>。</w:t>
      </w:r>
    </w:p>
    <w:p w14:paraId="52E27D03">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历史数据引用</w:t>
      </w:r>
    </w:p>
    <w:p w14:paraId="55E2C9EF">
      <w:pPr>
        <w:rPr>
          <w:rFonts w:hint="eastAsia"/>
          <w:szCs w:val="21"/>
          <w:highlight w:val="none"/>
        </w:rPr>
      </w:pPr>
      <w:r>
        <w:rPr>
          <w:szCs w:val="21"/>
          <w:highlight w:val="none"/>
        </w:rPr>
        <w:t>1、可从患者本机构及跨机构的诊病记录中引用相关信息，包含个人身份识别的基本信息、急诊预检信息、检查检验信息、处方处置信息、既往病历信息、疾病知识库相关知识文本等。</w:t>
      </w:r>
    </w:p>
    <w:p w14:paraId="7869BA9A">
      <w:pPr>
        <w:rPr>
          <w:rFonts w:hint="eastAsia"/>
          <w:szCs w:val="21"/>
          <w:highlight w:val="none"/>
        </w:rPr>
      </w:pPr>
      <w:r>
        <w:rPr>
          <w:szCs w:val="21"/>
          <w:highlight w:val="none"/>
        </w:rPr>
        <w:t>2、可在既往史中引用患者既往门诊诊疗有关信息，应当至少包括就诊日期、就诊科室、诊断等。</w:t>
      </w:r>
    </w:p>
    <w:p w14:paraId="0B288B8D">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处方引用</w:t>
      </w:r>
    </w:p>
    <w:p w14:paraId="2D7E5F63">
      <w:pPr>
        <w:rPr>
          <w:rFonts w:hint="eastAsia"/>
          <w:szCs w:val="21"/>
          <w:highlight w:val="none"/>
        </w:rPr>
      </w:pPr>
      <w:r>
        <w:rPr>
          <w:rFonts w:hint="eastAsia"/>
          <w:szCs w:val="21"/>
          <w:highlight w:val="none"/>
        </w:rPr>
        <w:t>门、急诊处方和处置记录，自动从门诊医生工作站中获取加载至病历中，不需重复录入</w:t>
      </w:r>
      <w:r>
        <w:rPr>
          <w:szCs w:val="21"/>
          <w:highlight w:val="none"/>
        </w:rPr>
        <w:t>。</w:t>
      </w:r>
    </w:p>
    <w:p w14:paraId="641E3786">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病历打印</w:t>
      </w:r>
    </w:p>
    <w:p w14:paraId="7644F25B">
      <w:pPr>
        <w:rPr>
          <w:rFonts w:hint="eastAsia" w:cs="Helvetica"/>
          <w:bCs/>
          <w:szCs w:val="21"/>
          <w:highlight w:val="none"/>
        </w:rPr>
      </w:pPr>
      <w:r>
        <w:rPr>
          <w:rFonts w:cs="Helvetica"/>
          <w:bCs/>
          <w:szCs w:val="21"/>
          <w:highlight w:val="none"/>
        </w:rPr>
        <w:t>1、提供门诊电子病历诊间打印、集中打印、自助打印功能。</w:t>
      </w:r>
    </w:p>
    <w:p w14:paraId="4E1295BA">
      <w:pPr>
        <w:rPr>
          <w:rFonts w:hint="eastAsia" w:cs="Helvetica"/>
          <w:bCs/>
          <w:szCs w:val="21"/>
          <w:highlight w:val="none"/>
        </w:rPr>
      </w:pPr>
      <w:r>
        <w:rPr>
          <w:rFonts w:cs="Helvetica"/>
          <w:bCs/>
          <w:szCs w:val="21"/>
          <w:highlight w:val="none"/>
        </w:rPr>
        <w:t>2、支持门诊电子病历导出功能，可导出成Word、PDF、XML格式</w:t>
      </w:r>
      <w:r>
        <w:rPr>
          <w:rFonts w:hint="eastAsia" w:cs="Helvetica"/>
          <w:bCs/>
          <w:szCs w:val="21"/>
          <w:highlight w:val="none"/>
        </w:rPr>
        <w:t>。</w:t>
      </w:r>
    </w:p>
    <w:p w14:paraId="3A06E666">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病历修改日志</w:t>
      </w:r>
    </w:p>
    <w:p w14:paraId="35C1AB20">
      <w:pPr>
        <w:rPr>
          <w:rFonts w:hint="eastAsia"/>
          <w:szCs w:val="21"/>
          <w:highlight w:val="none"/>
        </w:rPr>
      </w:pPr>
      <w:r>
        <w:rPr>
          <w:szCs w:val="21"/>
          <w:highlight w:val="none"/>
        </w:rPr>
        <w:t>1、病历书写修改痕迹，通过颜色和下划线在病历中高亮显示标识。</w:t>
      </w:r>
    </w:p>
    <w:p w14:paraId="61CEBCD2">
      <w:pPr>
        <w:rPr>
          <w:rFonts w:hint="eastAsia"/>
          <w:szCs w:val="21"/>
          <w:highlight w:val="none"/>
        </w:rPr>
      </w:pPr>
      <w:r>
        <w:rPr>
          <w:szCs w:val="21"/>
          <w:highlight w:val="none"/>
        </w:rPr>
        <w:t>2、支持病历详细结构化节点修改记录查看。</w:t>
      </w:r>
    </w:p>
    <w:p w14:paraId="532EA818">
      <w:pPr>
        <w:pStyle w:val="5"/>
        <w:rPr>
          <w:rFonts w:hint="eastAsia" w:ascii="宋体" w:hAnsi="宋体" w:eastAsia="宋体"/>
          <w:sz w:val="21"/>
          <w:szCs w:val="21"/>
          <w:highlight w:val="none"/>
        </w:rPr>
      </w:pPr>
      <w:bookmarkStart w:id="87" w:name="_Toc30903"/>
      <w:r>
        <w:rPr>
          <w:rFonts w:hint="eastAsia" w:ascii="宋体" w:hAnsi="宋体" w:eastAsia="宋体"/>
          <w:sz w:val="21"/>
          <w:szCs w:val="21"/>
          <w:highlight w:val="none"/>
        </w:rPr>
        <w:t>住院电子病历系统</w:t>
      </w:r>
      <w:bookmarkEnd w:id="87"/>
    </w:p>
    <w:p w14:paraId="3FF37876">
      <w:pPr>
        <w:autoSpaceDE w:val="0"/>
        <w:autoSpaceDN w:val="0"/>
        <w:adjustRightInd w:val="0"/>
        <w:jc w:val="left"/>
        <w:rPr>
          <w:rFonts w:hint="eastAsia" w:cs="宋体"/>
          <w:kern w:val="0"/>
          <w:szCs w:val="21"/>
          <w:highlight w:val="none"/>
        </w:rPr>
      </w:pPr>
      <w:r>
        <w:rPr>
          <w:rFonts w:hint="eastAsia" w:cs="宋体"/>
          <w:kern w:val="0"/>
          <w:szCs w:val="21"/>
          <w:highlight w:val="none"/>
        </w:rPr>
        <w:t>医院电子病历系统按照《病历书写基本规范》要求，确保病历书写及时、完整、规范；覆盖医疗机构各种医学文档的内容，用于协助医务人员方便快速地处理在医疗活动过程中形成的文字、符号、图表、影像等资料。可以集成到医疗机构的门诊医生站系统中，采用结构化结合自由文本的录入模式。</w:t>
      </w:r>
    </w:p>
    <w:p w14:paraId="7A61153D">
      <w:pPr>
        <w:autoSpaceDE w:val="0"/>
        <w:autoSpaceDN w:val="0"/>
        <w:adjustRightInd w:val="0"/>
        <w:jc w:val="left"/>
        <w:rPr>
          <w:rFonts w:hint="eastAsia" w:cs="宋体"/>
          <w:kern w:val="0"/>
          <w:szCs w:val="21"/>
          <w:highlight w:val="none"/>
        </w:rPr>
      </w:pPr>
      <w:r>
        <w:rPr>
          <w:rFonts w:hint="eastAsia" w:cs="宋体"/>
          <w:kern w:val="0"/>
          <w:szCs w:val="21"/>
          <w:highlight w:val="none"/>
        </w:rPr>
        <w:t>要求主要内容包括：住院病案首页及附页、首次病程、病程记录、出院小结、住院记录、医嘱单、化验单（检验报告）、医影像检查资料、麻醉记录单、手术记录单、病理资料、出院记录（或死亡记录）、病程记录（含抢救记录）、疑难病例讨论记录、会诊意见、上级医生查房记录、死亡病例讨论记录等。</w:t>
      </w:r>
    </w:p>
    <w:p w14:paraId="7978C536">
      <w:pPr>
        <w:autoSpaceDE w:val="0"/>
        <w:autoSpaceDN w:val="0"/>
        <w:adjustRightInd w:val="0"/>
        <w:jc w:val="left"/>
        <w:rPr>
          <w:rFonts w:hint="eastAsia" w:cs="宋体"/>
          <w:b/>
          <w:bCs/>
          <w:kern w:val="0"/>
          <w:szCs w:val="21"/>
          <w:highlight w:val="none"/>
        </w:rPr>
      </w:pPr>
      <w:r>
        <w:rPr>
          <w:rFonts w:hint="eastAsia" w:cs="宋体"/>
          <w:b/>
          <w:bCs/>
          <w:kern w:val="0"/>
          <w:szCs w:val="21"/>
          <w:highlight w:val="none"/>
        </w:rPr>
        <w:t>▲提供实习医生、规培医生帐号辅助书写病历类型的权限管控功能。（要求提供符合以上功能说明的产品截图）。</w:t>
      </w:r>
    </w:p>
    <w:p w14:paraId="293292CB">
      <w:pPr>
        <w:autoSpaceDE w:val="0"/>
        <w:autoSpaceDN w:val="0"/>
        <w:adjustRightInd w:val="0"/>
        <w:jc w:val="left"/>
        <w:rPr>
          <w:rFonts w:hint="eastAsia" w:cs="宋体"/>
          <w:kern w:val="0"/>
          <w:szCs w:val="21"/>
          <w:highlight w:val="none"/>
        </w:rPr>
      </w:pPr>
    </w:p>
    <w:p w14:paraId="14363810">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住院病历书写</w:t>
      </w:r>
    </w:p>
    <w:p w14:paraId="7F1167C5">
      <w:pPr>
        <w:autoSpaceDE w:val="0"/>
        <w:autoSpaceDN w:val="0"/>
        <w:adjustRightInd w:val="0"/>
        <w:jc w:val="left"/>
        <w:rPr>
          <w:rFonts w:hint="eastAsia" w:cs="宋体"/>
          <w:kern w:val="0"/>
          <w:szCs w:val="21"/>
          <w:highlight w:val="none"/>
        </w:rPr>
      </w:pPr>
      <w:r>
        <w:rPr>
          <w:rFonts w:cs="宋体"/>
          <w:kern w:val="0"/>
          <w:szCs w:val="21"/>
          <w:highlight w:val="none"/>
        </w:rPr>
        <w:t>1.可创建住院病历各组成部分病历资料，并自动记录创建时间（年、月、日、时、分）、创建者、病历组成部分名称。</w:t>
      </w:r>
    </w:p>
    <w:p w14:paraId="59C6E5FA">
      <w:pPr>
        <w:autoSpaceDE w:val="0"/>
        <w:autoSpaceDN w:val="0"/>
        <w:adjustRightInd w:val="0"/>
        <w:jc w:val="left"/>
        <w:rPr>
          <w:rFonts w:hint="eastAsia" w:cs="宋体"/>
          <w:kern w:val="0"/>
          <w:szCs w:val="21"/>
          <w:highlight w:val="none"/>
        </w:rPr>
      </w:pPr>
      <w:r>
        <w:rPr>
          <w:rFonts w:cs="宋体"/>
          <w:kern w:val="0"/>
          <w:szCs w:val="21"/>
          <w:highlight w:val="none"/>
        </w:rPr>
        <w:t>2.提供住院病历创建信息补记、修改等操作功能，对操作者应当进行身份识别、保存历次操作印痕、标记准确的操作时间和操作者信息。</w:t>
      </w:r>
    </w:p>
    <w:p w14:paraId="3E7199F0">
      <w:pPr>
        <w:autoSpaceDE w:val="0"/>
        <w:autoSpaceDN w:val="0"/>
        <w:adjustRightInd w:val="0"/>
        <w:jc w:val="left"/>
        <w:rPr>
          <w:rFonts w:hint="eastAsia" w:cs="宋体"/>
          <w:kern w:val="0"/>
          <w:szCs w:val="21"/>
          <w:highlight w:val="none"/>
        </w:rPr>
      </w:pPr>
      <w:r>
        <w:rPr>
          <w:rFonts w:cs="宋体"/>
          <w:kern w:val="0"/>
          <w:szCs w:val="21"/>
          <w:highlight w:val="none"/>
        </w:rPr>
        <w:t>3.提供根据患者住院期间电子病历记录，自动生成病案首页中住院天数、确诊日期、出院诊断、手术及操作、费用信息、护理等信息的功能。</w:t>
      </w:r>
    </w:p>
    <w:p w14:paraId="272B582B">
      <w:pPr>
        <w:autoSpaceDE w:val="0"/>
        <w:autoSpaceDN w:val="0"/>
        <w:adjustRightInd w:val="0"/>
        <w:jc w:val="left"/>
        <w:rPr>
          <w:rFonts w:hint="eastAsia" w:cs="宋体"/>
          <w:kern w:val="0"/>
          <w:szCs w:val="21"/>
          <w:highlight w:val="none"/>
        </w:rPr>
      </w:pPr>
      <w:r>
        <w:rPr>
          <w:rFonts w:cs="宋体"/>
          <w:kern w:val="0"/>
          <w:szCs w:val="21"/>
          <w:highlight w:val="none"/>
        </w:rPr>
        <w:t>4.提供为临床试验病例、教学病例等特殊病历资料进行标识的功能。</w:t>
      </w:r>
    </w:p>
    <w:p w14:paraId="44E22424">
      <w:pPr>
        <w:autoSpaceDE w:val="0"/>
        <w:autoSpaceDN w:val="0"/>
        <w:adjustRightInd w:val="0"/>
        <w:jc w:val="left"/>
        <w:rPr>
          <w:rFonts w:hint="eastAsia" w:cs="宋体"/>
          <w:kern w:val="0"/>
          <w:szCs w:val="21"/>
          <w:highlight w:val="none"/>
        </w:rPr>
      </w:pPr>
      <w:r>
        <w:rPr>
          <w:rFonts w:cs="宋体"/>
          <w:kern w:val="0"/>
          <w:szCs w:val="21"/>
          <w:highlight w:val="none"/>
        </w:rPr>
        <w:t>5.支持病历各组成部分录入与编辑的功能。</w:t>
      </w:r>
    </w:p>
    <w:p w14:paraId="32914D99">
      <w:pPr>
        <w:autoSpaceDE w:val="0"/>
        <w:autoSpaceDN w:val="0"/>
        <w:adjustRightInd w:val="0"/>
        <w:jc w:val="left"/>
        <w:rPr>
          <w:rFonts w:hint="eastAsia" w:cs="宋体"/>
          <w:kern w:val="0"/>
          <w:szCs w:val="21"/>
          <w:highlight w:val="none"/>
        </w:rPr>
      </w:pPr>
      <w:r>
        <w:rPr>
          <w:rFonts w:cs="宋体"/>
          <w:kern w:val="0"/>
          <w:szCs w:val="21"/>
          <w:highlight w:val="none"/>
        </w:rPr>
        <w:t>6.提供按照病历组成部分、内容和要求，根据电子病历系统中相关数据，自动生成住院病历部分内容的功能。</w:t>
      </w:r>
    </w:p>
    <w:p w14:paraId="0B5ABC3B">
      <w:pPr>
        <w:autoSpaceDE w:val="0"/>
        <w:autoSpaceDN w:val="0"/>
        <w:adjustRightInd w:val="0"/>
        <w:jc w:val="left"/>
        <w:rPr>
          <w:rFonts w:hint="eastAsia" w:cs="宋体"/>
          <w:kern w:val="0"/>
          <w:szCs w:val="21"/>
          <w:highlight w:val="none"/>
        </w:rPr>
      </w:pPr>
      <w:r>
        <w:rPr>
          <w:rFonts w:cs="宋体"/>
          <w:kern w:val="0"/>
          <w:szCs w:val="21"/>
          <w:highlight w:val="none"/>
        </w:rPr>
        <w:t>7.提供自由文本录入功能。</w:t>
      </w:r>
    </w:p>
    <w:p w14:paraId="32F3C826">
      <w:pPr>
        <w:autoSpaceDE w:val="0"/>
        <w:autoSpaceDN w:val="0"/>
        <w:adjustRightInd w:val="0"/>
        <w:jc w:val="left"/>
        <w:rPr>
          <w:rFonts w:hint="eastAsia" w:cs="宋体"/>
          <w:kern w:val="0"/>
          <w:szCs w:val="21"/>
          <w:highlight w:val="none"/>
        </w:rPr>
      </w:pPr>
      <w:r>
        <w:rPr>
          <w:rFonts w:cs="宋体"/>
          <w:kern w:val="0"/>
          <w:szCs w:val="21"/>
          <w:highlight w:val="none"/>
        </w:rPr>
        <w:t>8.提供在住院病历指定内容中复制、粘贴患者本人住院病历相同信息的功能；禁止复制、粘贴非患者本人信息的功能。</w:t>
      </w:r>
    </w:p>
    <w:p w14:paraId="4D5233CB">
      <w:pPr>
        <w:autoSpaceDE w:val="0"/>
        <w:autoSpaceDN w:val="0"/>
        <w:adjustRightInd w:val="0"/>
        <w:jc w:val="left"/>
        <w:rPr>
          <w:rFonts w:hint="eastAsia" w:cs="宋体"/>
          <w:kern w:val="0"/>
          <w:szCs w:val="21"/>
          <w:highlight w:val="none"/>
        </w:rPr>
      </w:pPr>
      <w:r>
        <w:rPr>
          <w:rFonts w:cs="宋体"/>
          <w:kern w:val="0"/>
          <w:szCs w:val="21"/>
          <w:highlight w:val="none"/>
        </w:rPr>
        <w:t>9.提供住院病历记录双签名功能，当由实习医师、试用期医务人员书写病历时，应当经过本医疗机构注册的医师审阅、修改，并保留书写者与审阅者的双签名。</w:t>
      </w:r>
    </w:p>
    <w:p w14:paraId="6599D25A">
      <w:pPr>
        <w:autoSpaceDE w:val="0"/>
        <w:autoSpaceDN w:val="0"/>
        <w:adjustRightInd w:val="0"/>
        <w:jc w:val="left"/>
        <w:rPr>
          <w:rFonts w:hint="eastAsia" w:cs="宋体"/>
          <w:kern w:val="0"/>
          <w:szCs w:val="21"/>
          <w:highlight w:val="none"/>
        </w:rPr>
      </w:pPr>
      <w:r>
        <w:rPr>
          <w:rFonts w:cs="宋体"/>
          <w:kern w:val="0"/>
          <w:szCs w:val="21"/>
          <w:highlight w:val="none"/>
        </w:rPr>
        <w:t>10.防止对正处于编辑状态的住院病历在另一界面打开、编辑的功能。</w:t>
      </w:r>
    </w:p>
    <w:p w14:paraId="5927BE34">
      <w:pPr>
        <w:autoSpaceDE w:val="0"/>
        <w:autoSpaceDN w:val="0"/>
        <w:adjustRightInd w:val="0"/>
        <w:jc w:val="left"/>
        <w:rPr>
          <w:rFonts w:hint="eastAsia" w:cs="宋体"/>
          <w:kern w:val="0"/>
          <w:szCs w:val="21"/>
          <w:highlight w:val="none"/>
        </w:rPr>
      </w:pPr>
      <w:r>
        <w:rPr>
          <w:rFonts w:cs="宋体"/>
          <w:kern w:val="0"/>
          <w:szCs w:val="21"/>
          <w:highlight w:val="none"/>
        </w:rPr>
        <w:t>11.提供在住院病历记录中插入患者基本信息、医嘱信息、辅助检查报告、生命体征信息等相关内容的功能。</w:t>
      </w:r>
    </w:p>
    <w:p w14:paraId="64B8C63A">
      <w:pPr>
        <w:autoSpaceDE w:val="0"/>
        <w:autoSpaceDN w:val="0"/>
        <w:adjustRightInd w:val="0"/>
        <w:jc w:val="left"/>
        <w:rPr>
          <w:rFonts w:hint="eastAsia" w:cs="宋体"/>
          <w:kern w:val="0"/>
          <w:szCs w:val="21"/>
          <w:highlight w:val="none"/>
        </w:rPr>
      </w:pPr>
      <w:r>
        <w:rPr>
          <w:rFonts w:cs="宋体"/>
          <w:kern w:val="0"/>
          <w:szCs w:val="21"/>
          <w:highlight w:val="none"/>
        </w:rPr>
        <w:t>12.提供结构化病历模板、内容段落模板两级模板。支持医师自定义维护内容段落模板。</w:t>
      </w:r>
    </w:p>
    <w:p w14:paraId="1F998A25">
      <w:pPr>
        <w:autoSpaceDE w:val="0"/>
        <w:autoSpaceDN w:val="0"/>
        <w:adjustRightInd w:val="0"/>
        <w:jc w:val="left"/>
        <w:rPr>
          <w:rFonts w:hint="eastAsia" w:cs="宋体"/>
          <w:kern w:val="0"/>
          <w:szCs w:val="21"/>
          <w:highlight w:val="none"/>
        </w:rPr>
      </w:pPr>
      <w:r>
        <w:rPr>
          <w:rFonts w:cs="宋体"/>
          <w:kern w:val="0"/>
          <w:szCs w:val="21"/>
          <w:highlight w:val="none"/>
        </w:rPr>
        <w:t>13.提供包含展现样式的病历记录录入编辑和保存功能；提供所见即所得的病历记录录入编辑功能。</w:t>
      </w:r>
    </w:p>
    <w:p w14:paraId="60557692">
      <w:pPr>
        <w:autoSpaceDE w:val="0"/>
        <w:autoSpaceDN w:val="0"/>
        <w:adjustRightInd w:val="0"/>
        <w:jc w:val="left"/>
        <w:rPr>
          <w:rFonts w:hint="eastAsia" w:cs="宋体"/>
          <w:b/>
          <w:bCs/>
          <w:kern w:val="0"/>
          <w:szCs w:val="21"/>
          <w:highlight w:val="none"/>
        </w:rPr>
      </w:pPr>
      <w:r>
        <w:rPr>
          <w:rFonts w:hint="eastAsia" w:cs="宋体"/>
          <w:kern w:val="0"/>
          <w:szCs w:val="21"/>
          <w:highlight w:val="none"/>
        </w:rPr>
        <w:t>▲14.</w:t>
      </w:r>
      <w:r>
        <w:rPr>
          <w:rFonts w:hint="eastAsia" w:cs="宋体"/>
          <w:b/>
          <w:bCs/>
          <w:kern w:val="0"/>
          <w:szCs w:val="21"/>
          <w:highlight w:val="none"/>
        </w:rPr>
        <w:t>在病历记录录入编辑过程中自动保存编辑内容，并在系统出现异常中断的情况下恢复正在编辑文档的功能。（要求提供符合以上功能说明的产品截图）</w:t>
      </w:r>
    </w:p>
    <w:p w14:paraId="49B2A3AB">
      <w:pPr>
        <w:autoSpaceDE w:val="0"/>
        <w:autoSpaceDN w:val="0"/>
        <w:adjustRightInd w:val="0"/>
        <w:jc w:val="left"/>
        <w:rPr>
          <w:rFonts w:hint="eastAsia" w:cs="宋体"/>
          <w:kern w:val="0"/>
          <w:szCs w:val="21"/>
          <w:highlight w:val="none"/>
        </w:rPr>
      </w:pPr>
      <w:r>
        <w:rPr>
          <w:rFonts w:cs="宋体"/>
          <w:kern w:val="0"/>
          <w:szCs w:val="21"/>
          <w:highlight w:val="none"/>
        </w:rPr>
        <w:t>15.提供在住院病历记录中嵌入图片、表格、多媒体数据并进行编辑的功能。</w:t>
      </w:r>
    </w:p>
    <w:p w14:paraId="653DAEC9">
      <w:pPr>
        <w:autoSpaceDE w:val="0"/>
        <w:autoSpaceDN w:val="0"/>
        <w:adjustRightInd w:val="0"/>
        <w:jc w:val="left"/>
        <w:rPr>
          <w:rFonts w:hint="eastAsia" w:cs="宋体"/>
          <w:kern w:val="0"/>
          <w:szCs w:val="21"/>
          <w:highlight w:val="none"/>
        </w:rPr>
      </w:pPr>
      <w:r>
        <w:rPr>
          <w:rFonts w:cs="宋体"/>
          <w:kern w:val="0"/>
          <w:szCs w:val="21"/>
          <w:highlight w:val="none"/>
        </w:rPr>
        <w:t>16.提供电子传染病报告填写和上报的功能；根据患者诊断自动触发上报录入界面。</w:t>
      </w:r>
    </w:p>
    <w:p w14:paraId="0A6742CB">
      <w:pPr>
        <w:autoSpaceDE w:val="0"/>
        <w:autoSpaceDN w:val="0"/>
        <w:adjustRightInd w:val="0"/>
        <w:jc w:val="left"/>
        <w:rPr>
          <w:rFonts w:hint="eastAsia" w:cs="宋体"/>
          <w:kern w:val="0"/>
          <w:szCs w:val="21"/>
          <w:highlight w:val="none"/>
        </w:rPr>
      </w:pPr>
      <w:r>
        <w:rPr>
          <w:rFonts w:cs="宋体"/>
          <w:kern w:val="0"/>
          <w:szCs w:val="21"/>
          <w:highlight w:val="none"/>
        </w:rPr>
        <w:t>17.提供电子死亡医学证明填写和上报功能，也提供疾病证明等其他证明材料。</w:t>
      </w:r>
    </w:p>
    <w:p w14:paraId="367A1D32">
      <w:pPr>
        <w:autoSpaceDE w:val="0"/>
        <w:autoSpaceDN w:val="0"/>
        <w:adjustRightInd w:val="0"/>
        <w:jc w:val="left"/>
        <w:rPr>
          <w:rFonts w:hint="eastAsia" w:cs="宋体"/>
          <w:kern w:val="0"/>
          <w:szCs w:val="21"/>
          <w:highlight w:val="none"/>
        </w:rPr>
      </w:pPr>
      <w:r>
        <w:rPr>
          <w:rFonts w:cs="宋体"/>
          <w:kern w:val="0"/>
          <w:szCs w:val="21"/>
          <w:highlight w:val="none"/>
        </w:rPr>
        <w:t>18.提供住院医师交接班记录功能。可根据按模板自动生成交接班记录，内容可包括科室患者概况，新入院、病危、手术、特殊检查等患者的基本信息和诊疗情况，再由交接班医师签名存档。</w:t>
      </w:r>
    </w:p>
    <w:p w14:paraId="05BECA87">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文档段管理</w:t>
      </w:r>
    </w:p>
    <w:p w14:paraId="036C5BD6">
      <w:pPr>
        <w:widowControl/>
        <w:jc w:val="left"/>
        <w:rPr>
          <w:rFonts w:hint="eastAsia"/>
          <w:szCs w:val="21"/>
          <w:highlight w:val="none"/>
        </w:rPr>
      </w:pPr>
      <w:r>
        <w:rPr>
          <w:rFonts w:hint="eastAsia"/>
          <w:szCs w:val="21"/>
          <w:highlight w:val="none"/>
        </w:rPr>
        <w:t>文档段管理支持医生自由维护个人文档段或科室文档段。支持文档段关联病历节点，配置后自动引用到病历节点内。</w:t>
      </w:r>
    </w:p>
    <w:p w14:paraId="6F0BDC75">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数据引用</w:t>
      </w:r>
    </w:p>
    <w:p w14:paraId="35156BCA">
      <w:pPr>
        <w:autoSpaceDE w:val="0"/>
        <w:autoSpaceDN w:val="0"/>
        <w:adjustRightInd w:val="0"/>
        <w:jc w:val="left"/>
        <w:rPr>
          <w:rFonts w:hint="eastAsia" w:cs="宋体"/>
          <w:kern w:val="0"/>
          <w:szCs w:val="21"/>
          <w:highlight w:val="none"/>
        </w:rPr>
      </w:pPr>
      <w:r>
        <w:rPr>
          <w:rFonts w:cs="宋体"/>
          <w:kern w:val="0"/>
          <w:szCs w:val="21"/>
          <w:highlight w:val="none"/>
        </w:rPr>
        <w:t>1.</w:t>
      </w:r>
      <w:r>
        <w:rPr>
          <w:rFonts w:cs="宋体"/>
          <w:kern w:val="0"/>
          <w:szCs w:val="21"/>
          <w:highlight w:val="none"/>
        </w:rPr>
        <w:tab/>
      </w:r>
      <w:r>
        <w:rPr>
          <w:rFonts w:cs="宋体"/>
          <w:kern w:val="0"/>
          <w:szCs w:val="21"/>
          <w:highlight w:val="none"/>
        </w:rPr>
        <w:t>提供在住院病历记录中插入来自于系统内部或外部的疾病知识资料库相关知识文本的功能。</w:t>
      </w:r>
    </w:p>
    <w:p w14:paraId="11D504D2">
      <w:pPr>
        <w:autoSpaceDE w:val="0"/>
        <w:autoSpaceDN w:val="0"/>
        <w:adjustRightInd w:val="0"/>
        <w:jc w:val="left"/>
        <w:rPr>
          <w:rFonts w:hint="eastAsia" w:cs="宋体"/>
          <w:kern w:val="0"/>
          <w:szCs w:val="21"/>
          <w:highlight w:val="none"/>
        </w:rPr>
      </w:pPr>
      <w:r>
        <w:rPr>
          <w:rFonts w:cs="宋体"/>
          <w:kern w:val="0"/>
          <w:szCs w:val="21"/>
          <w:highlight w:val="none"/>
        </w:rPr>
        <w:t>2.</w:t>
      </w:r>
      <w:r>
        <w:rPr>
          <w:rFonts w:cs="宋体"/>
          <w:kern w:val="0"/>
          <w:szCs w:val="21"/>
          <w:highlight w:val="none"/>
        </w:rPr>
        <w:tab/>
      </w:r>
      <w:r>
        <w:rPr>
          <w:rFonts w:cs="宋体"/>
          <w:kern w:val="0"/>
          <w:szCs w:val="21"/>
          <w:highlight w:val="none"/>
        </w:rPr>
        <w:t>提供常用术语词库辅助录入功能，术语词库包括症状名称、体征名称、疾病名称、药物名称、手术名称、操作名称、护理级别名称等。</w:t>
      </w:r>
    </w:p>
    <w:p w14:paraId="34269700">
      <w:pPr>
        <w:autoSpaceDE w:val="0"/>
        <w:autoSpaceDN w:val="0"/>
        <w:adjustRightInd w:val="0"/>
        <w:jc w:val="left"/>
        <w:rPr>
          <w:rFonts w:hint="eastAsia" w:cs="宋体"/>
          <w:kern w:val="0"/>
          <w:szCs w:val="21"/>
          <w:highlight w:val="none"/>
        </w:rPr>
      </w:pPr>
      <w:r>
        <w:rPr>
          <w:rFonts w:cs="宋体"/>
          <w:kern w:val="0"/>
          <w:szCs w:val="21"/>
          <w:highlight w:val="none"/>
        </w:rPr>
        <w:t>3.</w:t>
      </w:r>
      <w:r>
        <w:rPr>
          <w:rFonts w:cs="宋体"/>
          <w:kern w:val="0"/>
          <w:szCs w:val="21"/>
          <w:highlight w:val="none"/>
        </w:rPr>
        <w:tab/>
      </w:r>
      <w:r>
        <w:rPr>
          <w:rFonts w:cs="宋体"/>
          <w:kern w:val="0"/>
          <w:szCs w:val="21"/>
          <w:highlight w:val="none"/>
        </w:rPr>
        <w:t>提供自定义短语辅助录入功能。医师可维护常用短语，在病历书写时可快捷引用到病历中。</w:t>
      </w:r>
    </w:p>
    <w:p w14:paraId="477BA302">
      <w:pPr>
        <w:autoSpaceDE w:val="0"/>
        <w:autoSpaceDN w:val="0"/>
        <w:adjustRightInd w:val="0"/>
        <w:jc w:val="left"/>
        <w:rPr>
          <w:rFonts w:hint="eastAsia" w:cs="宋体"/>
          <w:kern w:val="0"/>
          <w:szCs w:val="21"/>
          <w:highlight w:val="none"/>
        </w:rPr>
      </w:pPr>
      <w:r>
        <w:rPr>
          <w:rFonts w:cs="宋体"/>
          <w:kern w:val="0"/>
          <w:szCs w:val="21"/>
          <w:highlight w:val="none"/>
        </w:rPr>
        <w:t>4.</w:t>
      </w:r>
      <w:r>
        <w:rPr>
          <w:rFonts w:cs="宋体"/>
          <w:kern w:val="0"/>
          <w:szCs w:val="21"/>
          <w:highlight w:val="none"/>
        </w:rPr>
        <w:tab/>
      </w:r>
      <w:r>
        <w:rPr>
          <w:rFonts w:cs="宋体"/>
          <w:kern w:val="0"/>
          <w:szCs w:val="21"/>
          <w:highlight w:val="none"/>
        </w:rPr>
        <w:t>提供结构化（可交互元素）模板辅助录入功能，并在病历记录中保留结构化模板形成的结构</w:t>
      </w:r>
      <w:r>
        <w:rPr>
          <w:rFonts w:hint="eastAsia" w:cs="宋体"/>
          <w:kern w:val="0"/>
          <w:szCs w:val="21"/>
          <w:highlight w:val="none"/>
        </w:rPr>
        <w:t>。</w:t>
      </w:r>
    </w:p>
    <w:p w14:paraId="6D294C8E">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病历内容质控</w:t>
      </w:r>
    </w:p>
    <w:p w14:paraId="646AD2B4">
      <w:pPr>
        <w:autoSpaceDE w:val="0"/>
        <w:autoSpaceDN w:val="0"/>
        <w:adjustRightInd w:val="0"/>
        <w:jc w:val="left"/>
        <w:rPr>
          <w:rFonts w:hint="eastAsia" w:cs="宋体"/>
          <w:kern w:val="0"/>
          <w:szCs w:val="21"/>
          <w:highlight w:val="none"/>
        </w:rPr>
      </w:pPr>
      <w:r>
        <w:rPr>
          <w:rFonts w:cs="宋体"/>
          <w:kern w:val="0"/>
          <w:szCs w:val="21"/>
          <w:highlight w:val="none"/>
        </w:rPr>
        <w:t>1.</w:t>
      </w:r>
      <w:r>
        <w:rPr>
          <w:rFonts w:cs="宋体"/>
          <w:kern w:val="0"/>
          <w:szCs w:val="21"/>
          <w:highlight w:val="none"/>
        </w:rPr>
        <w:tab/>
      </w:r>
      <w:r>
        <w:rPr>
          <w:rFonts w:cs="宋体"/>
          <w:kern w:val="0"/>
          <w:szCs w:val="21"/>
          <w:highlight w:val="none"/>
        </w:rPr>
        <w:t>提供结构化病历记录项目内容合理性检查与提示功能，包括项目独立检查和项目之间、项目与患者个人特征间的相关性检查。</w:t>
      </w:r>
    </w:p>
    <w:p w14:paraId="71222B9D">
      <w:pPr>
        <w:autoSpaceDE w:val="0"/>
        <w:autoSpaceDN w:val="0"/>
        <w:adjustRightInd w:val="0"/>
        <w:jc w:val="left"/>
        <w:rPr>
          <w:rFonts w:hint="eastAsia" w:cs="宋体"/>
          <w:kern w:val="0"/>
          <w:szCs w:val="21"/>
          <w:highlight w:val="none"/>
        </w:rPr>
      </w:pPr>
      <w:r>
        <w:rPr>
          <w:rFonts w:cs="宋体"/>
          <w:kern w:val="0"/>
          <w:szCs w:val="21"/>
          <w:highlight w:val="none"/>
        </w:rPr>
        <w:t>2.</w:t>
      </w:r>
      <w:r>
        <w:rPr>
          <w:rFonts w:cs="宋体"/>
          <w:kern w:val="0"/>
          <w:szCs w:val="21"/>
          <w:highlight w:val="none"/>
        </w:rPr>
        <w:tab/>
      </w:r>
      <w:r>
        <w:rPr>
          <w:rFonts w:cs="宋体"/>
          <w:kern w:val="0"/>
          <w:szCs w:val="21"/>
          <w:highlight w:val="none"/>
        </w:rPr>
        <w:t>提供病历质控自查功能，医师可通过病历质控自查功能对病历缺陷进行提醒。</w:t>
      </w:r>
    </w:p>
    <w:p w14:paraId="46F01946">
      <w:pPr>
        <w:autoSpaceDE w:val="0"/>
        <w:autoSpaceDN w:val="0"/>
        <w:adjustRightInd w:val="0"/>
        <w:jc w:val="left"/>
        <w:rPr>
          <w:rFonts w:hint="eastAsia" w:cs="宋体"/>
          <w:kern w:val="0"/>
          <w:szCs w:val="21"/>
          <w:highlight w:val="none"/>
        </w:rPr>
      </w:pPr>
      <w:r>
        <w:rPr>
          <w:rFonts w:cs="宋体"/>
          <w:kern w:val="0"/>
          <w:szCs w:val="21"/>
          <w:highlight w:val="none"/>
        </w:rPr>
        <w:t>3.</w:t>
      </w:r>
      <w:r>
        <w:rPr>
          <w:rFonts w:cs="宋体"/>
          <w:kern w:val="0"/>
          <w:szCs w:val="21"/>
          <w:highlight w:val="none"/>
        </w:rPr>
        <w:tab/>
      </w:r>
      <w:r>
        <w:rPr>
          <w:rFonts w:cs="宋体"/>
          <w:kern w:val="0"/>
          <w:szCs w:val="21"/>
          <w:highlight w:val="none"/>
        </w:rPr>
        <w:t>提供病历保存质控提醒，针对病历中的重要缺陷，支持医生病历保存时的质控提醒，可根据管理要求设置为“仅提醒可保存”或“不能保存”。</w:t>
      </w:r>
    </w:p>
    <w:p w14:paraId="04067A5C">
      <w:pPr>
        <w:autoSpaceDE w:val="0"/>
        <w:autoSpaceDN w:val="0"/>
        <w:adjustRightInd w:val="0"/>
        <w:jc w:val="left"/>
        <w:rPr>
          <w:rFonts w:hint="eastAsia" w:cs="宋体"/>
          <w:kern w:val="0"/>
          <w:szCs w:val="21"/>
          <w:highlight w:val="none"/>
        </w:rPr>
      </w:pPr>
      <w:r>
        <w:rPr>
          <w:rFonts w:cs="宋体"/>
          <w:kern w:val="0"/>
          <w:szCs w:val="21"/>
          <w:highlight w:val="none"/>
        </w:rPr>
        <w:t>4.</w:t>
      </w:r>
      <w:r>
        <w:rPr>
          <w:rFonts w:cs="宋体"/>
          <w:kern w:val="0"/>
          <w:szCs w:val="21"/>
          <w:highlight w:val="none"/>
        </w:rPr>
        <w:tab/>
      </w:r>
      <w:r>
        <w:rPr>
          <w:rFonts w:cs="宋体"/>
          <w:kern w:val="0"/>
          <w:szCs w:val="21"/>
          <w:highlight w:val="none"/>
        </w:rPr>
        <w:t>提供医师病历自评功能。病人出院后，可按照病案质量要求进行评分，支持自动评分和手动评分，并自动计算和显示病历质量的等级情况。</w:t>
      </w:r>
    </w:p>
    <w:p w14:paraId="0790CC6E">
      <w:pPr>
        <w:autoSpaceDE w:val="0"/>
        <w:autoSpaceDN w:val="0"/>
        <w:adjustRightInd w:val="0"/>
        <w:jc w:val="left"/>
        <w:rPr>
          <w:rFonts w:hint="eastAsia" w:cs="宋体"/>
          <w:kern w:val="0"/>
          <w:szCs w:val="21"/>
          <w:highlight w:val="none"/>
        </w:rPr>
      </w:pPr>
      <w:r>
        <w:rPr>
          <w:rFonts w:cs="宋体"/>
          <w:kern w:val="0"/>
          <w:szCs w:val="21"/>
          <w:highlight w:val="none"/>
        </w:rPr>
        <w:t>5.</w:t>
      </w:r>
      <w:r>
        <w:rPr>
          <w:rFonts w:cs="宋体"/>
          <w:kern w:val="0"/>
          <w:szCs w:val="21"/>
          <w:highlight w:val="none"/>
        </w:rPr>
        <w:tab/>
      </w:r>
      <w:r>
        <w:rPr>
          <w:rFonts w:cs="宋体"/>
          <w:kern w:val="0"/>
          <w:szCs w:val="21"/>
          <w:highlight w:val="none"/>
        </w:rPr>
        <w:t>提供病历质控消息应用。针对病历质控问题，能够通过消息提醒方式实时通知相关医师。</w:t>
      </w:r>
    </w:p>
    <w:p w14:paraId="58FF437E">
      <w:pPr>
        <w:autoSpaceDE w:val="0"/>
        <w:autoSpaceDN w:val="0"/>
        <w:adjustRightInd w:val="0"/>
        <w:jc w:val="left"/>
        <w:rPr>
          <w:rFonts w:hint="eastAsia" w:cs="宋体"/>
          <w:kern w:val="0"/>
          <w:szCs w:val="21"/>
          <w:highlight w:val="none"/>
        </w:rPr>
      </w:pPr>
      <w:r>
        <w:rPr>
          <w:rFonts w:cs="宋体"/>
          <w:kern w:val="0"/>
          <w:szCs w:val="21"/>
          <w:highlight w:val="none"/>
        </w:rPr>
        <w:t>6.</w:t>
      </w:r>
      <w:r>
        <w:rPr>
          <w:rFonts w:cs="宋体"/>
          <w:kern w:val="0"/>
          <w:szCs w:val="21"/>
          <w:highlight w:val="none"/>
        </w:rPr>
        <w:tab/>
      </w:r>
      <w:r>
        <w:rPr>
          <w:rFonts w:cs="宋体"/>
          <w:kern w:val="0"/>
          <w:szCs w:val="21"/>
          <w:highlight w:val="none"/>
        </w:rPr>
        <w:t>提供质控缺陷智能定位功能。针对医师收到的病历质控消息，可直接点击质控消息并定位到缺陷位置，同时可查看对病历缺陷内容的评价和要求</w:t>
      </w:r>
      <w:r>
        <w:rPr>
          <w:rFonts w:hint="eastAsia" w:cs="宋体"/>
          <w:kern w:val="0"/>
          <w:szCs w:val="21"/>
          <w:highlight w:val="none"/>
        </w:rPr>
        <w:t>。</w:t>
      </w:r>
    </w:p>
    <w:p w14:paraId="53CD2711">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病历权限</w:t>
      </w:r>
    </w:p>
    <w:p w14:paraId="00609F68">
      <w:pPr>
        <w:autoSpaceDE w:val="0"/>
        <w:autoSpaceDN w:val="0"/>
        <w:adjustRightInd w:val="0"/>
        <w:jc w:val="left"/>
        <w:rPr>
          <w:rFonts w:hint="eastAsia" w:cs="宋体"/>
          <w:kern w:val="0"/>
          <w:szCs w:val="21"/>
          <w:highlight w:val="none"/>
        </w:rPr>
      </w:pPr>
      <w:r>
        <w:rPr>
          <w:rFonts w:hint="eastAsia" w:cs="宋体"/>
          <w:kern w:val="0"/>
          <w:szCs w:val="21"/>
          <w:highlight w:val="none"/>
        </w:rPr>
        <w:t>1</w:t>
      </w:r>
      <w:r>
        <w:rPr>
          <w:rFonts w:cs="宋体"/>
          <w:kern w:val="0"/>
          <w:szCs w:val="21"/>
          <w:highlight w:val="none"/>
        </w:rPr>
        <w:t>.</w:t>
      </w:r>
      <w:r>
        <w:rPr>
          <w:rFonts w:hint="eastAsia" w:cs="宋体"/>
          <w:kern w:val="0"/>
          <w:szCs w:val="21"/>
          <w:highlight w:val="none"/>
        </w:rPr>
        <w:t>提供暂时保存未完成住院病历记录，并授权用户查看、修改、完成该病历记录，提供住院病历记录确认完成并记录完成时间的功能。</w:t>
      </w:r>
    </w:p>
    <w:p w14:paraId="15CFFF4C">
      <w:pPr>
        <w:autoSpaceDE w:val="0"/>
        <w:autoSpaceDN w:val="0"/>
        <w:adjustRightInd w:val="0"/>
        <w:jc w:val="left"/>
        <w:rPr>
          <w:rFonts w:hint="eastAsia" w:cs="宋体"/>
          <w:kern w:val="0"/>
          <w:szCs w:val="21"/>
          <w:highlight w:val="none"/>
        </w:rPr>
      </w:pPr>
      <w:r>
        <w:rPr>
          <w:rFonts w:cs="宋体"/>
          <w:kern w:val="0"/>
          <w:szCs w:val="21"/>
          <w:highlight w:val="none"/>
        </w:rPr>
        <w:t>2.</w:t>
      </w:r>
      <w:r>
        <w:rPr>
          <w:rFonts w:cs="宋体"/>
          <w:kern w:val="0"/>
          <w:szCs w:val="21"/>
          <w:highlight w:val="none"/>
        </w:rPr>
        <w:tab/>
      </w:r>
      <w:r>
        <w:rPr>
          <w:rFonts w:cs="宋体"/>
          <w:kern w:val="0"/>
          <w:szCs w:val="21"/>
          <w:highlight w:val="none"/>
        </w:rPr>
        <w:t>提供病历记录的修改和删除功能，并自动记录、保存病历记录所有修改的痕迹，应当至少包括修改内容、修改人、修改时间等。</w:t>
      </w:r>
    </w:p>
    <w:p w14:paraId="6781C805">
      <w:pPr>
        <w:autoSpaceDE w:val="0"/>
        <w:autoSpaceDN w:val="0"/>
        <w:adjustRightInd w:val="0"/>
        <w:jc w:val="left"/>
        <w:rPr>
          <w:rFonts w:hint="eastAsia" w:cs="宋体"/>
          <w:kern w:val="0"/>
          <w:szCs w:val="21"/>
          <w:highlight w:val="none"/>
        </w:rPr>
      </w:pPr>
      <w:r>
        <w:rPr>
          <w:rFonts w:cs="宋体"/>
          <w:kern w:val="0"/>
          <w:szCs w:val="21"/>
          <w:highlight w:val="none"/>
        </w:rPr>
        <w:t>3.</w:t>
      </w:r>
      <w:r>
        <w:rPr>
          <w:rFonts w:cs="宋体"/>
          <w:kern w:val="0"/>
          <w:szCs w:val="21"/>
          <w:highlight w:val="none"/>
        </w:rPr>
        <w:tab/>
      </w:r>
      <w:r>
        <w:rPr>
          <w:rFonts w:cs="宋体"/>
          <w:kern w:val="0"/>
          <w:szCs w:val="21"/>
          <w:highlight w:val="none"/>
        </w:rPr>
        <w:t>提供上级医师审签病历的功能，允许上级医师修改并修改下级医师创建的病历记录。</w:t>
      </w:r>
    </w:p>
    <w:p w14:paraId="78E365F9">
      <w:pPr>
        <w:autoSpaceDE w:val="0"/>
        <w:autoSpaceDN w:val="0"/>
        <w:adjustRightInd w:val="0"/>
        <w:jc w:val="left"/>
        <w:rPr>
          <w:rFonts w:hint="eastAsia" w:cs="宋体"/>
          <w:kern w:val="0"/>
          <w:szCs w:val="21"/>
          <w:highlight w:val="none"/>
        </w:rPr>
      </w:pPr>
      <w:r>
        <w:rPr>
          <w:rFonts w:cs="宋体"/>
          <w:kern w:val="0"/>
          <w:szCs w:val="21"/>
          <w:highlight w:val="none"/>
        </w:rPr>
        <w:t>4.</w:t>
      </w:r>
      <w:r>
        <w:rPr>
          <w:rFonts w:cs="宋体"/>
          <w:kern w:val="0"/>
          <w:szCs w:val="21"/>
          <w:highlight w:val="none"/>
        </w:rPr>
        <w:tab/>
      </w:r>
      <w:r>
        <w:rPr>
          <w:rFonts w:cs="宋体"/>
          <w:kern w:val="0"/>
          <w:szCs w:val="21"/>
          <w:highlight w:val="none"/>
        </w:rPr>
        <w:t>提供病历打印功能，支持重打、套打、续打、隔页打印等功能，且保留详细的打印操作日志，提供病历记录禁止修改及打印的设置功能。</w:t>
      </w:r>
    </w:p>
    <w:p w14:paraId="46CC0508">
      <w:pPr>
        <w:pStyle w:val="6"/>
        <w:numPr>
          <w:ilvl w:val="4"/>
          <w:numId w:val="0"/>
        </w:numPr>
        <w:ind w:left="1008" w:hanging="1008"/>
        <w:rPr>
          <w:rFonts w:hint="eastAsia" w:ascii="宋体" w:hAnsi="宋体"/>
          <w:b w:val="0"/>
          <w:sz w:val="21"/>
          <w:szCs w:val="21"/>
          <w:highlight w:val="none"/>
        </w:rPr>
      </w:pPr>
      <w:r>
        <w:rPr>
          <w:rFonts w:hint="eastAsia" w:ascii="宋体" w:hAnsi="宋体"/>
          <w:sz w:val="21"/>
          <w:szCs w:val="21"/>
          <w:highlight w:val="none"/>
        </w:rPr>
        <w:t>模板平台</w:t>
      </w:r>
    </w:p>
    <w:p w14:paraId="1BE9DC40">
      <w:pPr>
        <w:autoSpaceDE w:val="0"/>
        <w:autoSpaceDN w:val="0"/>
        <w:adjustRightInd w:val="0"/>
        <w:jc w:val="left"/>
        <w:rPr>
          <w:rFonts w:hint="eastAsia" w:cs="宋体"/>
          <w:kern w:val="0"/>
          <w:szCs w:val="21"/>
          <w:highlight w:val="none"/>
        </w:rPr>
      </w:pPr>
      <w:r>
        <w:rPr>
          <w:rFonts w:hint="eastAsia" w:cs="宋体"/>
          <w:kern w:val="0"/>
          <w:szCs w:val="21"/>
          <w:highlight w:val="none"/>
        </w:rPr>
        <w:t>随着电子病历应用水平测评和</w:t>
      </w:r>
      <w:r>
        <w:rPr>
          <w:rFonts w:cs="宋体"/>
          <w:kern w:val="0"/>
          <w:szCs w:val="21"/>
          <w:highlight w:val="none"/>
        </w:rPr>
        <w:t>HIMMS评级等标准的推广，医院对全结构化病历的需求和期望越来越高。粗制滥造的病历模板，还造成医院的历史病历数据难以利用，难以达到医疗健康大数据的要求。为符合相关政策和标准规范的要求，提供模板平台提供制作高质量的结构化电子病历模板制作与管理的功能。</w:t>
      </w:r>
    </w:p>
    <w:p w14:paraId="75B33CA4">
      <w:pPr>
        <w:autoSpaceDE w:val="0"/>
        <w:autoSpaceDN w:val="0"/>
        <w:adjustRightInd w:val="0"/>
        <w:jc w:val="left"/>
        <w:rPr>
          <w:rFonts w:hint="eastAsia" w:cs="宋体"/>
          <w:kern w:val="0"/>
          <w:szCs w:val="21"/>
          <w:highlight w:val="none"/>
        </w:rPr>
      </w:pPr>
      <w:r>
        <w:rPr>
          <w:rFonts w:cs="宋体"/>
          <w:kern w:val="0"/>
          <w:szCs w:val="21"/>
          <w:highlight w:val="none"/>
        </w:rPr>
        <w:t>1.</w:t>
      </w:r>
      <w:r>
        <w:rPr>
          <w:rFonts w:cs="宋体"/>
          <w:kern w:val="0"/>
          <w:szCs w:val="21"/>
          <w:highlight w:val="none"/>
        </w:rPr>
        <w:tab/>
      </w:r>
      <w:r>
        <w:rPr>
          <w:rFonts w:cs="宋体"/>
          <w:kern w:val="0"/>
          <w:szCs w:val="21"/>
          <w:highlight w:val="none"/>
        </w:rPr>
        <w:t>模板平台提供符合国家标准规范的数据节点，保证病历模板的标准结构化。</w:t>
      </w:r>
    </w:p>
    <w:p w14:paraId="782A6506">
      <w:pPr>
        <w:autoSpaceDE w:val="0"/>
        <w:autoSpaceDN w:val="0"/>
        <w:adjustRightInd w:val="0"/>
        <w:jc w:val="left"/>
        <w:rPr>
          <w:rFonts w:hint="eastAsia" w:cs="宋体"/>
          <w:kern w:val="0"/>
          <w:szCs w:val="21"/>
          <w:highlight w:val="none"/>
        </w:rPr>
      </w:pPr>
      <w:r>
        <w:rPr>
          <w:rFonts w:cs="宋体"/>
          <w:kern w:val="0"/>
          <w:szCs w:val="21"/>
          <w:highlight w:val="none"/>
        </w:rPr>
        <w:t>2.</w:t>
      </w:r>
      <w:r>
        <w:rPr>
          <w:rFonts w:cs="宋体"/>
          <w:kern w:val="0"/>
          <w:szCs w:val="21"/>
          <w:highlight w:val="none"/>
        </w:rPr>
        <w:tab/>
      </w:r>
      <w:r>
        <w:rPr>
          <w:rFonts w:cs="宋体"/>
          <w:kern w:val="0"/>
          <w:szCs w:val="21"/>
          <w:highlight w:val="none"/>
        </w:rPr>
        <w:t>模板平台支持将病历模板分发给科室或个人，满足各个科室不同专业的病历模板需求。</w:t>
      </w:r>
    </w:p>
    <w:p w14:paraId="0D72845B">
      <w:pPr>
        <w:autoSpaceDE w:val="0"/>
        <w:autoSpaceDN w:val="0"/>
        <w:adjustRightInd w:val="0"/>
        <w:jc w:val="left"/>
        <w:rPr>
          <w:rFonts w:hint="eastAsia" w:cs="宋体"/>
          <w:kern w:val="0"/>
          <w:szCs w:val="21"/>
          <w:highlight w:val="none"/>
        </w:rPr>
      </w:pPr>
      <w:r>
        <w:rPr>
          <w:rFonts w:cs="宋体"/>
          <w:kern w:val="0"/>
          <w:szCs w:val="21"/>
          <w:highlight w:val="none"/>
        </w:rPr>
        <w:t>3.</w:t>
      </w:r>
      <w:r>
        <w:rPr>
          <w:rFonts w:cs="宋体"/>
          <w:kern w:val="0"/>
          <w:szCs w:val="21"/>
          <w:highlight w:val="none"/>
        </w:rPr>
        <w:tab/>
      </w:r>
      <w:r>
        <w:rPr>
          <w:rFonts w:cs="宋体"/>
          <w:kern w:val="0"/>
          <w:szCs w:val="21"/>
          <w:highlight w:val="none"/>
        </w:rPr>
        <w:t>模板平台支持制作医护共同书写的病历模板，权限控制精准到每个数据节点。</w:t>
      </w:r>
    </w:p>
    <w:p w14:paraId="7D4C3D32">
      <w:pPr>
        <w:autoSpaceDE w:val="0"/>
        <w:autoSpaceDN w:val="0"/>
        <w:adjustRightInd w:val="0"/>
        <w:jc w:val="left"/>
        <w:rPr>
          <w:rFonts w:hint="eastAsia" w:cs="宋体"/>
          <w:kern w:val="0"/>
          <w:szCs w:val="21"/>
          <w:highlight w:val="none"/>
        </w:rPr>
      </w:pPr>
      <w:r>
        <w:rPr>
          <w:rFonts w:cs="宋体"/>
          <w:kern w:val="0"/>
          <w:szCs w:val="21"/>
          <w:highlight w:val="none"/>
        </w:rPr>
        <w:t>4.</w:t>
      </w:r>
      <w:r>
        <w:rPr>
          <w:rFonts w:cs="宋体"/>
          <w:kern w:val="0"/>
          <w:szCs w:val="21"/>
          <w:highlight w:val="none"/>
        </w:rPr>
        <w:tab/>
      </w:r>
      <w:r>
        <w:rPr>
          <w:rFonts w:cs="宋体"/>
          <w:kern w:val="0"/>
          <w:szCs w:val="21"/>
          <w:highlight w:val="none"/>
        </w:rPr>
        <w:t>病历模板支持设置隐私保护，最低医生级别查看权限等属性设置。</w:t>
      </w:r>
    </w:p>
    <w:p w14:paraId="70D49275">
      <w:pPr>
        <w:autoSpaceDE w:val="0"/>
        <w:autoSpaceDN w:val="0"/>
        <w:adjustRightInd w:val="0"/>
        <w:jc w:val="left"/>
        <w:rPr>
          <w:rFonts w:hint="eastAsia" w:cs="宋体"/>
          <w:kern w:val="0"/>
          <w:szCs w:val="21"/>
          <w:highlight w:val="none"/>
        </w:rPr>
      </w:pPr>
      <w:r>
        <w:rPr>
          <w:rFonts w:cs="宋体"/>
          <w:kern w:val="0"/>
          <w:szCs w:val="21"/>
          <w:highlight w:val="none"/>
        </w:rPr>
        <w:t>5.</w:t>
      </w:r>
      <w:r>
        <w:rPr>
          <w:rFonts w:cs="宋体"/>
          <w:kern w:val="0"/>
          <w:szCs w:val="21"/>
          <w:highlight w:val="none"/>
        </w:rPr>
        <w:tab/>
      </w:r>
      <w:r>
        <w:rPr>
          <w:rFonts w:cs="宋体"/>
          <w:kern w:val="0"/>
          <w:szCs w:val="21"/>
          <w:highlight w:val="none"/>
        </w:rPr>
        <w:t>完全能够满足各类病历模板的定制化需求，且制作便捷</w:t>
      </w:r>
      <w:r>
        <w:rPr>
          <w:rFonts w:hint="eastAsia" w:cs="宋体"/>
          <w:kern w:val="0"/>
          <w:szCs w:val="21"/>
          <w:highlight w:val="none"/>
        </w:rPr>
        <w:t>。</w:t>
      </w:r>
    </w:p>
    <w:p w14:paraId="260396E7">
      <w:pPr>
        <w:pStyle w:val="5"/>
        <w:rPr>
          <w:rFonts w:hint="eastAsia" w:ascii="宋体" w:hAnsi="宋体" w:eastAsia="宋体"/>
          <w:sz w:val="21"/>
          <w:szCs w:val="21"/>
          <w:highlight w:val="none"/>
        </w:rPr>
      </w:pPr>
      <w:bookmarkStart w:id="88" w:name="_Toc13027"/>
      <w:r>
        <w:rPr>
          <w:rFonts w:hint="eastAsia" w:ascii="宋体" w:hAnsi="宋体" w:eastAsia="宋体"/>
          <w:sz w:val="21"/>
          <w:szCs w:val="21"/>
          <w:highlight w:val="none"/>
        </w:rPr>
        <w:t>护理电子病历系统</w:t>
      </w:r>
      <w:bookmarkEnd w:id="88"/>
    </w:p>
    <w:p w14:paraId="72C0F441">
      <w:pPr>
        <w:rPr>
          <w:rFonts w:hint="eastAsia"/>
          <w:szCs w:val="21"/>
          <w:highlight w:val="none"/>
        </w:rPr>
      </w:pPr>
      <w:r>
        <w:rPr>
          <w:rFonts w:hint="eastAsia"/>
          <w:szCs w:val="21"/>
          <w:highlight w:val="none"/>
        </w:rPr>
        <w:t>协助护理人员对患者的病情观察和实施护理措施的原始记载，包括病人、体温单、医嘱单、护理入院录、首次护程录、一般患者护理记录、特殊患者护理记录等项目，并能够根据相应记录生成各类图表。</w:t>
      </w:r>
    </w:p>
    <w:p w14:paraId="6F6767BB">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护理</w:t>
      </w:r>
      <w:r>
        <w:rPr>
          <w:rFonts w:hint="eastAsia" w:ascii="宋体" w:hAnsi="宋体"/>
          <w:sz w:val="21"/>
          <w:szCs w:val="21"/>
          <w:highlight w:val="none"/>
        </w:rPr>
        <w:t>文书</w:t>
      </w:r>
    </w:p>
    <w:p w14:paraId="6D037687">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护理记录</w:t>
      </w:r>
    </w:p>
    <w:p w14:paraId="38E71427">
      <w:pPr>
        <w:rPr>
          <w:rFonts w:hint="eastAsia"/>
          <w:szCs w:val="21"/>
          <w:highlight w:val="none"/>
        </w:rPr>
      </w:pPr>
      <w:r>
        <w:rPr>
          <w:rFonts w:hint="eastAsia"/>
          <w:szCs w:val="21"/>
          <w:highlight w:val="none"/>
        </w:rPr>
        <w:t>支持根据科室需求选择不同护理记录模板录入。支持从体温单、医嘱、历史护理记录、检查检验报告等进行引用录入。可使用</w:t>
      </w:r>
      <w:r>
        <w:rPr>
          <w:szCs w:val="21"/>
          <w:highlight w:val="none"/>
        </w:rPr>
        <w:t>辅助输入及智能联想书写方式</w:t>
      </w:r>
      <w:r>
        <w:rPr>
          <w:rFonts w:hint="eastAsia"/>
          <w:szCs w:val="21"/>
          <w:highlight w:val="none"/>
        </w:rPr>
        <w:t>快速录入。支持指定日期范围和全部打印。支持根据时间范围进行入出量统计和自动插入到护理记录里。</w:t>
      </w:r>
    </w:p>
    <w:p w14:paraId="13FCE06E">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体征录入</w:t>
      </w:r>
    </w:p>
    <w:p w14:paraId="673AA1A4">
      <w:pPr>
        <w:pStyle w:val="117"/>
        <w:numPr>
          <w:ilvl w:val="0"/>
          <w:numId w:val="22"/>
        </w:numPr>
        <w:spacing w:line="360" w:lineRule="auto"/>
        <w:ind w:firstLineChars="0"/>
        <w:rPr>
          <w:rFonts w:hint="eastAsia" w:ascii="宋体" w:hAnsi="宋体"/>
          <w:szCs w:val="21"/>
          <w:highlight w:val="none"/>
        </w:rPr>
      </w:pPr>
      <w:r>
        <w:rPr>
          <w:rFonts w:hint="eastAsia" w:ascii="宋体" w:hAnsi="宋体"/>
          <w:szCs w:val="21"/>
          <w:highlight w:val="none"/>
        </w:rPr>
        <w:t>支持所见即所得录入体征信息。录入体征信息时同时自动生成体温单。可录入患者各项体征、出入量等护理信息以及手术、过敏史等其他患者临床信息。</w:t>
      </w:r>
    </w:p>
    <w:p w14:paraId="4F580DEF">
      <w:pPr>
        <w:pStyle w:val="117"/>
        <w:numPr>
          <w:ilvl w:val="0"/>
          <w:numId w:val="22"/>
        </w:numPr>
        <w:spacing w:line="360" w:lineRule="auto"/>
        <w:ind w:firstLineChars="0"/>
        <w:rPr>
          <w:rFonts w:hint="eastAsia" w:ascii="宋体" w:hAnsi="宋体"/>
          <w:szCs w:val="21"/>
          <w:highlight w:val="none"/>
        </w:rPr>
      </w:pPr>
      <w:r>
        <w:rPr>
          <w:rFonts w:hint="eastAsia" w:ascii="宋体" w:hAnsi="宋体"/>
          <w:szCs w:val="21"/>
          <w:highlight w:val="none"/>
        </w:rPr>
        <w:t>支持预先定义好的验证规则，对患者体征</w:t>
      </w:r>
      <w:r>
        <w:rPr>
          <w:rFonts w:ascii="宋体" w:hAnsi="宋体"/>
          <w:szCs w:val="21"/>
          <w:highlight w:val="none"/>
        </w:rPr>
        <w:t>(体温、血压、呼吸)</w:t>
      </w:r>
      <w:r>
        <w:rPr>
          <w:rFonts w:hint="eastAsia" w:ascii="宋体" w:hAnsi="宋体"/>
          <w:szCs w:val="21"/>
          <w:highlight w:val="none"/>
        </w:rPr>
        <w:t>等进行验证。对于不合理或者错误的录</w:t>
      </w:r>
      <w:r>
        <w:rPr>
          <w:rFonts w:ascii="宋体" w:hAnsi="宋体"/>
          <w:szCs w:val="21"/>
          <w:highlight w:val="none"/>
        </w:rPr>
        <w:t>入</w:t>
      </w:r>
      <w:r>
        <w:rPr>
          <w:rFonts w:hint="eastAsia" w:ascii="宋体" w:hAnsi="宋体"/>
          <w:szCs w:val="21"/>
          <w:highlight w:val="none"/>
        </w:rPr>
        <w:t>，自动给出验证结果并提示护士。</w:t>
      </w:r>
    </w:p>
    <w:p w14:paraId="001B5F3F">
      <w:pPr>
        <w:pStyle w:val="117"/>
        <w:numPr>
          <w:ilvl w:val="0"/>
          <w:numId w:val="22"/>
        </w:numPr>
        <w:spacing w:line="360" w:lineRule="auto"/>
        <w:ind w:firstLineChars="0"/>
        <w:rPr>
          <w:rFonts w:hint="eastAsia" w:ascii="宋体" w:hAnsi="宋体"/>
          <w:szCs w:val="21"/>
          <w:highlight w:val="none"/>
        </w:rPr>
      </w:pPr>
      <w:r>
        <w:rPr>
          <w:rFonts w:hint="eastAsia" w:ascii="宋体" w:hAnsi="宋体"/>
          <w:szCs w:val="21"/>
          <w:highlight w:val="none"/>
        </w:rPr>
        <w:t>可根据科室需求自定义配置体征录入项目。</w:t>
      </w:r>
    </w:p>
    <w:p w14:paraId="3521AA10">
      <w:pPr>
        <w:pStyle w:val="117"/>
        <w:numPr>
          <w:ilvl w:val="0"/>
          <w:numId w:val="22"/>
        </w:numPr>
        <w:spacing w:line="360" w:lineRule="auto"/>
        <w:ind w:firstLineChars="0"/>
        <w:rPr>
          <w:rFonts w:hint="eastAsia" w:ascii="宋体" w:hAnsi="宋体"/>
          <w:szCs w:val="21"/>
          <w:highlight w:val="none"/>
        </w:rPr>
      </w:pPr>
      <w:r>
        <w:rPr>
          <w:rFonts w:hint="eastAsia" w:ascii="宋体" w:hAnsi="宋体"/>
          <w:szCs w:val="21"/>
          <w:highlight w:val="none"/>
        </w:rPr>
        <w:t>支持在一个界面同时批量录入科室患者的体征信息。可进行全键盘操作快速录入。支持配置录入项。支持母婴分开录入体征信息。</w:t>
      </w:r>
    </w:p>
    <w:p w14:paraId="6785E7C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护理评估</w:t>
      </w:r>
    </w:p>
    <w:p w14:paraId="171A9059">
      <w:pPr>
        <w:pStyle w:val="117"/>
        <w:numPr>
          <w:ilvl w:val="0"/>
          <w:numId w:val="23"/>
        </w:numPr>
        <w:spacing w:line="360" w:lineRule="auto"/>
        <w:ind w:firstLineChars="0"/>
        <w:rPr>
          <w:rFonts w:hint="eastAsia" w:ascii="宋体" w:hAnsi="宋体"/>
          <w:szCs w:val="21"/>
          <w:highlight w:val="none"/>
        </w:rPr>
      </w:pPr>
      <w:r>
        <w:rPr>
          <w:rFonts w:hint="eastAsia" w:ascii="宋体" w:hAnsi="宋体"/>
          <w:szCs w:val="21"/>
          <w:highlight w:val="none"/>
        </w:rPr>
        <w:t>支持创建各类结构化护理相关评估单。评估单内容支持自动以格式以及项目。</w:t>
      </w:r>
    </w:p>
    <w:p w14:paraId="712056E2">
      <w:pPr>
        <w:pStyle w:val="117"/>
        <w:numPr>
          <w:ilvl w:val="0"/>
          <w:numId w:val="23"/>
        </w:numPr>
        <w:spacing w:line="360" w:lineRule="auto"/>
        <w:ind w:firstLineChars="0"/>
        <w:rPr>
          <w:rFonts w:hint="eastAsia" w:ascii="宋体" w:hAnsi="宋体"/>
          <w:szCs w:val="21"/>
          <w:highlight w:val="none"/>
        </w:rPr>
      </w:pPr>
      <w:r>
        <w:rPr>
          <w:rFonts w:hint="eastAsia" w:ascii="宋体" w:hAnsi="宋体"/>
          <w:szCs w:val="21"/>
          <w:highlight w:val="none"/>
        </w:rPr>
        <w:t>护理评估能够自动计算分数。评估异常可触发护理决策进行提示。评估分数能引用到相关病历。</w:t>
      </w:r>
    </w:p>
    <w:p w14:paraId="00B210EB">
      <w:pPr>
        <w:pStyle w:val="117"/>
        <w:numPr>
          <w:ilvl w:val="0"/>
          <w:numId w:val="23"/>
        </w:numPr>
        <w:spacing w:line="360" w:lineRule="auto"/>
        <w:ind w:firstLineChars="0"/>
        <w:rPr>
          <w:rFonts w:hint="eastAsia" w:ascii="宋体" w:hAnsi="宋体"/>
          <w:szCs w:val="21"/>
          <w:highlight w:val="none"/>
        </w:rPr>
      </w:pPr>
      <w:r>
        <w:rPr>
          <w:rFonts w:hint="eastAsia" w:ascii="宋体" w:hAnsi="宋体"/>
          <w:szCs w:val="21"/>
          <w:highlight w:val="none"/>
        </w:rPr>
        <w:t>评估内容可生成趋势图便于了解病人病情变化以及护理效果。</w:t>
      </w:r>
    </w:p>
    <w:p w14:paraId="4A3FC1BD">
      <w:pPr>
        <w:pStyle w:val="117"/>
        <w:numPr>
          <w:ilvl w:val="0"/>
          <w:numId w:val="23"/>
        </w:numPr>
        <w:spacing w:line="360" w:lineRule="auto"/>
        <w:ind w:firstLineChars="0"/>
        <w:rPr>
          <w:rFonts w:hint="eastAsia" w:ascii="宋体" w:hAnsi="宋体"/>
          <w:szCs w:val="21"/>
          <w:highlight w:val="none"/>
        </w:rPr>
      </w:pPr>
      <w:r>
        <w:rPr>
          <w:rFonts w:hint="eastAsia" w:ascii="宋体" w:hAnsi="宋体"/>
          <w:szCs w:val="21"/>
          <w:highlight w:val="none"/>
        </w:rPr>
        <w:t>评估结果可以生成患者特殊标识用于临床。如有压疮风险病人生成压疮标识，医护能够快速了解病人特殊情况。</w:t>
      </w:r>
    </w:p>
    <w:p w14:paraId="0AF85C9C">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产程图</w:t>
      </w:r>
    </w:p>
    <w:p w14:paraId="75058FA8">
      <w:pPr>
        <w:rPr>
          <w:rFonts w:hint="eastAsia"/>
          <w:szCs w:val="21"/>
          <w:highlight w:val="none"/>
        </w:rPr>
      </w:pPr>
      <w:r>
        <w:rPr>
          <w:rFonts w:hint="eastAsia"/>
          <w:szCs w:val="21"/>
          <w:highlight w:val="none"/>
        </w:rPr>
        <w:t>可根据孕妇情况录入宫缩时间、产程时段、孕次、孕周、胎盘娩出时间等信息。记录各个检查时间段宫口、宫缩情况以及胎心、胎方位等胎儿信息。根据录入的信息自动生成产程图，所见即所得。支持配置产程图录入项目。</w:t>
      </w:r>
    </w:p>
    <w:p w14:paraId="716508B4">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婴儿登记</w:t>
      </w:r>
    </w:p>
    <w:p w14:paraId="4C0BD827">
      <w:pPr>
        <w:rPr>
          <w:rFonts w:hint="eastAsia"/>
          <w:szCs w:val="21"/>
          <w:highlight w:val="none"/>
        </w:rPr>
      </w:pPr>
      <w:r>
        <w:rPr>
          <w:rFonts w:hint="eastAsia"/>
          <w:szCs w:val="21"/>
          <w:highlight w:val="none"/>
        </w:rPr>
        <w:t>支持登记婴儿身高、体重、出生日期、分娩方式、孕周、产次、Apgar评分等信息。支持多个婴儿一起登记。</w:t>
      </w:r>
    </w:p>
    <w:p w14:paraId="7D702642">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护理会诊</w:t>
      </w:r>
    </w:p>
    <w:p w14:paraId="5278A6DD">
      <w:pPr>
        <w:rPr>
          <w:rFonts w:hint="eastAsia"/>
          <w:szCs w:val="21"/>
          <w:highlight w:val="none"/>
        </w:rPr>
      </w:pPr>
      <w:r>
        <w:rPr>
          <w:rFonts w:hint="eastAsia"/>
          <w:szCs w:val="21"/>
          <w:highlight w:val="none"/>
        </w:rPr>
        <w:t>支持护理进行会诊。护士可以发起会诊，填写会诊申请单，描述病人护理情况，选择需要会诊的护理科室或者护理人员。被要求护理科室或者护理人员可以接受应答会诊，进行会诊意见书写。</w:t>
      </w:r>
    </w:p>
    <w:p w14:paraId="79A653E8">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护理记录维护</w:t>
      </w:r>
    </w:p>
    <w:p w14:paraId="7CEDF37F">
      <w:pPr>
        <w:rPr>
          <w:rFonts w:hint="eastAsia"/>
          <w:szCs w:val="21"/>
          <w:highlight w:val="none"/>
        </w:rPr>
      </w:pPr>
      <w:r>
        <w:rPr>
          <w:rFonts w:hint="eastAsia"/>
          <w:szCs w:val="21"/>
          <w:highlight w:val="none"/>
        </w:rPr>
        <w:t>可进行</w:t>
      </w:r>
      <w:r>
        <w:rPr>
          <w:szCs w:val="21"/>
          <w:highlight w:val="none"/>
        </w:rPr>
        <w:t>个性化定制各类护理表单</w:t>
      </w:r>
      <w:r>
        <w:rPr>
          <w:rFonts w:hint="eastAsia"/>
          <w:szCs w:val="21"/>
          <w:highlight w:val="none"/>
        </w:rPr>
        <w:t>格式和录入内容。包含护理录入项目的名称、代码、关联字典、录入方式以及正确性校验等属性。</w:t>
      </w:r>
    </w:p>
    <w:p w14:paraId="4FA35808">
      <w:pPr>
        <w:rPr>
          <w:rFonts w:hint="eastAsia"/>
          <w:szCs w:val="21"/>
          <w:highlight w:val="none"/>
        </w:rPr>
      </w:pPr>
      <w:r>
        <w:rPr>
          <w:rFonts w:hint="eastAsia"/>
          <w:szCs w:val="21"/>
          <w:highlight w:val="none"/>
        </w:rPr>
        <w:t>可以根据科室需求自定义维护出入量录入项目。</w:t>
      </w:r>
    </w:p>
    <w:p w14:paraId="4874FF5A">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批量录入</w:t>
      </w:r>
    </w:p>
    <w:p w14:paraId="4B74EE5F">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批量录入成人体温单</w:t>
      </w:r>
    </w:p>
    <w:p w14:paraId="5FE981B6">
      <w:pPr>
        <w:rPr>
          <w:rFonts w:hint="eastAsia"/>
          <w:szCs w:val="21"/>
          <w:highlight w:val="none"/>
        </w:rPr>
      </w:pPr>
      <w:r>
        <w:rPr>
          <w:rFonts w:hint="eastAsia"/>
          <w:szCs w:val="21"/>
          <w:highlight w:val="none"/>
        </w:rPr>
        <w:t>可批量进行成人体征信息录入。支持按照时间点选择需要录入体温信息的病人。录入项目支持自定义增加录入项目。录入时支持全键盘录入。录入完成可选择病人打印体温单。</w:t>
      </w:r>
    </w:p>
    <w:p w14:paraId="1C21FCBC">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批量录入婴儿体温单</w:t>
      </w:r>
    </w:p>
    <w:p w14:paraId="5EE97510">
      <w:pPr>
        <w:rPr>
          <w:rFonts w:hint="eastAsia"/>
          <w:szCs w:val="21"/>
          <w:highlight w:val="none"/>
        </w:rPr>
      </w:pPr>
      <w:r>
        <w:rPr>
          <w:rFonts w:hint="eastAsia"/>
          <w:szCs w:val="21"/>
          <w:highlight w:val="none"/>
        </w:rPr>
        <w:t>可批量进行婴儿体征信息录入。支持按照时间点选择需要录入体温信息的婴儿。录入项目支持自定义增加录入项目。录入时支持全键盘录入。录入完成可选择病人打印体温单。</w:t>
      </w:r>
    </w:p>
    <w:p w14:paraId="3D3CCC91">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表格病历批量录入</w:t>
      </w:r>
    </w:p>
    <w:p w14:paraId="6080A3C6">
      <w:pPr>
        <w:rPr>
          <w:rFonts w:hint="eastAsia"/>
          <w:szCs w:val="21"/>
          <w:highlight w:val="none"/>
        </w:rPr>
      </w:pPr>
      <w:r>
        <w:rPr>
          <w:rFonts w:hint="eastAsia"/>
          <w:szCs w:val="21"/>
          <w:highlight w:val="none"/>
        </w:rPr>
        <w:t>可对表格式的护理评估进行批量录入。支持选择表格病历模板进行录入。支持批量录入不同时间的评估信息，根据录入的评估项自动计算分数。</w:t>
      </w:r>
    </w:p>
    <w:p w14:paraId="4217DF9C">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护理质量管理质控</w:t>
      </w:r>
    </w:p>
    <w:p w14:paraId="28EA471A">
      <w:pPr>
        <w:pStyle w:val="117"/>
        <w:numPr>
          <w:ilvl w:val="0"/>
          <w:numId w:val="24"/>
        </w:numPr>
        <w:spacing w:line="360" w:lineRule="auto"/>
        <w:ind w:firstLineChars="0"/>
        <w:rPr>
          <w:rFonts w:hint="eastAsia" w:ascii="宋体" w:hAnsi="宋体"/>
          <w:szCs w:val="21"/>
          <w:highlight w:val="none"/>
        </w:rPr>
      </w:pPr>
      <w:r>
        <w:rPr>
          <w:rFonts w:hint="eastAsia" w:ascii="宋体" w:hAnsi="宋体"/>
          <w:szCs w:val="21"/>
          <w:highlight w:val="none"/>
        </w:rPr>
        <w:t>对护理记录质量问题以消息形式提示护士；</w:t>
      </w:r>
      <w:r>
        <w:rPr>
          <w:rFonts w:ascii="宋体" w:hAnsi="宋体"/>
          <w:szCs w:val="21"/>
          <w:highlight w:val="none"/>
        </w:rPr>
        <w:t>护士通过点击消息快速查看问题记录的缺陷情况。自动定位缺陷位置，便于护士的及时修改</w:t>
      </w:r>
      <w:r>
        <w:rPr>
          <w:rFonts w:hint="eastAsia" w:ascii="宋体" w:hAnsi="宋体"/>
          <w:szCs w:val="21"/>
          <w:highlight w:val="none"/>
        </w:rPr>
        <w:t>；</w:t>
      </w:r>
      <w:r>
        <w:rPr>
          <w:rFonts w:ascii="宋体" w:hAnsi="宋体"/>
          <w:szCs w:val="21"/>
          <w:highlight w:val="none"/>
        </w:rPr>
        <w:t>护士在护理记录录入时，能根据护理质量验证规则对输入项目进行验证及提醒。</w:t>
      </w:r>
    </w:p>
    <w:p w14:paraId="3EB68BB5">
      <w:pPr>
        <w:pStyle w:val="117"/>
        <w:numPr>
          <w:ilvl w:val="0"/>
          <w:numId w:val="24"/>
        </w:numPr>
        <w:spacing w:line="360" w:lineRule="auto"/>
        <w:ind w:firstLineChars="0"/>
        <w:rPr>
          <w:rFonts w:hint="eastAsia" w:ascii="宋体" w:hAnsi="宋体"/>
          <w:szCs w:val="21"/>
          <w:highlight w:val="none"/>
        </w:rPr>
      </w:pPr>
      <w:r>
        <w:rPr>
          <w:rFonts w:hint="eastAsia" w:ascii="宋体" w:hAnsi="宋体"/>
          <w:szCs w:val="21"/>
          <w:highlight w:val="none"/>
        </w:rPr>
        <w:t>护理管理部门或护士根据护理管理部门质控要求，对重点患者进行筛</w:t>
      </w:r>
      <w:r>
        <w:rPr>
          <w:rFonts w:ascii="宋体" w:hAnsi="宋体"/>
          <w:szCs w:val="21"/>
          <w:highlight w:val="none"/>
        </w:rPr>
        <w:t>查管理和质量统计分析(如:危重患者、围术期患者、院内感染患者、高度跌倒风险患者等)，并将问题以消息的形式发送给护士。</w:t>
      </w:r>
    </w:p>
    <w:p w14:paraId="7C1A81BB">
      <w:pPr>
        <w:pStyle w:val="117"/>
        <w:numPr>
          <w:ilvl w:val="0"/>
          <w:numId w:val="24"/>
        </w:numPr>
        <w:spacing w:after="163" w:line="360" w:lineRule="auto"/>
        <w:ind w:firstLineChars="0"/>
        <w:rPr>
          <w:rFonts w:hint="eastAsia" w:ascii="宋体" w:hAnsi="宋体"/>
          <w:szCs w:val="21"/>
          <w:highlight w:val="none"/>
        </w:rPr>
      </w:pPr>
      <w:r>
        <w:rPr>
          <w:rFonts w:hint="eastAsia" w:ascii="宋体" w:hAnsi="宋体"/>
          <w:szCs w:val="21"/>
          <w:highlight w:val="none"/>
        </w:rPr>
        <w:t>▲</w:t>
      </w:r>
      <w:r>
        <w:rPr>
          <w:rFonts w:hint="eastAsia" w:ascii="宋体" w:hAnsi="宋体"/>
          <w:b/>
          <w:bCs/>
          <w:szCs w:val="21"/>
          <w:highlight w:val="none"/>
        </w:rPr>
        <w:t>当护士在体温单、评估单、护理记录单录入异常体征之后，系统根据护理知识库和患者问题自动推荐相应的护理措施。（要求提供符合以上功能说明的产品截图）</w:t>
      </w:r>
    </w:p>
    <w:p w14:paraId="1FEFE11D">
      <w:pPr>
        <w:pStyle w:val="117"/>
        <w:ind w:left="360" w:firstLine="0" w:firstLineChars="0"/>
        <w:rPr>
          <w:rFonts w:hint="eastAsia" w:ascii="宋体" w:hAnsi="宋体"/>
          <w:szCs w:val="21"/>
          <w:highlight w:val="none"/>
        </w:rPr>
      </w:pPr>
    </w:p>
    <w:p w14:paraId="509BEAE1">
      <w:pPr>
        <w:pStyle w:val="5"/>
        <w:rPr>
          <w:rFonts w:hint="eastAsia" w:ascii="宋体" w:hAnsi="宋体" w:eastAsia="宋体"/>
          <w:sz w:val="21"/>
          <w:szCs w:val="21"/>
          <w:highlight w:val="none"/>
        </w:rPr>
      </w:pPr>
      <w:bookmarkStart w:id="89" w:name="_Toc32230"/>
      <w:r>
        <w:rPr>
          <w:rFonts w:hint="eastAsia" w:ascii="宋体" w:hAnsi="宋体" w:eastAsia="宋体"/>
          <w:sz w:val="21"/>
          <w:szCs w:val="21"/>
          <w:highlight w:val="none"/>
        </w:rPr>
        <w:t>护理决策支持系统</w:t>
      </w:r>
      <w:bookmarkEnd w:id="89"/>
    </w:p>
    <w:p w14:paraId="088E8F4F">
      <w:pPr>
        <w:rPr>
          <w:rFonts w:hint="eastAsia"/>
          <w:szCs w:val="21"/>
          <w:highlight w:val="none"/>
        </w:rPr>
      </w:pPr>
      <w:r>
        <w:rPr>
          <w:rFonts w:hint="eastAsia"/>
          <w:szCs w:val="21"/>
          <w:highlight w:val="none"/>
        </w:rPr>
        <w:t>要求针对采集到的患者数据，如患者症状、诊断名称、生命体征、评估量表等进行分析，根据护理监控数据和问题进行患者分组，提供对应的护理措施建议方案，生成护理计划、护理评价任务提示等；同时系统针对患者数据结合疾病诊断，实时提示对应科室的护士进行个性化的护理评估，并对下阶段护理措施进行智能提醒。</w:t>
      </w:r>
    </w:p>
    <w:p w14:paraId="601C8DCF">
      <w:pPr>
        <w:rPr>
          <w:rFonts w:hint="eastAsia"/>
          <w:szCs w:val="21"/>
          <w:highlight w:val="none"/>
        </w:rPr>
      </w:pPr>
      <w:r>
        <w:rPr>
          <w:rFonts w:hint="eastAsia"/>
          <w:szCs w:val="21"/>
          <w:highlight w:val="none"/>
        </w:rPr>
        <w:t>同时系统针对患者数据结合疾病诊断，帮助对应专科住院护士的实时护理措施进行智能提醒。</w:t>
      </w:r>
    </w:p>
    <w:p w14:paraId="42791C4F">
      <w:pPr>
        <w:pStyle w:val="117"/>
        <w:numPr>
          <w:ilvl w:val="0"/>
          <w:numId w:val="25"/>
        </w:numPr>
        <w:spacing w:line="360" w:lineRule="auto"/>
        <w:ind w:firstLineChars="0"/>
        <w:rPr>
          <w:rFonts w:hint="eastAsia" w:ascii="宋体" w:hAnsi="宋体"/>
          <w:szCs w:val="21"/>
          <w:highlight w:val="none"/>
        </w:rPr>
      </w:pPr>
      <w:r>
        <w:rPr>
          <w:rFonts w:hint="eastAsia" w:ascii="宋体" w:hAnsi="宋体"/>
          <w:szCs w:val="21"/>
          <w:highlight w:val="none"/>
        </w:rPr>
        <w:t>护理计划</w:t>
      </w:r>
    </w:p>
    <w:p w14:paraId="3B3FE1EF">
      <w:pPr>
        <w:rPr>
          <w:rFonts w:hint="eastAsia"/>
          <w:szCs w:val="21"/>
          <w:highlight w:val="none"/>
        </w:rPr>
      </w:pPr>
      <w:r>
        <w:rPr>
          <w:rFonts w:hint="eastAsia"/>
          <w:szCs w:val="21"/>
          <w:highlight w:val="none"/>
        </w:rPr>
        <w:t>系统根据患者存在的体征推荐相应的护理问题。护士通过选中的护理问题查看对于该问题可执行的护理措施。护士根据实际情况，选择已执行的护理措施，可进行细节上的修改。护士可查看该患者曾经做过哪些护理措施，哪些有评价，哪些未评价。在生成护理计划的同时生成任务提醒。护士在任务界面点击该条提醒时，可直接跳转到护理计划决策评价的界面，系统默认勾选该条计划并自动加载评价模板，忽视可做修改或者直接保存。完成护理评价后，任务界面的该条提醒会自动消失。</w:t>
      </w:r>
    </w:p>
    <w:p w14:paraId="1CCB627F">
      <w:pPr>
        <w:pStyle w:val="117"/>
        <w:numPr>
          <w:ilvl w:val="0"/>
          <w:numId w:val="25"/>
        </w:numPr>
        <w:spacing w:line="360" w:lineRule="auto"/>
        <w:ind w:firstLineChars="0"/>
        <w:rPr>
          <w:rFonts w:hint="eastAsia" w:ascii="宋体" w:hAnsi="宋体"/>
          <w:szCs w:val="21"/>
          <w:highlight w:val="none"/>
        </w:rPr>
      </w:pPr>
      <w:r>
        <w:rPr>
          <w:rFonts w:hint="eastAsia" w:ascii="宋体" w:hAnsi="宋体"/>
          <w:szCs w:val="21"/>
          <w:highlight w:val="none"/>
        </w:rPr>
        <w:t>护理评估决策</w:t>
      </w:r>
    </w:p>
    <w:p w14:paraId="418E5F5A">
      <w:pPr>
        <w:rPr>
          <w:rFonts w:hint="eastAsia"/>
          <w:szCs w:val="21"/>
          <w:highlight w:val="none"/>
        </w:rPr>
      </w:pPr>
      <w:r>
        <w:rPr>
          <w:rFonts w:hint="eastAsia"/>
          <w:szCs w:val="21"/>
          <w:highlight w:val="none"/>
        </w:rPr>
        <w:t>护理在对患者进行各类评估，发现患者有某类风险（压疮，跌倒，疼痛，康复……）时，可对患者进行一系列相应的护理措施，避免病人发生不良的预后。保存的评估单上存在某类风险时（不同风险类型的分值和等级有差异），系统自动列出相应的护理措施并提示护士选择相应的护理措施，在护士确认这些护理措施后会自动生成护理计划或者护理记录，并且会自动生成再次评估和计划评价的任务提醒，以便提示护士下次评估的时间。护士点击再次评估任务时，系统自动跳转到相关的评估表单，在评估没有问题时该条任务自动消失。</w:t>
      </w:r>
    </w:p>
    <w:p w14:paraId="0DECE8E6">
      <w:pPr>
        <w:pStyle w:val="117"/>
        <w:numPr>
          <w:ilvl w:val="0"/>
          <w:numId w:val="25"/>
        </w:numPr>
        <w:spacing w:line="360" w:lineRule="auto"/>
        <w:ind w:firstLineChars="0"/>
        <w:rPr>
          <w:rFonts w:hint="eastAsia" w:ascii="宋体" w:hAnsi="宋体"/>
          <w:szCs w:val="21"/>
          <w:highlight w:val="none"/>
        </w:rPr>
      </w:pPr>
      <w:r>
        <w:rPr>
          <w:rFonts w:hint="eastAsia" w:ascii="宋体" w:hAnsi="宋体"/>
          <w:szCs w:val="21"/>
          <w:highlight w:val="none"/>
        </w:rPr>
        <w:t>生命体征决策</w:t>
      </w:r>
    </w:p>
    <w:p w14:paraId="54AF73EE">
      <w:pPr>
        <w:rPr>
          <w:rFonts w:hint="eastAsia"/>
          <w:szCs w:val="21"/>
          <w:highlight w:val="none"/>
        </w:rPr>
      </w:pPr>
      <w:r>
        <w:rPr>
          <w:rFonts w:hint="eastAsia"/>
          <w:szCs w:val="21"/>
          <w:highlight w:val="none"/>
        </w:rPr>
        <w:t>护士在保存护理记录单、体温单或护理统计时，针对异常的生命体征（体温、呼吸、脉搏、血压、尿量等），系统会自动生成相应的护理措施并弹窗，在护士选择措施后可以生成护理计划或者护理记录，并生成护理计划评价的任务提醒。</w:t>
      </w:r>
    </w:p>
    <w:p w14:paraId="69FF4A06">
      <w:pPr>
        <w:pStyle w:val="117"/>
        <w:numPr>
          <w:ilvl w:val="0"/>
          <w:numId w:val="25"/>
        </w:numPr>
        <w:spacing w:line="360" w:lineRule="auto"/>
        <w:ind w:firstLineChars="0"/>
        <w:rPr>
          <w:rFonts w:hint="eastAsia" w:ascii="宋体" w:hAnsi="宋体"/>
          <w:szCs w:val="21"/>
          <w:highlight w:val="none"/>
        </w:rPr>
      </w:pPr>
      <w:r>
        <w:rPr>
          <w:rFonts w:hint="eastAsia" w:ascii="宋体" w:hAnsi="宋体"/>
          <w:szCs w:val="21"/>
          <w:highlight w:val="none"/>
        </w:rPr>
        <w:t>护理任务</w:t>
      </w:r>
    </w:p>
    <w:p w14:paraId="01C7BCD9">
      <w:pPr>
        <w:rPr>
          <w:rFonts w:hint="eastAsia"/>
          <w:szCs w:val="21"/>
          <w:highlight w:val="none"/>
        </w:rPr>
      </w:pPr>
      <w:r>
        <w:rPr>
          <w:rFonts w:hint="eastAsia"/>
          <w:szCs w:val="21"/>
          <w:highlight w:val="none"/>
        </w:rPr>
        <w:t>系统对护理计划评价、护理评估再次评估、护理体征危急值等自动生成护理任务，护士在任务界面可以查看自己责任组的患者当前需要做什么护理工作，护士长可查看科室的护理任务，以此跟踪管理护士的工作。护士通过点击护理任务内容可直接跳转到关联的护理文书或者护理计划决策界面。</w:t>
      </w:r>
    </w:p>
    <w:p w14:paraId="66A47D30">
      <w:pPr>
        <w:pStyle w:val="117"/>
        <w:numPr>
          <w:ilvl w:val="0"/>
          <w:numId w:val="25"/>
        </w:numPr>
        <w:spacing w:line="360" w:lineRule="auto"/>
        <w:ind w:firstLineChars="0"/>
        <w:rPr>
          <w:rFonts w:hint="eastAsia" w:ascii="宋体" w:hAnsi="宋体"/>
          <w:szCs w:val="21"/>
          <w:highlight w:val="none"/>
        </w:rPr>
      </w:pPr>
      <w:r>
        <w:rPr>
          <w:rFonts w:hint="eastAsia" w:ascii="宋体" w:hAnsi="宋体"/>
          <w:szCs w:val="21"/>
          <w:highlight w:val="none"/>
        </w:rPr>
        <w:t>护理决策配置</w:t>
      </w:r>
    </w:p>
    <w:p w14:paraId="4F6388A9">
      <w:pPr>
        <w:rPr>
          <w:rFonts w:hint="eastAsia"/>
          <w:szCs w:val="21"/>
          <w:highlight w:val="none"/>
        </w:rPr>
      </w:pPr>
      <w:r>
        <w:rPr>
          <w:rFonts w:hint="eastAsia"/>
          <w:szCs w:val="21"/>
          <w:highlight w:val="none"/>
        </w:rPr>
        <w:t>支持配置护理决策规则。可根据护理诊断、体征信息范围、护理评估结果范围与护理措施护理目标相关联配置对应的护理决策。</w:t>
      </w:r>
    </w:p>
    <w:p w14:paraId="387E8D4B">
      <w:pPr>
        <w:pStyle w:val="5"/>
        <w:rPr>
          <w:rFonts w:hint="eastAsia" w:ascii="宋体" w:hAnsi="宋体" w:eastAsia="宋体"/>
          <w:sz w:val="21"/>
          <w:szCs w:val="21"/>
          <w:highlight w:val="none"/>
        </w:rPr>
      </w:pPr>
      <w:bookmarkStart w:id="90" w:name="_Toc24566"/>
      <w:r>
        <w:rPr>
          <w:rFonts w:hint="eastAsia" w:ascii="宋体" w:hAnsi="宋体" w:eastAsia="宋体"/>
          <w:sz w:val="21"/>
          <w:szCs w:val="21"/>
          <w:highlight w:val="none"/>
        </w:rPr>
        <w:t>病案管理与统计系统</w:t>
      </w:r>
      <w:bookmarkEnd w:id="90"/>
    </w:p>
    <w:p w14:paraId="69FF3E2D">
      <w:pPr>
        <w:rPr>
          <w:rFonts w:hint="eastAsia"/>
          <w:szCs w:val="21"/>
          <w:highlight w:val="none"/>
        </w:rPr>
      </w:pPr>
      <w:r>
        <w:rPr>
          <w:rFonts w:hint="eastAsia"/>
          <w:szCs w:val="21"/>
          <w:highlight w:val="none"/>
        </w:rPr>
        <w:t>病案管理与统计为电子病历系统提供病案管理的服务与支持，要求包含病历编码、归档、回退、冻结、借阅、监控、统计查询等功能。</w:t>
      </w:r>
    </w:p>
    <w:p w14:paraId="00012C94">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病案回退管理</w:t>
      </w:r>
    </w:p>
    <w:p w14:paraId="4817D047">
      <w:pPr>
        <w:pStyle w:val="117"/>
        <w:numPr>
          <w:ilvl w:val="0"/>
          <w:numId w:val="26"/>
        </w:numPr>
        <w:spacing w:line="360" w:lineRule="auto"/>
        <w:ind w:firstLineChars="0"/>
        <w:rPr>
          <w:rFonts w:hint="eastAsia" w:ascii="宋体" w:hAnsi="宋体"/>
          <w:szCs w:val="21"/>
          <w:highlight w:val="none"/>
        </w:rPr>
      </w:pPr>
      <w:r>
        <w:rPr>
          <w:rFonts w:hint="eastAsia" w:ascii="宋体" w:hAnsi="宋体"/>
          <w:szCs w:val="21"/>
          <w:highlight w:val="none"/>
        </w:rPr>
        <w:t>可根据不同条件查询病案信息基本情况以及所有病历文书内容。可导出查询结果列表。</w:t>
      </w:r>
    </w:p>
    <w:p w14:paraId="549E1B92">
      <w:pPr>
        <w:pStyle w:val="117"/>
        <w:numPr>
          <w:ilvl w:val="0"/>
          <w:numId w:val="26"/>
        </w:numPr>
        <w:spacing w:line="360" w:lineRule="auto"/>
        <w:ind w:firstLineChars="0"/>
        <w:rPr>
          <w:rFonts w:hint="eastAsia" w:ascii="宋体" w:hAnsi="宋体"/>
          <w:szCs w:val="21"/>
          <w:highlight w:val="none"/>
        </w:rPr>
      </w:pPr>
      <w:r>
        <w:rPr>
          <w:rFonts w:hint="eastAsia" w:ascii="宋体" w:hAnsi="宋体"/>
          <w:szCs w:val="21"/>
          <w:highlight w:val="none"/>
        </w:rPr>
        <w:t>支持单个或者批量回退病历。回退时可根据角色回退，既可单独回退医生或者单独回退护士的病历。</w:t>
      </w:r>
    </w:p>
    <w:p w14:paraId="50948754">
      <w:pPr>
        <w:pStyle w:val="117"/>
        <w:numPr>
          <w:ilvl w:val="0"/>
          <w:numId w:val="26"/>
        </w:numPr>
        <w:spacing w:line="360" w:lineRule="auto"/>
        <w:ind w:firstLineChars="0"/>
        <w:rPr>
          <w:rFonts w:hint="eastAsia" w:ascii="宋体" w:hAnsi="宋体"/>
          <w:szCs w:val="21"/>
          <w:highlight w:val="none"/>
        </w:rPr>
      </w:pPr>
      <w:r>
        <w:rPr>
          <w:rFonts w:hint="eastAsia" w:ascii="宋体" w:hAnsi="宋体"/>
          <w:szCs w:val="21"/>
          <w:highlight w:val="none"/>
        </w:rPr>
        <w:t>医护可申请回退相关病案，病案室收到申请审批后自动回退。</w:t>
      </w:r>
    </w:p>
    <w:p w14:paraId="6D1892CE">
      <w:pPr>
        <w:pStyle w:val="117"/>
        <w:numPr>
          <w:ilvl w:val="0"/>
          <w:numId w:val="26"/>
        </w:numPr>
        <w:spacing w:line="360" w:lineRule="auto"/>
        <w:ind w:firstLineChars="0"/>
        <w:rPr>
          <w:rFonts w:hint="eastAsia" w:ascii="宋体" w:hAnsi="宋体"/>
          <w:szCs w:val="21"/>
          <w:highlight w:val="none"/>
        </w:rPr>
      </w:pPr>
      <w:r>
        <w:rPr>
          <w:rFonts w:hint="eastAsia" w:ascii="宋体" w:hAnsi="宋体"/>
          <w:szCs w:val="21"/>
          <w:highlight w:val="none"/>
        </w:rPr>
        <w:t>支持单份或者联合病历打印。</w:t>
      </w:r>
    </w:p>
    <w:p w14:paraId="62C4DB40">
      <w:pPr>
        <w:pStyle w:val="117"/>
        <w:numPr>
          <w:ilvl w:val="0"/>
          <w:numId w:val="26"/>
        </w:numPr>
        <w:spacing w:line="360" w:lineRule="auto"/>
        <w:ind w:firstLineChars="0"/>
        <w:rPr>
          <w:rFonts w:hint="eastAsia" w:ascii="宋体" w:hAnsi="宋体"/>
          <w:szCs w:val="21"/>
          <w:highlight w:val="none"/>
        </w:rPr>
      </w:pPr>
      <w:r>
        <w:rPr>
          <w:rFonts w:hint="eastAsia" w:ascii="宋体" w:hAnsi="宋体"/>
          <w:szCs w:val="21"/>
          <w:highlight w:val="none"/>
        </w:rPr>
        <w:t>可对病人病案进行确认。确认后，病历回退到医生不可修改诊断。</w:t>
      </w:r>
    </w:p>
    <w:p w14:paraId="351C0E2D">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病案编码</w:t>
      </w:r>
    </w:p>
    <w:p w14:paraId="1058ABB8">
      <w:pPr>
        <w:pStyle w:val="117"/>
        <w:numPr>
          <w:ilvl w:val="0"/>
          <w:numId w:val="27"/>
        </w:numPr>
        <w:spacing w:line="360" w:lineRule="auto"/>
        <w:ind w:firstLineChars="0"/>
        <w:rPr>
          <w:rFonts w:hint="eastAsia" w:ascii="宋体" w:hAnsi="宋体"/>
          <w:szCs w:val="21"/>
          <w:highlight w:val="none"/>
        </w:rPr>
      </w:pPr>
      <w:r>
        <w:rPr>
          <w:rFonts w:hint="eastAsia" w:ascii="宋体" w:hAnsi="宋体"/>
          <w:szCs w:val="21"/>
          <w:highlight w:val="none"/>
        </w:rPr>
        <w:t>对已提交的病案进行诊断和手术编码。编码时可以查看医生原始编码，在原始编码上进行重新编码。支持编码拆分与合并，可新增、删除编码，调整编码顺序。编码保存时进行合理性校验 。编码完成后不影响医生原始编码。</w:t>
      </w:r>
    </w:p>
    <w:p w14:paraId="34C05D61">
      <w:pPr>
        <w:pStyle w:val="117"/>
        <w:numPr>
          <w:ilvl w:val="0"/>
          <w:numId w:val="27"/>
        </w:numPr>
        <w:spacing w:line="360" w:lineRule="auto"/>
        <w:ind w:firstLineChars="0"/>
        <w:rPr>
          <w:rFonts w:hint="eastAsia" w:ascii="宋体" w:hAnsi="宋体"/>
          <w:szCs w:val="21"/>
          <w:highlight w:val="none"/>
        </w:rPr>
      </w:pPr>
      <w:r>
        <w:rPr>
          <w:rFonts w:hint="eastAsia" w:ascii="宋体" w:hAnsi="宋体"/>
          <w:szCs w:val="21"/>
          <w:highlight w:val="none"/>
        </w:rPr>
        <w:t>支持快捷键全键盘操作编码。</w:t>
      </w:r>
    </w:p>
    <w:p w14:paraId="52CB1A2B">
      <w:pPr>
        <w:pStyle w:val="117"/>
        <w:numPr>
          <w:ilvl w:val="0"/>
          <w:numId w:val="27"/>
        </w:numPr>
        <w:spacing w:line="360" w:lineRule="auto"/>
        <w:ind w:firstLineChars="0"/>
        <w:rPr>
          <w:rFonts w:hint="eastAsia" w:ascii="宋体" w:hAnsi="宋体"/>
          <w:szCs w:val="21"/>
          <w:highlight w:val="none"/>
        </w:rPr>
      </w:pPr>
      <w:r>
        <w:rPr>
          <w:rFonts w:hint="eastAsia" w:ascii="宋体" w:hAnsi="宋体"/>
          <w:szCs w:val="21"/>
          <w:highlight w:val="none"/>
        </w:rPr>
        <w:t>上级可对编码进行审核，审核通过后确认编码。</w:t>
      </w:r>
    </w:p>
    <w:p w14:paraId="54B7CBD8">
      <w:pPr>
        <w:pStyle w:val="117"/>
        <w:numPr>
          <w:ilvl w:val="0"/>
          <w:numId w:val="27"/>
        </w:numPr>
        <w:spacing w:line="360" w:lineRule="auto"/>
        <w:ind w:firstLineChars="0"/>
        <w:rPr>
          <w:rFonts w:hint="eastAsia" w:ascii="宋体" w:hAnsi="宋体"/>
          <w:szCs w:val="21"/>
          <w:highlight w:val="none"/>
        </w:rPr>
      </w:pPr>
      <w:r>
        <w:rPr>
          <w:rFonts w:hint="eastAsia" w:ascii="宋体" w:hAnsi="宋体"/>
          <w:szCs w:val="21"/>
          <w:highlight w:val="none"/>
        </w:rPr>
        <w:t>编码完成后，可对病案进行回退或者归档操作。</w:t>
      </w:r>
    </w:p>
    <w:p w14:paraId="2A1410B6">
      <w:pPr>
        <w:pStyle w:val="117"/>
        <w:numPr>
          <w:ilvl w:val="0"/>
          <w:numId w:val="27"/>
        </w:numPr>
        <w:spacing w:line="360" w:lineRule="auto"/>
        <w:ind w:firstLineChars="0"/>
        <w:rPr>
          <w:rFonts w:hint="eastAsia" w:ascii="宋体" w:hAnsi="宋体"/>
          <w:szCs w:val="21"/>
          <w:highlight w:val="none"/>
        </w:rPr>
      </w:pPr>
      <w:r>
        <w:rPr>
          <w:rFonts w:hint="eastAsia" w:ascii="宋体" w:hAnsi="宋体"/>
          <w:szCs w:val="21"/>
          <w:highlight w:val="none"/>
        </w:rPr>
        <w:t>可查询病案编码信息信息，如：编码人、编码时间、审核人、审核时间等。</w:t>
      </w:r>
    </w:p>
    <w:p w14:paraId="5ED1D787">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首页数据校对</w:t>
      </w:r>
    </w:p>
    <w:p w14:paraId="334645D6">
      <w:pPr>
        <w:pStyle w:val="117"/>
        <w:numPr>
          <w:ilvl w:val="0"/>
          <w:numId w:val="28"/>
        </w:numPr>
        <w:spacing w:line="360" w:lineRule="auto"/>
        <w:ind w:firstLineChars="0"/>
        <w:rPr>
          <w:rFonts w:hint="eastAsia" w:ascii="宋体" w:hAnsi="宋体"/>
          <w:szCs w:val="21"/>
          <w:highlight w:val="none"/>
        </w:rPr>
      </w:pPr>
      <w:r>
        <w:rPr>
          <w:rFonts w:hint="eastAsia" w:ascii="宋体" w:hAnsi="宋体"/>
          <w:szCs w:val="21"/>
          <w:highlight w:val="none"/>
        </w:rPr>
        <w:t>可根据条件查询首页校对的病人信息以及校对信息。</w:t>
      </w:r>
    </w:p>
    <w:p w14:paraId="29F1FCE2">
      <w:pPr>
        <w:pStyle w:val="117"/>
        <w:numPr>
          <w:ilvl w:val="0"/>
          <w:numId w:val="28"/>
        </w:numPr>
        <w:spacing w:line="360" w:lineRule="auto"/>
        <w:ind w:firstLineChars="0"/>
        <w:rPr>
          <w:rFonts w:hint="eastAsia" w:ascii="宋体" w:hAnsi="宋体"/>
          <w:szCs w:val="21"/>
          <w:highlight w:val="none"/>
        </w:rPr>
      </w:pPr>
      <w:r>
        <w:rPr>
          <w:rFonts w:hint="eastAsia" w:ascii="宋体" w:hAnsi="宋体"/>
          <w:szCs w:val="21"/>
          <w:highlight w:val="none"/>
        </w:rPr>
        <w:t>支持按分类查看患者病案首页所有内容。</w:t>
      </w:r>
    </w:p>
    <w:p w14:paraId="437F3149">
      <w:pPr>
        <w:pStyle w:val="117"/>
        <w:numPr>
          <w:ilvl w:val="0"/>
          <w:numId w:val="28"/>
        </w:numPr>
        <w:spacing w:line="360" w:lineRule="auto"/>
        <w:ind w:firstLineChars="0"/>
        <w:rPr>
          <w:rFonts w:hint="eastAsia" w:ascii="宋体" w:hAnsi="宋体"/>
          <w:szCs w:val="21"/>
          <w:highlight w:val="none"/>
        </w:rPr>
      </w:pPr>
      <w:r>
        <w:rPr>
          <w:rFonts w:hint="eastAsia" w:ascii="宋体" w:hAnsi="宋体"/>
          <w:szCs w:val="21"/>
          <w:highlight w:val="none"/>
        </w:rPr>
        <w:t>可修改首页信息内容，修改后不影响原始首页信息。</w:t>
      </w:r>
    </w:p>
    <w:p w14:paraId="0192866E">
      <w:pPr>
        <w:pStyle w:val="117"/>
        <w:numPr>
          <w:ilvl w:val="0"/>
          <w:numId w:val="28"/>
        </w:numPr>
        <w:spacing w:line="360" w:lineRule="auto"/>
        <w:ind w:firstLineChars="0"/>
        <w:rPr>
          <w:rFonts w:hint="eastAsia" w:ascii="宋体" w:hAnsi="宋体"/>
          <w:szCs w:val="21"/>
          <w:highlight w:val="none"/>
        </w:rPr>
      </w:pPr>
      <w:r>
        <w:rPr>
          <w:rFonts w:hint="eastAsia" w:ascii="宋体" w:hAnsi="宋体"/>
          <w:szCs w:val="21"/>
          <w:highlight w:val="none"/>
        </w:rPr>
        <w:t>支持首页诊断与手术编码，编码功能同编码模块一样。</w:t>
      </w:r>
    </w:p>
    <w:p w14:paraId="6D3BD352">
      <w:pPr>
        <w:pStyle w:val="117"/>
        <w:numPr>
          <w:ilvl w:val="0"/>
          <w:numId w:val="28"/>
        </w:numPr>
        <w:spacing w:line="360" w:lineRule="auto"/>
        <w:ind w:firstLineChars="0"/>
        <w:rPr>
          <w:rFonts w:hint="eastAsia" w:ascii="宋体" w:hAnsi="宋体"/>
          <w:szCs w:val="21"/>
          <w:highlight w:val="none"/>
        </w:rPr>
      </w:pPr>
      <w:r>
        <w:rPr>
          <w:rFonts w:hint="eastAsia" w:ascii="宋体" w:hAnsi="宋体"/>
          <w:szCs w:val="21"/>
          <w:highlight w:val="none"/>
        </w:rPr>
        <w:t>校对保存审核后，执行首页质控规则，确保校对后数据符合规范。</w:t>
      </w:r>
    </w:p>
    <w:p w14:paraId="2B26D4D2">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病案归档</w:t>
      </w:r>
    </w:p>
    <w:p w14:paraId="0BBF4E30">
      <w:pPr>
        <w:pStyle w:val="117"/>
        <w:numPr>
          <w:ilvl w:val="0"/>
          <w:numId w:val="29"/>
        </w:numPr>
        <w:spacing w:line="360" w:lineRule="auto"/>
        <w:ind w:firstLineChars="0"/>
        <w:rPr>
          <w:rFonts w:hint="eastAsia" w:ascii="宋体" w:hAnsi="宋体"/>
          <w:szCs w:val="21"/>
          <w:highlight w:val="none"/>
        </w:rPr>
      </w:pPr>
      <w:r>
        <w:rPr>
          <w:rFonts w:hint="eastAsia" w:ascii="宋体" w:hAnsi="宋体"/>
          <w:szCs w:val="21"/>
          <w:highlight w:val="none"/>
        </w:rPr>
        <w:t>可对病案进行归档操作。归档时可对病案进行上架，记录病案所在位置。能打印病案条形码。</w:t>
      </w:r>
    </w:p>
    <w:p w14:paraId="45274F5E">
      <w:pPr>
        <w:pStyle w:val="117"/>
        <w:numPr>
          <w:ilvl w:val="0"/>
          <w:numId w:val="29"/>
        </w:numPr>
        <w:spacing w:line="360" w:lineRule="auto"/>
        <w:ind w:firstLineChars="0"/>
        <w:rPr>
          <w:rFonts w:hint="eastAsia" w:ascii="宋体" w:hAnsi="宋体"/>
          <w:szCs w:val="21"/>
          <w:highlight w:val="none"/>
        </w:rPr>
      </w:pPr>
      <w:r>
        <w:rPr>
          <w:rFonts w:hint="eastAsia" w:ascii="宋体" w:hAnsi="宋体"/>
          <w:szCs w:val="21"/>
          <w:highlight w:val="none"/>
        </w:rPr>
        <w:t>支持通过扫码枪进行扫描归档。</w:t>
      </w:r>
    </w:p>
    <w:p w14:paraId="101CB160">
      <w:pPr>
        <w:pStyle w:val="117"/>
        <w:numPr>
          <w:ilvl w:val="0"/>
          <w:numId w:val="29"/>
        </w:numPr>
        <w:spacing w:line="360" w:lineRule="auto"/>
        <w:ind w:firstLineChars="0"/>
        <w:rPr>
          <w:rFonts w:hint="eastAsia" w:ascii="宋体" w:hAnsi="宋体"/>
          <w:szCs w:val="21"/>
          <w:highlight w:val="none"/>
        </w:rPr>
      </w:pPr>
      <w:r>
        <w:rPr>
          <w:rFonts w:hint="eastAsia" w:ascii="宋体" w:hAnsi="宋体"/>
          <w:szCs w:val="21"/>
          <w:highlight w:val="none"/>
        </w:rPr>
        <w:t>可对归档的病案进行回退，回退到提交或者书写状态。</w:t>
      </w:r>
    </w:p>
    <w:p w14:paraId="37CD7CC1">
      <w:pPr>
        <w:pStyle w:val="117"/>
        <w:numPr>
          <w:ilvl w:val="0"/>
          <w:numId w:val="29"/>
        </w:numPr>
        <w:spacing w:line="360" w:lineRule="auto"/>
        <w:ind w:firstLineChars="0"/>
        <w:rPr>
          <w:rFonts w:hint="eastAsia" w:ascii="宋体" w:hAnsi="宋体"/>
          <w:szCs w:val="21"/>
          <w:highlight w:val="none"/>
        </w:rPr>
      </w:pPr>
      <w:r>
        <w:rPr>
          <w:rFonts w:hint="eastAsia" w:ascii="宋体" w:hAnsi="宋体"/>
          <w:szCs w:val="21"/>
          <w:highlight w:val="none"/>
        </w:rPr>
        <w:t>可查询病案归档详细信息，例如归档时间、归档人、上架时间、上架位置等。</w:t>
      </w:r>
    </w:p>
    <w:p w14:paraId="6137B986">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纸质病案管理</w:t>
      </w:r>
    </w:p>
    <w:p w14:paraId="31D53979">
      <w:pPr>
        <w:pStyle w:val="117"/>
        <w:numPr>
          <w:ilvl w:val="0"/>
          <w:numId w:val="30"/>
        </w:numPr>
        <w:spacing w:line="360" w:lineRule="auto"/>
        <w:ind w:firstLineChars="0"/>
        <w:rPr>
          <w:rFonts w:hint="eastAsia" w:ascii="宋体" w:hAnsi="宋体"/>
          <w:szCs w:val="21"/>
          <w:highlight w:val="none"/>
        </w:rPr>
      </w:pPr>
      <w:r>
        <w:rPr>
          <w:rFonts w:hint="eastAsia" w:ascii="宋体" w:hAnsi="宋体"/>
          <w:szCs w:val="21"/>
          <w:highlight w:val="none"/>
        </w:rPr>
        <w:t>纸质病历签收</w:t>
      </w:r>
    </w:p>
    <w:p w14:paraId="5C0AB118">
      <w:pPr>
        <w:rPr>
          <w:rFonts w:hint="eastAsia"/>
          <w:szCs w:val="21"/>
          <w:highlight w:val="none"/>
        </w:rPr>
      </w:pPr>
      <w:r>
        <w:rPr>
          <w:rFonts w:hint="eastAsia"/>
          <w:szCs w:val="21"/>
          <w:highlight w:val="none"/>
        </w:rPr>
        <w:t>科室可将出院病历纸质病历进行签出，签出后病案室根据科室提交的纸质病历进行签收。支持病案室进行扫描签收。签收后可根据条件进行签收记录查询。</w:t>
      </w:r>
    </w:p>
    <w:p w14:paraId="2138D344">
      <w:pPr>
        <w:pStyle w:val="117"/>
        <w:numPr>
          <w:ilvl w:val="0"/>
          <w:numId w:val="30"/>
        </w:numPr>
        <w:spacing w:line="360" w:lineRule="auto"/>
        <w:ind w:firstLineChars="0"/>
        <w:rPr>
          <w:rFonts w:hint="eastAsia" w:ascii="宋体" w:hAnsi="宋体"/>
          <w:szCs w:val="21"/>
          <w:highlight w:val="none"/>
        </w:rPr>
      </w:pPr>
      <w:r>
        <w:rPr>
          <w:rFonts w:hint="eastAsia" w:ascii="宋体" w:hAnsi="宋体"/>
          <w:szCs w:val="21"/>
          <w:highlight w:val="none"/>
        </w:rPr>
        <w:t>纸质病历催交</w:t>
      </w:r>
    </w:p>
    <w:p w14:paraId="1C0DA09C">
      <w:pPr>
        <w:rPr>
          <w:rFonts w:hint="eastAsia"/>
          <w:szCs w:val="21"/>
          <w:highlight w:val="none"/>
        </w:rPr>
      </w:pPr>
      <w:r>
        <w:rPr>
          <w:rFonts w:hint="eastAsia"/>
          <w:szCs w:val="21"/>
          <w:highlight w:val="none"/>
        </w:rPr>
        <w:t>支持设置病人出院后多少天进行提交纸质病历，超过时限的可以在催交界面查询到。支持一键催交，医护可以在工作界面收到催交信息。</w:t>
      </w:r>
    </w:p>
    <w:p w14:paraId="51D75065">
      <w:pPr>
        <w:pStyle w:val="117"/>
        <w:numPr>
          <w:ilvl w:val="0"/>
          <w:numId w:val="30"/>
        </w:numPr>
        <w:spacing w:line="360" w:lineRule="auto"/>
        <w:ind w:firstLineChars="0"/>
        <w:rPr>
          <w:rFonts w:hint="eastAsia" w:ascii="宋体" w:hAnsi="宋体"/>
          <w:szCs w:val="21"/>
          <w:highlight w:val="none"/>
        </w:rPr>
      </w:pPr>
      <w:r>
        <w:rPr>
          <w:rFonts w:hint="eastAsia" w:ascii="宋体" w:hAnsi="宋体"/>
          <w:szCs w:val="21"/>
          <w:highlight w:val="none"/>
        </w:rPr>
        <w:t>纸质病历示踪</w:t>
      </w:r>
    </w:p>
    <w:p w14:paraId="4C3416B8">
      <w:pPr>
        <w:rPr>
          <w:rFonts w:hint="eastAsia"/>
          <w:szCs w:val="21"/>
          <w:highlight w:val="none"/>
        </w:rPr>
      </w:pPr>
      <w:r>
        <w:rPr>
          <w:rFonts w:hint="eastAsia"/>
          <w:szCs w:val="21"/>
          <w:highlight w:val="none"/>
        </w:rPr>
        <w:t>提供病案示踪功能，根据条件查询纸质病案流转信息，例如签收、归档、借阅、复印等信息。可查询纸质病案当前的位置信息，例如归档的柜号或者借阅到的科室等。</w:t>
      </w:r>
    </w:p>
    <w:p w14:paraId="05587D7E">
      <w:pPr>
        <w:pStyle w:val="117"/>
        <w:numPr>
          <w:ilvl w:val="0"/>
          <w:numId w:val="30"/>
        </w:numPr>
        <w:spacing w:line="360" w:lineRule="auto"/>
        <w:ind w:firstLineChars="0"/>
        <w:rPr>
          <w:rFonts w:hint="eastAsia" w:ascii="宋体" w:hAnsi="宋体"/>
          <w:szCs w:val="21"/>
          <w:highlight w:val="none"/>
        </w:rPr>
      </w:pPr>
      <w:r>
        <w:rPr>
          <w:rFonts w:hint="eastAsia" w:ascii="宋体" w:hAnsi="宋体"/>
          <w:szCs w:val="21"/>
          <w:highlight w:val="none"/>
        </w:rPr>
        <w:t>纸质病历整改</w:t>
      </w:r>
    </w:p>
    <w:p w14:paraId="2ED30CC9">
      <w:pPr>
        <w:rPr>
          <w:rFonts w:hint="eastAsia"/>
          <w:szCs w:val="21"/>
          <w:highlight w:val="none"/>
        </w:rPr>
      </w:pPr>
      <w:r>
        <w:rPr>
          <w:rFonts w:hint="eastAsia"/>
          <w:szCs w:val="21"/>
          <w:highlight w:val="none"/>
        </w:rPr>
        <w:t>在纸质病历签收时，可以针对有问题的病历进行质控。病案室可选择问题项目，选择需要反馈到的医生（默认为主管医生）。医生接到质控信息后进行修改重新提交纸质病历，如果修改完成，病案室可以标记纸质病历已整改。</w:t>
      </w:r>
    </w:p>
    <w:p w14:paraId="719E55D4">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病案借阅</w:t>
      </w:r>
    </w:p>
    <w:p w14:paraId="624FABE9">
      <w:pPr>
        <w:pStyle w:val="117"/>
        <w:numPr>
          <w:ilvl w:val="0"/>
          <w:numId w:val="31"/>
        </w:numPr>
        <w:spacing w:line="360" w:lineRule="auto"/>
        <w:ind w:firstLineChars="0"/>
        <w:rPr>
          <w:rFonts w:hint="eastAsia" w:ascii="宋体" w:hAnsi="宋体"/>
          <w:szCs w:val="21"/>
          <w:highlight w:val="none"/>
        </w:rPr>
      </w:pPr>
      <w:r>
        <w:rPr>
          <w:rFonts w:hint="eastAsia" w:ascii="宋体" w:hAnsi="宋体"/>
          <w:szCs w:val="21"/>
          <w:highlight w:val="none"/>
        </w:rPr>
        <w:t>可根据疾病、科室等条件查询需要借阅的病案进行申请借阅，借阅时可选择借阅电子还是纸质以及设置借阅时长。</w:t>
      </w:r>
    </w:p>
    <w:p w14:paraId="2582FA44">
      <w:pPr>
        <w:pStyle w:val="117"/>
        <w:numPr>
          <w:ilvl w:val="0"/>
          <w:numId w:val="31"/>
        </w:numPr>
        <w:spacing w:line="360" w:lineRule="auto"/>
        <w:ind w:firstLineChars="0"/>
        <w:rPr>
          <w:rFonts w:hint="eastAsia" w:ascii="宋体" w:hAnsi="宋体"/>
          <w:szCs w:val="21"/>
          <w:highlight w:val="none"/>
        </w:rPr>
      </w:pPr>
      <w:r>
        <w:rPr>
          <w:rFonts w:hint="eastAsia" w:ascii="宋体" w:hAnsi="宋体"/>
          <w:szCs w:val="21"/>
          <w:highlight w:val="none"/>
        </w:rPr>
        <w:t>病案室可对借阅申请进行审批。电子病历审批通过后自动借阅。纸质病历在病案室实际借出后，在系统上确认借出。</w:t>
      </w:r>
    </w:p>
    <w:p w14:paraId="2CC7B668">
      <w:pPr>
        <w:pStyle w:val="117"/>
        <w:numPr>
          <w:ilvl w:val="0"/>
          <w:numId w:val="31"/>
        </w:numPr>
        <w:spacing w:line="360" w:lineRule="auto"/>
        <w:ind w:firstLineChars="0"/>
        <w:rPr>
          <w:rFonts w:hint="eastAsia" w:ascii="宋体" w:hAnsi="宋体"/>
          <w:szCs w:val="21"/>
          <w:highlight w:val="none"/>
        </w:rPr>
      </w:pPr>
      <w:r>
        <w:rPr>
          <w:rFonts w:hint="eastAsia" w:ascii="宋体" w:hAnsi="宋体"/>
          <w:szCs w:val="21"/>
          <w:highlight w:val="none"/>
        </w:rPr>
        <w:t>提供查看借阅的电子病历展示界面。</w:t>
      </w:r>
    </w:p>
    <w:p w14:paraId="04AD7400">
      <w:pPr>
        <w:pStyle w:val="117"/>
        <w:numPr>
          <w:ilvl w:val="0"/>
          <w:numId w:val="31"/>
        </w:numPr>
        <w:spacing w:line="360" w:lineRule="auto"/>
        <w:ind w:firstLineChars="0"/>
        <w:rPr>
          <w:rFonts w:hint="eastAsia" w:ascii="宋体" w:hAnsi="宋体"/>
          <w:szCs w:val="21"/>
          <w:highlight w:val="none"/>
        </w:rPr>
      </w:pPr>
      <w:r>
        <w:rPr>
          <w:rFonts w:hint="eastAsia" w:ascii="宋体" w:hAnsi="宋体"/>
          <w:szCs w:val="21"/>
          <w:highlight w:val="none"/>
        </w:rPr>
        <w:t>借阅完成后，用户可对借阅病历进行归还。电子病历直接归还，纸质病历需把病历归还到病案后进行确认归还。</w:t>
      </w:r>
    </w:p>
    <w:p w14:paraId="0D47CAAB">
      <w:pPr>
        <w:pStyle w:val="117"/>
        <w:numPr>
          <w:ilvl w:val="0"/>
          <w:numId w:val="31"/>
        </w:numPr>
        <w:spacing w:line="360" w:lineRule="auto"/>
        <w:ind w:firstLineChars="0"/>
        <w:rPr>
          <w:rFonts w:hint="eastAsia" w:ascii="宋体" w:hAnsi="宋体"/>
          <w:szCs w:val="21"/>
          <w:highlight w:val="none"/>
        </w:rPr>
      </w:pPr>
      <w:r>
        <w:rPr>
          <w:rFonts w:hint="eastAsia" w:ascii="宋体" w:hAnsi="宋体"/>
          <w:szCs w:val="21"/>
          <w:highlight w:val="none"/>
        </w:rPr>
        <w:t>借阅后超过归还日期，用户可申请需求，病案室可进行催还。</w:t>
      </w:r>
    </w:p>
    <w:p w14:paraId="1636AB1C">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病案冻结</w:t>
      </w:r>
    </w:p>
    <w:p w14:paraId="4A4F125C">
      <w:pPr>
        <w:pStyle w:val="117"/>
        <w:numPr>
          <w:ilvl w:val="0"/>
          <w:numId w:val="32"/>
        </w:numPr>
        <w:spacing w:line="360" w:lineRule="auto"/>
        <w:ind w:firstLineChars="0"/>
        <w:rPr>
          <w:rFonts w:hint="eastAsia" w:ascii="宋体" w:hAnsi="宋体"/>
          <w:szCs w:val="21"/>
          <w:highlight w:val="none"/>
        </w:rPr>
      </w:pPr>
      <w:r>
        <w:rPr>
          <w:rFonts w:hint="eastAsia" w:ascii="宋体" w:hAnsi="宋体"/>
          <w:szCs w:val="21"/>
          <w:highlight w:val="none"/>
        </w:rPr>
        <w:t>系统支持将患者进行冻结，冻结后患者的相关病案只能浏览不能编辑修改。</w:t>
      </w:r>
    </w:p>
    <w:p w14:paraId="56802E4F">
      <w:pPr>
        <w:pStyle w:val="117"/>
        <w:numPr>
          <w:ilvl w:val="0"/>
          <w:numId w:val="32"/>
        </w:numPr>
        <w:spacing w:line="360" w:lineRule="auto"/>
        <w:ind w:firstLineChars="0"/>
        <w:rPr>
          <w:rFonts w:hint="eastAsia" w:ascii="宋体" w:hAnsi="宋体"/>
          <w:szCs w:val="21"/>
          <w:highlight w:val="none"/>
        </w:rPr>
      </w:pPr>
      <w:r>
        <w:rPr>
          <w:rFonts w:hint="eastAsia" w:ascii="宋体" w:hAnsi="宋体"/>
          <w:szCs w:val="21"/>
          <w:highlight w:val="none"/>
        </w:rPr>
        <w:t>可对已冻结的进行解冻，解冻后患者的病案操作恢复正常。</w:t>
      </w:r>
    </w:p>
    <w:p w14:paraId="0E7D7334">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快照管理</w:t>
      </w:r>
    </w:p>
    <w:p w14:paraId="7DB957F2">
      <w:pPr>
        <w:pStyle w:val="117"/>
        <w:numPr>
          <w:ilvl w:val="0"/>
          <w:numId w:val="33"/>
        </w:numPr>
        <w:spacing w:line="360" w:lineRule="auto"/>
        <w:ind w:firstLineChars="0"/>
        <w:rPr>
          <w:rFonts w:hint="eastAsia" w:ascii="宋体" w:hAnsi="宋体"/>
          <w:szCs w:val="21"/>
          <w:highlight w:val="none"/>
        </w:rPr>
      </w:pPr>
      <w:r>
        <w:rPr>
          <w:rFonts w:hint="eastAsia" w:ascii="宋体" w:hAnsi="宋体"/>
          <w:szCs w:val="21"/>
          <w:highlight w:val="none"/>
        </w:rPr>
        <w:t>可根据条件查询需要快照的病人。</w:t>
      </w:r>
    </w:p>
    <w:p w14:paraId="4A6FD8BF">
      <w:pPr>
        <w:pStyle w:val="117"/>
        <w:numPr>
          <w:ilvl w:val="0"/>
          <w:numId w:val="33"/>
        </w:numPr>
        <w:spacing w:line="360" w:lineRule="auto"/>
        <w:ind w:firstLineChars="0"/>
        <w:rPr>
          <w:rFonts w:hint="eastAsia" w:ascii="宋体" w:hAnsi="宋体"/>
          <w:szCs w:val="21"/>
          <w:highlight w:val="none"/>
        </w:rPr>
      </w:pPr>
      <w:r>
        <w:rPr>
          <w:rFonts w:hint="eastAsia" w:ascii="宋体" w:hAnsi="宋体"/>
          <w:szCs w:val="21"/>
          <w:highlight w:val="none"/>
        </w:rPr>
        <w:t>快照时系统将患者当前时刻的病历转存到快照表。可以查看快照的病历内容。</w:t>
      </w:r>
    </w:p>
    <w:p w14:paraId="3FDAFEB7">
      <w:pPr>
        <w:pStyle w:val="117"/>
        <w:numPr>
          <w:ilvl w:val="0"/>
          <w:numId w:val="33"/>
        </w:numPr>
        <w:spacing w:line="360" w:lineRule="auto"/>
        <w:ind w:firstLineChars="0"/>
        <w:rPr>
          <w:rFonts w:hint="eastAsia" w:ascii="宋体" w:hAnsi="宋体"/>
          <w:szCs w:val="21"/>
          <w:highlight w:val="none"/>
        </w:rPr>
      </w:pPr>
      <w:r>
        <w:rPr>
          <w:rFonts w:hint="eastAsia" w:ascii="宋体" w:hAnsi="宋体"/>
          <w:szCs w:val="21"/>
          <w:highlight w:val="none"/>
        </w:rPr>
        <w:t>快照后不影响患者病案正常操作。</w:t>
      </w:r>
    </w:p>
    <w:p w14:paraId="4F6A7876">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病案复印</w:t>
      </w:r>
    </w:p>
    <w:p w14:paraId="429C39BC">
      <w:pPr>
        <w:pStyle w:val="117"/>
        <w:numPr>
          <w:ilvl w:val="0"/>
          <w:numId w:val="34"/>
        </w:numPr>
        <w:spacing w:line="360" w:lineRule="auto"/>
        <w:ind w:firstLineChars="0"/>
        <w:rPr>
          <w:rFonts w:hint="eastAsia" w:ascii="宋体" w:hAnsi="宋体"/>
          <w:szCs w:val="21"/>
          <w:highlight w:val="none"/>
        </w:rPr>
      </w:pPr>
      <w:r>
        <w:rPr>
          <w:rFonts w:hint="eastAsia" w:ascii="宋体" w:hAnsi="宋体"/>
          <w:szCs w:val="21"/>
          <w:highlight w:val="none"/>
        </w:rPr>
        <w:t>可通过条件快速查询选择需要复印的病人。</w:t>
      </w:r>
    </w:p>
    <w:p w14:paraId="7E5FA63A">
      <w:pPr>
        <w:pStyle w:val="117"/>
        <w:numPr>
          <w:ilvl w:val="0"/>
          <w:numId w:val="34"/>
        </w:numPr>
        <w:spacing w:line="360" w:lineRule="auto"/>
        <w:ind w:firstLineChars="0"/>
        <w:rPr>
          <w:rFonts w:hint="eastAsia" w:ascii="宋体" w:hAnsi="宋体"/>
          <w:szCs w:val="21"/>
          <w:highlight w:val="none"/>
        </w:rPr>
      </w:pPr>
      <w:r>
        <w:rPr>
          <w:rFonts w:hint="eastAsia" w:ascii="宋体" w:hAnsi="宋体"/>
          <w:szCs w:val="21"/>
          <w:highlight w:val="none"/>
        </w:rPr>
        <w:t>可选择需要复印的病案类型，以及选择复印原因，设置金额等信息。</w:t>
      </w:r>
    </w:p>
    <w:p w14:paraId="36790378">
      <w:pPr>
        <w:pStyle w:val="117"/>
        <w:numPr>
          <w:ilvl w:val="0"/>
          <w:numId w:val="34"/>
        </w:numPr>
        <w:spacing w:line="360" w:lineRule="auto"/>
        <w:ind w:firstLineChars="0"/>
        <w:rPr>
          <w:rFonts w:hint="eastAsia" w:ascii="宋体" w:hAnsi="宋体"/>
          <w:szCs w:val="21"/>
          <w:highlight w:val="none"/>
        </w:rPr>
      </w:pPr>
      <w:r>
        <w:rPr>
          <w:rFonts w:hint="eastAsia" w:ascii="宋体" w:hAnsi="宋体"/>
          <w:szCs w:val="21"/>
          <w:highlight w:val="none"/>
        </w:rPr>
        <w:t>支持查询复印记录详情。</w:t>
      </w:r>
    </w:p>
    <w:p w14:paraId="5B86EAEF">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综合查询</w:t>
      </w:r>
    </w:p>
    <w:p w14:paraId="61EFB295">
      <w:pPr>
        <w:pStyle w:val="117"/>
        <w:numPr>
          <w:ilvl w:val="0"/>
          <w:numId w:val="35"/>
        </w:numPr>
        <w:spacing w:line="360" w:lineRule="auto"/>
        <w:ind w:firstLineChars="0"/>
        <w:rPr>
          <w:rFonts w:hint="eastAsia" w:ascii="宋体" w:hAnsi="宋体"/>
          <w:szCs w:val="21"/>
          <w:highlight w:val="none"/>
        </w:rPr>
      </w:pPr>
      <w:r>
        <w:rPr>
          <w:rFonts w:hint="eastAsia" w:ascii="宋体" w:hAnsi="宋体"/>
          <w:szCs w:val="21"/>
          <w:highlight w:val="none"/>
        </w:rPr>
        <w:t>可自定义查询条件以及返回结果进行查询。</w:t>
      </w:r>
    </w:p>
    <w:p w14:paraId="43A2DD37">
      <w:pPr>
        <w:pStyle w:val="117"/>
        <w:numPr>
          <w:ilvl w:val="0"/>
          <w:numId w:val="35"/>
        </w:numPr>
        <w:spacing w:line="360" w:lineRule="auto"/>
        <w:ind w:firstLineChars="0"/>
        <w:rPr>
          <w:rFonts w:hint="eastAsia" w:ascii="宋体" w:hAnsi="宋体"/>
          <w:szCs w:val="21"/>
          <w:highlight w:val="none"/>
        </w:rPr>
      </w:pPr>
      <w:r>
        <w:rPr>
          <w:rFonts w:hint="eastAsia" w:ascii="宋体" w:hAnsi="宋体"/>
          <w:szCs w:val="21"/>
          <w:highlight w:val="none"/>
        </w:rPr>
        <w:t>支持将查询条件另存为查询模板供下次查询快速使用。模板共享范围支持设置为个人、科室、全院不同范围。</w:t>
      </w:r>
    </w:p>
    <w:p w14:paraId="5A0D4DB6">
      <w:pPr>
        <w:pStyle w:val="117"/>
        <w:numPr>
          <w:ilvl w:val="0"/>
          <w:numId w:val="35"/>
        </w:numPr>
        <w:spacing w:line="360" w:lineRule="auto"/>
        <w:ind w:firstLineChars="0"/>
        <w:rPr>
          <w:rFonts w:hint="eastAsia" w:ascii="宋体" w:hAnsi="宋体"/>
          <w:szCs w:val="21"/>
          <w:highlight w:val="none"/>
        </w:rPr>
      </w:pPr>
      <w:r>
        <w:rPr>
          <w:rFonts w:hint="eastAsia" w:ascii="宋体" w:hAnsi="宋体"/>
          <w:szCs w:val="21"/>
          <w:highlight w:val="none"/>
        </w:rPr>
        <w:t>可将查询模板配置成动态菜单分发给不同角色使用。</w:t>
      </w:r>
    </w:p>
    <w:p w14:paraId="4B6B2AF0">
      <w:pPr>
        <w:pStyle w:val="117"/>
        <w:numPr>
          <w:ilvl w:val="0"/>
          <w:numId w:val="35"/>
        </w:numPr>
        <w:spacing w:line="360" w:lineRule="auto"/>
        <w:ind w:firstLineChars="0"/>
        <w:rPr>
          <w:rFonts w:hint="eastAsia" w:ascii="宋体" w:hAnsi="宋体"/>
          <w:szCs w:val="21"/>
          <w:highlight w:val="none"/>
        </w:rPr>
      </w:pPr>
      <w:r>
        <w:rPr>
          <w:rFonts w:hint="eastAsia" w:ascii="宋体" w:hAnsi="宋体"/>
          <w:szCs w:val="21"/>
          <w:highlight w:val="none"/>
        </w:rPr>
        <w:t>查询结果支持导出成表格。</w:t>
      </w:r>
    </w:p>
    <w:p w14:paraId="695B21A3">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自定义诊断</w:t>
      </w:r>
      <w:r>
        <w:rPr>
          <w:rFonts w:ascii="宋体" w:hAnsi="宋体"/>
          <w:sz w:val="21"/>
          <w:szCs w:val="21"/>
          <w:highlight w:val="none"/>
        </w:rPr>
        <w:t>/</w:t>
      </w:r>
      <w:r>
        <w:rPr>
          <w:rFonts w:hint="eastAsia" w:ascii="宋体" w:hAnsi="宋体"/>
          <w:sz w:val="21"/>
          <w:szCs w:val="21"/>
          <w:highlight w:val="none"/>
        </w:rPr>
        <w:t>手术审批</w:t>
      </w:r>
    </w:p>
    <w:p w14:paraId="68264BFE">
      <w:pPr>
        <w:rPr>
          <w:rFonts w:hint="eastAsia"/>
          <w:szCs w:val="21"/>
          <w:highlight w:val="none"/>
        </w:rPr>
      </w:pPr>
      <w:r>
        <w:rPr>
          <w:rFonts w:hint="eastAsia"/>
          <w:szCs w:val="21"/>
          <w:highlight w:val="none"/>
        </w:rPr>
        <w:t>针对医生自定义的诊断和手术进行审批。审批时可以修改诊断/手术的编码以及名称和对应的标准的ICD10和ICD9编码。审批后医生在录入诊断和手术时就可以选择自定义的名称。</w:t>
      </w:r>
    </w:p>
    <w:p w14:paraId="203E510D">
      <w:pPr>
        <w:rPr>
          <w:rFonts w:hint="eastAsia"/>
          <w:szCs w:val="21"/>
          <w:highlight w:val="none"/>
        </w:rPr>
      </w:pPr>
    </w:p>
    <w:p w14:paraId="11B82A48">
      <w:pPr>
        <w:pStyle w:val="5"/>
        <w:rPr>
          <w:rFonts w:hint="eastAsia" w:ascii="宋体" w:hAnsi="宋体" w:eastAsia="宋体"/>
          <w:sz w:val="21"/>
          <w:szCs w:val="21"/>
          <w:highlight w:val="none"/>
        </w:rPr>
      </w:pPr>
      <w:bookmarkStart w:id="91" w:name="_Toc8560"/>
      <w:r>
        <w:rPr>
          <w:rFonts w:hint="eastAsia" w:ascii="宋体" w:hAnsi="宋体" w:eastAsia="宋体"/>
          <w:sz w:val="21"/>
          <w:szCs w:val="21"/>
          <w:highlight w:val="none"/>
        </w:rPr>
        <w:t>电子病历质量管理系统</w:t>
      </w:r>
      <w:bookmarkEnd w:id="91"/>
    </w:p>
    <w:p w14:paraId="613AB55D">
      <w:pPr>
        <w:rPr>
          <w:rFonts w:hint="eastAsia"/>
          <w:szCs w:val="21"/>
          <w:highlight w:val="none"/>
        </w:rPr>
      </w:pPr>
      <w:r>
        <w:rPr>
          <w:rFonts w:hint="eastAsia"/>
          <w:szCs w:val="21"/>
          <w:highlight w:val="none"/>
        </w:rPr>
        <w:t>病历质控管理用于定义电子病历书写的质控目标、时间点、关键节点等质控内容，并实时监控电子病历书写的质控情况。由终末控制转到全面的环节控制、过程控制，这些控制包括时限质控、内容质控、三级质控、智能质控等。通过病历三级质控体系，强化病历质量管理，在事前、事中、事后环节持续病历质量控制，实现医疗质量的持续提升。</w:t>
      </w:r>
    </w:p>
    <w:p w14:paraId="244CAD3E">
      <w:pPr>
        <w:rPr>
          <w:rFonts w:hint="eastAsia"/>
          <w:szCs w:val="21"/>
          <w:highlight w:val="none"/>
        </w:rPr>
      </w:pPr>
      <w:r>
        <w:rPr>
          <w:rFonts w:hint="eastAsia"/>
          <w:szCs w:val="21"/>
          <w:highlight w:val="none"/>
        </w:rPr>
        <w:t>要求具体功能包括：病历三级质控、病历质控规则设置、病历质量监控、病历质控分析等。</w:t>
      </w:r>
    </w:p>
    <w:p w14:paraId="2C9EF20D">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病历三级质控</w:t>
      </w:r>
    </w:p>
    <w:p w14:paraId="68B89DFC">
      <w:pPr>
        <w:rPr>
          <w:rFonts w:hint="eastAsia"/>
          <w:szCs w:val="21"/>
          <w:highlight w:val="none"/>
        </w:rPr>
      </w:pPr>
      <w:r>
        <w:rPr>
          <w:rFonts w:hint="eastAsia"/>
          <w:szCs w:val="21"/>
          <w:highlight w:val="none"/>
        </w:rPr>
        <w:t>提供医生、科室和职能部门病历三级质控。</w:t>
      </w:r>
    </w:p>
    <w:p w14:paraId="0D91AE68">
      <w:pPr>
        <w:pStyle w:val="117"/>
        <w:numPr>
          <w:ilvl w:val="3"/>
          <w:numId w:val="35"/>
        </w:numPr>
        <w:spacing w:line="360" w:lineRule="auto"/>
        <w:ind w:firstLineChars="0"/>
        <w:rPr>
          <w:rFonts w:hint="eastAsia" w:ascii="宋体" w:hAnsi="宋体"/>
          <w:szCs w:val="21"/>
          <w:highlight w:val="none"/>
        </w:rPr>
      </w:pPr>
      <w:r>
        <w:rPr>
          <w:rFonts w:hint="eastAsia" w:ascii="宋体" w:hAnsi="宋体"/>
          <w:szCs w:val="21"/>
          <w:highlight w:val="none"/>
        </w:rPr>
        <w:t>医生质控</w:t>
      </w:r>
    </w:p>
    <w:p w14:paraId="28DC87CD">
      <w:pPr>
        <w:rPr>
          <w:rFonts w:hint="eastAsia"/>
          <w:szCs w:val="21"/>
          <w:highlight w:val="none"/>
        </w:rPr>
      </w:pPr>
      <w:r>
        <w:rPr>
          <w:rFonts w:hint="eastAsia"/>
          <w:szCs w:val="21"/>
          <w:highlight w:val="none"/>
        </w:rPr>
        <w:t>医生自行对病历质量进行检查，结合病历质控规则，自动生成病历质量报告。要求包括时限质控（包括上级医师签名）、内容质控、智能提醒、拷贝关键词控制、回退申请等。</w:t>
      </w:r>
    </w:p>
    <w:p w14:paraId="2F5289E8">
      <w:pPr>
        <w:pStyle w:val="117"/>
        <w:numPr>
          <w:ilvl w:val="3"/>
          <w:numId w:val="35"/>
        </w:numPr>
        <w:spacing w:line="360" w:lineRule="auto"/>
        <w:ind w:firstLineChars="0"/>
        <w:rPr>
          <w:rFonts w:hint="eastAsia" w:ascii="宋体" w:hAnsi="宋体"/>
          <w:szCs w:val="21"/>
          <w:highlight w:val="none"/>
        </w:rPr>
      </w:pPr>
      <w:r>
        <w:rPr>
          <w:rFonts w:hint="eastAsia" w:ascii="宋体" w:hAnsi="宋体"/>
          <w:szCs w:val="21"/>
          <w:highlight w:val="none"/>
        </w:rPr>
        <w:t>科室质控</w:t>
      </w:r>
    </w:p>
    <w:p w14:paraId="0C81593C">
      <w:pPr>
        <w:rPr>
          <w:rFonts w:hint="eastAsia"/>
          <w:szCs w:val="21"/>
          <w:highlight w:val="none"/>
        </w:rPr>
      </w:pPr>
      <w:r>
        <w:rPr>
          <w:rFonts w:hint="eastAsia"/>
          <w:szCs w:val="21"/>
          <w:highlight w:val="none"/>
        </w:rPr>
        <w:t>要求可根据预设条件抽取病历，对病历质量进行检查，结合病历质控规则，自动生成科室病历质量报告；针对发现的病历质量问题，可实时反馈给责任医师；责任医师收到病历质控消息提醒后，进行整改；整改确认完成后，整改情况再返回科室质控组审核确认。</w:t>
      </w:r>
    </w:p>
    <w:p w14:paraId="5948FF01">
      <w:pPr>
        <w:pStyle w:val="117"/>
        <w:numPr>
          <w:ilvl w:val="3"/>
          <w:numId w:val="35"/>
        </w:numPr>
        <w:spacing w:line="360" w:lineRule="auto"/>
        <w:ind w:firstLineChars="0"/>
        <w:rPr>
          <w:rFonts w:hint="eastAsia" w:ascii="宋体" w:hAnsi="宋体"/>
          <w:szCs w:val="21"/>
          <w:highlight w:val="none"/>
        </w:rPr>
      </w:pPr>
      <w:r>
        <w:rPr>
          <w:rFonts w:hint="eastAsia" w:ascii="宋体" w:hAnsi="宋体"/>
          <w:szCs w:val="21"/>
          <w:highlight w:val="none"/>
        </w:rPr>
        <w:t>院级质控</w:t>
      </w:r>
    </w:p>
    <w:p w14:paraId="606BA9A5">
      <w:pPr>
        <w:rPr>
          <w:rFonts w:hint="eastAsia"/>
          <w:szCs w:val="21"/>
          <w:highlight w:val="none"/>
        </w:rPr>
      </w:pPr>
      <w:r>
        <w:rPr>
          <w:rFonts w:hint="eastAsia"/>
          <w:szCs w:val="21"/>
          <w:highlight w:val="none"/>
        </w:rPr>
        <w:t>院级质控时质控科根据预设条件抽取出院病历，对病历质量进行检查，结合病历质控规则，对病历进行评分。特殊情况下，可退回病历，要求责任医师补充或整改。每月定期生成病历质量报告。</w:t>
      </w:r>
    </w:p>
    <w:p w14:paraId="1D580871">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病历质控规则设置</w:t>
      </w:r>
    </w:p>
    <w:p w14:paraId="5548A74C">
      <w:pPr>
        <w:rPr>
          <w:rFonts w:hint="eastAsia"/>
          <w:szCs w:val="21"/>
          <w:highlight w:val="none"/>
        </w:rPr>
      </w:pPr>
      <w:r>
        <w:rPr>
          <w:rFonts w:hint="eastAsia"/>
          <w:szCs w:val="21"/>
          <w:highlight w:val="none"/>
        </w:rPr>
        <w:t>要求根据国家或省市《病历质量评价标准》，设置病历质控规则。</w:t>
      </w:r>
    </w:p>
    <w:p w14:paraId="5F46FD0D">
      <w:pPr>
        <w:rPr>
          <w:rFonts w:hint="eastAsia"/>
          <w:szCs w:val="21"/>
          <w:highlight w:val="none"/>
        </w:rPr>
      </w:pPr>
      <w:r>
        <w:rPr>
          <w:rFonts w:hint="eastAsia"/>
          <w:szCs w:val="21"/>
          <w:highlight w:val="none"/>
        </w:rPr>
        <w:t>时限质控规则，要求根据住院病历书写的时限管理要求配置质控规则定义和扣分规则。</w:t>
      </w:r>
    </w:p>
    <w:p w14:paraId="4166D1E3">
      <w:pPr>
        <w:rPr>
          <w:rFonts w:hint="eastAsia"/>
          <w:szCs w:val="21"/>
          <w:highlight w:val="none"/>
        </w:rPr>
      </w:pPr>
      <w:r>
        <w:rPr>
          <w:rFonts w:hint="eastAsia"/>
          <w:szCs w:val="21"/>
          <w:highlight w:val="none"/>
        </w:rPr>
        <w:t>内容质控规则，要求基于结构化的信息节点进行逻辑组装配置，主要是内容完整性、内容一致性判断、数值大小判断等质控规则。</w:t>
      </w:r>
    </w:p>
    <w:p w14:paraId="208EB61A">
      <w:pPr>
        <w:rPr>
          <w:rFonts w:hint="eastAsia"/>
          <w:szCs w:val="21"/>
          <w:highlight w:val="none"/>
        </w:rPr>
      </w:pPr>
      <w:r>
        <w:rPr>
          <w:rFonts w:hint="eastAsia"/>
          <w:szCs w:val="21"/>
          <w:highlight w:val="none"/>
        </w:rPr>
        <w:t>按需提供便捷的质控规则自定义工具，根据医院实际管理要求自定义缺陷项目。</w:t>
      </w:r>
    </w:p>
    <w:p w14:paraId="1DECC59C">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病历质量监控</w:t>
      </w:r>
    </w:p>
    <w:p w14:paraId="1F65B410">
      <w:pPr>
        <w:rPr>
          <w:rFonts w:hint="eastAsia"/>
          <w:szCs w:val="21"/>
          <w:highlight w:val="none"/>
        </w:rPr>
      </w:pPr>
      <w:r>
        <w:rPr>
          <w:rFonts w:hint="eastAsia"/>
          <w:szCs w:val="21"/>
          <w:highlight w:val="none"/>
        </w:rPr>
        <w:t>时限质控，要求根据病历时间质控设置规则，对住院病历记录完成情况进行自动检查，并对未按时完成的病历记录向责任医师和病历质量管理人员进行提示的功能。</w:t>
      </w:r>
    </w:p>
    <w:p w14:paraId="1BB97ABE">
      <w:pPr>
        <w:rPr>
          <w:rFonts w:hint="eastAsia"/>
          <w:szCs w:val="21"/>
          <w:highlight w:val="none"/>
        </w:rPr>
      </w:pPr>
      <w:r>
        <w:rPr>
          <w:rFonts w:hint="eastAsia"/>
          <w:szCs w:val="21"/>
          <w:highlight w:val="none"/>
        </w:rPr>
        <w:t>内容质控，要求根据质控规则设置，对不同病历的完整性、规范性提供自动检查和提醒。</w:t>
      </w:r>
    </w:p>
    <w:p w14:paraId="35A695F4">
      <w:pPr>
        <w:rPr>
          <w:rFonts w:hint="eastAsia"/>
          <w:szCs w:val="21"/>
          <w:highlight w:val="none"/>
        </w:rPr>
      </w:pPr>
      <w:r>
        <w:rPr>
          <w:rFonts w:hint="eastAsia"/>
          <w:szCs w:val="21"/>
          <w:highlight w:val="none"/>
        </w:rPr>
        <w:t>需供根据专科病历、诊断等差别化的质量控制项目。</w:t>
      </w:r>
    </w:p>
    <w:p w14:paraId="52D37DB1">
      <w:pPr>
        <w:rPr>
          <w:rFonts w:hint="eastAsia"/>
          <w:szCs w:val="21"/>
          <w:highlight w:val="none"/>
        </w:rPr>
      </w:pPr>
      <w:r>
        <w:rPr>
          <w:rFonts w:hint="eastAsia"/>
          <w:szCs w:val="21"/>
          <w:highlight w:val="none"/>
        </w:rPr>
        <w:t>要求能根据以上质控规则进行自动判断处理并产生相应控制报告内容。</w:t>
      </w:r>
    </w:p>
    <w:p w14:paraId="1689D727">
      <w:pPr>
        <w:rPr>
          <w:rFonts w:hint="eastAsia"/>
          <w:szCs w:val="21"/>
          <w:highlight w:val="none"/>
        </w:rPr>
      </w:pPr>
      <w:r>
        <w:rPr>
          <w:rFonts w:hint="eastAsia"/>
          <w:szCs w:val="21"/>
          <w:highlight w:val="none"/>
        </w:rPr>
        <w:t>需供病历质控人员对病历质量进行评价与记录缺陷，并反馈给责任医师的功能。</w:t>
      </w:r>
    </w:p>
    <w:p w14:paraId="410FC391">
      <w:pPr>
        <w:rPr>
          <w:rFonts w:hint="eastAsia"/>
          <w:szCs w:val="21"/>
          <w:highlight w:val="none"/>
        </w:rPr>
      </w:pPr>
      <w:r>
        <w:rPr>
          <w:rFonts w:hint="eastAsia"/>
          <w:szCs w:val="21"/>
          <w:highlight w:val="none"/>
        </w:rPr>
        <w:t>需经病历质量管理人员审查的病历记录审查时间和审查者。</w:t>
      </w:r>
    </w:p>
    <w:p w14:paraId="14CE67B2">
      <w:pPr>
        <w:rPr>
          <w:rFonts w:hint="eastAsia"/>
          <w:szCs w:val="21"/>
          <w:highlight w:val="none"/>
        </w:rPr>
      </w:pPr>
      <w:r>
        <w:rPr>
          <w:rFonts w:hint="eastAsia"/>
          <w:szCs w:val="21"/>
          <w:highlight w:val="none"/>
        </w:rPr>
        <w:t>病历质控人员要求可对病历缺陷内容的纠正情况进行追踪检查。</w:t>
      </w:r>
    </w:p>
    <w:p w14:paraId="4D6CDF38">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病历质控分析</w:t>
      </w:r>
    </w:p>
    <w:p w14:paraId="64BC5317">
      <w:pPr>
        <w:rPr>
          <w:rFonts w:hint="eastAsia"/>
          <w:szCs w:val="21"/>
          <w:highlight w:val="none"/>
        </w:rPr>
      </w:pPr>
      <w:r>
        <w:rPr>
          <w:rFonts w:hint="eastAsia"/>
          <w:szCs w:val="21"/>
          <w:highlight w:val="none"/>
        </w:rPr>
        <w:t>要求根据病历质量检查和评价结果，可自定义生成不同维度的统计分析报告，指导职能部门有针对的进行病历质量检查和评价。</w:t>
      </w:r>
    </w:p>
    <w:p w14:paraId="27CC7AD7">
      <w:pPr>
        <w:pStyle w:val="5"/>
        <w:rPr>
          <w:rFonts w:hint="eastAsia" w:ascii="宋体" w:hAnsi="宋体" w:eastAsia="宋体"/>
          <w:sz w:val="21"/>
          <w:szCs w:val="21"/>
          <w:highlight w:val="none"/>
        </w:rPr>
      </w:pPr>
      <w:bookmarkStart w:id="92" w:name="_Toc26555"/>
      <w:r>
        <w:rPr>
          <w:rFonts w:hint="eastAsia" w:ascii="宋体" w:hAnsi="宋体" w:eastAsia="宋体"/>
          <w:sz w:val="21"/>
          <w:szCs w:val="21"/>
          <w:highlight w:val="none"/>
        </w:rPr>
        <w:t>一般治疗信息系统</w:t>
      </w:r>
      <w:bookmarkEnd w:id="92"/>
    </w:p>
    <w:p w14:paraId="6A9149A4">
      <w:pPr>
        <w:rPr>
          <w:rFonts w:hint="eastAsia"/>
          <w:szCs w:val="21"/>
          <w:highlight w:val="none"/>
        </w:rPr>
      </w:pPr>
      <w:r>
        <w:rPr>
          <w:rFonts w:hint="eastAsia"/>
          <w:szCs w:val="21"/>
          <w:highlight w:val="none"/>
        </w:rPr>
        <w:t>一般治疗信息系统用于高压氧、康复等治疗科室。治疗科室可以进行治疗患者管理，制定治疗计划，进行治疗评估以及治疗记录书写、治疗费用管理等治疗过程管理。具体功能要求如下：</w:t>
      </w:r>
    </w:p>
    <w:p w14:paraId="62C319FA">
      <w:pPr>
        <w:rPr>
          <w:rFonts w:hint="eastAsia"/>
          <w:szCs w:val="21"/>
          <w:highlight w:val="none"/>
        </w:rPr>
      </w:pPr>
      <w:r>
        <w:rPr>
          <w:szCs w:val="21"/>
          <w:highlight w:val="none"/>
        </w:rPr>
        <w:t>1、治疗患者管理</w:t>
      </w:r>
      <w:r>
        <w:rPr>
          <w:rFonts w:hint="eastAsia"/>
          <w:szCs w:val="21"/>
          <w:highlight w:val="none"/>
        </w:rPr>
        <w:t>：</w:t>
      </w:r>
      <w:r>
        <w:rPr>
          <w:szCs w:val="21"/>
          <w:highlight w:val="none"/>
        </w:rPr>
        <w:t>要求</w:t>
      </w:r>
      <w:r>
        <w:rPr>
          <w:rFonts w:hint="eastAsia"/>
          <w:szCs w:val="21"/>
          <w:highlight w:val="none"/>
        </w:rPr>
        <w:t>治疗系统根据选择的治疗科室（例如高压氧室、康复科）自动获取需要做对应治疗的患者列表，包含门诊与住院病人。</w:t>
      </w:r>
    </w:p>
    <w:p w14:paraId="71C88042">
      <w:pPr>
        <w:rPr>
          <w:rFonts w:hint="eastAsia"/>
          <w:szCs w:val="21"/>
          <w:highlight w:val="none"/>
        </w:rPr>
      </w:pPr>
      <w:r>
        <w:rPr>
          <w:szCs w:val="21"/>
          <w:highlight w:val="none"/>
        </w:rPr>
        <w:t>2、</w:t>
      </w:r>
      <w:r>
        <w:rPr>
          <w:rFonts w:hint="eastAsia"/>
          <w:szCs w:val="21"/>
          <w:highlight w:val="none"/>
        </w:rPr>
        <w:t>治疗计划：支持门诊医生和住院医生在</w:t>
      </w:r>
      <w:r>
        <w:rPr>
          <w:szCs w:val="21"/>
          <w:highlight w:val="none"/>
        </w:rPr>
        <w:t>HIS系统开具治疗医嘱能够同步到治疗系统，治疗系统根据医嘱开具的项目与频次自动生成患者的治疗计划。</w:t>
      </w:r>
    </w:p>
    <w:p w14:paraId="33ED4828">
      <w:pPr>
        <w:rPr>
          <w:rFonts w:hint="eastAsia"/>
          <w:szCs w:val="21"/>
          <w:highlight w:val="none"/>
        </w:rPr>
      </w:pPr>
      <w:r>
        <w:rPr>
          <w:szCs w:val="21"/>
          <w:highlight w:val="none"/>
        </w:rPr>
        <w:t>3、</w:t>
      </w:r>
      <w:r>
        <w:rPr>
          <w:rFonts w:hint="eastAsia"/>
          <w:szCs w:val="21"/>
          <w:highlight w:val="none"/>
        </w:rPr>
        <w:t>治疗评估：要求系统提供治疗评估模板制作工具，可根据医院提供的治疗评估模板进行制作，包含评估模板的样式、评估表单、评估计分方式、录入内容校验。</w:t>
      </w:r>
    </w:p>
    <w:p w14:paraId="30F5FAD4">
      <w:pPr>
        <w:rPr>
          <w:rFonts w:hint="eastAsia"/>
          <w:szCs w:val="21"/>
          <w:highlight w:val="none"/>
        </w:rPr>
      </w:pPr>
      <w:r>
        <w:rPr>
          <w:szCs w:val="21"/>
          <w:highlight w:val="none"/>
        </w:rPr>
        <w:t>4、</w:t>
      </w:r>
      <w:r>
        <w:rPr>
          <w:rFonts w:hint="eastAsia"/>
          <w:szCs w:val="21"/>
          <w:highlight w:val="none"/>
        </w:rPr>
        <w:t>治疗执行：</w:t>
      </w:r>
      <w:r>
        <w:rPr>
          <w:szCs w:val="21"/>
          <w:highlight w:val="none"/>
        </w:rPr>
        <w:t>要求</w:t>
      </w:r>
      <w:r>
        <w:rPr>
          <w:rFonts w:hint="eastAsia"/>
          <w:szCs w:val="21"/>
          <w:highlight w:val="none"/>
        </w:rPr>
        <w:t>系统支持将患者做的治疗项目总数生成治疗单据，治疗师可查看本科室（例如高压氧室、康复科）做治疗患者的治疗单据详情，包含患者信息、单据状态、治疗项目、治疗执行剩余次数等。治疗师可以根据实际执行次数进行单据执行，执行时从总数扣除当前执行次数，如还有剩余次数，下次可以在同一单据上继续执行，执行完成时可对已执行的单据进行扣费。</w:t>
      </w:r>
    </w:p>
    <w:p w14:paraId="67A457C0">
      <w:pPr>
        <w:rPr>
          <w:rFonts w:hint="eastAsia"/>
          <w:szCs w:val="21"/>
          <w:highlight w:val="none"/>
        </w:rPr>
      </w:pPr>
      <w:r>
        <w:rPr>
          <w:szCs w:val="21"/>
          <w:highlight w:val="none"/>
        </w:rPr>
        <w:t>5、</w:t>
      </w:r>
      <w:r>
        <w:rPr>
          <w:rFonts w:hint="eastAsia"/>
          <w:szCs w:val="21"/>
          <w:highlight w:val="none"/>
        </w:rPr>
        <w:t>治疗记录：系统提供治疗记录模板制作工具，可根据医院提供模板进行制作，包含治疗记录样式、治疗记录表单、数据获取来源、内容校验等。</w:t>
      </w:r>
    </w:p>
    <w:p w14:paraId="26C75E8E">
      <w:pPr>
        <w:pStyle w:val="5"/>
        <w:rPr>
          <w:rFonts w:hint="eastAsia" w:ascii="宋体" w:hAnsi="宋体" w:eastAsia="宋体"/>
          <w:sz w:val="21"/>
          <w:szCs w:val="21"/>
          <w:highlight w:val="none"/>
        </w:rPr>
      </w:pPr>
      <w:bookmarkStart w:id="93" w:name="_Toc21301"/>
      <w:r>
        <w:rPr>
          <w:rFonts w:hint="eastAsia" w:ascii="宋体" w:hAnsi="宋体" w:eastAsia="宋体"/>
          <w:sz w:val="21"/>
          <w:szCs w:val="21"/>
          <w:highlight w:val="none"/>
        </w:rPr>
        <w:t>院内会诊</w:t>
      </w:r>
      <w:bookmarkEnd w:id="93"/>
      <w:r>
        <w:rPr>
          <w:rFonts w:hint="eastAsia" w:ascii="宋体" w:hAnsi="宋体" w:eastAsia="宋体"/>
          <w:sz w:val="21"/>
          <w:szCs w:val="21"/>
          <w:highlight w:val="none"/>
        </w:rPr>
        <w:t>管理系统</w:t>
      </w:r>
    </w:p>
    <w:p w14:paraId="49834673">
      <w:pPr>
        <w:rPr>
          <w:rFonts w:hint="eastAsia"/>
          <w:szCs w:val="21"/>
          <w:highlight w:val="none"/>
        </w:rPr>
      </w:pPr>
      <w:r>
        <w:rPr>
          <w:rFonts w:hint="eastAsia"/>
          <w:szCs w:val="21"/>
          <w:highlight w:val="none"/>
        </w:rPr>
        <w:t>院内会诊管理要求完成会诊申请、会诊审批、会诊应答、会诊意见书写以及会诊扣费功能，并支持多学科会诊管理。</w:t>
      </w:r>
    </w:p>
    <w:p w14:paraId="4C3293F3">
      <w:pPr>
        <w:pStyle w:val="117"/>
        <w:numPr>
          <w:ilvl w:val="3"/>
          <w:numId w:val="36"/>
        </w:numPr>
        <w:spacing w:line="360" w:lineRule="auto"/>
        <w:ind w:firstLineChars="0"/>
        <w:rPr>
          <w:rFonts w:hint="eastAsia" w:ascii="宋体" w:hAnsi="宋体"/>
          <w:szCs w:val="21"/>
          <w:highlight w:val="none"/>
        </w:rPr>
      </w:pPr>
      <w:r>
        <w:rPr>
          <w:rFonts w:hint="eastAsia" w:ascii="宋体" w:hAnsi="宋体"/>
          <w:szCs w:val="21"/>
          <w:highlight w:val="none"/>
        </w:rPr>
        <w:t>会诊申请</w:t>
      </w:r>
    </w:p>
    <w:p w14:paraId="4B62B9E0">
      <w:pPr>
        <w:rPr>
          <w:rFonts w:hint="eastAsia"/>
          <w:szCs w:val="21"/>
          <w:highlight w:val="none"/>
        </w:rPr>
      </w:pPr>
      <w:r>
        <w:rPr>
          <w:rFonts w:hint="eastAsia"/>
          <w:szCs w:val="21"/>
          <w:highlight w:val="none"/>
        </w:rPr>
        <w:t>主管医生书写会诊申请单要求医生或科室进行会诊，并自动生成会诊医嘱。申请会诊时支持选择：单个/多个医生、单个/多个科室、单个/多个专业。</w:t>
      </w:r>
    </w:p>
    <w:p w14:paraId="2581B618">
      <w:pPr>
        <w:pStyle w:val="117"/>
        <w:numPr>
          <w:ilvl w:val="3"/>
          <w:numId w:val="36"/>
        </w:numPr>
        <w:spacing w:line="360" w:lineRule="auto"/>
        <w:ind w:firstLineChars="0"/>
        <w:rPr>
          <w:rFonts w:hint="eastAsia" w:ascii="宋体" w:hAnsi="宋体"/>
          <w:szCs w:val="21"/>
          <w:highlight w:val="none"/>
        </w:rPr>
      </w:pPr>
      <w:r>
        <w:rPr>
          <w:rFonts w:hint="eastAsia" w:ascii="宋体" w:hAnsi="宋体"/>
          <w:szCs w:val="21"/>
          <w:highlight w:val="none"/>
        </w:rPr>
        <w:t>会诊审批</w:t>
      </w:r>
    </w:p>
    <w:p w14:paraId="7C3389E3">
      <w:pPr>
        <w:rPr>
          <w:rFonts w:hint="eastAsia"/>
          <w:szCs w:val="21"/>
          <w:highlight w:val="none"/>
        </w:rPr>
      </w:pPr>
      <w:r>
        <w:rPr>
          <w:rFonts w:hint="eastAsia"/>
          <w:szCs w:val="21"/>
          <w:highlight w:val="none"/>
        </w:rPr>
        <w:t>支持科主任或者医务部根据申请的会诊进行查看与审批。支持按照不同会诊类型走不同审批流程，例如跨科会诊只需科主任审批，多学科会诊需要医务部审批。支持设置审批时限，超过时限未审批则申请作废。</w:t>
      </w:r>
    </w:p>
    <w:p w14:paraId="603DBB21">
      <w:pPr>
        <w:pStyle w:val="117"/>
        <w:numPr>
          <w:ilvl w:val="3"/>
          <w:numId w:val="36"/>
        </w:numPr>
        <w:spacing w:line="360" w:lineRule="auto"/>
        <w:ind w:firstLineChars="0"/>
        <w:rPr>
          <w:rFonts w:hint="eastAsia" w:ascii="宋体" w:hAnsi="宋体"/>
          <w:szCs w:val="21"/>
          <w:highlight w:val="none"/>
        </w:rPr>
      </w:pPr>
      <w:r>
        <w:rPr>
          <w:rFonts w:hint="eastAsia" w:ascii="宋体" w:hAnsi="宋体"/>
          <w:szCs w:val="21"/>
          <w:highlight w:val="none"/>
        </w:rPr>
        <w:t>我的会诊</w:t>
      </w:r>
    </w:p>
    <w:p w14:paraId="3B40CFF5">
      <w:pPr>
        <w:rPr>
          <w:rFonts w:hint="eastAsia"/>
          <w:szCs w:val="21"/>
          <w:highlight w:val="none"/>
        </w:rPr>
      </w:pPr>
      <w:r>
        <w:rPr>
          <w:rFonts w:hint="eastAsia"/>
          <w:szCs w:val="21"/>
          <w:highlight w:val="none"/>
        </w:rPr>
        <w:t>接诊医生/科室收到会诊申请对会诊进行应答。支持撤回应答。支持设置应答时限，超过时限未应答会诊申请失效。</w:t>
      </w:r>
    </w:p>
    <w:p w14:paraId="4076C438">
      <w:pPr>
        <w:pStyle w:val="117"/>
        <w:numPr>
          <w:ilvl w:val="3"/>
          <w:numId w:val="36"/>
        </w:numPr>
        <w:spacing w:line="360" w:lineRule="auto"/>
        <w:ind w:firstLineChars="0"/>
        <w:rPr>
          <w:rFonts w:hint="eastAsia" w:ascii="宋体" w:hAnsi="宋体"/>
          <w:szCs w:val="21"/>
          <w:highlight w:val="none"/>
        </w:rPr>
      </w:pPr>
      <w:r>
        <w:rPr>
          <w:rFonts w:hint="eastAsia" w:ascii="宋体" w:hAnsi="宋体"/>
          <w:szCs w:val="21"/>
          <w:highlight w:val="none"/>
        </w:rPr>
        <w:t>会诊意见</w:t>
      </w:r>
    </w:p>
    <w:p w14:paraId="2752667F">
      <w:pPr>
        <w:rPr>
          <w:rFonts w:hint="eastAsia"/>
          <w:szCs w:val="21"/>
          <w:highlight w:val="none"/>
        </w:rPr>
      </w:pPr>
      <w:r>
        <w:rPr>
          <w:rFonts w:hint="eastAsia"/>
          <w:szCs w:val="21"/>
          <w:highlight w:val="none"/>
        </w:rPr>
        <w:t>会诊完成时会诊医生在会诊申请单后面填写会诊意见，支持多人填写。支持会诊医生新增书写会诊所需病历。</w:t>
      </w:r>
    </w:p>
    <w:p w14:paraId="1F32DAEC">
      <w:pPr>
        <w:pStyle w:val="117"/>
        <w:numPr>
          <w:ilvl w:val="3"/>
          <w:numId w:val="36"/>
        </w:numPr>
        <w:spacing w:line="360" w:lineRule="auto"/>
        <w:ind w:firstLineChars="0"/>
        <w:rPr>
          <w:rFonts w:hint="eastAsia" w:ascii="宋体" w:hAnsi="宋体"/>
          <w:szCs w:val="21"/>
          <w:highlight w:val="none"/>
        </w:rPr>
      </w:pPr>
      <w:r>
        <w:rPr>
          <w:rFonts w:hint="eastAsia" w:ascii="宋体" w:hAnsi="宋体"/>
          <w:szCs w:val="21"/>
          <w:highlight w:val="none"/>
        </w:rPr>
        <w:t>会诊流程配置</w:t>
      </w:r>
    </w:p>
    <w:p w14:paraId="7D055FD4">
      <w:pPr>
        <w:rPr>
          <w:rFonts w:hint="eastAsia"/>
          <w:b/>
          <w:bCs/>
          <w:szCs w:val="21"/>
          <w:highlight w:val="none"/>
        </w:rPr>
      </w:pPr>
      <w:r>
        <w:rPr>
          <w:rFonts w:hint="eastAsia"/>
          <w:szCs w:val="21"/>
          <w:highlight w:val="none"/>
        </w:rPr>
        <w:t>▲</w:t>
      </w:r>
      <w:r>
        <w:rPr>
          <w:rFonts w:hint="eastAsia"/>
          <w:b/>
          <w:bCs/>
          <w:szCs w:val="21"/>
          <w:highlight w:val="none"/>
        </w:rPr>
        <w:t>提供会诊流程可视化配置功能。可根据会诊类型配置会诊流程环节、会诊时限要求、受邀医师资质、会诊审批资质、会诊签到方式等。（要求提供符合以上功能说明的产品截图）</w:t>
      </w:r>
    </w:p>
    <w:p w14:paraId="523A4EE3">
      <w:pPr>
        <w:rPr>
          <w:rFonts w:hint="eastAsia"/>
          <w:szCs w:val="21"/>
          <w:highlight w:val="none"/>
        </w:rPr>
      </w:pPr>
    </w:p>
    <w:p w14:paraId="21F13282">
      <w:pPr>
        <w:pStyle w:val="5"/>
        <w:rPr>
          <w:rFonts w:hint="eastAsia" w:ascii="宋体" w:hAnsi="宋体" w:eastAsia="宋体"/>
          <w:sz w:val="21"/>
          <w:szCs w:val="21"/>
          <w:highlight w:val="none"/>
        </w:rPr>
      </w:pPr>
      <w:r>
        <w:rPr>
          <w:rFonts w:hint="eastAsia" w:ascii="宋体" w:hAnsi="宋体" w:eastAsia="宋体"/>
          <w:sz w:val="21"/>
          <w:szCs w:val="21"/>
          <w:highlight w:val="none"/>
        </w:rPr>
        <w:t>电子病历评级支持服务</w:t>
      </w:r>
    </w:p>
    <w:p w14:paraId="3D2B691D">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数据质量工具</w:t>
      </w:r>
    </w:p>
    <w:p w14:paraId="456C46BD">
      <w:pPr>
        <w:rPr>
          <w:rFonts w:hint="eastAsia"/>
          <w:szCs w:val="21"/>
          <w:highlight w:val="none"/>
        </w:rPr>
      </w:pPr>
      <w:r>
        <w:rPr>
          <w:rFonts w:hint="eastAsia"/>
          <w:szCs w:val="21"/>
          <w:highlight w:val="none"/>
        </w:rPr>
        <w:t>根据《电子病历系统应用水平分级评价方法及标准（</w:t>
      </w:r>
      <w:r>
        <w:rPr>
          <w:szCs w:val="21"/>
          <w:highlight w:val="none"/>
        </w:rPr>
        <w:t>2018版）》的“数据质量”要求，通过数据质量管理工具对数据的标准化和符合度的一致性、各字段和内容的完整性、系统间关联的整合性、与医疗行为的逻辑合理性和符合度的准确性进行统一的管理。</w:t>
      </w:r>
    </w:p>
    <w:p w14:paraId="65E2AC41">
      <w:pPr>
        <w:rPr>
          <w:rFonts w:hint="eastAsia"/>
          <w:szCs w:val="21"/>
          <w:highlight w:val="none"/>
        </w:rPr>
      </w:pPr>
      <w:r>
        <w:rPr>
          <w:rFonts w:hint="eastAsia"/>
          <w:szCs w:val="21"/>
          <w:highlight w:val="none"/>
        </w:rPr>
        <w:t>要求通过数据质量工具，实现对上报数据质量的智能评估，以评估电子病历评级对数据质量的要求，数据质量评估包括数据一致性、数据完整性、数据整合性和数据及时性。</w:t>
      </w:r>
    </w:p>
    <w:p w14:paraId="43F73386">
      <w:pPr>
        <w:rPr>
          <w:rFonts w:hint="eastAsia"/>
          <w:szCs w:val="21"/>
          <w:highlight w:val="none"/>
        </w:rPr>
      </w:pPr>
      <w:r>
        <w:rPr>
          <w:szCs w:val="21"/>
          <w:highlight w:val="none"/>
        </w:rPr>
        <w:t>1、支持数据源管理，通过可视化配置，实现对上报项目数据源的采集。</w:t>
      </w:r>
    </w:p>
    <w:p w14:paraId="7D806375">
      <w:pPr>
        <w:rPr>
          <w:rFonts w:hint="eastAsia"/>
          <w:szCs w:val="21"/>
          <w:highlight w:val="none"/>
        </w:rPr>
      </w:pPr>
      <w:r>
        <w:rPr>
          <w:szCs w:val="21"/>
          <w:highlight w:val="none"/>
        </w:rPr>
        <w:t>2、支持配置管理数据质量报表任务模块；</w:t>
      </w:r>
    </w:p>
    <w:p w14:paraId="41748028">
      <w:pPr>
        <w:rPr>
          <w:rFonts w:hint="eastAsia"/>
          <w:szCs w:val="21"/>
          <w:highlight w:val="none"/>
        </w:rPr>
      </w:pPr>
      <w:r>
        <w:rPr>
          <w:szCs w:val="21"/>
          <w:highlight w:val="none"/>
        </w:rPr>
        <w:t>3、支持根据数据质量的评估要求，建立报表任务方案；</w:t>
      </w:r>
    </w:p>
    <w:p w14:paraId="2D6553BA">
      <w:pPr>
        <w:rPr>
          <w:rFonts w:hint="eastAsia"/>
          <w:szCs w:val="21"/>
          <w:highlight w:val="none"/>
        </w:rPr>
      </w:pPr>
      <w:r>
        <w:rPr>
          <w:szCs w:val="21"/>
          <w:highlight w:val="none"/>
        </w:rPr>
        <w:t>4、支持建立数据质量报表任务，提供报表任务的语法配置；</w:t>
      </w:r>
    </w:p>
    <w:p w14:paraId="2349CE34">
      <w:pPr>
        <w:rPr>
          <w:rFonts w:hint="eastAsia"/>
          <w:szCs w:val="21"/>
          <w:highlight w:val="none"/>
        </w:rPr>
      </w:pPr>
      <w:r>
        <w:rPr>
          <w:szCs w:val="21"/>
          <w:highlight w:val="none"/>
        </w:rPr>
        <w:t>5、支持自动生成数据质量统计报表，支持报表生成后导出，可直接作为电子病历评级数据质量上报内容；</w:t>
      </w:r>
    </w:p>
    <w:p w14:paraId="61786D3E">
      <w:pPr>
        <w:rPr>
          <w:rFonts w:hint="eastAsia"/>
          <w:szCs w:val="21"/>
          <w:highlight w:val="none"/>
        </w:rPr>
      </w:pPr>
      <w:r>
        <w:rPr>
          <w:szCs w:val="21"/>
          <w:highlight w:val="none"/>
        </w:rPr>
        <w:t>6、提供报表任务日志，可查询数据质量评估的执行详细信息。</w:t>
      </w:r>
    </w:p>
    <w:p w14:paraId="6403C0E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电子病历五级评级过程支持服务</w:t>
      </w:r>
    </w:p>
    <w:p w14:paraId="7F0B8460">
      <w:pPr>
        <w:rPr>
          <w:rFonts w:hint="eastAsia"/>
          <w:szCs w:val="21"/>
          <w:highlight w:val="none"/>
        </w:rPr>
      </w:pPr>
      <w:r>
        <w:rPr>
          <w:rFonts w:hint="eastAsia"/>
          <w:szCs w:val="21"/>
          <w:highlight w:val="none"/>
        </w:rPr>
        <w:t>以《电子病历系统功能应用水平分级评价方法及标准（</w:t>
      </w:r>
      <w:r>
        <w:rPr>
          <w:szCs w:val="21"/>
          <w:highlight w:val="none"/>
        </w:rPr>
        <w:t>2018版）》五级的相应测评等级要求，作为评审目标进行项目自评，然后根据自评结果与电子病历五级的差异项进行项目建设完善工作，再进行项目文审实证材料准备和报审的相关工作，在此期间医院各部门及各系统承建商应积极配合相关工作。包括项目差距调研分析评估服务、申报材料整理的指导和准备、网上申报支持、文审答辩支持，并提供评级所需的数据质量工具。</w:t>
      </w:r>
    </w:p>
    <w:p w14:paraId="77E254C0">
      <w:pPr>
        <w:pStyle w:val="3"/>
        <w:rPr>
          <w:rFonts w:hint="eastAsia" w:ascii="宋体" w:hAnsi="宋体"/>
          <w:sz w:val="21"/>
          <w:szCs w:val="21"/>
          <w:highlight w:val="none"/>
        </w:rPr>
      </w:pPr>
      <w:r>
        <w:rPr>
          <w:rFonts w:hint="eastAsia" w:ascii="宋体" w:hAnsi="宋体"/>
          <w:sz w:val="21"/>
          <w:szCs w:val="21"/>
          <w:highlight w:val="none"/>
        </w:rPr>
        <w:t>数据中心管理系统</w:t>
      </w:r>
    </w:p>
    <w:p w14:paraId="40DA4FF2">
      <w:pPr>
        <w:pStyle w:val="4"/>
        <w:rPr>
          <w:rFonts w:hint="eastAsia" w:ascii="宋体" w:hAnsi="宋体"/>
          <w:sz w:val="21"/>
          <w:szCs w:val="21"/>
          <w:highlight w:val="none"/>
        </w:rPr>
      </w:pPr>
      <w:r>
        <w:rPr>
          <w:rFonts w:ascii="宋体" w:hAnsi="宋体"/>
          <w:sz w:val="21"/>
          <w:szCs w:val="21"/>
          <w:highlight w:val="none"/>
        </w:rPr>
        <w:t>数据</w:t>
      </w:r>
      <w:r>
        <w:rPr>
          <w:rFonts w:hint="eastAsia" w:ascii="宋体" w:hAnsi="宋体"/>
          <w:sz w:val="21"/>
          <w:szCs w:val="21"/>
          <w:highlight w:val="none"/>
        </w:rPr>
        <w:t>处理</w:t>
      </w:r>
      <w:r>
        <w:rPr>
          <w:rFonts w:ascii="宋体" w:hAnsi="宋体"/>
          <w:sz w:val="21"/>
          <w:szCs w:val="21"/>
          <w:highlight w:val="none"/>
        </w:rPr>
        <w:t>中心</w:t>
      </w:r>
    </w:p>
    <w:p w14:paraId="1239DD0B">
      <w:pPr>
        <w:pStyle w:val="5"/>
        <w:rPr>
          <w:rFonts w:hint="eastAsia" w:ascii="宋体" w:hAnsi="宋体" w:eastAsia="宋体"/>
          <w:sz w:val="21"/>
          <w:szCs w:val="21"/>
          <w:highlight w:val="none"/>
        </w:rPr>
      </w:pPr>
      <w:bookmarkStart w:id="94" w:name="_Toc118987356"/>
      <w:bookmarkStart w:id="95" w:name="_Toc5050"/>
      <w:r>
        <w:rPr>
          <w:rFonts w:hint="eastAsia" w:ascii="宋体" w:hAnsi="宋体" w:eastAsia="宋体"/>
          <w:sz w:val="21"/>
          <w:szCs w:val="21"/>
          <w:highlight w:val="none"/>
        </w:rPr>
        <w:t>数据</w:t>
      </w:r>
      <w:r>
        <w:rPr>
          <w:rFonts w:ascii="宋体" w:hAnsi="宋体" w:eastAsia="宋体"/>
          <w:sz w:val="21"/>
          <w:szCs w:val="21"/>
          <w:highlight w:val="none"/>
        </w:rPr>
        <w:t>ETL管理</w:t>
      </w:r>
      <w:bookmarkEnd w:id="94"/>
      <w:bookmarkEnd w:id="95"/>
    </w:p>
    <w:p w14:paraId="50E1B893">
      <w:pPr>
        <w:rPr>
          <w:rFonts w:hint="eastAsia"/>
          <w:szCs w:val="21"/>
          <w:highlight w:val="none"/>
          <w:lang w:val="zh-CN"/>
        </w:rPr>
      </w:pPr>
      <w:r>
        <w:rPr>
          <w:szCs w:val="21"/>
          <w:highlight w:val="none"/>
          <w:lang w:val="zh-CN"/>
        </w:rPr>
        <w:t>ETL是将业务数据从LIS、PACS等业务系统数据库汇聚到数据中心的过程，要求支持对定时采集的相关业务数据进行贴源采集。另外，针对数据中心标准数据的建设，同样要求ETL进行对贴源层数据的清洗、转换操作，以最终达到数据标准的统一。</w:t>
      </w:r>
    </w:p>
    <w:p w14:paraId="7E72C779">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数据抽取</w:t>
      </w:r>
    </w:p>
    <w:p w14:paraId="145B78A0">
      <w:pPr>
        <w:rPr>
          <w:rFonts w:hint="eastAsia"/>
          <w:szCs w:val="21"/>
          <w:highlight w:val="none"/>
        </w:rPr>
      </w:pPr>
      <w:r>
        <w:rPr>
          <w:rFonts w:hint="eastAsia"/>
          <w:szCs w:val="21"/>
          <w:highlight w:val="none"/>
        </w:rPr>
        <w:t>数据中心本身并不产生数据，由于数据应用的数据中心的数据主要来源于各个业务在运行的业务系统。不同类型的业务应用对数据抽取的要求有所不同，为满足这些不同的业务需求，需提供多种数据抽取模式，包括实时抽取、定时抽取、固定间隔抽取、增量抽取等。在数据的抽取过程中，应关注效率和准确性，并且保证抽取过程不影响业务系统性能。</w:t>
      </w:r>
    </w:p>
    <w:p w14:paraId="142F5BC8">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数据清洗</w:t>
      </w:r>
    </w:p>
    <w:p w14:paraId="77E0D055">
      <w:pPr>
        <w:rPr>
          <w:rFonts w:hint="eastAsia"/>
          <w:szCs w:val="21"/>
          <w:highlight w:val="none"/>
        </w:rPr>
      </w:pPr>
      <w:r>
        <w:rPr>
          <w:rFonts w:hint="eastAsia"/>
          <w:szCs w:val="21"/>
          <w:highlight w:val="none"/>
        </w:rPr>
        <w:t>从医院业务系统抽取的数据可能存在着大量的噪声数据，如：滥用缩写词、惯用语、数据输入错误、重复记录、丢失值、拼写变化等，数据质量较差，很难直接为后续的数据应用提供支持。为了清除这些质量较差的噪声数据，必须先对数据进行清洗。</w:t>
      </w:r>
    </w:p>
    <w:p w14:paraId="06A5546E">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数据转换</w:t>
      </w:r>
    </w:p>
    <w:p w14:paraId="0FA4A3B4">
      <w:pPr>
        <w:rPr>
          <w:rFonts w:hint="eastAsia"/>
          <w:szCs w:val="21"/>
          <w:highlight w:val="none"/>
        </w:rPr>
      </w:pPr>
      <w:r>
        <w:rPr>
          <w:rFonts w:hint="eastAsia"/>
          <w:szCs w:val="21"/>
          <w:highlight w:val="none"/>
        </w:rPr>
        <w:t>数据中心中的数据是由业务系统的操作明细数据经过采集并汇聚而来，是操作明细数据的简单汇聚。在数据中心标准化建设的过程中，需要针对标准针对来源数据进行转换。数据中心标准已经确定了相关的存储结构，在经过数据抽取、数据清洗后，需要将原始的操作明细数据转换成与数据中心标准结构一致的数据。</w:t>
      </w:r>
    </w:p>
    <w:p w14:paraId="3A28FC85">
      <w:pPr>
        <w:rPr>
          <w:rFonts w:hint="eastAsia"/>
          <w:szCs w:val="21"/>
          <w:highlight w:val="none"/>
        </w:rPr>
      </w:pPr>
      <w:r>
        <w:rPr>
          <w:rFonts w:hint="eastAsia"/>
          <w:szCs w:val="21"/>
          <w:highlight w:val="none"/>
        </w:rPr>
        <w:t>数据转换作用主要根据预先设置的转换规则，进行数据字典标准化统一，涉及科室编码、医生编码、病种编码等目录以及日期格式的统一。将源数据中部分数据项转换为便于展示和识别的内容或名称。例如，源数据中男女是用</w:t>
      </w:r>
      <w:r>
        <w:rPr>
          <w:szCs w:val="21"/>
          <w:highlight w:val="none"/>
        </w:rPr>
        <w:t>0/1标识，则根据转换规则，转换为男/女，进行存储和展示。</w:t>
      </w:r>
    </w:p>
    <w:p w14:paraId="516C42C5">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数据装载</w:t>
      </w:r>
    </w:p>
    <w:p w14:paraId="414A7235">
      <w:pPr>
        <w:rPr>
          <w:rFonts w:hint="eastAsia"/>
          <w:szCs w:val="21"/>
          <w:highlight w:val="none"/>
        </w:rPr>
      </w:pPr>
      <w:r>
        <w:rPr>
          <w:rFonts w:hint="eastAsia"/>
          <w:szCs w:val="21"/>
          <w:highlight w:val="none"/>
        </w:rPr>
        <w:t>数据装载是将经过数据抽取、清洗、转换的资源数据，加载到数据中心标准库的数据结构中的过程。</w:t>
      </w:r>
    </w:p>
    <w:p w14:paraId="600C31A5">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调度管理</w:t>
      </w:r>
    </w:p>
    <w:p w14:paraId="4ED97157">
      <w:pPr>
        <w:rPr>
          <w:rFonts w:hint="eastAsia"/>
          <w:szCs w:val="21"/>
          <w:highlight w:val="none"/>
        </w:rPr>
      </w:pPr>
      <w:r>
        <w:rPr>
          <w:rFonts w:hint="eastAsia"/>
          <w:szCs w:val="21"/>
          <w:highlight w:val="none"/>
        </w:rPr>
        <w:t>调度管理主要针对在数据开发过程中，经常需要配置作业的上游依赖作业，形成调度任务。调度任务是一个长时间运行的任务，默认情况下在创建它之后立即开始运行，并无限期地继续运行。可以通过定义开始时间和结束时间来确定计划任务的运行时间。除此之外，调度管理能够设置调度执行方案、调度频率、调度执行策略（顺序执行、多线程执行）。系统能够自动根据设定的调度策略进行定时的调度作业，并进行相关任务结果的呈现，帮助运维人员进行日常调度工作的管理，保证数据的完整性。</w:t>
      </w:r>
    </w:p>
    <w:p w14:paraId="06DDEDC0">
      <w:pPr>
        <w:pStyle w:val="5"/>
        <w:rPr>
          <w:rFonts w:hint="eastAsia" w:ascii="宋体" w:hAnsi="宋体" w:eastAsia="宋体"/>
          <w:sz w:val="21"/>
          <w:szCs w:val="21"/>
          <w:highlight w:val="none"/>
        </w:rPr>
      </w:pPr>
      <w:bookmarkStart w:id="96" w:name="_Toc26458"/>
      <w:bookmarkStart w:id="97" w:name="_Toc118987357"/>
      <w:r>
        <w:rPr>
          <w:rFonts w:hint="eastAsia" w:ascii="宋体" w:hAnsi="宋体" w:eastAsia="宋体"/>
          <w:sz w:val="21"/>
          <w:szCs w:val="21"/>
          <w:highlight w:val="none"/>
        </w:rPr>
        <w:t>主数据管理</w:t>
      </w:r>
      <w:bookmarkEnd w:id="96"/>
      <w:bookmarkEnd w:id="97"/>
    </w:p>
    <w:p w14:paraId="0AF69BBF">
      <w:pPr>
        <w:rPr>
          <w:rFonts w:hint="eastAsia"/>
          <w:szCs w:val="21"/>
          <w:highlight w:val="none"/>
        </w:rPr>
      </w:pPr>
      <w:r>
        <w:rPr>
          <w:rFonts w:hint="eastAsia"/>
          <w:szCs w:val="21"/>
          <w:highlight w:val="none"/>
          <w:lang w:val="zh-CN"/>
        </w:rPr>
        <w:t>要求通过主数据管理定义数据的值域和制定标准，建立院内标准体系为实现互操作提供必要的语义保证，同时要求支持对患者、医护人员、科室、医嘱等基础数据及相关主索引实行统一管理。</w:t>
      </w:r>
    </w:p>
    <w:p w14:paraId="31C19C5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基础数据管理</w:t>
      </w:r>
    </w:p>
    <w:p w14:paraId="6B96B686">
      <w:pPr>
        <w:rPr>
          <w:rFonts w:hint="eastAsia"/>
          <w:szCs w:val="21"/>
          <w:highlight w:val="none"/>
        </w:rPr>
      </w:pPr>
      <w:r>
        <w:rPr>
          <w:rFonts w:hint="eastAsia"/>
          <w:szCs w:val="21"/>
          <w:highlight w:val="none"/>
        </w:rPr>
        <w:t>在机构内建立统一的基础数据字典主数据，不仅可以为将来接入的医疗系统提供标准、统一的数据接口规则，方便新系统的接入，还可以为平台内数据的准确性、唯一性提供保证。解决科室代码，职工身份，药品字典，收费项目字典等主要关键字典数据在异构系统中非唯一性和机构内非标准化，从而造成统计口径不一致，直接影响到统计，核算，上报等应用中的数据准确和可用。实现主数据整个生命周期的全过程管理。解决数据的一致性和规范性问题，为医院业务应用提供集成、全面、准确和规范的主数据服务支持。</w:t>
      </w:r>
    </w:p>
    <w:p w14:paraId="0FE5307D">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业务系统字典管理</w:t>
      </w:r>
    </w:p>
    <w:p w14:paraId="6681DDFC">
      <w:pPr>
        <w:rPr>
          <w:rFonts w:hint="eastAsia"/>
          <w:szCs w:val="21"/>
          <w:highlight w:val="none"/>
        </w:rPr>
      </w:pPr>
      <w:r>
        <w:rPr>
          <w:rFonts w:hint="eastAsia"/>
          <w:szCs w:val="21"/>
          <w:highlight w:val="none"/>
        </w:rPr>
        <w:t>支持各院区的业务系统在主数据管理系统中去维护自身的业务字典，目前需要支持</w:t>
      </w:r>
      <w:r>
        <w:rPr>
          <w:szCs w:val="21"/>
          <w:highlight w:val="none"/>
        </w:rPr>
        <w:t>EXCL等文件的数据导入，也</w:t>
      </w:r>
      <w:r>
        <w:rPr>
          <w:rFonts w:hint="eastAsia"/>
          <w:szCs w:val="21"/>
          <w:highlight w:val="none"/>
        </w:rPr>
        <w:t>需要</w:t>
      </w:r>
      <w:r>
        <w:rPr>
          <w:szCs w:val="21"/>
          <w:highlight w:val="none"/>
        </w:rPr>
        <w:t>支持通过接口来实时接收业务系统推送过来的业务数据。达到字典统一管理的目的。</w:t>
      </w:r>
    </w:p>
    <w:p w14:paraId="1F2DFDB1">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字典映射管理</w:t>
      </w:r>
    </w:p>
    <w:p w14:paraId="426A2D6B">
      <w:pPr>
        <w:rPr>
          <w:rFonts w:hint="eastAsia"/>
          <w:szCs w:val="21"/>
          <w:highlight w:val="none"/>
        </w:rPr>
      </w:pPr>
      <w:r>
        <w:rPr>
          <w:rFonts w:hint="eastAsia"/>
          <w:szCs w:val="21"/>
          <w:highlight w:val="none"/>
        </w:rPr>
        <w:t>▲</w:t>
      </w:r>
      <w:r>
        <w:rPr>
          <w:rFonts w:hint="eastAsia"/>
          <w:b/>
          <w:bCs/>
          <w:szCs w:val="21"/>
          <w:highlight w:val="none"/>
        </w:rPr>
        <w:t>在面向跨院区业务的时候，往往机构间业务系统内部的交互标准、字典定义是不一致的，主数据管理系统通过构建多机构间的统一标准来实现交互的可能，并提供字典映射渠道保障业务字典和标准字典的快速转换，实现各机构业务系统内部的准确性交互。（要求提供符合以上功能说明的产品截图）</w:t>
      </w:r>
    </w:p>
    <w:p w14:paraId="7E5D2B99">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字典审批管理</w:t>
      </w:r>
    </w:p>
    <w:p w14:paraId="575E8298">
      <w:pPr>
        <w:rPr>
          <w:rFonts w:hint="eastAsia"/>
          <w:szCs w:val="21"/>
          <w:highlight w:val="none"/>
        </w:rPr>
      </w:pPr>
      <w:r>
        <w:rPr>
          <w:rFonts w:hint="eastAsia"/>
          <w:szCs w:val="21"/>
          <w:highlight w:val="none"/>
        </w:rPr>
        <w:t>在医联体管理层面对各机构内部业务系统所推送的业务字典数据进行统一管理，当管理员角色对数据审批通过后，字典才可以入库，当审批没有通过，提供一键反馈功能，让业务源端进行整改。</w:t>
      </w:r>
    </w:p>
    <w:p w14:paraId="5FC4DE5A">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主数据服务管理</w:t>
      </w:r>
    </w:p>
    <w:p w14:paraId="1E931A6F">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主数据导出</w:t>
      </w:r>
    </w:p>
    <w:p w14:paraId="0C69D1D8">
      <w:pPr>
        <w:rPr>
          <w:rFonts w:hint="eastAsia"/>
          <w:szCs w:val="21"/>
          <w:highlight w:val="none"/>
        </w:rPr>
      </w:pPr>
      <w:r>
        <w:rPr>
          <w:rFonts w:hint="eastAsia"/>
          <w:szCs w:val="21"/>
          <w:highlight w:val="none"/>
        </w:rPr>
        <w:t>支持对不同类型的主数据进行筛选，也可以对筛选出来的主数据进行一键导出。</w:t>
      </w:r>
    </w:p>
    <w:p w14:paraId="52A403D0">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主数据查询</w:t>
      </w:r>
    </w:p>
    <w:p w14:paraId="7933332D">
      <w:pPr>
        <w:rPr>
          <w:rFonts w:hint="eastAsia"/>
          <w:szCs w:val="21"/>
          <w:highlight w:val="none"/>
        </w:rPr>
      </w:pPr>
      <w:r>
        <w:rPr>
          <w:rFonts w:hint="eastAsia"/>
          <w:szCs w:val="21"/>
          <w:highlight w:val="none"/>
        </w:rPr>
        <w:t>基于数据中心的统一查询服务，可以实现对不同类别的主数据开放查询接口，以此来保障主数据在医院内部各系统中的实时共享。</w:t>
      </w:r>
    </w:p>
    <w:p w14:paraId="3C3F45C6">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主数据订阅</w:t>
      </w:r>
    </w:p>
    <w:p w14:paraId="6264A3A8">
      <w:pPr>
        <w:rPr>
          <w:rFonts w:hint="eastAsia"/>
          <w:szCs w:val="21"/>
          <w:highlight w:val="none"/>
        </w:rPr>
      </w:pPr>
      <w:r>
        <w:rPr>
          <w:rFonts w:hint="eastAsia"/>
          <w:szCs w:val="21"/>
          <w:highlight w:val="none"/>
        </w:rPr>
        <w:t>业务系统可以从主数据管理平台进行字典订阅，当主数据捕获到字典的变化同时可以推送到其它业务系统，以此来实现主数据和业务系统间的一致性。</w:t>
      </w:r>
    </w:p>
    <w:p w14:paraId="49E73EFE">
      <w:pPr>
        <w:pStyle w:val="5"/>
        <w:rPr>
          <w:rFonts w:hint="eastAsia" w:ascii="宋体" w:hAnsi="宋体" w:eastAsia="宋体"/>
          <w:sz w:val="21"/>
          <w:szCs w:val="21"/>
          <w:highlight w:val="none"/>
        </w:rPr>
      </w:pPr>
      <w:bookmarkStart w:id="98" w:name="_Toc10463"/>
      <w:bookmarkStart w:id="99" w:name="_Toc118987358"/>
      <w:r>
        <w:rPr>
          <w:rFonts w:hint="eastAsia" w:ascii="宋体" w:hAnsi="宋体" w:eastAsia="宋体"/>
          <w:sz w:val="21"/>
          <w:szCs w:val="21"/>
          <w:highlight w:val="none"/>
        </w:rPr>
        <w:t>术语管理</w:t>
      </w:r>
      <w:bookmarkEnd w:id="98"/>
      <w:bookmarkEnd w:id="99"/>
    </w:p>
    <w:p w14:paraId="476883BE">
      <w:pPr>
        <w:rPr>
          <w:rFonts w:hint="eastAsia"/>
          <w:szCs w:val="21"/>
          <w:highlight w:val="none"/>
        </w:rPr>
      </w:pPr>
      <w:r>
        <w:rPr>
          <w:rFonts w:hint="eastAsia"/>
          <w:szCs w:val="21"/>
          <w:highlight w:val="none"/>
        </w:rPr>
        <w:t>术语的范围包括医疗卫生领域所涉及到的各类专业词汇，是对医疗行业特定术语的名词解释，需要由专业权威人员进行术语的管理。要求除了能进行术语的日常新增、修改、审核发布外，仍需要进行针对使用者的错误反馈机制，保证术语准确性的不断完善。</w:t>
      </w:r>
    </w:p>
    <w:p w14:paraId="0F92F854">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术语规范管理</w:t>
      </w:r>
    </w:p>
    <w:p w14:paraId="144D5C00">
      <w:pPr>
        <w:rPr>
          <w:rFonts w:hint="eastAsia"/>
          <w:szCs w:val="21"/>
          <w:highlight w:val="none"/>
        </w:rPr>
      </w:pPr>
      <w:r>
        <w:rPr>
          <w:rFonts w:hint="eastAsia"/>
          <w:szCs w:val="21"/>
          <w:highlight w:val="none"/>
        </w:rPr>
        <w:t>该模块主要是记录在术语管理过程中的规范要求，并能够进行相关规范的要求维护，其中包括明确定义术语收录的标准、编写风格、禁用词、定义、以及使用范围等不同维度的标准。可作为后续术语审核人员的判断依据。术语规范是确保术语权威和标准的基石。</w:t>
      </w:r>
    </w:p>
    <w:p w14:paraId="76CF294A">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术语维护管理</w:t>
      </w:r>
    </w:p>
    <w:p w14:paraId="046FEC0E">
      <w:pPr>
        <w:rPr>
          <w:rFonts w:hint="eastAsia"/>
          <w:szCs w:val="21"/>
          <w:highlight w:val="none"/>
        </w:rPr>
      </w:pPr>
      <w:r>
        <w:rPr>
          <w:rFonts w:hint="eastAsia"/>
          <w:szCs w:val="21"/>
          <w:highlight w:val="none"/>
        </w:rPr>
        <w:t>术语维护主要是针对医疗术语的新增、修改，并能够针对术语类别进行管理。实现对术语的属性、表示格式、允许值、定义等不同的维护功能，并能满足术语规范要求，为后续的数据字典标准化等提供相应的数据统一基础。</w:t>
      </w:r>
    </w:p>
    <w:p w14:paraId="54BF856A">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术语类别管理</w:t>
      </w:r>
    </w:p>
    <w:p w14:paraId="526E136A">
      <w:pPr>
        <w:rPr>
          <w:rFonts w:hint="eastAsia"/>
          <w:szCs w:val="21"/>
          <w:highlight w:val="none"/>
        </w:rPr>
      </w:pPr>
      <w:r>
        <w:rPr>
          <w:rFonts w:hint="eastAsia"/>
          <w:szCs w:val="21"/>
          <w:highlight w:val="none"/>
        </w:rPr>
        <w:t>基于医疗行业特点，针对医疗术语类别进行分类管理，类别名称包含疾病术语、药学术语、症状术语、专业器械术语等多个类别，支持对术语类别的维护和检索等功能。另外，针对不同的术语类别可以选择不同的术语规范要求，为后续术语细项管理中术语校验做准备。</w:t>
      </w:r>
    </w:p>
    <w:p w14:paraId="63EBB687">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术语细项管理</w:t>
      </w:r>
    </w:p>
    <w:p w14:paraId="64C63DE5">
      <w:pPr>
        <w:rPr>
          <w:rFonts w:hint="eastAsia"/>
          <w:szCs w:val="21"/>
          <w:highlight w:val="none"/>
        </w:rPr>
      </w:pPr>
      <w:r>
        <w:rPr>
          <w:rFonts w:hint="eastAsia"/>
          <w:szCs w:val="21"/>
          <w:highlight w:val="none"/>
        </w:rPr>
        <w:t>能够根据不同的术语类别进行医学术语的细项管理。包括对术语的标识符、术语名称、定义、数据类型、创建人、参考依据、修订记录等多个属性的维护管理。并能够提供基于术语细项管理的模板导出、数据导入相关功能，实现术语前期维护的便捷性。</w:t>
      </w:r>
    </w:p>
    <w:p w14:paraId="244166C4">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术语校验管理</w:t>
      </w:r>
    </w:p>
    <w:p w14:paraId="7C10283E">
      <w:pPr>
        <w:rPr>
          <w:rFonts w:hint="eastAsia"/>
          <w:szCs w:val="21"/>
          <w:highlight w:val="none"/>
        </w:rPr>
      </w:pPr>
      <w:r>
        <w:rPr>
          <w:rFonts w:hint="eastAsia"/>
          <w:szCs w:val="21"/>
          <w:highlight w:val="none"/>
        </w:rPr>
        <w:t>针对所维护的细项术语内容，能够基于术语规范管理中所定义的相关规范要求进行自校验，针对不符合校验的相关内容进行标注提醒，方便术语维护人员进行术语规范性维护。待通过术语校验后，才可进行提交，进入术语审核环节。</w:t>
      </w:r>
    </w:p>
    <w:p w14:paraId="12E4D7D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术语审核发布管理</w:t>
      </w:r>
    </w:p>
    <w:p w14:paraId="70387285">
      <w:pPr>
        <w:rPr>
          <w:rFonts w:hint="eastAsia"/>
          <w:szCs w:val="21"/>
          <w:highlight w:val="none"/>
        </w:rPr>
      </w:pPr>
      <w:r>
        <w:rPr>
          <w:rFonts w:hint="eastAsia"/>
          <w:szCs w:val="21"/>
          <w:highlight w:val="none"/>
        </w:rPr>
        <w:t>基于术语提交的维护内容，系统提供术语审核页面，不同的术语能够进行不同人员的二次确认审核，针对不符合的内容能够进行修订或回退，且修订的内容能够留痕，方便进行术语历史记录的查阅。待审核完毕后才可进行发布。同时进行发布版本的管理，为后续可能的发布回退做准备。</w:t>
      </w:r>
    </w:p>
    <w:p w14:paraId="408E5359">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术语反馈管理</w:t>
      </w:r>
    </w:p>
    <w:p w14:paraId="2F206110">
      <w:pPr>
        <w:rPr>
          <w:rFonts w:hint="eastAsia"/>
          <w:szCs w:val="21"/>
          <w:highlight w:val="none"/>
        </w:rPr>
      </w:pPr>
      <w:r>
        <w:rPr>
          <w:rFonts w:hint="eastAsia"/>
          <w:szCs w:val="21"/>
          <w:highlight w:val="none"/>
        </w:rPr>
        <w:t>在术语提供给医务人员进行使用或者是第三方系统使用过程中，发现存在歧义或错误的问题，可以在该模块进行提交，在提交后针对该类别术语的管理者能够查看到相关反馈信息，并进行术语判定，决定是否进行术语的更新。</w:t>
      </w:r>
    </w:p>
    <w:p w14:paraId="08387397">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术语权限管理</w:t>
      </w:r>
    </w:p>
    <w:p w14:paraId="78B713FC">
      <w:pPr>
        <w:rPr>
          <w:rFonts w:hint="eastAsia"/>
          <w:szCs w:val="21"/>
          <w:highlight w:val="none"/>
        </w:rPr>
      </w:pPr>
      <w:r>
        <w:rPr>
          <w:rFonts w:hint="eastAsia"/>
          <w:szCs w:val="21"/>
          <w:highlight w:val="none"/>
        </w:rPr>
        <w:t>可针对不同类别的医疗术语进行权限分配，实现不同术语的管理维护权限分配到各个职能科室和对应的负责人员，由对应的人员去负责所分管的术语的日常维护。另外，针对审核权限同时也能针对不同的术语类别进行分配，最终实现术语的维护、审批、发布的权限的统一管理。</w:t>
      </w:r>
    </w:p>
    <w:p w14:paraId="2286AA3A">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术语服务管理</w:t>
      </w:r>
    </w:p>
    <w:p w14:paraId="233D3A54">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术语导出</w:t>
      </w:r>
    </w:p>
    <w:p w14:paraId="7EF37863">
      <w:pPr>
        <w:rPr>
          <w:rFonts w:hint="eastAsia"/>
          <w:szCs w:val="21"/>
          <w:highlight w:val="none"/>
        </w:rPr>
      </w:pPr>
      <w:r>
        <w:rPr>
          <w:rFonts w:hint="eastAsia"/>
          <w:szCs w:val="21"/>
          <w:highlight w:val="none"/>
        </w:rPr>
        <w:t>支持对不同类型的医疗术语条件进行筛选，也可以对筛选出来的术语结果数据进行一键导出。</w:t>
      </w:r>
    </w:p>
    <w:p w14:paraId="5D5E5FEE">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术语查询</w:t>
      </w:r>
    </w:p>
    <w:p w14:paraId="089311F2">
      <w:pPr>
        <w:rPr>
          <w:rFonts w:hint="eastAsia"/>
          <w:szCs w:val="21"/>
          <w:highlight w:val="none"/>
        </w:rPr>
      </w:pPr>
      <w:r>
        <w:rPr>
          <w:rFonts w:hint="eastAsia"/>
          <w:szCs w:val="21"/>
          <w:highlight w:val="none"/>
        </w:rPr>
        <w:t>基于数据中心的统一查询服务，可以实现对不同类别的术语开放查询接口，以此来保障术语在医院内部各系统中的实时共享。</w:t>
      </w:r>
    </w:p>
    <w:p w14:paraId="0D241449">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术语订阅</w:t>
      </w:r>
    </w:p>
    <w:p w14:paraId="3C2ADDCE">
      <w:pPr>
        <w:rPr>
          <w:rFonts w:hint="eastAsia"/>
          <w:szCs w:val="21"/>
          <w:highlight w:val="none"/>
        </w:rPr>
      </w:pPr>
      <w:r>
        <w:rPr>
          <w:rFonts w:hint="eastAsia"/>
          <w:szCs w:val="21"/>
          <w:highlight w:val="none"/>
        </w:rPr>
        <w:t>业务系统可以从术语管理平台进行术语订阅，当审核人员进行发布后，系统能够根据订阅的相关信息主动推送到其它业务系统，以此来实现术语和业务系统间的使用一致性。</w:t>
      </w:r>
    </w:p>
    <w:p w14:paraId="538C04E5">
      <w:pPr>
        <w:pStyle w:val="5"/>
        <w:rPr>
          <w:rFonts w:hint="eastAsia" w:ascii="宋体" w:hAnsi="宋体" w:eastAsia="宋体"/>
          <w:sz w:val="21"/>
          <w:szCs w:val="21"/>
          <w:highlight w:val="none"/>
        </w:rPr>
      </w:pPr>
      <w:bookmarkStart w:id="100" w:name="_Toc118987359"/>
      <w:bookmarkStart w:id="101" w:name="_Toc6759"/>
      <w:r>
        <w:rPr>
          <w:rFonts w:hint="eastAsia" w:ascii="宋体" w:hAnsi="宋体" w:eastAsia="宋体"/>
          <w:sz w:val="21"/>
          <w:szCs w:val="21"/>
          <w:highlight w:val="none"/>
        </w:rPr>
        <w:t>患者主索引管理</w:t>
      </w:r>
      <w:bookmarkEnd w:id="100"/>
      <w:bookmarkEnd w:id="101"/>
    </w:p>
    <w:p w14:paraId="3DA4B5F5">
      <w:pPr>
        <w:rPr>
          <w:rFonts w:hint="eastAsia"/>
          <w:szCs w:val="21"/>
          <w:highlight w:val="none"/>
        </w:rPr>
      </w:pPr>
      <w:r>
        <w:rPr>
          <w:rFonts w:hint="eastAsia"/>
          <w:szCs w:val="21"/>
          <w:highlight w:val="none"/>
          <w:lang w:val="zh-CN"/>
        </w:rPr>
        <w:t>建立全院级统一患者主索引（MPI），要求能够从各种不同的子系统中取得患者的信息并进行组织，串连起所有患者相关信息，包括基本信息、过敏信息、家族病史、历次诊疗信息、检查检验信息、患者主管医生、历次电子病历、收费情况（门诊、住院）等信息，并以此为基础实现医院数据层面的整合，包括电子病历的数据整合以及医院业务和管理数据的整合，要求同时提供一个搜索引擎，提供给其它应用程序对患者的智能搜索功能。</w:t>
      </w:r>
    </w:p>
    <w:p w14:paraId="72E56000">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患者概况总览</w:t>
      </w:r>
    </w:p>
    <w:p w14:paraId="64A0E4B2">
      <w:pPr>
        <w:rPr>
          <w:rFonts w:hint="eastAsia"/>
          <w:szCs w:val="21"/>
          <w:highlight w:val="none"/>
        </w:rPr>
      </w:pPr>
      <w:r>
        <w:rPr>
          <w:rFonts w:hint="eastAsia"/>
          <w:szCs w:val="21"/>
          <w:highlight w:val="none"/>
        </w:rPr>
        <w:t>以概览页的模式，展示全院患者基本信息，包含患者建档数量、患者信息合并数量、患者拆分数量、患者来源分布等指标。</w:t>
      </w:r>
    </w:p>
    <w:p w14:paraId="0B7274E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患者信息检索</w:t>
      </w:r>
    </w:p>
    <w:p w14:paraId="40FAAB03">
      <w:pPr>
        <w:rPr>
          <w:rFonts w:hint="eastAsia"/>
          <w:szCs w:val="21"/>
          <w:highlight w:val="none"/>
        </w:rPr>
      </w:pPr>
      <w:r>
        <w:rPr>
          <w:rFonts w:hint="eastAsia"/>
          <w:szCs w:val="21"/>
          <w:highlight w:val="none"/>
        </w:rPr>
        <w:t>▲</w:t>
      </w:r>
      <w:r>
        <w:rPr>
          <w:rFonts w:hint="eastAsia"/>
          <w:b/>
          <w:bCs/>
          <w:szCs w:val="21"/>
          <w:highlight w:val="none"/>
        </w:rPr>
        <w:t>按照患者ID列表、姓名、出生年月、性别、地址等条件进行查询，从而获得患者详细的注册信息，也可检索出患者其它已匹配信息和相似列表。（要求提供符合以上功能说明的产品截图）</w:t>
      </w:r>
    </w:p>
    <w:p w14:paraId="6B7F72AC">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交叉索引信息维护</w:t>
      </w:r>
    </w:p>
    <w:p w14:paraId="135F0F7F">
      <w:pPr>
        <w:rPr>
          <w:rFonts w:hint="eastAsia"/>
          <w:szCs w:val="21"/>
          <w:highlight w:val="none"/>
        </w:rPr>
      </w:pPr>
      <w:r>
        <w:rPr>
          <w:rFonts w:hint="eastAsia"/>
          <w:szCs w:val="21"/>
          <w:highlight w:val="none"/>
        </w:rPr>
        <w:t>通过患者注册和更新实现同一个患者在不同域间的交叉索引和信息维护。</w:t>
      </w:r>
    </w:p>
    <w:p w14:paraId="40E23AE7">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患者信息算法匹配</w:t>
      </w:r>
    </w:p>
    <w:p w14:paraId="41FA797F">
      <w:pPr>
        <w:rPr>
          <w:rFonts w:hint="eastAsia"/>
          <w:b/>
          <w:bCs/>
          <w:szCs w:val="21"/>
          <w:highlight w:val="none"/>
        </w:rPr>
      </w:pPr>
      <w:r>
        <w:rPr>
          <w:rFonts w:hint="eastAsia"/>
          <w:szCs w:val="21"/>
          <w:highlight w:val="none"/>
        </w:rPr>
        <w:t>▲</w:t>
      </w:r>
      <w:r>
        <w:rPr>
          <w:rFonts w:hint="eastAsia"/>
          <w:b/>
          <w:bCs/>
          <w:szCs w:val="21"/>
          <w:highlight w:val="none"/>
        </w:rPr>
        <w:t>对主索引信息进行数据匹配，根据匹配结果生成主索引号。</w:t>
      </w:r>
    </w:p>
    <w:p w14:paraId="4113E536">
      <w:pPr>
        <w:rPr>
          <w:rFonts w:hint="eastAsia"/>
          <w:b/>
          <w:bCs/>
          <w:szCs w:val="21"/>
          <w:highlight w:val="none"/>
        </w:rPr>
      </w:pPr>
      <w:r>
        <w:rPr>
          <w:rFonts w:hint="eastAsia"/>
          <w:b/>
          <w:bCs/>
          <w:szCs w:val="21"/>
          <w:highlight w:val="none"/>
        </w:rPr>
        <w:t>匹配的规则总共分为</w:t>
      </w:r>
      <w:r>
        <w:rPr>
          <w:b/>
          <w:bCs/>
          <w:szCs w:val="21"/>
          <w:highlight w:val="none"/>
        </w:rPr>
        <w:t>4种；</w:t>
      </w:r>
    </w:p>
    <w:p w14:paraId="334D2DEC">
      <w:pPr>
        <w:rPr>
          <w:rFonts w:hint="eastAsia"/>
          <w:b/>
          <w:bCs/>
          <w:szCs w:val="21"/>
          <w:highlight w:val="none"/>
        </w:rPr>
      </w:pPr>
      <w:r>
        <w:rPr>
          <w:rFonts w:hint="eastAsia"/>
          <w:b/>
          <w:bCs/>
          <w:szCs w:val="21"/>
          <w:highlight w:val="none"/>
        </w:rPr>
        <w:t>1</w:t>
      </w:r>
      <w:r>
        <w:rPr>
          <w:b/>
          <w:bCs/>
          <w:szCs w:val="21"/>
          <w:highlight w:val="none"/>
        </w:rPr>
        <w:t>精确匹配：根据设置的匹配条件查询相应的病人，查询完以后，进行自动关联，此条件在病人注册的接口使用；</w:t>
      </w:r>
    </w:p>
    <w:p w14:paraId="32E78064">
      <w:pPr>
        <w:rPr>
          <w:rFonts w:hint="eastAsia"/>
          <w:b/>
          <w:bCs/>
          <w:szCs w:val="21"/>
          <w:highlight w:val="none"/>
        </w:rPr>
      </w:pPr>
      <w:r>
        <w:rPr>
          <w:b/>
          <w:bCs/>
          <w:szCs w:val="21"/>
          <w:highlight w:val="none"/>
        </w:rPr>
        <w:t>2模糊匹配：根据病人的相似音查询相似病人列表，然后根据配置的匹配条件和权重计算相应的相似度；</w:t>
      </w:r>
    </w:p>
    <w:p w14:paraId="76354501">
      <w:pPr>
        <w:rPr>
          <w:rFonts w:hint="eastAsia"/>
          <w:b/>
          <w:bCs/>
          <w:szCs w:val="21"/>
          <w:highlight w:val="none"/>
        </w:rPr>
      </w:pPr>
      <w:r>
        <w:rPr>
          <w:b/>
          <w:bCs/>
          <w:szCs w:val="21"/>
          <w:highlight w:val="none"/>
        </w:rPr>
        <w:t>3高相似度匹配：根据设置的匹配条件查询较高的相似度的病人列表，然后根据高相似度基数和模糊匹配设置的匹配条件权重值计算出相应的相似度，其中模糊匹配的权重值占（1-高相似度基数），也就是比如高相似度计算设置为90%，则模糊匹配的只占10%，最后得出的高相似度为2者之和；</w:t>
      </w:r>
    </w:p>
    <w:p w14:paraId="74A53EE8">
      <w:pPr>
        <w:rPr>
          <w:rFonts w:hint="eastAsia"/>
          <w:b/>
          <w:bCs/>
          <w:szCs w:val="21"/>
          <w:highlight w:val="none"/>
        </w:rPr>
      </w:pPr>
      <w:r>
        <w:rPr>
          <w:b/>
          <w:bCs/>
          <w:szCs w:val="21"/>
          <w:highlight w:val="none"/>
        </w:rPr>
        <w:t>4相似匹配：查询接口，用于获取匹配条件的病人列表，可以用于在病人注册之前进行病人的查重，操作员查询到已经注册的病人之后，可以进行换卡操作等，避免重复注册病人；</w:t>
      </w:r>
    </w:p>
    <w:p w14:paraId="026B3AC1">
      <w:pPr>
        <w:rPr>
          <w:rFonts w:hint="eastAsia"/>
          <w:b/>
          <w:bCs/>
          <w:szCs w:val="21"/>
          <w:highlight w:val="none"/>
        </w:rPr>
      </w:pPr>
      <w:r>
        <w:rPr>
          <w:rFonts w:hint="eastAsia"/>
          <w:b/>
          <w:bCs/>
          <w:szCs w:val="21"/>
          <w:highlight w:val="none"/>
        </w:rPr>
        <w:t>（要求提供符合以上功能说明的产品截图）</w:t>
      </w:r>
    </w:p>
    <w:p w14:paraId="66B9A3F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患者信息在线匹配</w:t>
      </w:r>
    </w:p>
    <w:p w14:paraId="7AD39710">
      <w:pPr>
        <w:rPr>
          <w:rFonts w:hint="eastAsia"/>
          <w:szCs w:val="21"/>
          <w:highlight w:val="none"/>
        </w:rPr>
      </w:pPr>
      <w:r>
        <w:rPr>
          <w:rFonts w:hint="eastAsia"/>
          <w:szCs w:val="21"/>
          <w:highlight w:val="none"/>
        </w:rPr>
        <w:t>在患者具有身份证、医保卡号、驾驶证等明确个人身份信息时，结合患者姓名、性别、出生年月等基本信息，采用在线匹配方法验证属性，确定患者唯一标识，不间断医疗业务流程。</w:t>
      </w:r>
    </w:p>
    <w:p w14:paraId="22574656">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信息离线辅助调整</w:t>
      </w:r>
    </w:p>
    <w:p w14:paraId="09321F19">
      <w:pPr>
        <w:rPr>
          <w:rFonts w:hint="eastAsia"/>
          <w:szCs w:val="21"/>
          <w:highlight w:val="none"/>
        </w:rPr>
      </w:pPr>
      <w:r>
        <w:rPr>
          <w:rFonts w:hint="eastAsia"/>
          <w:szCs w:val="21"/>
          <w:highlight w:val="none"/>
        </w:rPr>
        <w:t>离线辅助调整可分为两种模式，基于不影响业务的业务场景下，可在后台直接生成调度任务，首先患者主索引系统可对患者信息进行数据清洗，比如说可对身份证不符合国家标准的数据，进行初步过滤清洗以及处理，保障患者信息出口的准确性和一致性。还有一种就是，患者在注册时没有提供完整身份信息时候，比如身份证、医保卡或者其它基本信息时，系统能够根据其它匹配条件进行其他患者信息匹配成功时，可基于一系列算法，实现患者信息的填充，最终所返回给其它业务系统使用或者归档时，提供的是一条相对完整且准确的患者信息。</w:t>
      </w:r>
    </w:p>
    <w:p w14:paraId="62DFAAFE">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信息脱敏处理</w:t>
      </w:r>
    </w:p>
    <w:p w14:paraId="39AFB2DB">
      <w:pPr>
        <w:rPr>
          <w:rFonts w:hint="eastAsia"/>
          <w:szCs w:val="21"/>
          <w:highlight w:val="none"/>
        </w:rPr>
      </w:pPr>
      <w:r>
        <w:rPr>
          <w:rFonts w:hint="eastAsia"/>
          <w:szCs w:val="21"/>
          <w:highlight w:val="none"/>
        </w:rPr>
        <w:t>▲</w:t>
      </w:r>
      <w:r>
        <w:rPr>
          <w:rFonts w:hint="eastAsia"/>
          <w:b/>
          <w:bCs/>
          <w:szCs w:val="21"/>
          <w:highlight w:val="none"/>
        </w:rPr>
        <w:t>出于某些安全策略或者患者隐私保护等因素，提供患者信息脱敏配置，可对某些敏感信息（身份证号、姓名、手机号、邮箱地址、客户资料等）通过脱敏规则进行数据变形，实现隐私数据的可靠保护。（要求提供符合以上功能说明的产品截图）</w:t>
      </w:r>
    </w:p>
    <w:p w14:paraId="246D5A9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统一服务接口</w:t>
      </w:r>
    </w:p>
    <w:p w14:paraId="123852CE">
      <w:pPr>
        <w:rPr>
          <w:rFonts w:hint="eastAsia"/>
          <w:szCs w:val="21"/>
          <w:highlight w:val="none"/>
        </w:rPr>
      </w:pPr>
      <w:r>
        <w:rPr>
          <w:rFonts w:hint="eastAsia"/>
          <w:szCs w:val="21"/>
          <w:highlight w:val="none"/>
        </w:rPr>
        <w:t>提供统一对外服务接口，方便业务系统的调用。</w:t>
      </w:r>
    </w:p>
    <w:p w14:paraId="15CD726B">
      <w:pPr>
        <w:pStyle w:val="5"/>
        <w:rPr>
          <w:rFonts w:hint="eastAsia" w:ascii="宋体" w:hAnsi="宋体" w:eastAsia="宋体"/>
          <w:sz w:val="21"/>
          <w:szCs w:val="21"/>
          <w:highlight w:val="none"/>
        </w:rPr>
      </w:pPr>
      <w:bookmarkStart w:id="102" w:name="_Toc10122"/>
      <w:bookmarkStart w:id="103" w:name="_Toc118987360"/>
      <w:r>
        <w:rPr>
          <w:rFonts w:hint="eastAsia" w:ascii="宋体" w:hAnsi="宋体" w:eastAsia="宋体"/>
          <w:sz w:val="21"/>
          <w:szCs w:val="21"/>
          <w:highlight w:val="none"/>
        </w:rPr>
        <w:t>数据脱敏配置管理</w:t>
      </w:r>
      <w:bookmarkEnd w:id="102"/>
      <w:bookmarkEnd w:id="103"/>
    </w:p>
    <w:p w14:paraId="05AB3496">
      <w:pPr>
        <w:rPr>
          <w:rFonts w:hint="eastAsia"/>
          <w:szCs w:val="21"/>
          <w:highlight w:val="none"/>
        </w:rPr>
      </w:pPr>
      <w:r>
        <w:rPr>
          <w:rFonts w:hint="eastAsia"/>
          <w:szCs w:val="21"/>
          <w:highlight w:val="none"/>
        </w:rPr>
        <w:t>院内数据在开展医疗教学、患者查询等业务时，要求需要按场景的安全级别进行数据的脱敏处理，确保敏感数据泄露的风险最小的同时，最大化数据价值分析挖掘的潜力，提供开放的脱敏体系，要求内置脱敏算法支持如下：</w:t>
      </w:r>
    </w:p>
    <w:p w14:paraId="140D1D6F">
      <w:pPr>
        <w:rPr>
          <w:rFonts w:hint="eastAsia"/>
          <w:szCs w:val="21"/>
          <w:highlight w:val="none"/>
        </w:rPr>
      </w:pPr>
      <w:r>
        <w:rPr>
          <w:szCs w:val="21"/>
          <w:highlight w:val="none"/>
        </w:rPr>
        <w:t>1、随机查表替换：要求如统一将某个字符替换为另一个随机从中间表中找出的字符；</w:t>
      </w:r>
    </w:p>
    <w:p w14:paraId="562EF4FA">
      <w:pPr>
        <w:rPr>
          <w:rFonts w:hint="eastAsia"/>
          <w:szCs w:val="21"/>
          <w:highlight w:val="none"/>
        </w:rPr>
      </w:pPr>
      <w:r>
        <w:rPr>
          <w:szCs w:val="21"/>
          <w:highlight w:val="none"/>
        </w:rPr>
        <w:t>2、唯一数据映射变换：要求对卡号、账号、等唯一数据列，按其业务规则生成；</w:t>
      </w:r>
    </w:p>
    <w:p w14:paraId="627909DD">
      <w:pPr>
        <w:rPr>
          <w:rFonts w:hint="eastAsia"/>
          <w:szCs w:val="21"/>
          <w:highlight w:val="none"/>
        </w:rPr>
      </w:pPr>
      <w:r>
        <w:rPr>
          <w:szCs w:val="21"/>
          <w:highlight w:val="none"/>
        </w:rPr>
        <w:t>3、随机生成：要求对手机号码、邮件等非唯一数据列。 按其业务规则随机生成；</w:t>
      </w:r>
    </w:p>
    <w:p w14:paraId="587C4477">
      <w:pPr>
        <w:rPr>
          <w:rFonts w:hint="eastAsia"/>
          <w:szCs w:val="21"/>
          <w:highlight w:val="none"/>
        </w:rPr>
      </w:pPr>
      <w:r>
        <w:rPr>
          <w:szCs w:val="21"/>
          <w:highlight w:val="none"/>
        </w:rPr>
        <w:t>4、替换：要求对原数据（数字类型）按照某种算法方法计算， 参数固定或者随机参数替换；</w:t>
      </w:r>
    </w:p>
    <w:p w14:paraId="325B79A0">
      <w:pPr>
        <w:rPr>
          <w:rFonts w:hint="eastAsia"/>
          <w:szCs w:val="21"/>
          <w:highlight w:val="none"/>
        </w:rPr>
      </w:pPr>
      <w:r>
        <w:rPr>
          <w:szCs w:val="21"/>
          <w:highlight w:val="none"/>
        </w:rPr>
        <w:t>5、屏蔽：要求对字符串部分字符用特定字符屏蔽；</w:t>
      </w:r>
    </w:p>
    <w:p w14:paraId="7A55B448">
      <w:pPr>
        <w:rPr>
          <w:rFonts w:hint="eastAsia"/>
          <w:szCs w:val="21"/>
          <w:highlight w:val="none"/>
        </w:rPr>
      </w:pPr>
      <w:r>
        <w:rPr>
          <w:szCs w:val="21"/>
          <w:highlight w:val="none"/>
        </w:rPr>
        <w:t>6、随机生成不定长度字符串：要求针对空字符串或者原字符串末端随机生成长 度不一的字符串；</w:t>
      </w:r>
    </w:p>
    <w:p w14:paraId="44F22119">
      <w:pPr>
        <w:rPr>
          <w:rFonts w:hint="eastAsia"/>
          <w:szCs w:val="21"/>
          <w:highlight w:val="none"/>
        </w:rPr>
      </w:pPr>
      <w:r>
        <w:rPr>
          <w:szCs w:val="21"/>
          <w:highlight w:val="none"/>
        </w:rPr>
        <w:t>7、姓名脱敏：要求对可识别列姓名进行脱敏；</w:t>
      </w:r>
    </w:p>
    <w:p w14:paraId="17EC8823">
      <w:pPr>
        <w:rPr>
          <w:rFonts w:hint="eastAsia"/>
          <w:szCs w:val="21"/>
          <w:highlight w:val="none"/>
        </w:rPr>
      </w:pPr>
      <w:r>
        <w:rPr>
          <w:szCs w:val="21"/>
          <w:highlight w:val="none"/>
        </w:rPr>
        <w:t>8、地址脱敏：要求对于地址类脱敏信息进行转化；</w:t>
      </w:r>
    </w:p>
    <w:p w14:paraId="682F6833">
      <w:pPr>
        <w:rPr>
          <w:rFonts w:hint="eastAsia"/>
          <w:szCs w:val="21"/>
          <w:highlight w:val="none"/>
        </w:rPr>
      </w:pPr>
      <w:r>
        <w:rPr>
          <w:szCs w:val="21"/>
          <w:highlight w:val="none"/>
        </w:rPr>
        <w:t>9、哈希脱敏：要求将数据映射为一个定长或者不定长的 hash 值（不一定是一 一映射）。</w:t>
      </w:r>
    </w:p>
    <w:p w14:paraId="7DBD6349">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数据链接管理</w:t>
      </w:r>
    </w:p>
    <w:p w14:paraId="6596E3E6">
      <w:pPr>
        <w:rPr>
          <w:rFonts w:hint="eastAsia"/>
          <w:szCs w:val="21"/>
          <w:highlight w:val="none"/>
        </w:rPr>
      </w:pPr>
      <w:r>
        <w:rPr>
          <w:rFonts w:hint="eastAsia"/>
          <w:szCs w:val="21"/>
          <w:highlight w:val="none"/>
        </w:rPr>
        <w:t>面对医院不同的数据查询场景，数据的来源可以来自生产库也可以来自其它的库，为了达到多个数据源的查询，数据综合查询系统提供了多种数据源的选择配置，通过简单的数据库参数配置快速的实现数据库的连接，方便操作人员配置数据链接。在数据链接管理中我们可以进行数据库链接的基础信息管理。</w:t>
      </w:r>
    </w:p>
    <w:p w14:paraId="68B1DC79">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脱敏规则管理</w:t>
      </w:r>
    </w:p>
    <w:p w14:paraId="0A63F9B5">
      <w:pPr>
        <w:rPr>
          <w:rFonts w:hint="eastAsia"/>
          <w:szCs w:val="21"/>
          <w:highlight w:val="none"/>
        </w:rPr>
      </w:pPr>
      <w:r>
        <w:rPr>
          <w:rFonts w:hint="eastAsia"/>
          <w:szCs w:val="21"/>
          <w:highlight w:val="none"/>
        </w:rPr>
        <w:t>随着技术的飞速发展，医院互联网呈现多元化快速发展趋势。然而，由于一直缺乏有效的用户个人隐私信息管控方式，导致用户个人信息滥用和隐私泄露等问题泛滥成灾。对于数据资源的提供方，提供数据隐私规则管理，最小粒度到每个字段进行数据隐私加密，保证了患者和医院信息的安全。数据脱敏配置，指对某些敏感信息通过脱敏规则进行数据的变形，实现敏感隐私数据的可靠保护，以便在开发、测试及交换等生产环境以及外包或云计算环境中安全的使用脱敏后的真实数据集。可通过替换、重排、加密、截断、掩码、等移除识别列，转换半识别列等方式，使得数据使用人员在一定程度上无法根据数据反识别用户，在借助数据脱敏技术屏蔽敏感信息的同时，使屏蔽的信息保留其原始数据的格式和属性，以确保应用在使用脱敏的开发与使用过程中正常运行，从而达到保证数据安全与最大化挖掘数据价值的平衡。</w:t>
      </w:r>
    </w:p>
    <w:p w14:paraId="386F4FE0">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数据服务管理</w:t>
      </w:r>
    </w:p>
    <w:p w14:paraId="215803EB">
      <w:pPr>
        <w:rPr>
          <w:rFonts w:hint="eastAsia"/>
          <w:szCs w:val="21"/>
          <w:highlight w:val="none"/>
        </w:rPr>
      </w:pPr>
      <w:r>
        <w:rPr>
          <w:rFonts w:hint="eastAsia"/>
          <w:szCs w:val="21"/>
          <w:highlight w:val="none"/>
        </w:rPr>
        <w:t>数据服务管理提供了快速的查询接口开发，在服务管理模块可以进行查询服务的配置。系统应提供</w:t>
      </w:r>
      <w:r>
        <w:rPr>
          <w:szCs w:val="21"/>
          <w:highlight w:val="none"/>
        </w:rPr>
        <w:t>2种以上的数据服务模式，其中包括单表查询服务，另一种为复杂多表SQL查询服务。</w:t>
      </w:r>
    </w:p>
    <w:p w14:paraId="489B030C">
      <w:pPr>
        <w:pStyle w:val="5"/>
        <w:rPr>
          <w:rFonts w:hint="eastAsia" w:ascii="宋体" w:hAnsi="宋体" w:eastAsia="宋体"/>
          <w:sz w:val="21"/>
          <w:szCs w:val="21"/>
          <w:highlight w:val="none"/>
        </w:rPr>
      </w:pPr>
      <w:bookmarkStart w:id="104" w:name="_Toc30703"/>
      <w:bookmarkStart w:id="105" w:name="_Toc118987361"/>
      <w:r>
        <w:rPr>
          <w:rFonts w:hint="eastAsia" w:ascii="宋体" w:hAnsi="宋体" w:eastAsia="宋体"/>
          <w:sz w:val="21"/>
          <w:szCs w:val="21"/>
          <w:highlight w:val="none"/>
        </w:rPr>
        <w:t>临床信息数据库</w:t>
      </w:r>
      <w:r>
        <w:rPr>
          <w:rFonts w:ascii="宋体" w:hAnsi="宋体" w:eastAsia="宋体"/>
          <w:sz w:val="21"/>
          <w:szCs w:val="21"/>
          <w:highlight w:val="none"/>
        </w:rPr>
        <w:t>CDR</w:t>
      </w:r>
      <w:bookmarkEnd w:id="104"/>
      <w:bookmarkEnd w:id="105"/>
    </w:p>
    <w:p w14:paraId="7DD0B16E">
      <w:pPr>
        <w:rPr>
          <w:rFonts w:hint="eastAsia"/>
          <w:szCs w:val="21"/>
          <w:highlight w:val="none"/>
        </w:rPr>
      </w:pPr>
      <w:r>
        <w:rPr>
          <w:rFonts w:hint="eastAsia"/>
          <w:szCs w:val="21"/>
          <w:highlight w:val="none"/>
        </w:rPr>
        <w:t>临床信息数据库（</w:t>
      </w:r>
      <w:r>
        <w:rPr>
          <w:szCs w:val="21"/>
          <w:highlight w:val="none"/>
        </w:rPr>
        <w:t>CDR）要求采用市场上主流的大型关系型数据库，它不仅是基于开放系统的软硬件环境，要求具备较广泛的计算机硬件平台支持，支持市场上主流厂商的操作系统平台；而且是基于组件或构件来进行设计开发，要求具有一套完整的开发规范，拥有良好的可扩充性。随着用户数的增加及功能应用的增加，系统能够保持足够的稳定性，维持正常的运行；能支持集群、负载均衡。</w:t>
      </w:r>
    </w:p>
    <w:p w14:paraId="4A33D381">
      <w:pPr>
        <w:rPr>
          <w:rFonts w:hint="eastAsia"/>
          <w:szCs w:val="21"/>
          <w:highlight w:val="none"/>
        </w:rPr>
      </w:pPr>
      <w:r>
        <w:rPr>
          <w:rFonts w:hint="eastAsia"/>
          <w:szCs w:val="21"/>
          <w:highlight w:val="none"/>
        </w:rPr>
        <w:t>临床信息数据库数据范围要求包括但不限于患者信息、医嘱、检查、检验、病理、手术、病案、病历、临床路径等，涵盖</w:t>
      </w:r>
      <w:r>
        <w:rPr>
          <w:szCs w:val="21"/>
          <w:highlight w:val="none"/>
        </w:rPr>
        <w:t>HIS、EMR、LIS、RIS、麻醉等各类业务系统，数据时间范围包括信息化以来的历年数据及实时数据等。</w:t>
      </w:r>
    </w:p>
    <w:p w14:paraId="4145D028">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数据类别管理</w:t>
      </w:r>
    </w:p>
    <w:p w14:paraId="2E4F75A2">
      <w:pPr>
        <w:rPr>
          <w:rFonts w:hint="eastAsia"/>
          <w:szCs w:val="21"/>
          <w:highlight w:val="none"/>
        </w:rPr>
      </w:pPr>
      <w:r>
        <w:rPr>
          <w:rFonts w:hint="eastAsia"/>
          <w:szCs w:val="21"/>
          <w:highlight w:val="none"/>
        </w:rPr>
        <w:t>数据类别管理应遵循国家卫健委《电子病历基本数据集》标准，至少包含标准要求的</w:t>
      </w:r>
      <w:r>
        <w:rPr>
          <w:szCs w:val="21"/>
          <w:highlight w:val="none"/>
        </w:rPr>
        <w:t>17类数据集和59个数据子集的内容，支持自定义扩展数据集；按照标准的临床业务模型对患者数据、就诊数据、医嘱数据及各类报告文书等数据进行整合存储，建立关联关系。主要按照医院业务实际开展方式进行划分，实现对不同数据类别的管理，方便快读查找定位相关数据内容，具体类别如下所示：</w:t>
      </w:r>
    </w:p>
    <w:p w14:paraId="39609F4B">
      <w:pPr>
        <w:rPr>
          <w:rFonts w:hint="eastAsia"/>
          <w:szCs w:val="21"/>
          <w:highlight w:val="none"/>
        </w:rPr>
      </w:pPr>
      <w:r>
        <w:rPr>
          <w:szCs w:val="21"/>
          <w:highlight w:val="none"/>
        </w:rPr>
        <w:t>(1)患者管理类：患者基本信息、挂号信息、出入院登记信息、诊断信息、接诊信息；</w:t>
      </w:r>
    </w:p>
    <w:p w14:paraId="4ACBD91C">
      <w:pPr>
        <w:rPr>
          <w:rFonts w:hint="eastAsia"/>
          <w:szCs w:val="21"/>
          <w:highlight w:val="none"/>
        </w:rPr>
      </w:pPr>
      <w:r>
        <w:rPr>
          <w:szCs w:val="21"/>
          <w:highlight w:val="none"/>
        </w:rPr>
        <w:t>(2)医嘱类: 门诊处方信息、门诊处方明细信息、住院医嘱信息、检查申请单、检验申请单、手术申请单、病理检查申请单；</w:t>
      </w:r>
    </w:p>
    <w:p w14:paraId="0954F159">
      <w:pPr>
        <w:rPr>
          <w:rFonts w:hint="eastAsia"/>
          <w:szCs w:val="21"/>
          <w:highlight w:val="none"/>
        </w:rPr>
      </w:pPr>
      <w:r>
        <w:rPr>
          <w:szCs w:val="21"/>
          <w:highlight w:val="none"/>
        </w:rPr>
        <w:t>(3)实验室类：申请登记信息、标本信息、临检及生化报告、微生物报告、病理报告；</w:t>
      </w:r>
    </w:p>
    <w:p w14:paraId="1ABBA592">
      <w:pPr>
        <w:rPr>
          <w:rFonts w:hint="eastAsia"/>
          <w:szCs w:val="21"/>
          <w:highlight w:val="none"/>
        </w:rPr>
      </w:pPr>
      <w:r>
        <w:rPr>
          <w:szCs w:val="21"/>
          <w:highlight w:val="none"/>
        </w:rPr>
        <w:t>(4)观察类：观察域、观察报告、生命体征观察信息；</w:t>
      </w:r>
    </w:p>
    <w:p w14:paraId="2BCB9B65">
      <w:pPr>
        <w:rPr>
          <w:rFonts w:hint="eastAsia"/>
          <w:szCs w:val="21"/>
          <w:highlight w:val="none"/>
        </w:rPr>
      </w:pPr>
      <w:r>
        <w:rPr>
          <w:szCs w:val="21"/>
          <w:highlight w:val="none"/>
        </w:rPr>
        <w:t>(5)病历类：病历主数据、病历分段数据、病历样式数据、病历全文索引、非结构化病历数据、门诊病历；</w:t>
      </w:r>
    </w:p>
    <w:p w14:paraId="3D1544DD">
      <w:pPr>
        <w:rPr>
          <w:rFonts w:hint="eastAsia"/>
          <w:szCs w:val="21"/>
          <w:highlight w:val="none"/>
        </w:rPr>
      </w:pPr>
      <w:r>
        <w:rPr>
          <w:szCs w:val="21"/>
          <w:highlight w:val="none"/>
        </w:rPr>
        <w:t>(6)病案类：病案首页、病案诊断、病案手术；</w:t>
      </w:r>
    </w:p>
    <w:p w14:paraId="73FF9D96">
      <w:pPr>
        <w:rPr>
          <w:rFonts w:hint="eastAsia"/>
          <w:szCs w:val="21"/>
          <w:highlight w:val="none"/>
        </w:rPr>
      </w:pPr>
      <w:r>
        <w:rPr>
          <w:szCs w:val="21"/>
          <w:highlight w:val="none"/>
        </w:rPr>
        <w:t>(7)手术类：手术登记、手术记录、手术诊断、手术麻醉信息、术后复苏信息、手术参与人员；</w:t>
      </w:r>
    </w:p>
    <w:p w14:paraId="304D7263">
      <w:pPr>
        <w:rPr>
          <w:rFonts w:hint="eastAsia"/>
          <w:szCs w:val="21"/>
          <w:highlight w:val="none"/>
        </w:rPr>
      </w:pPr>
      <w:r>
        <w:rPr>
          <w:szCs w:val="21"/>
          <w:highlight w:val="none"/>
        </w:rPr>
        <w:t>(8)护理类：医嘱执行记录、不良反应记录、提问记录、出入量记录。</w:t>
      </w:r>
    </w:p>
    <w:p w14:paraId="262A1336">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数据查询管理</w:t>
      </w:r>
    </w:p>
    <w:p w14:paraId="372FD0E4">
      <w:pPr>
        <w:rPr>
          <w:rFonts w:hint="eastAsia"/>
          <w:szCs w:val="21"/>
          <w:highlight w:val="none"/>
        </w:rPr>
      </w:pPr>
      <w:r>
        <w:rPr>
          <w:rFonts w:hint="eastAsia"/>
          <w:szCs w:val="21"/>
          <w:highlight w:val="none"/>
        </w:rPr>
        <w:t>数据查询管理主要针对临床信息数据库中结构化数据的存储结构查询以及数据结果的查询。</w:t>
      </w:r>
    </w:p>
    <w:p w14:paraId="406D7F3D">
      <w:pPr>
        <w:rPr>
          <w:rFonts w:hint="eastAsia"/>
          <w:szCs w:val="21"/>
          <w:highlight w:val="none"/>
        </w:rPr>
      </w:pPr>
      <w:r>
        <w:rPr>
          <w:rFonts w:hint="eastAsia"/>
          <w:szCs w:val="21"/>
          <w:highlight w:val="none"/>
        </w:rPr>
        <w:t>存储结构查询能够进行字段列的选择查询，并能够识别存储结构字段的有效性，另外，能够查看对应的索引信息，方便运维人员在发现索引信息不完善的情况进行索引调整。</w:t>
      </w:r>
    </w:p>
    <w:p w14:paraId="43B71AC8">
      <w:pPr>
        <w:rPr>
          <w:rFonts w:hint="eastAsia"/>
          <w:szCs w:val="21"/>
          <w:highlight w:val="none"/>
        </w:rPr>
      </w:pPr>
      <w:r>
        <w:rPr>
          <w:rFonts w:hint="eastAsia"/>
          <w:szCs w:val="21"/>
          <w:highlight w:val="none"/>
        </w:rPr>
        <w:t>数据结果查询能够通过对查询列的选择，并提供可视化查询界面进行条件的灵活筛选，满足非技术人员的数据查询需求。同时，系统提供了语法查询窗口，在可视化查询不满足查询要求的条件下，可以通过语法窗口进行相关查询语法的编辑，以最大限度的满足查询要求。另外，针对查询结果，在权限允许的情况下，还可以进行查询结果数据的导出，以保证数据的充分应用。</w:t>
      </w:r>
    </w:p>
    <w:p w14:paraId="628B3967">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数据监控管理</w:t>
      </w:r>
    </w:p>
    <w:p w14:paraId="122620F4">
      <w:pPr>
        <w:rPr>
          <w:rFonts w:hint="eastAsia"/>
          <w:szCs w:val="21"/>
          <w:highlight w:val="none"/>
        </w:rPr>
      </w:pPr>
      <w:r>
        <w:rPr>
          <w:rFonts w:hint="eastAsia"/>
          <w:szCs w:val="21"/>
          <w:highlight w:val="none"/>
        </w:rPr>
        <w:t>为满足临床信息数据库所存储的数据完整性，则需要一个运行监控工具来监控、维护整个数据同步、采集到临床信息数据库的平稳运行，当数据同步运行发生错误或者性能出现显著降低的时候应该能够让用户及时发现并提供迅速处理的工具和途径，从而显著降低这些事件的严重性和持续时间，保持数据中心平稳、高效、安全地运行。</w:t>
      </w:r>
    </w:p>
    <w:p w14:paraId="5BCADFC5">
      <w:pPr>
        <w:rPr>
          <w:rFonts w:hint="eastAsia"/>
          <w:szCs w:val="21"/>
          <w:highlight w:val="none"/>
        </w:rPr>
      </w:pPr>
      <w:r>
        <w:rPr>
          <w:rFonts w:hint="eastAsia"/>
          <w:szCs w:val="21"/>
          <w:highlight w:val="none"/>
        </w:rPr>
        <w:t>数据监控管理就是提供给用户的这样一个工具，在本工具中用户可以直接浏览到临床信息数据库当前的数据服务节点情况，包括源端、目标端。并针对错误问题进行警报提醒机制，快速直观反馈给运维人员。另外，针对数据同步节点的相关问题能够在可视化的前提下进行及时处理，减少了运维人员的投入，增加数据同步采集的完整性。</w:t>
      </w:r>
    </w:p>
    <w:p w14:paraId="10F76C13">
      <w:pPr>
        <w:pStyle w:val="5"/>
        <w:rPr>
          <w:rFonts w:hint="eastAsia" w:ascii="宋体" w:hAnsi="宋体" w:eastAsia="宋体"/>
          <w:sz w:val="21"/>
          <w:szCs w:val="21"/>
          <w:highlight w:val="none"/>
        </w:rPr>
      </w:pPr>
      <w:bookmarkStart w:id="106" w:name="_Toc118987362"/>
      <w:bookmarkStart w:id="107" w:name="_Toc14984"/>
      <w:r>
        <w:rPr>
          <w:rFonts w:hint="eastAsia" w:ascii="宋体" w:hAnsi="宋体" w:eastAsia="宋体"/>
          <w:sz w:val="21"/>
          <w:szCs w:val="21"/>
          <w:highlight w:val="none"/>
        </w:rPr>
        <w:t>运营信息数据库</w:t>
      </w:r>
      <w:r>
        <w:rPr>
          <w:rFonts w:ascii="宋体" w:hAnsi="宋体" w:eastAsia="宋体"/>
          <w:sz w:val="21"/>
          <w:szCs w:val="21"/>
          <w:highlight w:val="none"/>
        </w:rPr>
        <w:t>ODR</w:t>
      </w:r>
      <w:bookmarkEnd w:id="106"/>
      <w:bookmarkEnd w:id="107"/>
    </w:p>
    <w:p w14:paraId="7EF9D0C4">
      <w:pPr>
        <w:rPr>
          <w:rFonts w:hint="eastAsia"/>
          <w:szCs w:val="21"/>
          <w:highlight w:val="none"/>
        </w:rPr>
      </w:pPr>
      <w:r>
        <w:rPr>
          <w:rFonts w:hint="eastAsia"/>
          <w:szCs w:val="21"/>
          <w:highlight w:val="none"/>
        </w:rPr>
        <w:t>运营信息数据库主要存储医疗机构内部信息系统运营原始业务数据，要求所存储的数据均是支持各类运营决策类系统分析活动的所需数据。要求为决策类系统提供基础的数据支持，通过运营信息数据库，决策类系统能够快速的获取到不同角度的数据，并且高效的得到需要的结果，有助于提升系统的运行效率。要求运营信息数据库数据包含：病人住院费用、病人门诊费用、预交金信息、结算信息、物资信息、设备信息、人事信息、财务信息等。</w:t>
      </w:r>
    </w:p>
    <w:p w14:paraId="50CAF46D">
      <w:pPr>
        <w:pStyle w:val="5"/>
        <w:rPr>
          <w:rFonts w:hint="eastAsia" w:ascii="宋体" w:hAnsi="宋体" w:eastAsia="宋体"/>
          <w:sz w:val="21"/>
          <w:szCs w:val="21"/>
          <w:highlight w:val="none"/>
        </w:rPr>
      </w:pPr>
      <w:bookmarkStart w:id="108" w:name="_Toc17874"/>
      <w:bookmarkStart w:id="109" w:name="_Toc118987363"/>
      <w:r>
        <w:rPr>
          <w:rFonts w:hint="eastAsia" w:ascii="宋体" w:hAnsi="宋体" w:eastAsia="宋体"/>
          <w:sz w:val="21"/>
          <w:szCs w:val="21"/>
          <w:highlight w:val="none"/>
        </w:rPr>
        <w:t>数据治理</w:t>
      </w:r>
      <w:bookmarkEnd w:id="108"/>
      <w:bookmarkEnd w:id="109"/>
    </w:p>
    <w:p w14:paraId="150FD1F1">
      <w:pPr>
        <w:rPr>
          <w:rFonts w:hint="eastAsia"/>
          <w:szCs w:val="21"/>
          <w:highlight w:val="none"/>
        </w:rPr>
      </w:pPr>
      <w:r>
        <w:rPr>
          <w:rFonts w:hint="eastAsia"/>
          <w:szCs w:val="21"/>
          <w:highlight w:val="none"/>
        </w:rPr>
        <w:t>要求支持对数据中心的数据进行质量检查，包括数据的完整性、数据的一致性、数据的准确性以及数据的及时性等，并提供相应的数据检查结果数据，帮助信息管理人员管理数据中心的数据。主要建设内容要求包括：数据质量概览、数据源管理、数据标准管理、质量规则管理、质量模型管理、质量方案管理、质量任务管理、质量报告管理。</w:t>
      </w:r>
    </w:p>
    <w:p w14:paraId="1AF5C3F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数据质量概览</w:t>
      </w:r>
    </w:p>
    <w:p w14:paraId="616AF9FF">
      <w:pPr>
        <w:rPr>
          <w:rFonts w:hint="eastAsia"/>
          <w:szCs w:val="21"/>
          <w:highlight w:val="none"/>
        </w:rPr>
      </w:pPr>
      <w:r>
        <w:rPr>
          <w:rFonts w:hint="eastAsia"/>
          <w:szCs w:val="21"/>
          <w:highlight w:val="none"/>
        </w:rPr>
        <w:t>通过数据质量概览视图可以聚焦特定的数据，增强数据可读性，提高数据安全及保密性，针对不同用户，可以创建不同视图，限制其所能浏览和编辑的数据内容。视图是虚拟的，物理上是不存在的，只是存储了数据的集合。基表中重要的字段信息，可以不通过视图展示给用户，视图是动态的数据的集合，数据是随着数据库基础表的更新而更新。</w:t>
      </w:r>
    </w:p>
    <w:p w14:paraId="600598BB">
      <w:pPr>
        <w:rPr>
          <w:rFonts w:hint="eastAsia"/>
          <w:szCs w:val="21"/>
          <w:highlight w:val="none"/>
        </w:rPr>
      </w:pPr>
      <w:r>
        <w:rPr>
          <w:rFonts w:hint="eastAsia"/>
          <w:szCs w:val="21"/>
          <w:highlight w:val="none"/>
        </w:rPr>
        <w:t>数据质量概览页面能够展示接入数据质量平台的所有数据源的数据质量整体情况，包括检验总数据、检验成功量、检验失败量，检核规则占比、基础规则数、业务规则数，方案合格率、方案执行成功率，数据量趋势。</w:t>
      </w:r>
    </w:p>
    <w:p w14:paraId="51C129C1">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数据源管理</w:t>
      </w:r>
    </w:p>
    <w:p w14:paraId="7A6BB98F">
      <w:pPr>
        <w:rPr>
          <w:rFonts w:hint="eastAsia"/>
          <w:szCs w:val="21"/>
          <w:highlight w:val="none"/>
        </w:rPr>
      </w:pPr>
      <w:r>
        <w:rPr>
          <w:rFonts w:hint="eastAsia"/>
          <w:szCs w:val="21"/>
          <w:highlight w:val="none"/>
        </w:rPr>
        <w:t>数据源管理支持多种主流数据库，如</w:t>
      </w:r>
      <w:r>
        <w:rPr>
          <w:szCs w:val="21"/>
          <w:highlight w:val="none"/>
        </w:rPr>
        <w:t>Oracle、Mysql、sqlServer等，支持通过德鲁伊动态切换数据源的方式直接连接数据库，也支持测试数据库连接是否成功。数据源都是独立管理的，很容易在需要时更新，灵活组合不同源的数据，实现快速接入数据，为平台的数据采集提供数据源支撑。</w:t>
      </w:r>
    </w:p>
    <w:p w14:paraId="11BAAB19">
      <w:pPr>
        <w:rPr>
          <w:rFonts w:hint="eastAsia"/>
          <w:szCs w:val="21"/>
          <w:highlight w:val="none"/>
        </w:rPr>
      </w:pPr>
      <w:r>
        <w:rPr>
          <w:rFonts w:hint="eastAsia"/>
          <w:szCs w:val="21"/>
          <w:highlight w:val="none"/>
        </w:rPr>
        <w:t>建立数据源，内容包括数据源名称，数据源类型，数据源用户名，数据源密码，数据源地址，数据源描述。</w:t>
      </w:r>
    </w:p>
    <w:p w14:paraId="41429335">
      <w:pPr>
        <w:rPr>
          <w:rFonts w:hint="eastAsia"/>
          <w:szCs w:val="21"/>
          <w:highlight w:val="none"/>
        </w:rPr>
      </w:pPr>
      <w:r>
        <w:rPr>
          <w:rFonts w:hint="eastAsia"/>
          <w:szCs w:val="21"/>
          <w:highlight w:val="none"/>
        </w:rPr>
        <w:t>修改数据源，可修改创建数据源时录入的相关信息。</w:t>
      </w:r>
    </w:p>
    <w:p w14:paraId="321629C7">
      <w:pPr>
        <w:rPr>
          <w:rFonts w:hint="eastAsia"/>
          <w:szCs w:val="21"/>
          <w:highlight w:val="none"/>
        </w:rPr>
      </w:pPr>
      <w:r>
        <w:rPr>
          <w:rFonts w:hint="eastAsia"/>
          <w:szCs w:val="21"/>
          <w:highlight w:val="none"/>
        </w:rPr>
        <w:t>删除数据源，防止错误删除数据源操作的安全性，删除时系统弹出提示信息，确定是否删除数据源。</w:t>
      </w:r>
    </w:p>
    <w:p w14:paraId="174D82C0">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数据标准管理</w:t>
      </w:r>
    </w:p>
    <w:p w14:paraId="139DAFDB">
      <w:pPr>
        <w:pStyle w:val="359"/>
        <w:ind w:firstLine="420"/>
        <w:rPr>
          <w:rFonts w:hint="eastAsia" w:ascii="宋体" w:hAnsi="宋体"/>
          <w:color w:val="000000"/>
          <w:szCs w:val="21"/>
          <w:highlight w:val="none"/>
        </w:rPr>
      </w:pPr>
      <w:r>
        <w:rPr>
          <w:rFonts w:hint="eastAsia" w:ascii="宋体" w:hAnsi="宋体"/>
          <w:color w:val="000000"/>
          <w:szCs w:val="21"/>
          <w:highlight w:val="none"/>
        </w:rPr>
        <w:t>数据标准是为医院保障数据的内外部使用和交换的一致性和准确性而制定的规范性约束。应用统一的数据定义、数据分类、记录格式等实现数据的标准化。数据标准是数据管理的基础性工作，数据管理建设中的重要环节，具体表现为数据标准为数据质量平台提供统一的数据标准定义和平台逻辑模型，数据标准是数据质量平台进行数据治理的依据和根本，数据标准是衡量医院业务数据资产运营和管理的评估依据。</w:t>
      </w:r>
    </w:p>
    <w:p w14:paraId="23702F90">
      <w:pPr>
        <w:pStyle w:val="359"/>
        <w:ind w:firstLine="420"/>
        <w:rPr>
          <w:rFonts w:hint="eastAsia" w:ascii="宋体" w:hAnsi="宋体"/>
          <w:color w:val="000000"/>
          <w:szCs w:val="21"/>
          <w:highlight w:val="none"/>
        </w:rPr>
      </w:pPr>
      <w:r>
        <w:rPr>
          <w:rFonts w:hint="eastAsia" w:ascii="宋体" w:hAnsi="宋体"/>
          <w:color w:val="000000"/>
          <w:szCs w:val="21"/>
          <w:highlight w:val="none"/>
        </w:rPr>
        <w:t>数据标准管理的目标是通过统一的数据标准制定和发布，结合制度约束、系统控制等手段，实现数据的完整性、有效性、一致性、规范性、开放性和共享性管理，为数据资产管理提供参考依据。数据标准管理是规范数据标准的制定和实施的一系列活动，是数据资产管理的核心活动之一，对于医院提升数据质量、梳理业务数据组成结构、加快业务部门间的数据流通、释放数据价值有着至关重要的作用。</w:t>
      </w:r>
    </w:p>
    <w:p w14:paraId="21DD7A56">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数据类型管理</w:t>
      </w:r>
    </w:p>
    <w:p w14:paraId="48AAF29C">
      <w:pPr>
        <w:pStyle w:val="359"/>
        <w:ind w:firstLine="420"/>
        <w:rPr>
          <w:rFonts w:hint="eastAsia" w:ascii="宋体" w:hAnsi="宋体"/>
          <w:color w:val="000000"/>
          <w:szCs w:val="21"/>
          <w:highlight w:val="none"/>
        </w:rPr>
      </w:pPr>
      <w:r>
        <w:rPr>
          <w:rFonts w:hint="eastAsia" w:ascii="宋体" w:hAnsi="宋体"/>
          <w:color w:val="000000"/>
          <w:szCs w:val="21"/>
          <w:highlight w:val="none"/>
        </w:rPr>
        <w:t>数据类型管理医院一类业务数据的全部信息，通过类型区分医院不同业务数据。数据类型需要覆盖医院整个业务流程，将医院业务处理过程中产生的数据记录下来。从医院部门职能角度出发，数据有多种维度，包括门诊部门数据、急诊部门数据、住院部门数据，数据类型管理的核心任务是将不同维度的数据包含起来，为医院业务数据的质量分析提供参考依据。</w:t>
      </w:r>
    </w:p>
    <w:p w14:paraId="612A1B71">
      <w:pPr>
        <w:pStyle w:val="359"/>
        <w:ind w:firstLine="420"/>
        <w:rPr>
          <w:rFonts w:hint="eastAsia" w:ascii="宋体" w:hAnsi="宋体"/>
          <w:color w:val="000000"/>
          <w:szCs w:val="21"/>
          <w:highlight w:val="none"/>
        </w:rPr>
      </w:pPr>
      <w:r>
        <w:rPr>
          <w:rFonts w:hint="eastAsia" w:ascii="宋体" w:hAnsi="宋体"/>
          <w:color w:val="000000"/>
          <w:szCs w:val="21"/>
          <w:highlight w:val="none"/>
        </w:rPr>
        <w:t>数据质量平台支持的数据类型包括综合业务、门诊业务、住院业务、药品业务、财务业务、手术业务、体检业务、病案业务、医技业务、护理业务、医嘱业务等。支持数据类型的新增、编辑、删除，列表信息查看，关键字过滤查询等操作。</w:t>
      </w:r>
    </w:p>
    <w:p w14:paraId="276BB6E9">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数据字典管理</w:t>
      </w:r>
    </w:p>
    <w:p w14:paraId="6A54E1F5">
      <w:pPr>
        <w:rPr>
          <w:rFonts w:hint="eastAsia"/>
          <w:szCs w:val="21"/>
          <w:highlight w:val="none"/>
        </w:rPr>
      </w:pPr>
      <w:r>
        <w:rPr>
          <w:rFonts w:hint="eastAsia"/>
          <w:szCs w:val="21"/>
          <w:highlight w:val="none"/>
        </w:rPr>
        <w:t>数据字典管理对医院内部基础字典和业务字典进行统一维护，增强基础数据一致性。通过做好包括机构字典、科室字典、库房字典、建筑字典、房间字典、病区字典、床位字典、人员字典等数据字典，形成字典标准并进行统一维护管理，从而最大程度的消除歧义和交流不畅问题，助力医疗机构从源头把控数据质量，有效帮助医疗机构做好数据转化的基础工作，全面支撑医院数据质量精细化管理。</w:t>
      </w:r>
    </w:p>
    <w:p w14:paraId="556D619F">
      <w:pPr>
        <w:rPr>
          <w:rFonts w:hint="eastAsia"/>
          <w:szCs w:val="21"/>
          <w:highlight w:val="none"/>
        </w:rPr>
      </w:pPr>
      <w:r>
        <w:rPr>
          <w:rFonts w:hint="eastAsia"/>
          <w:szCs w:val="21"/>
          <w:highlight w:val="none"/>
        </w:rPr>
        <w:t>用户可按照基础类别和业务类别新增、修改、删除字典数据项与字典表；并提供字典的导入与导出功能。同时也支持用户按字典数据项、字典表名模糊检索以提高检索效率。</w:t>
      </w:r>
    </w:p>
    <w:p w14:paraId="604706FF">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质量规则管理</w:t>
      </w:r>
    </w:p>
    <w:p w14:paraId="1FE4569B">
      <w:pPr>
        <w:rPr>
          <w:rFonts w:hint="eastAsia"/>
          <w:szCs w:val="21"/>
          <w:highlight w:val="none"/>
        </w:rPr>
      </w:pPr>
      <w:r>
        <w:rPr>
          <w:rFonts w:hint="eastAsia"/>
          <w:szCs w:val="21"/>
          <w:highlight w:val="none"/>
        </w:rPr>
        <w:t>通过配置质量控制规则，衡量医院数据质量水平。质量控制规则内容包括规则名称、规则类别，规则类型，规则脚本，规则描述。列表记录支持规则名称关键字过滤，支持规则新增、编辑、删除等操作。质量控制规则管理包括规则类别管理和规则类型管理。</w:t>
      </w:r>
    </w:p>
    <w:p w14:paraId="15DB365A">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规则类别管理</w:t>
      </w:r>
    </w:p>
    <w:p w14:paraId="15C0DD76">
      <w:pPr>
        <w:pStyle w:val="359"/>
        <w:ind w:firstLine="420"/>
        <w:rPr>
          <w:rFonts w:hint="eastAsia" w:ascii="宋体" w:hAnsi="宋体"/>
          <w:color w:val="000000"/>
          <w:szCs w:val="21"/>
          <w:highlight w:val="none"/>
        </w:rPr>
      </w:pPr>
      <w:r>
        <w:rPr>
          <w:rFonts w:hint="eastAsia" w:ascii="宋体" w:hAnsi="宋体"/>
          <w:color w:val="000000"/>
          <w:szCs w:val="21"/>
          <w:highlight w:val="none"/>
        </w:rPr>
        <w:t>规则类别管理包括基础规则、权限相关校验、药品业务校验、收费业务校验、病历相关校验、诊疗项目校验、以及其他类别。</w:t>
      </w:r>
    </w:p>
    <w:p w14:paraId="22FCA547">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规则类型管理</w:t>
      </w:r>
    </w:p>
    <w:p w14:paraId="515D4B1E">
      <w:pPr>
        <w:rPr>
          <w:rFonts w:hint="eastAsia"/>
          <w:szCs w:val="21"/>
          <w:highlight w:val="none"/>
        </w:rPr>
      </w:pPr>
      <w:r>
        <w:rPr>
          <w:rFonts w:hint="eastAsia"/>
          <w:szCs w:val="21"/>
          <w:highlight w:val="none"/>
        </w:rPr>
        <w:t>基于数据质量评级标准体系六大类：完整性、一致性、有效性、唯一性、准确性、及时性，结合电子病历评级所要求的一致性、完整性、整合性、及时性和互联互通测评的数据质量所要求的逻辑性、及时性、完整性、稳定性、准确性。将系统的数据质量规则分为两大类，基础规则和业务规则，其中基础类型规则包括一致性、完整性、唯一性。业务类型规则包括整合性、及时性、逻辑性、稳定性、准确性、有效性。基础规则用于检验数据项的相关格式校验，例如日期项是否符合日期格式规范要求，数据字段是否为空，数值项是否超过长度要求，以及是否存在非数值符号。业务规则用于医院实际业务场景产生的数据校验，例如门诊医生没有分发挂号权限，药品盘点单与药品库存账页数据是否一致，住院结账主表与住院结账发票细表金额对比，诊疗收费项目维护数量是否异常。</w:t>
      </w:r>
    </w:p>
    <w:p w14:paraId="03178BD4">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质量模型管理</w:t>
      </w:r>
    </w:p>
    <w:p w14:paraId="395BF3E5">
      <w:pPr>
        <w:rPr>
          <w:rFonts w:hint="eastAsia"/>
          <w:szCs w:val="21"/>
          <w:highlight w:val="none"/>
        </w:rPr>
      </w:pPr>
      <w:r>
        <w:rPr>
          <w:rFonts w:hint="eastAsia"/>
          <w:szCs w:val="21"/>
          <w:highlight w:val="none"/>
        </w:rPr>
        <w:t>医院数据资源具有横跨院区多、部门多，数据采集密度大、频度高，数据处理流程复杂等特点，为了保证数据质量的高水平，平台可设置质量控制模型加以维护管理。质量控制模型包括质量基础模型、质量定义模型、质量控制模型。</w:t>
      </w:r>
    </w:p>
    <w:p w14:paraId="17A874A8">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质量基础模型</w:t>
      </w:r>
    </w:p>
    <w:p w14:paraId="3490210E">
      <w:pPr>
        <w:rPr>
          <w:rFonts w:hint="eastAsia"/>
          <w:szCs w:val="21"/>
          <w:highlight w:val="none"/>
        </w:rPr>
      </w:pPr>
      <w:r>
        <w:rPr>
          <w:rFonts w:hint="eastAsia"/>
          <w:szCs w:val="21"/>
          <w:highlight w:val="none"/>
        </w:rPr>
        <w:t>基础模型部分是平台整个模型框架的支撑核心部分，其他质量模型的定义和控制必须以基础模型中的计划和标准为依据。基础模型主要是映射、定义数据采集标准，同时纳入了约束规则定义规范、控制规则定义规范、模板定义规范。</w:t>
      </w:r>
    </w:p>
    <w:p w14:paraId="1850EFA1">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质量定义模型</w:t>
      </w:r>
    </w:p>
    <w:p w14:paraId="7405A949">
      <w:pPr>
        <w:pStyle w:val="359"/>
        <w:ind w:firstLine="420"/>
        <w:rPr>
          <w:rFonts w:hint="eastAsia" w:ascii="宋体" w:hAnsi="宋体"/>
          <w:color w:val="000000"/>
          <w:szCs w:val="21"/>
          <w:highlight w:val="none"/>
        </w:rPr>
      </w:pPr>
      <w:r>
        <w:rPr>
          <w:rFonts w:hint="eastAsia" w:ascii="宋体" w:hAnsi="宋体"/>
          <w:color w:val="000000"/>
          <w:szCs w:val="21"/>
          <w:highlight w:val="none"/>
        </w:rPr>
        <w:t>数据质量定义模型的建立实现了以基础模型为前提对数据质量的统一规范的定义</w:t>
      </w:r>
      <w:r>
        <w:rPr>
          <w:rFonts w:ascii="宋体" w:hAnsi="宋体"/>
          <w:color w:val="000000"/>
          <w:szCs w:val="21"/>
          <w:highlight w:val="none"/>
        </w:rPr>
        <w:t>,是数据质量分析评价的依据和基础。数据质量定义模型可以使用质量特性描述。数据质量特性归纳为数据完整性、及时性、准确性、一致性、唯一性、有效性6个特性。</w:t>
      </w:r>
    </w:p>
    <w:p w14:paraId="183C3F65">
      <w:pPr>
        <w:pStyle w:val="359"/>
        <w:ind w:firstLine="420"/>
        <w:rPr>
          <w:rFonts w:hint="eastAsia" w:ascii="宋体" w:hAnsi="宋体"/>
          <w:color w:val="000000"/>
          <w:szCs w:val="21"/>
          <w:highlight w:val="none"/>
        </w:rPr>
      </w:pPr>
      <w:r>
        <w:rPr>
          <w:rFonts w:hint="eastAsia" w:ascii="宋体" w:hAnsi="宋体"/>
          <w:color w:val="000000"/>
          <w:szCs w:val="21"/>
          <w:highlight w:val="none"/>
        </w:rPr>
        <w:t>完整性，指数据在创建、传递过程中无缺失和遗漏。包括实体完整、属性完整、记录完整和字段值完整四个方面，完整性是数据质量最基础的评判维度。例如：医院病房医嘱处理项目中的患者标识、医嘱号、医嘱分类、医嘱项目编码、医嘱项目名称等信息是否完整。</w:t>
      </w:r>
    </w:p>
    <w:p w14:paraId="5A58D27E">
      <w:pPr>
        <w:rPr>
          <w:rFonts w:hint="eastAsia"/>
          <w:szCs w:val="21"/>
          <w:highlight w:val="none"/>
        </w:rPr>
      </w:pPr>
      <w:r>
        <w:rPr>
          <w:rFonts w:hint="eastAsia"/>
          <w:szCs w:val="21"/>
          <w:highlight w:val="none"/>
        </w:rPr>
        <w:t>及时性，指及时记录和传递相关数据，满足业务对信息获取的时间要求。数据交付的及时性，及时抽取、及时展现，如果数据交付时间过长，可能导致分析结论失去参考意义。例如：检验科室的标本采集时间、标本接收时间、标本报告时间三者之间的时间先后关系。</w:t>
      </w:r>
    </w:p>
    <w:p w14:paraId="1C900C95">
      <w:pPr>
        <w:pStyle w:val="359"/>
        <w:ind w:firstLine="420"/>
        <w:rPr>
          <w:rFonts w:hint="eastAsia" w:ascii="宋体" w:hAnsi="宋体"/>
          <w:color w:val="000000"/>
          <w:szCs w:val="21"/>
          <w:highlight w:val="none"/>
        </w:rPr>
      </w:pPr>
      <w:r>
        <w:rPr>
          <w:rFonts w:hint="eastAsia" w:ascii="宋体" w:hAnsi="宋体"/>
          <w:color w:val="000000"/>
          <w:szCs w:val="21"/>
          <w:highlight w:val="none"/>
        </w:rPr>
        <w:t>准确性，指真实、准确记录原始数据，无虚假数据及信息，数据准确反映其所建模的实体。例如：患者的身份信息必须同身份证件上的信息一样，确保信息的准确性。</w:t>
      </w:r>
    </w:p>
    <w:p w14:paraId="5D3F7DAE">
      <w:pPr>
        <w:pStyle w:val="359"/>
        <w:ind w:firstLine="420"/>
        <w:rPr>
          <w:rFonts w:hint="eastAsia" w:ascii="宋体" w:hAnsi="宋体"/>
          <w:color w:val="000000"/>
          <w:szCs w:val="21"/>
          <w:highlight w:val="none"/>
        </w:rPr>
      </w:pPr>
      <w:r>
        <w:rPr>
          <w:rFonts w:hint="eastAsia" w:ascii="宋体" w:hAnsi="宋体"/>
          <w:color w:val="000000"/>
          <w:szCs w:val="21"/>
          <w:highlight w:val="none"/>
        </w:rPr>
        <w:t>一致性，指遵守统一的数据标准，记录和传递数据和信息，主要体现在数据记录的规范和数据是否符合逻辑。例如：患者性别名称与数据字典标准中的性别名称是否一致。</w:t>
      </w:r>
    </w:p>
    <w:p w14:paraId="67C555F9">
      <w:pPr>
        <w:pStyle w:val="359"/>
        <w:ind w:firstLine="420"/>
        <w:rPr>
          <w:rFonts w:hint="eastAsia" w:ascii="宋体" w:hAnsi="宋体"/>
          <w:color w:val="000000"/>
          <w:szCs w:val="21"/>
          <w:highlight w:val="none"/>
        </w:rPr>
      </w:pPr>
      <w:r>
        <w:rPr>
          <w:rFonts w:hint="eastAsia" w:ascii="宋体" w:hAnsi="宋体"/>
          <w:color w:val="000000"/>
          <w:szCs w:val="21"/>
          <w:highlight w:val="none"/>
        </w:rPr>
        <w:t>唯一性，指同一数据只能有唯一的标识符。体现在一个数据集中，没有实体多余一次出现，并且每个唯一实体有一个键值且该键值只指向该实体。例如：同一患者在医院各业务系统中有且仅有一个编号。</w:t>
      </w:r>
    </w:p>
    <w:p w14:paraId="18802287">
      <w:pPr>
        <w:pStyle w:val="359"/>
        <w:ind w:firstLine="420"/>
        <w:rPr>
          <w:rFonts w:hint="eastAsia" w:ascii="宋体" w:hAnsi="宋体"/>
          <w:color w:val="000000"/>
          <w:szCs w:val="21"/>
          <w:highlight w:val="none"/>
        </w:rPr>
      </w:pPr>
      <w:r>
        <w:rPr>
          <w:rFonts w:hint="eastAsia" w:ascii="宋体" w:hAnsi="宋体"/>
          <w:color w:val="000000"/>
          <w:szCs w:val="21"/>
          <w:highlight w:val="none"/>
        </w:rPr>
        <w:t>有效性，指数据的值、格式和展现形式符合数据定义和业务定义的要求。描述数据格式、数据类型、值域和相关业务规则的有效性。例如：患者的疾病类型必须存在于疾病基础数据中定义的允许值。</w:t>
      </w:r>
    </w:p>
    <w:p w14:paraId="06B94C32">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质量控制模型</w:t>
      </w:r>
    </w:p>
    <w:p w14:paraId="0DACC1A8">
      <w:pPr>
        <w:rPr>
          <w:rFonts w:hint="eastAsia"/>
          <w:szCs w:val="21"/>
          <w:highlight w:val="none"/>
        </w:rPr>
      </w:pPr>
      <w:r>
        <w:rPr>
          <w:rFonts w:hint="eastAsia"/>
          <w:szCs w:val="21"/>
          <w:highlight w:val="none"/>
        </w:rPr>
        <w:t>数据质量控制模型以数据质量定义模型为基础，按照定义的检查范围和时间以自动或手工方式完成对数据质量的检查工作。在质量控制过程中违反了数据质量定义的，视为数据质量问题，数据质量问题直接通过数据质量的关键特性和指标反映出来。数据质量控制模型的控制内容表现在</w:t>
      </w:r>
      <w:r>
        <w:rPr>
          <w:szCs w:val="21"/>
          <w:highlight w:val="none"/>
        </w:rPr>
        <w:t>:对数据检查对象、数据检查频度、数据检查时间、数据检查方式等方面进行控制。</w:t>
      </w:r>
    </w:p>
    <w:p w14:paraId="378DF2F1">
      <w:pPr>
        <w:pStyle w:val="359"/>
        <w:ind w:firstLine="420"/>
        <w:rPr>
          <w:rFonts w:hint="eastAsia" w:ascii="宋体" w:hAnsi="宋体"/>
          <w:color w:val="000000"/>
          <w:szCs w:val="21"/>
          <w:highlight w:val="none"/>
        </w:rPr>
      </w:pPr>
      <w:r>
        <w:rPr>
          <w:rFonts w:ascii="宋体" w:hAnsi="宋体"/>
          <w:color w:val="000000"/>
          <w:szCs w:val="21"/>
          <w:highlight w:val="none"/>
        </w:rPr>
        <w:t>(1)数据检查对象：是指根据采集计划设定需要检查的用户、专业数据表、数据库实体。</w:t>
      </w:r>
    </w:p>
    <w:p w14:paraId="5BADE822">
      <w:pPr>
        <w:pStyle w:val="359"/>
        <w:ind w:firstLine="420"/>
        <w:rPr>
          <w:rFonts w:hint="eastAsia" w:ascii="宋体" w:hAnsi="宋体"/>
          <w:color w:val="000000"/>
          <w:szCs w:val="21"/>
          <w:highlight w:val="none"/>
        </w:rPr>
      </w:pPr>
      <w:r>
        <w:rPr>
          <w:rFonts w:ascii="宋体" w:hAnsi="宋体"/>
          <w:color w:val="000000"/>
          <w:szCs w:val="21"/>
          <w:highlight w:val="none"/>
        </w:rPr>
        <w:t>(2)数据检查频度：是指根据数据表的采集计划和实际发生的频度，设定存储过程的检查执行频率。</w:t>
      </w:r>
    </w:p>
    <w:p w14:paraId="39AF3F5D">
      <w:pPr>
        <w:pStyle w:val="359"/>
        <w:ind w:firstLine="420"/>
        <w:rPr>
          <w:rFonts w:hint="eastAsia" w:ascii="宋体" w:hAnsi="宋体"/>
          <w:color w:val="000000"/>
          <w:szCs w:val="21"/>
          <w:highlight w:val="none"/>
        </w:rPr>
      </w:pPr>
      <w:r>
        <w:rPr>
          <w:rFonts w:ascii="宋体" w:hAnsi="宋体"/>
          <w:color w:val="000000"/>
          <w:szCs w:val="21"/>
          <w:highlight w:val="none"/>
        </w:rPr>
        <w:t>(3)数据检查时间：是指根据医院每日生产业务的密集时间以及数据发生到采集入库的密集时间,综合设定一个检查开始执行的时刻。</w:t>
      </w:r>
    </w:p>
    <w:p w14:paraId="131E928D">
      <w:pPr>
        <w:pStyle w:val="359"/>
        <w:ind w:firstLine="420"/>
        <w:rPr>
          <w:rFonts w:hint="eastAsia" w:ascii="宋体" w:hAnsi="宋体"/>
          <w:color w:val="000000"/>
          <w:szCs w:val="21"/>
          <w:highlight w:val="none"/>
        </w:rPr>
      </w:pPr>
      <w:r>
        <w:rPr>
          <w:rFonts w:ascii="宋体" w:hAnsi="宋体"/>
          <w:color w:val="000000"/>
          <w:szCs w:val="21"/>
          <w:highlight w:val="none"/>
        </w:rPr>
        <w:t>(4)数据检查方式：是指执行检查过程的方式可以由后台过程自动控制，例如每间隔2小时自动检查一次。平台也支持由人工干预手动检查，任意时刻都可以执行检查。</w:t>
      </w:r>
    </w:p>
    <w:p w14:paraId="16E8F4CE">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质量方案管理</w:t>
      </w:r>
    </w:p>
    <w:p w14:paraId="0204448D">
      <w:pPr>
        <w:rPr>
          <w:rFonts w:hint="eastAsia"/>
          <w:szCs w:val="21"/>
          <w:highlight w:val="none"/>
        </w:rPr>
      </w:pPr>
      <w:r>
        <w:rPr>
          <w:rFonts w:hint="eastAsia"/>
          <w:szCs w:val="21"/>
          <w:highlight w:val="none"/>
        </w:rPr>
        <w:t>为了加强医院全面数据质量管理，规范医疗行为，强化医疗卫生工作的数据质量意识和服务意识，不断提高医院数据质量，为广大人民群众提供优质、高效的医疗服务，制定对应质量控制方案。通过推行质量控制方案管理，使医院的医疗数据质量管理工作达到标准化、规范化，从而提高工作质量及效率。</w:t>
      </w:r>
    </w:p>
    <w:p w14:paraId="78C69429">
      <w:pPr>
        <w:rPr>
          <w:rFonts w:hint="eastAsia"/>
          <w:szCs w:val="21"/>
          <w:highlight w:val="none"/>
        </w:rPr>
      </w:pPr>
      <w:r>
        <w:rPr>
          <w:rFonts w:hint="eastAsia"/>
          <w:szCs w:val="21"/>
          <w:highlight w:val="none"/>
        </w:rPr>
        <w:t>质量控制方案管理属于医院管理的核心内容之一，优质的医院数据质量必然会产生良好的经济效益和社会效益。为保证医院数据质量不但提升，平台支持数据质量控制方案管理，实行全面数据质量管理和全程数据质量控制。建立从患者就医到离院，包括门诊医疗、急诊医疗和住院医疗的全程数据质量控制流程和全程数据质量管理体系。实施动态监控质量控制方案并与医院实际业务结合，保证质量控制方案的执行落实。</w:t>
      </w:r>
    </w:p>
    <w:p w14:paraId="752ED8E9">
      <w:pPr>
        <w:rPr>
          <w:rFonts w:hint="eastAsia"/>
          <w:szCs w:val="21"/>
          <w:highlight w:val="none"/>
        </w:rPr>
      </w:pPr>
      <w:r>
        <w:rPr>
          <w:rFonts w:hint="eastAsia"/>
          <w:szCs w:val="21"/>
          <w:highlight w:val="none"/>
        </w:rPr>
        <w:t>通过科学的数据质量控制方案管理，建立正常、严谨的工作秩序，确保医院数据质量与安全，促进医院医疗技术水平，数据质量水平，不断发展。</w:t>
      </w:r>
    </w:p>
    <w:p w14:paraId="214468B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质量任务管理</w:t>
      </w:r>
    </w:p>
    <w:p w14:paraId="5871267D">
      <w:pPr>
        <w:pStyle w:val="359"/>
        <w:ind w:firstLine="420"/>
        <w:rPr>
          <w:rFonts w:hint="eastAsia" w:ascii="宋体" w:hAnsi="宋体"/>
          <w:color w:val="000000"/>
          <w:szCs w:val="21"/>
          <w:highlight w:val="none"/>
        </w:rPr>
      </w:pPr>
      <w:r>
        <w:rPr>
          <w:rFonts w:hint="eastAsia" w:ascii="宋体" w:hAnsi="宋体"/>
          <w:color w:val="000000"/>
          <w:szCs w:val="21"/>
          <w:highlight w:val="none"/>
        </w:rPr>
        <w:t>质量控制方案为提前预设的一种计划行动措施，为确保质量控制方案按照方案内容、范围、标准、要求达到方案预期效果，保证医院数据质量符合规范、标准和要求，需要配置具体任务来支撑方案的执行落地。平台支持质量控制任务管理，支持任务的新增、编辑、删除，任务复制、任务状态的开启关闭等操作。</w:t>
      </w:r>
    </w:p>
    <w:p w14:paraId="07DE8199">
      <w:pPr>
        <w:pStyle w:val="359"/>
        <w:ind w:firstLine="420"/>
        <w:rPr>
          <w:rFonts w:hint="eastAsia" w:ascii="宋体" w:hAnsi="宋体"/>
          <w:color w:val="000000"/>
          <w:szCs w:val="21"/>
          <w:highlight w:val="none"/>
        </w:rPr>
      </w:pPr>
      <w:r>
        <w:rPr>
          <w:rFonts w:hint="eastAsia" w:ascii="宋体" w:hAnsi="宋体"/>
          <w:color w:val="000000"/>
          <w:szCs w:val="21"/>
          <w:highlight w:val="none"/>
        </w:rPr>
        <w:t>质量任务管理包括基础任务和业务任务。</w:t>
      </w:r>
    </w:p>
    <w:p w14:paraId="7E1E8B8B">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基础任务管理</w:t>
      </w:r>
    </w:p>
    <w:p w14:paraId="74DC3FD7">
      <w:pPr>
        <w:pStyle w:val="359"/>
        <w:ind w:firstLine="420"/>
        <w:rPr>
          <w:rFonts w:hint="eastAsia" w:ascii="宋体" w:hAnsi="宋体"/>
          <w:color w:val="000000"/>
          <w:szCs w:val="21"/>
          <w:highlight w:val="none"/>
        </w:rPr>
      </w:pPr>
      <w:r>
        <w:rPr>
          <w:rFonts w:hint="eastAsia" w:ascii="宋体" w:hAnsi="宋体"/>
          <w:color w:val="000000"/>
          <w:szCs w:val="21"/>
          <w:highlight w:val="none"/>
        </w:rPr>
        <w:t>基础任务管理包括检验医院业务数据项是否为空值，数据项是否与数据字典标准项一致。</w:t>
      </w:r>
    </w:p>
    <w:p w14:paraId="408A0E1F">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业务任务管理</w:t>
      </w:r>
    </w:p>
    <w:p w14:paraId="0B4C8E36">
      <w:pPr>
        <w:pStyle w:val="359"/>
        <w:ind w:firstLine="420"/>
        <w:rPr>
          <w:rFonts w:hint="eastAsia" w:ascii="宋体" w:hAnsi="宋体"/>
          <w:color w:val="000000"/>
          <w:szCs w:val="21"/>
          <w:highlight w:val="none"/>
        </w:rPr>
      </w:pPr>
      <w:r>
        <w:rPr>
          <w:rFonts w:hint="eastAsia" w:ascii="宋体" w:hAnsi="宋体"/>
          <w:color w:val="000000"/>
          <w:szCs w:val="21"/>
          <w:highlight w:val="none"/>
        </w:rPr>
        <w:t>业务任务管理核心内容为医疗数据质控任务，主要包括门诊医疗数据质控任务、住院医疗数据质控任务、康复医疗数据质控任务和急救医疗数据质控任务。</w:t>
      </w:r>
    </w:p>
    <w:p w14:paraId="12F86405">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质量报告管理</w:t>
      </w:r>
    </w:p>
    <w:p w14:paraId="5E21C258">
      <w:pPr>
        <w:pStyle w:val="359"/>
        <w:ind w:firstLine="420"/>
        <w:rPr>
          <w:rFonts w:hint="eastAsia" w:ascii="宋体" w:hAnsi="宋体"/>
          <w:color w:val="000000"/>
          <w:szCs w:val="21"/>
          <w:highlight w:val="none"/>
        </w:rPr>
      </w:pPr>
      <w:r>
        <w:rPr>
          <w:rFonts w:hint="eastAsia" w:ascii="宋体" w:hAnsi="宋体"/>
          <w:color w:val="000000"/>
          <w:szCs w:val="21"/>
          <w:highlight w:val="none"/>
        </w:rPr>
        <w:t>通过数据质量报告指出数据质量控制体系在运行过程中存在的普遍问题和值得注意和加强的方面，并提出明确的要求和措施。质量报告管理包括质量结果报告、质量综合报告、质量监控报告。</w:t>
      </w:r>
    </w:p>
    <w:p w14:paraId="5029A274">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质量结果报告</w:t>
      </w:r>
    </w:p>
    <w:p w14:paraId="684A18FA">
      <w:pPr>
        <w:pStyle w:val="359"/>
        <w:ind w:firstLine="422"/>
        <w:rPr>
          <w:rFonts w:hint="eastAsia" w:ascii="宋体" w:hAnsi="宋体"/>
          <w:b/>
          <w:bCs/>
          <w:color w:val="000000"/>
          <w:szCs w:val="21"/>
          <w:highlight w:val="none"/>
        </w:rPr>
      </w:pPr>
      <w:r>
        <w:rPr>
          <w:rFonts w:hint="eastAsia" w:ascii="宋体" w:hAnsi="宋体"/>
          <w:b/>
          <w:bCs/>
          <w:color w:val="000000"/>
          <w:szCs w:val="21"/>
          <w:highlight w:val="none"/>
        </w:rPr>
        <w:t>▲依据数据质量控制方案，按要求在各个阶段分别按步骤、分时段进行数据质量控制，形成数据质量结果报告。数据质量结果报告是通过图文并茂的报告形式将数据质量问题进行周期性的说明。（要求提供符合以上功能说明的产品截图）</w:t>
      </w:r>
    </w:p>
    <w:p w14:paraId="7DAD0AAE">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质量综合报告</w:t>
      </w:r>
    </w:p>
    <w:p w14:paraId="727FA992">
      <w:pPr>
        <w:pStyle w:val="359"/>
        <w:ind w:firstLine="420"/>
        <w:rPr>
          <w:rFonts w:hint="eastAsia" w:ascii="宋体" w:hAnsi="宋体"/>
          <w:color w:val="000000"/>
          <w:szCs w:val="21"/>
          <w:highlight w:val="none"/>
        </w:rPr>
      </w:pPr>
      <w:r>
        <w:rPr>
          <w:rFonts w:hint="eastAsia" w:ascii="宋体" w:hAnsi="宋体"/>
          <w:color w:val="000000"/>
          <w:szCs w:val="21"/>
          <w:highlight w:val="none"/>
        </w:rPr>
        <w:t>质量综合报告定期对医院业务的数据质量信息进行统计分析，对特殊数据质量事件重点关注和阐述。对近期数据统计出现的质量事故、质量事件、潜在或可能的质量倾向进行简要说明。</w:t>
      </w:r>
    </w:p>
    <w:p w14:paraId="269949B1">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质量监控报告</w:t>
      </w:r>
    </w:p>
    <w:p w14:paraId="61ACC452">
      <w:pPr>
        <w:pStyle w:val="359"/>
        <w:ind w:firstLine="420"/>
        <w:rPr>
          <w:rFonts w:hint="eastAsia" w:ascii="宋体" w:hAnsi="宋体"/>
          <w:color w:val="000000"/>
          <w:szCs w:val="21"/>
          <w:highlight w:val="none"/>
        </w:rPr>
      </w:pPr>
      <w:r>
        <w:rPr>
          <w:rFonts w:hint="eastAsia" w:ascii="宋体" w:hAnsi="宋体"/>
          <w:color w:val="000000"/>
          <w:szCs w:val="21"/>
          <w:highlight w:val="none"/>
        </w:rPr>
        <w:t>平台对数据质量日常监控以及质量评估等过程累积的各种信息进行汇总、梳理、统计和分析，形成质量监控报告。支持设置评分标准，当任务执行后产生的评分结果低于设定的标准，平台将自动通过短信方式告知医院相关科室负责人。</w:t>
      </w:r>
    </w:p>
    <w:p w14:paraId="3BF46065">
      <w:pPr>
        <w:pStyle w:val="5"/>
        <w:rPr>
          <w:rFonts w:hint="eastAsia" w:ascii="宋体" w:hAnsi="宋体" w:eastAsia="宋体"/>
          <w:sz w:val="21"/>
          <w:szCs w:val="21"/>
          <w:highlight w:val="none"/>
        </w:rPr>
      </w:pPr>
      <w:bookmarkStart w:id="110" w:name="_Toc8035"/>
      <w:bookmarkStart w:id="111" w:name="_Toc118987364"/>
      <w:r>
        <w:rPr>
          <w:rFonts w:hint="eastAsia" w:ascii="宋体" w:hAnsi="宋体" w:eastAsia="宋体"/>
          <w:sz w:val="21"/>
          <w:szCs w:val="21"/>
          <w:highlight w:val="none"/>
        </w:rPr>
        <w:t>电子病历共享文档库</w:t>
      </w:r>
      <w:bookmarkEnd w:id="110"/>
      <w:bookmarkEnd w:id="111"/>
    </w:p>
    <w:p w14:paraId="2922DE08">
      <w:pPr>
        <w:rPr>
          <w:rFonts w:hint="eastAsia"/>
          <w:szCs w:val="21"/>
          <w:highlight w:val="none"/>
        </w:rPr>
      </w:pPr>
      <w:r>
        <w:rPr>
          <w:rFonts w:hint="eastAsia"/>
          <w:szCs w:val="21"/>
          <w:highlight w:val="none"/>
        </w:rPr>
        <w:t>以患者为中心，围绕患者所发生的实际临床业务活动组织文档，生成符合《电子病历共享文档规范》的临床文档病历进行归档与储存。要求基于已注册的</w:t>
      </w:r>
      <w:r>
        <w:rPr>
          <w:szCs w:val="21"/>
          <w:highlight w:val="none"/>
        </w:rPr>
        <w:t>EMR文档分类进行文档的分类、标识，实现根据实际授权情况进行EMR文档的全部、部分、单个文档的调阅与应用。要求通过生成符合卫生部共享文档规范的临床文档进行归档与储存，最终形成电子病历共享文档库。电子病历共享文档库：要求以XML文档形式存储，主要应用于医疗信息共享协同，符合卫生部电子病历共享文档库文档规范和电子病历基本数据集标准。</w:t>
      </w:r>
    </w:p>
    <w:p w14:paraId="39AC9C7E">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数据集标准化</w:t>
      </w:r>
    </w:p>
    <w:p w14:paraId="2DFC6178">
      <w:pPr>
        <w:rPr>
          <w:rFonts w:hint="eastAsia"/>
          <w:szCs w:val="21"/>
          <w:highlight w:val="none"/>
        </w:rPr>
      </w:pPr>
      <w:r>
        <w:rPr>
          <w:rFonts w:hint="eastAsia"/>
          <w:szCs w:val="21"/>
          <w:highlight w:val="none"/>
        </w:rPr>
        <w:t>数据集标准化建设的主要目标是，确保医院信息平台输出的数据符合《卫生信息数据元目录》、</w:t>
      </w:r>
      <w:r>
        <w:rPr>
          <w:rFonts w:hint="eastAsia" w:cs="宋体"/>
          <w:bCs/>
          <w:color w:val="000000"/>
          <w:kern w:val="0"/>
          <w:szCs w:val="21"/>
          <w:highlight w:val="none"/>
        </w:rPr>
        <w:t>《卫生信息数据元值域代码》</w:t>
      </w:r>
      <w:r>
        <w:rPr>
          <w:rFonts w:hint="eastAsia"/>
          <w:szCs w:val="21"/>
          <w:highlight w:val="none"/>
        </w:rPr>
        <w:t>、《电子病历基本数据集》的要求。电子病历基本架构分为病历概要、门（急）诊病历记录、住院病历记录、转诊（院）记录、医疗机构信息，共</w:t>
      </w:r>
      <w:r>
        <w:rPr>
          <w:szCs w:val="21"/>
          <w:highlight w:val="none"/>
        </w:rPr>
        <w:t>5个业务域。按照各业务域的信息内容根据临床业务规范和实际应用需要，细分为若干个既相对独立又彼此关联的“业务活动记录类别”。《电子病历基本数据集》标准就是基于“业务活动记录类别”这一层级划分的，共分为17个部分，58个数据子集。</w:t>
      </w:r>
    </w:p>
    <w:p w14:paraId="46340E50">
      <w:pPr>
        <w:rPr>
          <w:rFonts w:hint="eastAsia"/>
          <w:szCs w:val="21"/>
          <w:highlight w:val="none"/>
        </w:rPr>
      </w:pPr>
      <w:r>
        <w:rPr>
          <w:rFonts w:hint="eastAsia"/>
          <w:szCs w:val="21"/>
          <w:highlight w:val="none"/>
        </w:rPr>
        <w:t>需要完成标准的文书包括门急诊病历子集、中药处方子集、检查记录子集、检验记录子集、治疗记录子集、一般手术记录子集、麻醉术前访视记录子集、麻醉记录子集、麻醉术后访视记录子集、输血记录子集、一般护理记录子集、病危（重）护理记录子集、手术护理记录子集、出入量记录子集、高值耗材使用记录子集、护理计划记录子集、出院评估与指导记录子集、手术同意书子集、麻醉知情同意书子集、输血治疗同意书子集、特殊检查及特殊治疗同意书子集、病危（重）通知书子集、其他知情同意书子集、入院记录子集、首次病程记录子集、日常病程记录子集、上级医师查房记录子集、疑难病例讨论子集、交接班记录子集、转科记录子集、阶段小结子集、抢救记录子集、术前小结子集、术前讨论子集、术后首次病程记录子集、死亡记录子集、死亡病例讨论记录子集。</w:t>
      </w:r>
    </w:p>
    <w:p w14:paraId="5615E51C">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共享文档标准化</w:t>
      </w:r>
    </w:p>
    <w:p w14:paraId="2103390B">
      <w:pPr>
        <w:rPr>
          <w:rFonts w:hint="eastAsia"/>
          <w:szCs w:val="21"/>
          <w:highlight w:val="none"/>
        </w:rPr>
      </w:pPr>
      <w:r>
        <w:rPr>
          <w:rFonts w:hint="eastAsia"/>
          <w:szCs w:val="21"/>
          <w:highlight w:val="none"/>
        </w:rPr>
        <w:t>共享文档标准化建设的主要目标是，确保医院信息平台能够生成符合《卫生信息共享文档规范》要求的临床信息共享文档，并能够接收和管理符合规范要求的临床信息共享文档。卫生部发布的《卫生信息共享文档规范》中确立的文档架构是针对卫生行业电子交换文档而制定的一套文档标记语言及规范，借鉴了国际上已有的成熟文档架构标准</w:t>
      </w:r>
      <w:r>
        <w:rPr>
          <w:szCs w:val="21"/>
          <w:highlight w:val="none"/>
        </w:rPr>
        <w:t>HL7 CDA R2三层架构，并对CDA R2文档架构进行本土化约束和扩展，以适合和规范我国医疗卫生环境下的卫生信息共享文档的共享和交换。卫生信息共享文档由文档头、文档体组成，其中文档体又由文档章节和文档条目组成</w:t>
      </w:r>
      <w:r>
        <w:rPr>
          <w:rFonts w:hint="eastAsia"/>
          <w:szCs w:val="21"/>
          <w:highlight w:val="none"/>
        </w:rPr>
        <w:t>。</w:t>
      </w:r>
    </w:p>
    <w:p w14:paraId="13B0149E">
      <w:pPr>
        <w:rPr>
          <w:rFonts w:hint="eastAsia"/>
          <w:szCs w:val="21"/>
          <w:highlight w:val="none"/>
        </w:rPr>
      </w:pPr>
      <w:r>
        <w:rPr>
          <w:rFonts w:hint="eastAsia"/>
          <w:szCs w:val="21"/>
          <w:highlight w:val="none"/>
        </w:rPr>
        <w:t>共享文档标准化参考《</w:t>
      </w:r>
      <w:r>
        <w:rPr>
          <w:szCs w:val="21"/>
          <w:highlight w:val="none"/>
        </w:rPr>
        <w:t>WS/T 500.X-2016电子病历共享文档规范》系列标准进行共享文档的建设。共享文档依托于数据集的标准化建设，需要完成数据子集后再开展共享文档的建设工作。</w:t>
      </w:r>
    </w:p>
    <w:p w14:paraId="6513BF06">
      <w:pPr>
        <w:pStyle w:val="4"/>
        <w:rPr>
          <w:rFonts w:hint="eastAsia" w:ascii="宋体" w:hAnsi="宋体"/>
          <w:sz w:val="21"/>
          <w:szCs w:val="21"/>
          <w:highlight w:val="none"/>
        </w:rPr>
      </w:pPr>
      <w:bookmarkStart w:id="112" w:name="_Toc187340799"/>
      <w:r>
        <w:rPr>
          <w:rFonts w:ascii="宋体" w:hAnsi="宋体"/>
          <w:sz w:val="21"/>
          <w:szCs w:val="21"/>
          <w:highlight w:val="none"/>
        </w:rPr>
        <w:t>业务应用</w:t>
      </w:r>
    </w:p>
    <w:p w14:paraId="419429EA">
      <w:pPr>
        <w:pStyle w:val="5"/>
        <w:rPr>
          <w:rFonts w:hint="eastAsia" w:ascii="宋体" w:hAnsi="宋体" w:eastAsia="宋体"/>
          <w:sz w:val="21"/>
          <w:szCs w:val="21"/>
          <w:highlight w:val="none"/>
        </w:rPr>
      </w:pPr>
      <w:bookmarkStart w:id="113" w:name="_Toc593"/>
      <w:r>
        <w:rPr>
          <w:rFonts w:hint="eastAsia" w:ascii="宋体" w:hAnsi="宋体" w:eastAsia="宋体"/>
          <w:sz w:val="21"/>
          <w:szCs w:val="21"/>
          <w:highlight w:val="none"/>
        </w:rPr>
        <w:t>医院综合查询报表系统</w:t>
      </w:r>
      <w:bookmarkEnd w:id="113"/>
    </w:p>
    <w:p w14:paraId="6C18BC97">
      <w:pPr>
        <w:rPr>
          <w:rFonts w:hint="eastAsia"/>
          <w:szCs w:val="21"/>
          <w:highlight w:val="none"/>
        </w:rPr>
      </w:pPr>
      <w:r>
        <w:rPr>
          <w:rFonts w:hint="eastAsia"/>
          <w:szCs w:val="21"/>
          <w:highlight w:val="none"/>
        </w:rPr>
        <w:t>要求实现以下功能：</w:t>
      </w:r>
    </w:p>
    <w:p w14:paraId="0C07CABE">
      <w:pPr>
        <w:rPr>
          <w:rFonts w:hint="eastAsia"/>
          <w:szCs w:val="21"/>
          <w:highlight w:val="none"/>
        </w:rPr>
      </w:pPr>
      <w:r>
        <w:rPr>
          <w:szCs w:val="21"/>
          <w:highlight w:val="none"/>
        </w:rPr>
        <w:t>1、需提供可视化报表工具，可根据医院要求定制各类统计查询报表。</w:t>
      </w:r>
    </w:p>
    <w:p w14:paraId="21F9A56E">
      <w:pPr>
        <w:rPr>
          <w:rFonts w:hint="eastAsia"/>
          <w:szCs w:val="21"/>
          <w:highlight w:val="none"/>
        </w:rPr>
      </w:pPr>
      <w:r>
        <w:rPr>
          <w:szCs w:val="21"/>
          <w:highlight w:val="none"/>
        </w:rPr>
        <w:t>2、需支持按角色、用户等多种方式对报表进行授权。</w:t>
      </w:r>
    </w:p>
    <w:p w14:paraId="014C2E9A">
      <w:pPr>
        <w:rPr>
          <w:rFonts w:hint="eastAsia"/>
          <w:szCs w:val="21"/>
          <w:highlight w:val="none"/>
        </w:rPr>
      </w:pPr>
      <w:r>
        <w:rPr>
          <w:szCs w:val="21"/>
          <w:highlight w:val="none"/>
        </w:rPr>
        <w:t>3、需提供报表检索日志记录功能。</w:t>
      </w:r>
    </w:p>
    <w:p w14:paraId="62A481EA">
      <w:pPr>
        <w:rPr>
          <w:rFonts w:hint="eastAsia"/>
          <w:szCs w:val="21"/>
          <w:highlight w:val="none"/>
        </w:rPr>
      </w:pPr>
      <w:r>
        <w:rPr>
          <w:szCs w:val="21"/>
          <w:highlight w:val="none"/>
        </w:rPr>
        <w:t>4、需提供报表备注记录功能。</w:t>
      </w:r>
    </w:p>
    <w:p w14:paraId="5C18E225">
      <w:pPr>
        <w:rPr>
          <w:rFonts w:hint="eastAsia"/>
          <w:szCs w:val="21"/>
          <w:highlight w:val="none"/>
        </w:rPr>
      </w:pPr>
      <w:r>
        <w:rPr>
          <w:szCs w:val="21"/>
          <w:highlight w:val="none"/>
        </w:rPr>
        <w:t>5、需提供报表的导入导出作废功能。</w:t>
      </w:r>
    </w:p>
    <w:p w14:paraId="41A89F93">
      <w:pPr>
        <w:rPr>
          <w:rFonts w:hint="eastAsia"/>
          <w:szCs w:val="21"/>
          <w:highlight w:val="none"/>
        </w:rPr>
      </w:pPr>
      <w:r>
        <w:rPr>
          <w:szCs w:val="21"/>
          <w:highlight w:val="none"/>
        </w:rPr>
        <w:t>6、需提供报表数据的排序、检索、过滤、导出功能。</w:t>
      </w:r>
    </w:p>
    <w:p w14:paraId="7CFEA716">
      <w:pPr>
        <w:rPr>
          <w:rFonts w:hint="eastAsia"/>
          <w:szCs w:val="21"/>
          <w:highlight w:val="none"/>
        </w:rPr>
      </w:pPr>
      <w:r>
        <w:rPr>
          <w:szCs w:val="21"/>
          <w:highlight w:val="none"/>
        </w:rPr>
        <w:t>7、需提供医院业务情况、资源利用、医疗质量、工作效率等各方面统计报表。</w:t>
      </w:r>
    </w:p>
    <w:p w14:paraId="505CEB48">
      <w:pPr>
        <w:pStyle w:val="5"/>
        <w:rPr>
          <w:rFonts w:hint="eastAsia" w:ascii="宋体" w:hAnsi="宋体" w:eastAsia="宋体"/>
          <w:sz w:val="21"/>
          <w:szCs w:val="21"/>
          <w:highlight w:val="none"/>
        </w:rPr>
      </w:pPr>
      <w:bookmarkStart w:id="114" w:name="_Toc9429"/>
      <w:r>
        <w:rPr>
          <w:rFonts w:hint="eastAsia" w:ascii="宋体" w:hAnsi="宋体" w:eastAsia="宋体"/>
          <w:sz w:val="21"/>
          <w:szCs w:val="21"/>
          <w:highlight w:val="none"/>
        </w:rPr>
        <w:t>患者全息视图系统</w:t>
      </w:r>
      <w:bookmarkEnd w:id="114"/>
    </w:p>
    <w:p w14:paraId="17BAFF67">
      <w:pPr>
        <w:rPr>
          <w:rFonts w:hint="eastAsia"/>
          <w:szCs w:val="21"/>
          <w:highlight w:val="none"/>
        </w:rPr>
      </w:pPr>
      <w:r>
        <w:rPr>
          <w:rFonts w:hint="eastAsia"/>
          <w:szCs w:val="21"/>
          <w:highlight w:val="none"/>
        </w:rPr>
        <w:t>基于临床数据中心要求实现病人诊疗信息的统一展现，横向以时间轴的方式显示病人的体征、医嘱等信息，纵向是以诊疗事件顺序来显示相关诊病信息，如检验、检查报告、手术记录等信息，需支持报告的趋势分析、历史报告对比分析等功能。具体要求如下：</w:t>
      </w:r>
    </w:p>
    <w:p w14:paraId="7BE4C883">
      <w:pPr>
        <w:rPr>
          <w:rFonts w:hint="eastAsia"/>
          <w:color w:val="000000"/>
          <w:szCs w:val="21"/>
          <w:highlight w:val="none"/>
        </w:rPr>
      </w:pPr>
      <w:r>
        <w:rPr>
          <w:rFonts w:hint="eastAsia"/>
          <w:szCs w:val="21"/>
          <w:highlight w:val="none"/>
        </w:rPr>
        <w:t>1</w:t>
      </w:r>
      <w:r>
        <w:rPr>
          <w:szCs w:val="21"/>
          <w:highlight w:val="none"/>
        </w:rPr>
        <w:t>.</w:t>
      </w:r>
      <w:r>
        <w:rPr>
          <w:rFonts w:hint="eastAsia"/>
          <w:color w:val="000000"/>
          <w:szCs w:val="21"/>
          <w:highlight w:val="none"/>
        </w:rPr>
        <w:t xml:space="preserve"> 可按时间顺便查看患者历次就诊信息详情，包含门诊住院信息、病人历史用药记录、病历历史手术记录以及既往史过敏史等信息。支持时间轴展示。</w:t>
      </w:r>
    </w:p>
    <w:p w14:paraId="12ED4F57">
      <w:pPr>
        <w:rPr>
          <w:rFonts w:hint="eastAsia"/>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 xml:space="preserve"> 可查看患者本次以及历次的病历信息以及检验检查报告。</w:t>
      </w:r>
    </w:p>
    <w:p w14:paraId="350978EC">
      <w:pPr>
        <w:rPr>
          <w:rFonts w:hint="eastAsia"/>
          <w:color w:val="000000"/>
          <w:szCs w:val="21"/>
          <w:highlight w:val="none"/>
        </w:rPr>
      </w:pPr>
      <w:r>
        <w:rPr>
          <w:rFonts w:hint="eastAsia"/>
          <w:color w:val="000000"/>
          <w:szCs w:val="21"/>
          <w:highlight w:val="none"/>
        </w:rPr>
        <w:t>3</w:t>
      </w:r>
      <w:r>
        <w:rPr>
          <w:color w:val="000000"/>
          <w:szCs w:val="21"/>
          <w:highlight w:val="none"/>
        </w:rPr>
        <w:t>.</w:t>
      </w:r>
      <w:r>
        <w:rPr>
          <w:rFonts w:hint="eastAsia"/>
          <w:color w:val="000000"/>
          <w:szCs w:val="21"/>
          <w:highlight w:val="none"/>
        </w:rPr>
        <w:t xml:space="preserve"> 查阅报告时支持进行横向对比阅读、支持趋势分析等。</w:t>
      </w:r>
    </w:p>
    <w:p w14:paraId="4770D80A">
      <w:pPr>
        <w:rPr>
          <w:rFonts w:hint="eastAsia"/>
          <w:color w:val="000000"/>
          <w:szCs w:val="21"/>
          <w:highlight w:val="none"/>
        </w:rPr>
      </w:pPr>
      <w:r>
        <w:rPr>
          <w:rFonts w:hint="eastAsia"/>
          <w:color w:val="000000"/>
          <w:szCs w:val="21"/>
          <w:highlight w:val="none"/>
        </w:rPr>
        <w:t>4</w:t>
      </w:r>
      <w:r>
        <w:rPr>
          <w:color w:val="000000"/>
          <w:szCs w:val="21"/>
          <w:highlight w:val="none"/>
        </w:rPr>
        <w:t>.</w:t>
      </w:r>
      <w:r>
        <w:rPr>
          <w:rFonts w:hint="eastAsia"/>
          <w:color w:val="000000"/>
          <w:szCs w:val="21"/>
          <w:highlight w:val="none"/>
        </w:rPr>
        <w:t xml:space="preserve"> 支持查看用药、检查、检验、手术、输血、治疗等闭环信息。</w:t>
      </w:r>
    </w:p>
    <w:p w14:paraId="4F1CDD76">
      <w:pPr>
        <w:rPr>
          <w:rFonts w:hint="eastAsia"/>
          <w:szCs w:val="21"/>
          <w:highlight w:val="none"/>
        </w:rPr>
      </w:pPr>
      <w:r>
        <w:rPr>
          <w:rFonts w:hint="eastAsia"/>
          <w:szCs w:val="21"/>
          <w:highlight w:val="none"/>
        </w:rPr>
        <w:t>5</w:t>
      </w:r>
      <w:r>
        <w:rPr>
          <w:szCs w:val="21"/>
          <w:highlight w:val="none"/>
        </w:rPr>
        <w:t>.</w:t>
      </w:r>
      <w:r>
        <w:rPr>
          <w:rFonts w:hint="eastAsia"/>
          <w:color w:val="000000"/>
          <w:szCs w:val="21"/>
          <w:highlight w:val="none"/>
        </w:rPr>
        <w:t xml:space="preserve"> 支持按病种设置对应关注检验指标，自动获取指标结果展示。方便医生查看对应报告以及危急值、病程信息，让医生更准确了解病人疾病情况。</w:t>
      </w:r>
    </w:p>
    <w:p w14:paraId="2168CBF0">
      <w:pPr>
        <w:pStyle w:val="5"/>
        <w:rPr>
          <w:rFonts w:hint="eastAsia" w:ascii="宋体" w:hAnsi="宋体" w:eastAsia="宋体"/>
          <w:sz w:val="21"/>
          <w:szCs w:val="21"/>
          <w:highlight w:val="none"/>
        </w:rPr>
      </w:pPr>
      <w:bookmarkStart w:id="115" w:name="_Toc10575"/>
      <w:r>
        <w:rPr>
          <w:rFonts w:hint="eastAsia" w:ascii="宋体" w:hAnsi="宋体" w:eastAsia="宋体"/>
          <w:sz w:val="21"/>
          <w:szCs w:val="21"/>
          <w:highlight w:val="none"/>
        </w:rPr>
        <w:t>危急值管理系统</w:t>
      </w:r>
      <w:bookmarkEnd w:id="115"/>
    </w:p>
    <w:p w14:paraId="4C648862">
      <w:pPr>
        <w:rPr>
          <w:rFonts w:hint="eastAsia"/>
          <w:szCs w:val="21"/>
          <w:highlight w:val="none"/>
        </w:rPr>
      </w:pPr>
      <w:r>
        <w:rPr>
          <w:rFonts w:hint="eastAsia"/>
          <w:szCs w:val="21"/>
          <w:highlight w:val="none"/>
        </w:rPr>
        <w:t>要求支持在患者的检查、检验结果出现表明患者可能正处于有生命危险的边缘状态时，可对危急值数据进行智能提醒并及时将检验、检查信息通知于临床科室医生，提示临床医生迅速给予患者有效的干预措施或治疗，并对危急值传报过程实现全流程追溯。具体功能包括：危急值设定、自动筛查、消息通知、临床干预反馈、危急值追溯等。</w:t>
      </w:r>
    </w:p>
    <w:p w14:paraId="47D0FB68">
      <w:pPr>
        <w:pStyle w:val="117"/>
        <w:numPr>
          <w:ilvl w:val="0"/>
          <w:numId w:val="37"/>
        </w:numPr>
        <w:spacing w:line="360" w:lineRule="auto"/>
        <w:ind w:firstLineChars="0"/>
        <w:rPr>
          <w:rFonts w:hint="eastAsia" w:ascii="宋体" w:hAnsi="宋体"/>
          <w:szCs w:val="21"/>
          <w:highlight w:val="none"/>
        </w:rPr>
      </w:pPr>
      <w:r>
        <w:rPr>
          <w:rFonts w:hint="eastAsia" w:ascii="宋体" w:hAnsi="宋体"/>
          <w:szCs w:val="21"/>
          <w:highlight w:val="none"/>
        </w:rPr>
        <w:t>危机值提示</w:t>
      </w:r>
    </w:p>
    <w:p w14:paraId="37499C86">
      <w:pPr>
        <w:rPr>
          <w:rFonts w:hint="eastAsia"/>
          <w:szCs w:val="21"/>
          <w:highlight w:val="none"/>
        </w:rPr>
      </w:pPr>
      <w:r>
        <w:rPr>
          <w:rFonts w:hint="eastAsia"/>
          <w:szCs w:val="21"/>
          <w:highlight w:val="none"/>
        </w:rPr>
        <w:t>系统接收危急值消息支持按照最高等级消息使用霸屏方式进行提示，确保医生能够及时看到危急值。危急值不处理则提示无法关闭。</w:t>
      </w:r>
    </w:p>
    <w:p w14:paraId="1E068F0F">
      <w:pPr>
        <w:pStyle w:val="117"/>
        <w:numPr>
          <w:ilvl w:val="0"/>
          <w:numId w:val="37"/>
        </w:numPr>
        <w:spacing w:line="360" w:lineRule="auto"/>
        <w:ind w:firstLineChars="0"/>
        <w:rPr>
          <w:rFonts w:hint="eastAsia" w:ascii="宋体" w:hAnsi="宋体"/>
          <w:szCs w:val="21"/>
          <w:highlight w:val="none"/>
        </w:rPr>
      </w:pPr>
      <w:r>
        <w:rPr>
          <w:rFonts w:hint="eastAsia" w:ascii="宋体" w:hAnsi="宋体"/>
          <w:szCs w:val="21"/>
          <w:highlight w:val="none"/>
        </w:rPr>
        <w:t>临床干预反馈</w:t>
      </w:r>
    </w:p>
    <w:p w14:paraId="7CAAE5C6">
      <w:pPr>
        <w:rPr>
          <w:rFonts w:hint="eastAsia"/>
          <w:szCs w:val="21"/>
          <w:highlight w:val="none"/>
        </w:rPr>
      </w:pPr>
      <w:r>
        <w:rPr>
          <w:rFonts w:hint="eastAsia"/>
          <w:szCs w:val="21"/>
          <w:highlight w:val="none"/>
        </w:rPr>
        <w:t>医生在接收到危急值通知后，在规定时间内做出对患者处置的诊疗意见，进行危急值处理登记，并自动生成危急值处理病程记录，结束危急值通知。如医生复查确认危急值报告结果不当，可通知医技部门相关人员取消危急值报告。</w:t>
      </w:r>
    </w:p>
    <w:p w14:paraId="433DC707">
      <w:pPr>
        <w:pStyle w:val="117"/>
        <w:numPr>
          <w:ilvl w:val="0"/>
          <w:numId w:val="37"/>
        </w:numPr>
        <w:spacing w:line="360" w:lineRule="auto"/>
        <w:ind w:firstLineChars="0"/>
        <w:rPr>
          <w:rFonts w:hint="eastAsia" w:ascii="宋体" w:hAnsi="宋体"/>
          <w:szCs w:val="21"/>
          <w:highlight w:val="none"/>
        </w:rPr>
      </w:pPr>
      <w:r>
        <w:rPr>
          <w:rFonts w:hint="eastAsia" w:ascii="宋体" w:hAnsi="宋体"/>
          <w:szCs w:val="21"/>
          <w:highlight w:val="none"/>
        </w:rPr>
        <w:t>危急值追溯</w:t>
      </w:r>
    </w:p>
    <w:p w14:paraId="3409392D">
      <w:pPr>
        <w:rPr>
          <w:rFonts w:hint="eastAsia"/>
          <w:szCs w:val="21"/>
          <w:highlight w:val="none"/>
        </w:rPr>
      </w:pPr>
      <w:r>
        <w:rPr>
          <w:rFonts w:hint="eastAsia"/>
          <w:szCs w:val="21"/>
          <w:highlight w:val="none"/>
        </w:rPr>
        <w:t>各临床科室、医技科室按照危急值管理部门的相关规定，对危急值处理的过程和相关信息做详细记录，支持危急值管理部门对危急值传报全流程进行追溯。</w:t>
      </w:r>
    </w:p>
    <w:p w14:paraId="60E340D2">
      <w:pPr>
        <w:pStyle w:val="117"/>
        <w:numPr>
          <w:ilvl w:val="0"/>
          <w:numId w:val="37"/>
        </w:numPr>
        <w:spacing w:line="360" w:lineRule="auto"/>
        <w:ind w:firstLineChars="0"/>
        <w:rPr>
          <w:rFonts w:hint="eastAsia" w:ascii="宋体" w:hAnsi="宋体"/>
          <w:szCs w:val="21"/>
          <w:highlight w:val="none"/>
        </w:rPr>
      </w:pPr>
      <w:r>
        <w:rPr>
          <w:rFonts w:hint="eastAsia" w:ascii="宋体" w:hAnsi="宋体"/>
          <w:szCs w:val="21"/>
          <w:highlight w:val="none"/>
        </w:rPr>
        <w:t>危急值配置功能</w:t>
      </w:r>
    </w:p>
    <w:p w14:paraId="093AB174">
      <w:pPr>
        <w:rPr>
          <w:rFonts w:hint="eastAsia"/>
          <w:szCs w:val="21"/>
          <w:highlight w:val="none"/>
        </w:rPr>
      </w:pPr>
      <w:r>
        <w:rPr>
          <w:rFonts w:hint="eastAsia"/>
          <w:szCs w:val="21"/>
          <w:highlight w:val="none"/>
        </w:rPr>
        <w:t>▲</w:t>
      </w:r>
      <w:r>
        <w:rPr>
          <w:rFonts w:hint="eastAsia"/>
          <w:b/>
          <w:bCs/>
          <w:szCs w:val="21"/>
          <w:highlight w:val="none"/>
        </w:rPr>
        <w:t>遵循危急值管理制度要求，提供危急值分级推送可视化配置功能。支持根据班内、班外时间设置不同危急值消息推送规则，支持危急值的时效管控和分级通知，即可设置每个级别的接收对象、推送方式、消息时效；支持危急值消息弹窗配置功能，包括消息显示内容配置、弹窗霸屏设置、危急值声音报警开关等。（要求提供符合以上功能说明的产品截图）</w:t>
      </w:r>
    </w:p>
    <w:p w14:paraId="2BB6579A">
      <w:pPr>
        <w:rPr>
          <w:rFonts w:hint="eastAsia"/>
          <w:szCs w:val="21"/>
          <w:highlight w:val="none"/>
        </w:rPr>
      </w:pPr>
    </w:p>
    <w:p w14:paraId="0D4B8C16">
      <w:pPr>
        <w:pStyle w:val="4"/>
        <w:rPr>
          <w:rFonts w:hint="eastAsia" w:ascii="宋体" w:hAnsi="宋体"/>
          <w:sz w:val="21"/>
          <w:szCs w:val="21"/>
          <w:highlight w:val="none"/>
        </w:rPr>
      </w:pPr>
      <w:r>
        <w:rPr>
          <w:rFonts w:ascii="宋体" w:hAnsi="宋体"/>
          <w:sz w:val="21"/>
          <w:szCs w:val="21"/>
          <w:highlight w:val="none"/>
        </w:rPr>
        <w:t>数据上报</w:t>
      </w:r>
    </w:p>
    <w:p w14:paraId="2649D301">
      <w:pPr>
        <w:pStyle w:val="5"/>
        <w:rPr>
          <w:rFonts w:hint="eastAsia" w:ascii="宋体" w:hAnsi="宋体" w:eastAsia="宋体"/>
          <w:sz w:val="21"/>
          <w:szCs w:val="21"/>
          <w:highlight w:val="none"/>
        </w:rPr>
      </w:pPr>
      <w:bookmarkStart w:id="116" w:name="_Toc2079"/>
      <w:r>
        <w:rPr>
          <w:rFonts w:ascii="宋体" w:hAnsi="宋体" w:eastAsia="宋体"/>
          <w:sz w:val="21"/>
          <w:szCs w:val="21"/>
          <w:highlight w:val="none"/>
        </w:rPr>
        <w:t>HQMS数据上报</w:t>
      </w:r>
    </w:p>
    <w:p w14:paraId="79308AE0">
      <w:pPr>
        <w:rPr>
          <w:rFonts w:hint="eastAsia"/>
          <w:szCs w:val="21"/>
          <w:highlight w:val="none"/>
        </w:rPr>
      </w:pPr>
      <w:r>
        <w:rPr>
          <w:rFonts w:hint="eastAsia"/>
          <w:szCs w:val="21"/>
          <w:highlight w:val="none"/>
        </w:rPr>
        <w:t>要求支持通过对医院内所发生的各种医疗过程信息，尤其是医疗质量数据信息进行审核，使之符合卫生部上报标准，从而使医院方便快捷地完成数据上报，平台使用国家卫生部标准的</w:t>
      </w:r>
      <w:r>
        <w:rPr>
          <w:szCs w:val="21"/>
          <w:highlight w:val="none"/>
        </w:rPr>
        <w:t>ICD-10编码，一键单击轻松上报，满足各类的上报需求，并且还能进行自动上报设置。</w:t>
      </w:r>
    </w:p>
    <w:p w14:paraId="564CB872">
      <w:pPr>
        <w:rPr>
          <w:rFonts w:hint="eastAsia"/>
          <w:szCs w:val="21"/>
          <w:highlight w:val="none"/>
        </w:rPr>
      </w:pPr>
      <w:r>
        <w:rPr>
          <w:rFonts w:hint="eastAsia"/>
          <w:szCs w:val="21"/>
          <w:highlight w:val="none"/>
        </w:rPr>
        <w:t>1. 提供字典映射功能。按照《住院病案首页数据采集接口标准》，进行病案首页原始数据与HQMS数据标准的映射。</w:t>
      </w:r>
    </w:p>
    <w:p w14:paraId="584CDE08">
      <w:pPr>
        <w:rPr>
          <w:rFonts w:hint="eastAsia"/>
          <w:szCs w:val="21"/>
          <w:highlight w:val="none"/>
        </w:rPr>
      </w:pPr>
      <w:r>
        <w:rPr>
          <w:rFonts w:hint="eastAsia"/>
          <w:szCs w:val="21"/>
          <w:highlight w:val="none"/>
        </w:rPr>
        <w:t>2. 提供结构化病案首页数据抽取功能。从电子病历结构化病案首页中自动抽取出医管司所需要病案首页原始数据。</w:t>
      </w:r>
    </w:p>
    <w:p w14:paraId="17EEB2F9">
      <w:pPr>
        <w:rPr>
          <w:rFonts w:hint="eastAsia"/>
          <w:szCs w:val="21"/>
          <w:highlight w:val="none"/>
        </w:rPr>
      </w:pPr>
      <w:r>
        <w:rPr>
          <w:rFonts w:hint="eastAsia"/>
          <w:szCs w:val="21"/>
          <w:highlight w:val="none"/>
        </w:rPr>
        <w:t>3. 提供数据转换功能。根据字典映射结果，将抽取的病案首页原始数据按照字典映射进行转换.</w:t>
      </w:r>
    </w:p>
    <w:p w14:paraId="3B54BAAC">
      <w:pPr>
        <w:rPr>
          <w:rFonts w:hint="eastAsia"/>
          <w:szCs w:val="21"/>
          <w:highlight w:val="none"/>
        </w:rPr>
      </w:pPr>
      <w:r>
        <w:rPr>
          <w:rFonts w:hint="eastAsia"/>
          <w:szCs w:val="21"/>
          <w:highlight w:val="none"/>
        </w:rPr>
        <w:t>4. 提供DBF文件和打包功能。根据接口标准和开发说明书，将数据信息转换成dBase III格式的dbf文件，并压缩为zip文件。</w:t>
      </w:r>
    </w:p>
    <w:p w14:paraId="3C8A2583">
      <w:pPr>
        <w:rPr>
          <w:rFonts w:hint="eastAsia"/>
          <w:color w:val="000000"/>
          <w:szCs w:val="21"/>
          <w:highlight w:val="none"/>
        </w:rPr>
      </w:pPr>
      <w:r>
        <w:rPr>
          <w:rFonts w:hint="eastAsia"/>
          <w:color w:val="000000"/>
          <w:szCs w:val="21"/>
          <w:highlight w:val="none"/>
        </w:rPr>
        <w:t>5. 提供数据上传管理功能。通过前置程序自动在每天规定的时间段将数据上传至医管司站点。</w:t>
      </w:r>
    </w:p>
    <w:p w14:paraId="1ACDE1F1">
      <w:pPr>
        <w:pStyle w:val="5"/>
        <w:rPr>
          <w:rFonts w:hint="eastAsia" w:ascii="宋体" w:hAnsi="宋体" w:eastAsia="宋体"/>
          <w:sz w:val="21"/>
          <w:szCs w:val="21"/>
          <w:highlight w:val="none"/>
        </w:rPr>
      </w:pPr>
      <w:r>
        <w:rPr>
          <w:rFonts w:hint="eastAsia" w:ascii="宋体" w:hAnsi="宋体" w:eastAsia="宋体"/>
          <w:sz w:val="21"/>
          <w:szCs w:val="21"/>
          <w:highlight w:val="none"/>
        </w:rPr>
        <w:t>预防接种信息上报</w:t>
      </w:r>
    </w:p>
    <w:p w14:paraId="67619BBC">
      <w:pPr>
        <w:pStyle w:val="359"/>
        <w:ind w:firstLine="420"/>
        <w:rPr>
          <w:rFonts w:hint="eastAsia" w:ascii="宋体" w:hAnsi="宋体"/>
          <w:szCs w:val="21"/>
          <w:highlight w:val="none"/>
        </w:rPr>
      </w:pPr>
      <w:r>
        <w:rPr>
          <w:rFonts w:hint="eastAsia" w:ascii="宋体" w:hAnsi="宋体"/>
          <w:szCs w:val="21"/>
          <w:highlight w:val="none"/>
        </w:rPr>
        <w:t>支持预防接种信息报告管理工作，提高预防接种信息数据质量，在要求的时限内完成数据的录入和更新操作，及时将接种个案信息上报国家信息管理平台，进行统一规范管理。</w:t>
      </w:r>
    </w:p>
    <w:p w14:paraId="26A07C8D">
      <w:pPr>
        <w:pStyle w:val="5"/>
        <w:rPr>
          <w:rFonts w:hint="eastAsia" w:ascii="宋体" w:hAnsi="宋体" w:eastAsia="宋体"/>
          <w:sz w:val="21"/>
          <w:szCs w:val="21"/>
          <w:highlight w:val="none"/>
        </w:rPr>
      </w:pPr>
      <w:r>
        <w:rPr>
          <w:rFonts w:hint="eastAsia" w:ascii="宋体" w:hAnsi="宋体" w:eastAsia="宋体"/>
          <w:sz w:val="21"/>
          <w:szCs w:val="21"/>
          <w:highlight w:val="none"/>
        </w:rPr>
        <w:t>全民健康信息平台上报</w:t>
      </w:r>
    </w:p>
    <w:p w14:paraId="75D6ED5C">
      <w:pPr>
        <w:pStyle w:val="359"/>
        <w:ind w:firstLine="420"/>
        <w:rPr>
          <w:rFonts w:hint="eastAsia" w:ascii="宋体" w:hAnsi="宋体"/>
          <w:szCs w:val="21"/>
          <w:highlight w:val="none"/>
        </w:rPr>
      </w:pPr>
      <w:r>
        <w:rPr>
          <w:rFonts w:hint="eastAsia" w:ascii="宋体" w:hAnsi="宋体"/>
          <w:szCs w:val="21"/>
          <w:highlight w:val="none"/>
        </w:rPr>
        <w:t>面向各级卫健委，规范接入区域内的各级各类医疗卫生机构，横向连通同级卫生健康相关信息平台，纵向连通上下级全民健康信息平台，构建全生命周期的个人电子健康档案管理，促进区域医疗卫生机构之间的数据交换，实现数据上报共享、业务协同、业务指标监管等功能。</w:t>
      </w:r>
    </w:p>
    <w:p w14:paraId="515CCED8">
      <w:pPr>
        <w:pStyle w:val="5"/>
        <w:rPr>
          <w:rFonts w:hint="eastAsia" w:ascii="宋体" w:hAnsi="宋体" w:eastAsia="宋体"/>
          <w:sz w:val="21"/>
          <w:szCs w:val="21"/>
          <w:highlight w:val="none"/>
        </w:rPr>
      </w:pPr>
      <w:r>
        <w:rPr>
          <w:rFonts w:hint="eastAsia" w:ascii="宋体" w:hAnsi="宋体" w:eastAsia="宋体"/>
          <w:sz w:val="21"/>
          <w:szCs w:val="21"/>
          <w:highlight w:val="none"/>
        </w:rPr>
        <w:t>公立医院绩效考核上报</w:t>
      </w:r>
    </w:p>
    <w:p w14:paraId="70780803">
      <w:pPr>
        <w:pStyle w:val="359"/>
        <w:ind w:firstLine="420"/>
        <w:rPr>
          <w:rFonts w:hint="eastAsia" w:ascii="宋体" w:hAnsi="宋体"/>
          <w:szCs w:val="21"/>
          <w:highlight w:val="none"/>
        </w:rPr>
      </w:pPr>
      <w:r>
        <w:rPr>
          <w:rFonts w:hint="eastAsia" w:ascii="宋体" w:hAnsi="宋体"/>
          <w:szCs w:val="21"/>
          <w:highlight w:val="none"/>
        </w:rPr>
        <w:t>随着公立医院绩效考核上报工作的不断开展，为解决考核内容众多、工作量极大、涉及数据来源复杂，缺少有效管理工具等数据上报难题，支持通过上报平台进行智能数据上报，助力提质增效，确保数据真实可靠，提升数据质量，实现精细管理。运用信息化手段提升医院数据管理方面的能力，运用有效的数据统计结果支撑临床业务不断优化，助力医院科学决策。</w:t>
      </w:r>
    </w:p>
    <w:p w14:paraId="47D8493C">
      <w:pPr>
        <w:pStyle w:val="5"/>
        <w:tabs>
          <w:tab w:val="left" w:pos="1008"/>
        </w:tabs>
        <w:rPr>
          <w:rFonts w:hint="eastAsia" w:ascii="宋体" w:hAnsi="宋体" w:eastAsia="宋体"/>
          <w:sz w:val="21"/>
          <w:szCs w:val="21"/>
          <w:highlight w:val="none"/>
        </w:rPr>
      </w:pPr>
      <w:r>
        <w:rPr>
          <w:rFonts w:hint="eastAsia" w:ascii="宋体" w:hAnsi="宋体" w:eastAsia="宋体"/>
          <w:sz w:val="21"/>
          <w:szCs w:val="21"/>
          <w:highlight w:val="none"/>
        </w:rPr>
        <w:t>肿瘤信息上报</w:t>
      </w:r>
    </w:p>
    <w:p w14:paraId="4F7E5D3C">
      <w:pPr>
        <w:ind w:firstLine="420"/>
        <w:rPr>
          <w:rFonts w:hint="eastAsia"/>
          <w:szCs w:val="21"/>
          <w:highlight w:val="none"/>
        </w:rPr>
      </w:pPr>
      <w:r>
        <w:rPr>
          <w:rFonts w:hint="eastAsia"/>
          <w:szCs w:val="21"/>
          <w:highlight w:val="none"/>
        </w:rPr>
        <w:t>肿瘤信息上报是系统性、经常性收集有关肿瘤及肿瘤病人信息的一项需求。通过建立肿瘤上报模型，加强医院肿瘤上报工作规范化管理，动态采集医院恶性肿瘤的相关信息，将其上报到上级平台，使肿瘤上报工作满足当前癌症防治工作的需要。</w:t>
      </w:r>
    </w:p>
    <w:bookmarkEnd w:id="116"/>
    <w:p w14:paraId="3DCBA9DA">
      <w:pPr>
        <w:pStyle w:val="3"/>
        <w:rPr>
          <w:rFonts w:hint="eastAsia" w:ascii="宋体" w:hAnsi="宋体"/>
          <w:sz w:val="21"/>
          <w:szCs w:val="21"/>
          <w:highlight w:val="none"/>
        </w:rPr>
      </w:pPr>
      <w:r>
        <w:rPr>
          <w:rFonts w:hint="eastAsia" w:ascii="宋体" w:hAnsi="宋体"/>
          <w:sz w:val="21"/>
          <w:szCs w:val="21"/>
          <w:highlight w:val="none"/>
        </w:rPr>
        <w:t>闭环流程追溯管理系统</w:t>
      </w:r>
    </w:p>
    <w:p w14:paraId="493FEEFB">
      <w:pPr>
        <w:pStyle w:val="4"/>
        <w:rPr>
          <w:rFonts w:hint="eastAsia" w:ascii="宋体" w:hAnsi="宋体"/>
          <w:sz w:val="21"/>
          <w:szCs w:val="21"/>
          <w:highlight w:val="none"/>
        </w:rPr>
      </w:pPr>
      <w:r>
        <w:rPr>
          <w:rFonts w:hint="eastAsia" w:ascii="宋体" w:hAnsi="宋体"/>
          <w:sz w:val="21"/>
          <w:szCs w:val="21"/>
          <w:highlight w:val="none"/>
        </w:rPr>
        <w:t>闭环管理</w:t>
      </w:r>
      <w:bookmarkEnd w:id="112"/>
    </w:p>
    <w:p w14:paraId="34BFE468">
      <w:pPr>
        <w:pStyle w:val="5"/>
        <w:rPr>
          <w:rFonts w:hint="eastAsia" w:ascii="宋体" w:hAnsi="宋体" w:eastAsia="宋体"/>
          <w:sz w:val="21"/>
          <w:szCs w:val="21"/>
          <w:highlight w:val="none"/>
        </w:rPr>
      </w:pPr>
      <w:r>
        <w:rPr>
          <w:rFonts w:hint="eastAsia" w:ascii="宋体" w:hAnsi="宋体" w:eastAsia="宋体"/>
          <w:sz w:val="21"/>
          <w:szCs w:val="21"/>
          <w:highlight w:val="none"/>
        </w:rPr>
        <w:t>危急值闭环</w:t>
      </w:r>
    </w:p>
    <w:p w14:paraId="40AA3FB9">
      <w:pPr>
        <w:pStyle w:val="360"/>
        <w:spacing w:before="156" w:after="156"/>
        <w:ind w:firstLine="420"/>
        <w:rPr>
          <w:rFonts w:hint="eastAsia"/>
          <w:highlight w:val="none"/>
        </w:rPr>
      </w:pPr>
      <w:r>
        <w:rPr>
          <w:rFonts w:hint="eastAsia"/>
          <w:highlight w:val="none"/>
        </w:rPr>
        <w:t>可在实验室检查、放射检查、核医学检查、超声波操作、磁共振成像、病理检查、心脏诊断及床边诊断检查的各信息系统中设定危急值相关项目与标准。</w:t>
      </w:r>
    </w:p>
    <w:p w14:paraId="5E5B8328">
      <w:pPr>
        <w:pStyle w:val="360"/>
        <w:spacing w:before="156" w:after="156"/>
        <w:ind w:firstLine="420"/>
        <w:rPr>
          <w:rFonts w:hint="eastAsia"/>
          <w:highlight w:val="none"/>
        </w:rPr>
      </w:pPr>
      <w:r>
        <w:rPr>
          <w:rFonts w:hint="eastAsia"/>
          <w:highlight w:val="none"/>
        </w:rPr>
        <w:t>1、危急值复核</w:t>
      </w:r>
    </w:p>
    <w:p w14:paraId="77C38565">
      <w:pPr>
        <w:pStyle w:val="360"/>
        <w:spacing w:before="156" w:after="156"/>
        <w:ind w:firstLine="420"/>
        <w:rPr>
          <w:rFonts w:hint="eastAsia"/>
          <w:highlight w:val="none"/>
        </w:rPr>
      </w:pPr>
      <w:r>
        <w:rPr>
          <w:rFonts w:hint="eastAsia"/>
          <w:highlight w:val="none"/>
        </w:rPr>
        <w:t>检查、检验结果达到或超过“危急值”界限时，提醒技师进行危急值复核；</w:t>
      </w:r>
    </w:p>
    <w:p w14:paraId="22E17B2A">
      <w:pPr>
        <w:pStyle w:val="360"/>
        <w:spacing w:before="156" w:after="156"/>
        <w:ind w:firstLine="420"/>
        <w:rPr>
          <w:rFonts w:hint="eastAsia"/>
          <w:highlight w:val="none"/>
        </w:rPr>
      </w:pPr>
      <w:r>
        <w:rPr>
          <w:rFonts w:hint="eastAsia"/>
          <w:highlight w:val="none"/>
        </w:rPr>
        <w:t>2、危急值发布</w:t>
      </w:r>
    </w:p>
    <w:p w14:paraId="3F3EBD52">
      <w:pPr>
        <w:pStyle w:val="360"/>
        <w:spacing w:before="156" w:after="156"/>
        <w:ind w:firstLine="420"/>
        <w:rPr>
          <w:rFonts w:hint="eastAsia"/>
          <w:highlight w:val="none"/>
        </w:rPr>
      </w:pPr>
      <w:r>
        <w:rPr>
          <w:rFonts w:hint="eastAsia"/>
          <w:highlight w:val="none"/>
        </w:rPr>
        <w:t>经复核确认为危急值后，即刻审核发布。</w:t>
      </w:r>
    </w:p>
    <w:p w14:paraId="64F1BC11">
      <w:pPr>
        <w:pStyle w:val="360"/>
        <w:spacing w:before="156" w:after="156"/>
        <w:ind w:firstLine="420"/>
        <w:rPr>
          <w:rFonts w:hint="eastAsia"/>
          <w:highlight w:val="none"/>
        </w:rPr>
      </w:pPr>
      <w:r>
        <w:rPr>
          <w:rFonts w:hint="eastAsia"/>
          <w:highlight w:val="none"/>
        </w:rPr>
        <w:t>3、危急值取消</w:t>
      </w:r>
    </w:p>
    <w:p w14:paraId="28C8CABE">
      <w:pPr>
        <w:pStyle w:val="360"/>
        <w:spacing w:before="156" w:after="156"/>
        <w:ind w:firstLine="420"/>
        <w:rPr>
          <w:rFonts w:hint="eastAsia"/>
          <w:highlight w:val="none"/>
        </w:rPr>
      </w:pPr>
      <w:r>
        <w:rPr>
          <w:rFonts w:hint="eastAsia"/>
          <w:highlight w:val="none"/>
        </w:rPr>
        <w:t>如复核可能有样本、试剂、操作等影响因素时，可取消危急值提醒，但需即刻通知临床科室重新取样送检或检查。</w:t>
      </w:r>
    </w:p>
    <w:p w14:paraId="3A16AA73">
      <w:pPr>
        <w:pStyle w:val="360"/>
        <w:spacing w:before="156" w:after="156"/>
        <w:ind w:firstLine="420"/>
        <w:rPr>
          <w:rFonts w:hint="eastAsia"/>
          <w:highlight w:val="none"/>
        </w:rPr>
      </w:pPr>
      <w:r>
        <w:rPr>
          <w:rFonts w:hint="eastAsia"/>
          <w:highlight w:val="none"/>
        </w:rPr>
        <w:t>4、危急值通知</w:t>
      </w:r>
    </w:p>
    <w:p w14:paraId="1295C5F0">
      <w:pPr>
        <w:pStyle w:val="360"/>
        <w:spacing w:before="156" w:after="156"/>
        <w:ind w:firstLine="420"/>
        <w:rPr>
          <w:rFonts w:hint="eastAsia"/>
          <w:highlight w:val="none"/>
        </w:rPr>
      </w:pPr>
      <w:r>
        <w:rPr>
          <w:rFonts w:hint="eastAsia"/>
          <w:highlight w:val="none"/>
        </w:rPr>
        <w:t>通过短信、系统消息、电话等多种方式把患者病案号、姓名、科室、危急值结果等信息通知申请医生。</w:t>
      </w:r>
    </w:p>
    <w:p w14:paraId="16D73898">
      <w:pPr>
        <w:pStyle w:val="360"/>
        <w:spacing w:before="156" w:after="156"/>
        <w:ind w:firstLine="420"/>
        <w:rPr>
          <w:rFonts w:hint="eastAsia"/>
          <w:highlight w:val="none"/>
        </w:rPr>
      </w:pPr>
      <w:r>
        <w:rPr>
          <w:rFonts w:hint="eastAsia"/>
          <w:highlight w:val="none"/>
        </w:rPr>
        <w:t>提供语音或醒目的文字提示。</w:t>
      </w:r>
    </w:p>
    <w:p w14:paraId="59A2DFBB">
      <w:pPr>
        <w:pStyle w:val="360"/>
        <w:spacing w:before="156" w:after="156"/>
        <w:ind w:firstLine="420"/>
        <w:rPr>
          <w:rFonts w:hint="eastAsia"/>
          <w:highlight w:val="none"/>
        </w:rPr>
      </w:pPr>
      <w:r>
        <w:rPr>
          <w:rFonts w:hint="eastAsia"/>
          <w:highlight w:val="none"/>
        </w:rPr>
        <w:t>5、危急值处理</w:t>
      </w:r>
    </w:p>
    <w:p w14:paraId="586DF1D5">
      <w:pPr>
        <w:pStyle w:val="360"/>
        <w:spacing w:before="156" w:after="156"/>
        <w:ind w:firstLine="420"/>
        <w:rPr>
          <w:rFonts w:hint="eastAsia"/>
          <w:highlight w:val="none"/>
        </w:rPr>
      </w:pPr>
      <w:r>
        <w:rPr>
          <w:rFonts w:hint="eastAsia"/>
          <w:highlight w:val="none"/>
        </w:rPr>
        <w:t>医生在接受到危急值通知后，必须在规定时间内做出对患者处置的诊疗意见，进行危急值处理登记，结束危急值通知；如在规定时间内没有危急值处置反馈，则逐级把消息通知发送给上级医生、科主任、主管院长等，直至完成危急值处理登记；如医生复查认为危急值报告结果不当，可通知医技科室工作人员取消危急值报告。</w:t>
      </w:r>
    </w:p>
    <w:p w14:paraId="0CE35D9C">
      <w:pPr>
        <w:pStyle w:val="360"/>
        <w:spacing w:before="156" w:after="156"/>
        <w:ind w:firstLine="420"/>
        <w:rPr>
          <w:rFonts w:hint="eastAsia"/>
          <w:highlight w:val="none"/>
        </w:rPr>
      </w:pPr>
      <w:r>
        <w:rPr>
          <w:rFonts w:hint="eastAsia"/>
          <w:highlight w:val="none"/>
        </w:rPr>
        <w:t>6、危急值登记本生成</w:t>
      </w:r>
    </w:p>
    <w:p w14:paraId="098AEC5D">
      <w:pPr>
        <w:ind w:firstLine="480"/>
        <w:rPr>
          <w:rFonts w:hint="eastAsia"/>
          <w:szCs w:val="21"/>
          <w:highlight w:val="none"/>
        </w:rPr>
      </w:pPr>
      <w:r>
        <w:rPr>
          <w:rFonts w:hint="eastAsia"/>
          <w:szCs w:val="21"/>
          <w:highlight w:val="none"/>
        </w:rPr>
        <w:t>自动生成危急值登记本，以便管理部门抽查监督</w:t>
      </w:r>
    </w:p>
    <w:p w14:paraId="319A5239">
      <w:pPr>
        <w:pStyle w:val="5"/>
        <w:rPr>
          <w:rFonts w:hint="eastAsia" w:ascii="宋体" w:hAnsi="宋体" w:eastAsia="宋体"/>
          <w:sz w:val="21"/>
          <w:szCs w:val="21"/>
          <w:highlight w:val="none"/>
        </w:rPr>
      </w:pPr>
      <w:r>
        <w:rPr>
          <w:rFonts w:hint="eastAsia" w:ascii="宋体" w:hAnsi="宋体" w:eastAsia="宋体"/>
          <w:sz w:val="21"/>
          <w:szCs w:val="21"/>
          <w:highlight w:val="none"/>
        </w:rPr>
        <w:t>药品闭环管理</w:t>
      </w:r>
    </w:p>
    <w:p w14:paraId="08513585">
      <w:pPr>
        <w:pStyle w:val="360"/>
        <w:spacing w:before="156" w:after="156"/>
        <w:ind w:firstLine="420"/>
        <w:rPr>
          <w:rFonts w:hint="eastAsia"/>
          <w:highlight w:val="none"/>
        </w:rPr>
      </w:pPr>
      <w:r>
        <w:rPr>
          <w:rFonts w:hint="eastAsia"/>
          <w:highlight w:val="none"/>
        </w:rPr>
        <w:t>1、用药合理性判断</w:t>
      </w:r>
    </w:p>
    <w:p w14:paraId="2E7ED681">
      <w:pPr>
        <w:pStyle w:val="360"/>
        <w:spacing w:before="156" w:after="156"/>
        <w:ind w:firstLine="420"/>
        <w:rPr>
          <w:rFonts w:hint="eastAsia"/>
          <w:highlight w:val="none"/>
        </w:rPr>
      </w:pPr>
      <w:r>
        <w:rPr>
          <w:rFonts w:hint="eastAsia"/>
          <w:highlight w:val="none"/>
        </w:rPr>
        <w:t>从医生下达药品的医嘱信息开始，在保存医嘱时对用药合理性进行判断，判断条件有性别、年龄、过敏史、病生理状态、诊断、检验异常值等，能对药品之间的配伍禁忌和相互作用进行判断。</w:t>
      </w:r>
    </w:p>
    <w:p w14:paraId="52F7ECA0">
      <w:pPr>
        <w:pStyle w:val="360"/>
        <w:spacing w:before="156" w:after="156"/>
        <w:ind w:firstLine="420"/>
        <w:rPr>
          <w:rFonts w:hint="eastAsia"/>
          <w:highlight w:val="none"/>
        </w:rPr>
      </w:pPr>
      <w:r>
        <w:rPr>
          <w:rFonts w:hint="eastAsia"/>
          <w:highlight w:val="none"/>
        </w:rPr>
        <w:t>2、医嘱校对</w:t>
      </w:r>
    </w:p>
    <w:p w14:paraId="0C3DA732">
      <w:pPr>
        <w:pStyle w:val="360"/>
        <w:spacing w:before="156" w:after="156"/>
        <w:ind w:firstLine="420"/>
        <w:rPr>
          <w:rFonts w:hint="eastAsia"/>
          <w:highlight w:val="none"/>
        </w:rPr>
      </w:pPr>
      <w:r>
        <w:rPr>
          <w:rFonts w:hint="eastAsia"/>
          <w:highlight w:val="none"/>
        </w:rPr>
        <w:t>医嘱确认无误后，发送到护士站，护士执行医嘱校对，申请药房摆药。</w:t>
      </w:r>
    </w:p>
    <w:p w14:paraId="3443E050">
      <w:pPr>
        <w:pStyle w:val="360"/>
        <w:spacing w:before="156" w:after="156"/>
        <w:ind w:firstLine="420"/>
        <w:rPr>
          <w:rFonts w:hint="eastAsia"/>
          <w:highlight w:val="none"/>
        </w:rPr>
      </w:pPr>
      <w:r>
        <w:rPr>
          <w:rFonts w:hint="eastAsia"/>
          <w:highlight w:val="none"/>
        </w:rPr>
        <w:t>3、审核发药</w:t>
      </w:r>
    </w:p>
    <w:p w14:paraId="2B012AEA">
      <w:pPr>
        <w:pStyle w:val="360"/>
        <w:spacing w:before="156" w:after="156"/>
        <w:ind w:firstLine="420"/>
        <w:rPr>
          <w:rFonts w:hint="eastAsia"/>
          <w:highlight w:val="none"/>
        </w:rPr>
      </w:pPr>
      <w:r>
        <w:rPr>
          <w:rFonts w:hint="eastAsia"/>
          <w:highlight w:val="none"/>
        </w:rPr>
        <w:t>药房接收到临床的摆药单，对药单进行审核，系统对其中的用药调用知识库进行合理性判断，对有问题的处方进行提示，确认无误后完成配药并发送到临床。</w:t>
      </w:r>
    </w:p>
    <w:p w14:paraId="66D82248">
      <w:pPr>
        <w:pStyle w:val="360"/>
        <w:spacing w:before="156" w:after="156"/>
        <w:ind w:firstLine="420"/>
        <w:rPr>
          <w:rFonts w:hint="eastAsia"/>
          <w:highlight w:val="none"/>
        </w:rPr>
      </w:pPr>
      <w:r>
        <w:rPr>
          <w:rFonts w:hint="eastAsia"/>
          <w:highlight w:val="none"/>
        </w:rPr>
        <w:t>4、接收摆药</w:t>
      </w:r>
    </w:p>
    <w:p w14:paraId="0CA804BE">
      <w:pPr>
        <w:pStyle w:val="360"/>
        <w:spacing w:before="156" w:after="156"/>
        <w:ind w:firstLine="420"/>
        <w:rPr>
          <w:rFonts w:hint="eastAsia"/>
          <w:highlight w:val="none"/>
        </w:rPr>
      </w:pPr>
      <w:r>
        <w:rPr>
          <w:rFonts w:hint="eastAsia"/>
          <w:highlight w:val="none"/>
        </w:rPr>
        <w:t>护士工作站接收药品，对药品进行贴瓶签摆药等操作，对输注的药品必须严格执行配药流程，由移动护理工作站，辅助实现配药记录。</w:t>
      </w:r>
    </w:p>
    <w:p w14:paraId="24CAA5AC">
      <w:pPr>
        <w:pStyle w:val="360"/>
        <w:spacing w:before="156" w:after="156"/>
        <w:ind w:firstLine="420"/>
        <w:rPr>
          <w:rFonts w:hint="eastAsia"/>
          <w:highlight w:val="none"/>
        </w:rPr>
      </w:pPr>
      <w:r>
        <w:rPr>
          <w:rFonts w:hint="eastAsia"/>
          <w:highlight w:val="none"/>
        </w:rPr>
        <w:t>5、腕带扫码核对</w:t>
      </w:r>
    </w:p>
    <w:p w14:paraId="0D427740">
      <w:pPr>
        <w:pStyle w:val="360"/>
        <w:spacing w:before="156" w:after="156"/>
        <w:ind w:firstLine="420"/>
        <w:rPr>
          <w:rFonts w:hint="eastAsia"/>
          <w:highlight w:val="none"/>
        </w:rPr>
      </w:pPr>
      <w:r>
        <w:rPr>
          <w:rFonts w:hint="eastAsia"/>
          <w:highlight w:val="none"/>
        </w:rPr>
        <w:t>扫描患者的腕带和药品进行输注核对；不一致时，移动</w:t>
      </w:r>
      <w:r>
        <w:rPr>
          <w:highlight w:val="none"/>
        </w:rPr>
        <w:t>PDA</w:t>
      </w:r>
      <w:r>
        <w:rPr>
          <w:rFonts w:hint="eastAsia"/>
          <w:highlight w:val="none"/>
        </w:rPr>
        <w:t>进行报警；如果是高危药品，输注时能进行提示，注意滴速、输注时长等信息。</w:t>
      </w:r>
    </w:p>
    <w:p w14:paraId="49E59BD4">
      <w:pPr>
        <w:pStyle w:val="360"/>
        <w:spacing w:before="156" w:after="156"/>
        <w:ind w:firstLine="420"/>
        <w:rPr>
          <w:rFonts w:hint="eastAsia"/>
          <w:highlight w:val="none"/>
        </w:rPr>
      </w:pPr>
      <w:r>
        <w:rPr>
          <w:rFonts w:hint="eastAsia"/>
          <w:highlight w:val="none"/>
        </w:rPr>
        <w:t>6、巡视登记</w:t>
      </w:r>
    </w:p>
    <w:p w14:paraId="0897FC18">
      <w:pPr>
        <w:pStyle w:val="360"/>
        <w:spacing w:before="156" w:after="156"/>
        <w:ind w:firstLine="420"/>
        <w:rPr>
          <w:rFonts w:hint="eastAsia"/>
          <w:highlight w:val="none"/>
        </w:rPr>
      </w:pPr>
      <w:r>
        <w:rPr>
          <w:rFonts w:hint="eastAsia"/>
          <w:highlight w:val="none"/>
        </w:rPr>
        <w:t>输注期间护士进行巡视登记，对有出现不良反应的患者进行登记，以即时消息的方式通知临床医生进行相应处置，药品输注完成后实现拔针操作。</w:t>
      </w:r>
    </w:p>
    <w:p w14:paraId="49AEE3A9">
      <w:pPr>
        <w:pStyle w:val="360"/>
        <w:spacing w:before="156" w:after="156"/>
        <w:ind w:firstLine="420"/>
        <w:rPr>
          <w:rFonts w:hint="eastAsia"/>
          <w:highlight w:val="none"/>
        </w:rPr>
      </w:pPr>
      <w:r>
        <w:rPr>
          <w:rFonts w:hint="eastAsia"/>
          <w:highlight w:val="none"/>
        </w:rPr>
        <w:t>7、医嘱执行状态</w:t>
      </w:r>
    </w:p>
    <w:p w14:paraId="5560940C">
      <w:pPr>
        <w:pStyle w:val="360"/>
        <w:spacing w:before="156" w:after="156"/>
        <w:ind w:firstLine="420"/>
        <w:rPr>
          <w:rFonts w:hint="eastAsia"/>
          <w:highlight w:val="none"/>
        </w:rPr>
      </w:pPr>
      <w:r>
        <w:rPr>
          <w:rFonts w:hint="eastAsia"/>
          <w:highlight w:val="none"/>
        </w:rPr>
        <w:t>医生站可以实时查看医嘱的执行状态，方便后续的治疗。</w:t>
      </w:r>
    </w:p>
    <w:p w14:paraId="751C7F66">
      <w:pPr>
        <w:pStyle w:val="5"/>
        <w:rPr>
          <w:rFonts w:hint="eastAsia" w:ascii="宋体" w:hAnsi="宋体" w:eastAsia="宋体"/>
          <w:sz w:val="21"/>
          <w:szCs w:val="21"/>
          <w:highlight w:val="none"/>
        </w:rPr>
      </w:pPr>
      <w:r>
        <w:rPr>
          <w:rFonts w:hint="eastAsia" w:ascii="宋体" w:hAnsi="宋体" w:eastAsia="宋体"/>
          <w:sz w:val="21"/>
          <w:szCs w:val="21"/>
          <w:highlight w:val="none"/>
        </w:rPr>
        <w:t>检查闭环管理</w:t>
      </w:r>
    </w:p>
    <w:p w14:paraId="61507399">
      <w:pPr>
        <w:pStyle w:val="359"/>
        <w:ind w:firstLine="420"/>
        <w:rPr>
          <w:rFonts w:hint="eastAsia" w:ascii="宋体" w:hAnsi="宋体"/>
          <w:szCs w:val="21"/>
          <w:highlight w:val="none"/>
        </w:rPr>
      </w:pPr>
      <w:r>
        <w:rPr>
          <w:rFonts w:hint="eastAsia" w:ascii="宋体" w:hAnsi="宋体"/>
          <w:szCs w:val="21"/>
          <w:highlight w:val="none"/>
        </w:rPr>
        <w:t>检查医嘱主要涉及病房医生、病房护士与检查科室之间的交互联动。</w:t>
      </w:r>
    </w:p>
    <w:p w14:paraId="666FA50C">
      <w:pPr>
        <w:pStyle w:val="359"/>
        <w:ind w:firstLine="420"/>
        <w:rPr>
          <w:rFonts w:hint="eastAsia" w:ascii="宋体" w:hAnsi="宋体"/>
          <w:szCs w:val="21"/>
          <w:highlight w:val="none"/>
        </w:rPr>
      </w:pPr>
      <w:r>
        <w:rPr>
          <w:rFonts w:ascii="宋体" w:hAnsi="宋体"/>
          <w:szCs w:val="21"/>
          <w:highlight w:val="none"/>
        </w:rPr>
        <w:t>1、检查合理性判断</w:t>
      </w:r>
    </w:p>
    <w:p w14:paraId="641BAFD9">
      <w:pPr>
        <w:pStyle w:val="359"/>
        <w:ind w:firstLine="420"/>
        <w:rPr>
          <w:rFonts w:hint="eastAsia" w:ascii="宋体" w:hAnsi="宋体"/>
          <w:szCs w:val="21"/>
          <w:highlight w:val="none"/>
        </w:rPr>
      </w:pPr>
      <w:r>
        <w:rPr>
          <w:rFonts w:hint="eastAsia" w:ascii="宋体" w:hAnsi="宋体"/>
          <w:szCs w:val="21"/>
          <w:highlight w:val="none"/>
        </w:rPr>
        <w:t>医生站下达检查医嘱，系统通过检查知识库判断当前医嘱是否合理，系统可查阅当前检查项目的注意事项。</w:t>
      </w:r>
    </w:p>
    <w:p w14:paraId="153606A7">
      <w:pPr>
        <w:pStyle w:val="359"/>
        <w:ind w:firstLine="420"/>
        <w:rPr>
          <w:rFonts w:hint="eastAsia" w:ascii="宋体" w:hAnsi="宋体"/>
          <w:szCs w:val="21"/>
          <w:highlight w:val="none"/>
        </w:rPr>
      </w:pPr>
      <w:r>
        <w:rPr>
          <w:rFonts w:ascii="宋体" w:hAnsi="宋体"/>
          <w:szCs w:val="21"/>
          <w:highlight w:val="none"/>
        </w:rPr>
        <w:t>2、检查预约</w:t>
      </w:r>
    </w:p>
    <w:p w14:paraId="54AA00F2">
      <w:pPr>
        <w:pStyle w:val="359"/>
        <w:ind w:firstLine="420"/>
        <w:rPr>
          <w:rFonts w:hint="eastAsia" w:ascii="宋体" w:hAnsi="宋体"/>
          <w:szCs w:val="21"/>
          <w:highlight w:val="none"/>
        </w:rPr>
      </w:pPr>
      <w:r>
        <w:rPr>
          <w:rFonts w:hint="eastAsia" w:ascii="宋体" w:hAnsi="宋体"/>
          <w:szCs w:val="21"/>
          <w:highlight w:val="none"/>
        </w:rPr>
        <w:t>确认无误后生成电子申请单，并提示医生为患者进行检查预约。医生结合患者的具体情况，选择适当的预约时间；系统根据预约预制规则自动给与警示和提醒。</w:t>
      </w:r>
    </w:p>
    <w:p w14:paraId="18F31A4F">
      <w:pPr>
        <w:pStyle w:val="359"/>
        <w:ind w:firstLine="420"/>
        <w:rPr>
          <w:rFonts w:hint="eastAsia" w:ascii="宋体" w:hAnsi="宋体"/>
          <w:szCs w:val="21"/>
          <w:highlight w:val="none"/>
        </w:rPr>
      </w:pPr>
      <w:r>
        <w:rPr>
          <w:rFonts w:ascii="宋体" w:hAnsi="宋体"/>
          <w:szCs w:val="21"/>
          <w:highlight w:val="none"/>
        </w:rPr>
        <w:t>3、导诊单打印</w:t>
      </w:r>
    </w:p>
    <w:p w14:paraId="41450CBC">
      <w:pPr>
        <w:pStyle w:val="359"/>
        <w:ind w:firstLine="420"/>
        <w:rPr>
          <w:rFonts w:hint="eastAsia" w:ascii="宋体" w:hAnsi="宋体"/>
          <w:szCs w:val="21"/>
          <w:highlight w:val="none"/>
        </w:rPr>
      </w:pPr>
      <w:r>
        <w:rPr>
          <w:rFonts w:hint="eastAsia" w:ascii="宋体" w:hAnsi="宋体"/>
          <w:szCs w:val="21"/>
          <w:highlight w:val="none"/>
        </w:rPr>
        <w:t>预约成功后，通过短信平台或护士打印导诊单给患者，告知其检查时间、地点及注意事项。</w:t>
      </w:r>
    </w:p>
    <w:p w14:paraId="11065F71">
      <w:pPr>
        <w:pStyle w:val="359"/>
        <w:ind w:firstLine="420"/>
        <w:rPr>
          <w:rFonts w:hint="eastAsia" w:ascii="宋体" w:hAnsi="宋体"/>
          <w:szCs w:val="21"/>
          <w:highlight w:val="none"/>
        </w:rPr>
      </w:pPr>
      <w:r>
        <w:rPr>
          <w:rFonts w:ascii="宋体" w:hAnsi="宋体"/>
          <w:szCs w:val="21"/>
          <w:highlight w:val="none"/>
        </w:rPr>
        <w:t>4、检查单接收</w:t>
      </w:r>
    </w:p>
    <w:p w14:paraId="3C882F0B">
      <w:pPr>
        <w:pStyle w:val="359"/>
        <w:ind w:firstLine="420"/>
        <w:rPr>
          <w:rFonts w:hint="eastAsia" w:ascii="宋体" w:hAnsi="宋体"/>
          <w:szCs w:val="21"/>
          <w:highlight w:val="none"/>
        </w:rPr>
      </w:pPr>
      <w:r>
        <w:rPr>
          <w:rFonts w:hint="eastAsia" w:ascii="宋体" w:hAnsi="宋体"/>
          <w:szCs w:val="21"/>
          <w:highlight w:val="none"/>
        </w:rPr>
        <w:t>检查科室接收患者后，进行检查登录，可以查阅患者电子申请单、病历记录、医嘱用药、检查检验报告等信息。</w:t>
      </w:r>
    </w:p>
    <w:p w14:paraId="4F818D4A">
      <w:pPr>
        <w:pStyle w:val="359"/>
        <w:ind w:firstLine="420"/>
        <w:rPr>
          <w:rFonts w:hint="eastAsia" w:ascii="宋体" w:hAnsi="宋体"/>
          <w:szCs w:val="21"/>
          <w:highlight w:val="none"/>
        </w:rPr>
      </w:pPr>
      <w:r>
        <w:rPr>
          <w:rFonts w:ascii="宋体" w:hAnsi="宋体"/>
          <w:szCs w:val="21"/>
          <w:highlight w:val="none"/>
        </w:rPr>
        <w:t>5、检查报告单</w:t>
      </w:r>
    </w:p>
    <w:p w14:paraId="381636FC">
      <w:pPr>
        <w:pStyle w:val="359"/>
        <w:ind w:firstLine="420"/>
        <w:rPr>
          <w:rFonts w:hint="eastAsia" w:ascii="宋体" w:hAnsi="宋体"/>
          <w:szCs w:val="21"/>
          <w:highlight w:val="none"/>
        </w:rPr>
      </w:pPr>
      <w:r>
        <w:rPr>
          <w:rFonts w:hint="eastAsia" w:ascii="宋体" w:hAnsi="宋体"/>
          <w:szCs w:val="21"/>
          <w:highlight w:val="none"/>
        </w:rPr>
        <w:t>检查科室完成检查操作，调用检查报告模板，完成结构化检查报告，经由上级医生审核。</w:t>
      </w:r>
    </w:p>
    <w:p w14:paraId="474838FD">
      <w:pPr>
        <w:pStyle w:val="359"/>
        <w:ind w:firstLine="420"/>
        <w:rPr>
          <w:rFonts w:hint="eastAsia" w:ascii="宋体" w:hAnsi="宋体"/>
          <w:szCs w:val="21"/>
          <w:highlight w:val="none"/>
        </w:rPr>
      </w:pPr>
      <w:r>
        <w:rPr>
          <w:rFonts w:ascii="宋体" w:hAnsi="宋体"/>
          <w:szCs w:val="21"/>
          <w:highlight w:val="none"/>
        </w:rPr>
        <w:t>6、报告审核</w:t>
      </w:r>
    </w:p>
    <w:p w14:paraId="38BF1AC7">
      <w:pPr>
        <w:pStyle w:val="359"/>
        <w:ind w:firstLine="420"/>
        <w:rPr>
          <w:rFonts w:hint="eastAsia" w:ascii="宋体" w:hAnsi="宋体"/>
          <w:szCs w:val="21"/>
          <w:highlight w:val="none"/>
        </w:rPr>
      </w:pPr>
      <w:r>
        <w:rPr>
          <w:rFonts w:hint="eastAsia" w:ascii="宋体" w:hAnsi="宋体"/>
          <w:szCs w:val="21"/>
          <w:highlight w:val="none"/>
        </w:rPr>
        <w:t>医护工作站可以实时查看检查的状态及报告状态。报告审核完成，医护工作站接收到即时消息。可以在工作站中根据患者姓名、住院号等信息检查查看患者的检查报告。</w:t>
      </w:r>
    </w:p>
    <w:p w14:paraId="1673081B">
      <w:pPr>
        <w:pStyle w:val="359"/>
        <w:ind w:firstLine="420"/>
        <w:rPr>
          <w:rFonts w:hint="eastAsia" w:ascii="宋体" w:hAnsi="宋体"/>
          <w:szCs w:val="21"/>
          <w:highlight w:val="none"/>
        </w:rPr>
      </w:pPr>
      <w:r>
        <w:rPr>
          <w:rFonts w:ascii="宋体" w:hAnsi="宋体"/>
          <w:szCs w:val="21"/>
          <w:highlight w:val="none"/>
        </w:rPr>
        <w:t>7、检查警示</w:t>
      </w:r>
    </w:p>
    <w:p w14:paraId="560AB60B">
      <w:pPr>
        <w:pStyle w:val="359"/>
        <w:ind w:firstLine="420"/>
        <w:rPr>
          <w:rFonts w:hint="eastAsia" w:ascii="宋体" w:hAnsi="宋体"/>
          <w:szCs w:val="21"/>
          <w:highlight w:val="none"/>
        </w:rPr>
      </w:pPr>
      <w:r>
        <w:rPr>
          <w:rFonts w:hint="eastAsia" w:ascii="宋体" w:hAnsi="宋体"/>
          <w:szCs w:val="21"/>
          <w:highlight w:val="none"/>
        </w:rPr>
        <w:t>检查报告中能结合患者的历史检查结果进行综合警示提醒。</w:t>
      </w:r>
    </w:p>
    <w:p w14:paraId="73F6B3B6">
      <w:pPr>
        <w:pStyle w:val="5"/>
        <w:rPr>
          <w:rFonts w:hint="eastAsia" w:ascii="宋体" w:hAnsi="宋体" w:eastAsia="宋体"/>
          <w:sz w:val="21"/>
          <w:szCs w:val="21"/>
          <w:highlight w:val="none"/>
        </w:rPr>
      </w:pPr>
      <w:r>
        <w:rPr>
          <w:rFonts w:hint="eastAsia" w:ascii="宋体" w:hAnsi="宋体" w:eastAsia="宋体"/>
          <w:sz w:val="21"/>
          <w:szCs w:val="21"/>
          <w:highlight w:val="none"/>
        </w:rPr>
        <w:t>检验闭环管理</w:t>
      </w:r>
    </w:p>
    <w:p w14:paraId="5A5946A6">
      <w:pPr>
        <w:pStyle w:val="359"/>
        <w:ind w:firstLine="420"/>
        <w:rPr>
          <w:rFonts w:hint="eastAsia" w:ascii="宋体" w:hAnsi="宋体"/>
          <w:szCs w:val="21"/>
          <w:highlight w:val="none"/>
        </w:rPr>
      </w:pPr>
      <w:r>
        <w:rPr>
          <w:rFonts w:hint="eastAsia" w:ascii="宋体" w:hAnsi="宋体"/>
          <w:szCs w:val="21"/>
          <w:highlight w:val="none"/>
        </w:rPr>
        <w:t>检验医嘱主要涉及病房医生、病房护士、送检人和检验科室之间的交互联动。</w:t>
      </w:r>
    </w:p>
    <w:p w14:paraId="2DF8401F">
      <w:pPr>
        <w:pStyle w:val="359"/>
        <w:ind w:firstLine="420"/>
        <w:rPr>
          <w:rFonts w:hint="eastAsia" w:ascii="宋体" w:hAnsi="宋体"/>
          <w:szCs w:val="21"/>
          <w:highlight w:val="none"/>
        </w:rPr>
      </w:pPr>
      <w:r>
        <w:rPr>
          <w:rFonts w:ascii="宋体" w:hAnsi="宋体"/>
          <w:szCs w:val="21"/>
          <w:highlight w:val="none"/>
        </w:rPr>
        <w:t>1、合理性判断</w:t>
      </w:r>
    </w:p>
    <w:p w14:paraId="27C0BBBB">
      <w:pPr>
        <w:pStyle w:val="359"/>
        <w:ind w:firstLine="420"/>
        <w:rPr>
          <w:rFonts w:hint="eastAsia" w:ascii="宋体" w:hAnsi="宋体"/>
          <w:szCs w:val="21"/>
          <w:highlight w:val="none"/>
        </w:rPr>
      </w:pPr>
      <w:r>
        <w:rPr>
          <w:rFonts w:hint="eastAsia" w:ascii="宋体" w:hAnsi="宋体"/>
          <w:szCs w:val="21"/>
          <w:highlight w:val="none"/>
        </w:rPr>
        <w:t>医生下达检验医嘱，默认检验标本，系统通过检验合理性知识库判断当前所下的医嘱是否合理。</w:t>
      </w:r>
    </w:p>
    <w:p w14:paraId="27EEBFF0">
      <w:pPr>
        <w:pStyle w:val="359"/>
        <w:ind w:firstLine="420"/>
        <w:rPr>
          <w:rFonts w:hint="eastAsia" w:ascii="宋体" w:hAnsi="宋体"/>
          <w:szCs w:val="21"/>
          <w:highlight w:val="none"/>
        </w:rPr>
      </w:pPr>
      <w:r>
        <w:rPr>
          <w:rFonts w:ascii="宋体" w:hAnsi="宋体"/>
          <w:szCs w:val="21"/>
          <w:highlight w:val="none"/>
        </w:rPr>
        <w:t>2、核对并打印条码</w:t>
      </w:r>
    </w:p>
    <w:p w14:paraId="0D462D36">
      <w:pPr>
        <w:pStyle w:val="359"/>
        <w:ind w:firstLine="420"/>
        <w:rPr>
          <w:rFonts w:hint="eastAsia" w:ascii="宋体" w:hAnsi="宋体"/>
          <w:szCs w:val="21"/>
          <w:highlight w:val="none"/>
        </w:rPr>
      </w:pPr>
      <w:r>
        <w:rPr>
          <w:rFonts w:hint="eastAsia" w:ascii="宋体" w:hAnsi="宋体"/>
          <w:szCs w:val="21"/>
          <w:highlight w:val="none"/>
        </w:rPr>
        <w:t>护士校对医生发送的医嘱信息，根据检验的申请项目打印标本的条码，贴在采集管上。</w:t>
      </w:r>
    </w:p>
    <w:p w14:paraId="58412DFB">
      <w:pPr>
        <w:pStyle w:val="359"/>
        <w:ind w:firstLine="420"/>
        <w:rPr>
          <w:rFonts w:hint="eastAsia" w:ascii="宋体" w:hAnsi="宋体"/>
          <w:szCs w:val="21"/>
          <w:highlight w:val="none"/>
        </w:rPr>
      </w:pPr>
      <w:r>
        <w:rPr>
          <w:rFonts w:ascii="宋体" w:hAnsi="宋体"/>
          <w:szCs w:val="21"/>
          <w:highlight w:val="none"/>
        </w:rPr>
        <w:t>3、患者身份确认</w:t>
      </w:r>
    </w:p>
    <w:p w14:paraId="578DED52">
      <w:pPr>
        <w:pStyle w:val="359"/>
        <w:ind w:firstLine="420"/>
        <w:rPr>
          <w:rFonts w:hint="eastAsia" w:ascii="宋体" w:hAnsi="宋体"/>
          <w:szCs w:val="21"/>
          <w:highlight w:val="none"/>
        </w:rPr>
      </w:pPr>
      <w:r>
        <w:rPr>
          <w:rFonts w:hint="eastAsia" w:ascii="宋体" w:hAnsi="宋体"/>
          <w:szCs w:val="21"/>
          <w:highlight w:val="none"/>
        </w:rPr>
        <w:t>护士在患者床边进行标本采集时，通过移动护理</w:t>
      </w:r>
      <w:r>
        <w:rPr>
          <w:rFonts w:ascii="宋体" w:hAnsi="宋体"/>
          <w:szCs w:val="21"/>
          <w:highlight w:val="none"/>
        </w:rPr>
        <w:t>PDA的扫描确认采集管与患者是否一致；不一致时系统进行报警提示，减少医疗差错。</w:t>
      </w:r>
    </w:p>
    <w:p w14:paraId="7AD63548">
      <w:pPr>
        <w:pStyle w:val="359"/>
        <w:ind w:firstLine="420"/>
        <w:rPr>
          <w:rFonts w:hint="eastAsia" w:ascii="宋体" w:hAnsi="宋体"/>
          <w:szCs w:val="21"/>
          <w:highlight w:val="none"/>
        </w:rPr>
      </w:pPr>
      <w:r>
        <w:rPr>
          <w:rFonts w:ascii="宋体" w:hAnsi="宋体"/>
          <w:szCs w:val="21"/>
          <w:highlight w:val="none"/>
        </w:rPr>
        <w:t>4、异常警示</w:t>
      </w:r>
    </w:p>
    <w:p w14:paraId="06C70AD6">
      <w:pPr>
        <w:pStyle w:val="359"/>
        <w:ind w:firstLine="420"/>
        <w:rPr>
          <w:rFonts w:hint="eastAsia" w:ascii="宋体" w:hAnsi="宋体"/>
          <w:szCs w:val="21"/>
          <w:highlight w:val="none"/>
        </w:rPr>
      </w:pPr>
      <w:r>
        <w:rPr>
          <w:rFonts w:hint="eastAsia" w:ascii="宋体" w:hAnsi="宋体"/>
          <w:szCs w:val="21"/>
          <w:highlight w:val="none"/>
        </w:rPr>
        <w:t>采集标本的过程中，对特殊的检验项目会对患者是否空腹、是否用药进行判断，出现异常值时进行报警提示。</w:t>
      </w:r>
    </w:p>
    <w:p w14:paraId="1CF77B00">
      <w:pPr>
        <w:pStyle w:val="359"/>
        <w:ind w:firstLine="420"/>
        <w:rPr>
          <w:rFonts w:hint="eastAsia" w:ascii="宋体" w:hAnsi="宋体"/>
          <w:szCs w:val="21"/>
          <w:highlight w:val="none"/>
        </w:rPr>
      </w:pPr>
      <w:r>
        <w:rPr>
          <w:rFonts w:ascii="宋体" w:hAnsi="宋体"/>
          <w:szCs w:val="21"/>
          <w:highlight w:val="none"/>
        </w:rPr>
        <w:t>5、标本打包</w:t>
      </w:r>
    </w:p>
    <w:p w14:paraId="5D367EDF">
      <w:pPr>
        <w:pStyle w:val="359"/>
        <w:ind w:firstLine="420"/>
        <w:rPr>
          <w:rFonts w:hint="eastAsia" w:ascii="宋体" w:hAnsi="宋体"/>
          <w:szCs w:val="21"/>
          <w:highlight w:val="none"/>
        </w:rPr>
      </w:pPr>
      <w:r>
        <w:rPr>
          <w:rFonts w:hint="eastAsia" w:ascii="宋体" w:hAnsi="宋体"/>
          <w:szCs w:val="21"/>
          <w:highlight w:val="none"/>
        </w:rPr>
        <w:t>护士对采集的标本进行打包处理，有护工或者相关责任人登记接收标本，将其运送到检验科室。由检验科室扫描接收并登记接收人和交接人。</w:t>
      </w:r>
    </w:p>
    <w:p w14:paraId="0EAE22FB">
      <w:pPr>
        <w:pStyle w:val="359"/>
        <w:ind w:firstLine="420"/>
        <w:rPr>
          <w:rFonts w:hint="eastAsia" w:ascii="宋体" w:hAnsi="宋体"/>
          <w:szCs w:val="21"/>
          <w:highlight w:val="none"/>
        </w:rPr>
      </w:pPr>
      <w:r>
        <w:rPr>
          <w:rFonts w:ascii="宋体" w:hAnsi="宋体"/>
          <w:szCs w:val="21"/>
          <w:highlight w:val="none"/>
        </w:rPr>
        <w:t>6、标本分组</w:t>
      </w:r>
    </w:p>
    <w:p w14:paraId="4980B539">
      <w:pPr>
        <w:pStyle w:val="359"/>
        <w:ind w:firstLine="420"/>
        <w:rPr>
          <w:rFonts w:hint="eastAsia" w:ascii="宋体" w:hAnsi="宋体"/>
          <w:szCs w:val="21"/>
          <w:highlight w:val="none"/>
        </w:rPr>
      </w:pPr>
      <w:r>
        <w:rPr>
          <w:rFonts w:hint="eastAsia" w:ascii="宋体" w:hAnsi="宋体"/>
          <w:szCs w:val="21"/>
          <w:highlight w:val="none"/>
        </w:rPr>
        <w:t>检验科室对标本进行分组处理，扫描采血管上的条码，进行标本的检验和报告登记；系统提供自动审核功能，对不超出正常范围的数据进行自动判断，对异常值需要人工审核的进行单独列出。</w:t>
      </w:r>
    </w:p>
    <w:p w14:paraId="69B534D4">
      <w:pPr>
        <w:pStyle w:val="359"/>
        <w:ind w:firstLine="420"/>
        <w:rPr>
          <w:rFonts w:hint="eastAsia" w:ascii="宋体" w:hAnsi="宋体"/>
          <w:szCs w:val="21"/>
          <w:highlight w:val="none"/>
        </w:rPr>
      </w:pPr>
      <w:r>
        <w:rPr>
          <w:rFonts w:ascii="宋体" w:hAnsi="宋体"/>
          <w:szCs w:val="21"/>
          <w:highlight w:val="none"/>
        </w:rPr>
        <w:t>7、危急值通知</w:t>
      </w:r>
    </w:p>
    <w:p w14:paraId="67B8A326">
      <w:pPr>
        <w:pStyle w:val="359"/>
        <w:ind w:firstLine="420"/>
        <w:rPr>
          <w:rFonts w:hint="eastAsia" w:ascii="宋体" w:hAnsi="宋体"/>
          <w:szCs w:val="21"/>
          <w:highlight w:val="none"/>
        </w:rPr>
      </w:pPr>
      <w:r>
        <w:rPr>
          <w:rFonts w:hint="eastAsia" w:ascii="宋体" w:hAnsi="宋体"/>
          <w:szCs w:val="21"/>
          <w:highlight w:val="none"/>
        </w:rPr>
        <w:t>出现危急值时，系统通过医院信息平台将数据推送到短信平台，以短信的方式通知相关责任人及时处理。</w:t>
      </w:r>
    </w:p>
    <w:p w14:paraId="3157C57E">
      <w:pPr>
        <w:pStyle w:val="359"/>
        <w:ind w:firstLine="420"/>
        <w:rPr>
          <w:rFonts w:hint="eastAsia" w:ascii="宋体" w:hAnsi="宋体"/>
          <w:szCs w:val="21"/>
          <w:highlight w:val="none"/>
        </w:rPr>
      </w:pPr>
      <w:r>
        <w:rPr>
          <w:rFonts w:ascii="宋体" w:hAnsi="宋体"/>
          <w:szCs w:val="21"/>
          <w:highlight w:val="none"/>
        </w:rPr>
        <w:t>8、检验报告调阅</w:t>
      </w:r>
    </w:p>
    <w:p w14:paraId="0F4040B4">
      <w:pPr>
        <w:pStyle w:val="359"/>
        <w:ind w:firstLine="420"/>
        <w:rPr>
          <w:rFonts w:hint="eastAsia" w:ascii="宋体" w:hAnsi="宋体"/>
          <w:szCs w:val="21"/>
          <w:highlight w:val="none"/>
        </w:rPr>
      </w:pPr>
      <w:r>
        <w:rPr>
          <w:rFonts w:hint="eastAsia" w:ascii="宋体" w:hAnsi="宋体"/>
          <w:szCs w:val="21"/>
          <w:highlight w:val="none"/>
        </w:rPr>
        <w:t>检验科室完成报告的审核后，医护站能实时查看患者的报告状态，并根据患者的历史检验结果生成历史趋势图和推荐疑似诊断，方便临床诊疗。</w:t>
      </w:r>
    </w:p>
    <w:p w14:paraId="2EFEE945">
      <w:pPr>
        <w:pStyle w:val="5"/>
        <w:rPr>
          <w:rFonts w:hint="eastAsia" w:ascii="宋体" w:hAnsi="宋体" w:eastAsia="宋体"/>
          <w:sz w:val="21"/>
          <w:szCs w:val="21"/>
          <w:highlight w:val="none"/>
        </w:rPr>
      </w:pPr>
      <w:r>
        <w:rPr>
          <w:rFonts w:hint="eastAsia" w:ascii="宋体" w:hAnsi="宋体" w:eastAsia="宋体"/>
          <w:sz w:val="21"/>
          <w:szCs w:val="21"/>
          <w:highlight w:val="none"/>
        </w:rPr>
        <w:t>治疗闭环管理</w:t>
      </w:r>
    </w:p>
    <w:p w14:paraId="0447D888">
      <w:pPr>
        <w:pStyle w:val="359"/>
        <w:ind w:firstLine="420"/>
        <w:rPr>
          <w:rFonts w:hint="eastAsia" w:ascii="宋体" w:hAnsi="宋体"/>
          <w:szCs w:val="21"/>
          <w:highlight w:val="none"/>
        </w:rPr>
      </w:pPr>
      <w:r>
        <w:rPr>
          <w:rFonts w:hint="eastAsia" w:ascii="宋体" w:hAnsi="宋体"/>
          <w:szCs w:val="21"/>
          <w:highlight w:val="none"/>
        </w:rPr>
        <w:t>治疗医嘱主要涉及门诊医生、病房医生、病房护士、治疗科室的交互联动。</w:t>
      </w:r>
    </w:p>
    <w:p w14:paraId="534A926D">
      <w:pPr>
        <w:pStyle w:val="359"/>
        <w:ind w:firstLine="420"/>
        <w:rPr>
          <w:rFonts w:hint="eastAsia" w:ascii="宋体" w:hAnsi="宋体"/>
          <w:szCs w:val="21"/>
          <w:highlight w:val="none"/>
        </w:rPr>
      </w:pPr>
      <w:r>
        <w:rPr>
          <w:rFonts w:ascii="宋体" w:hAnsi="宋体"/>
          <w:szCs w:val="21"/>
          <w:highlight w:val="none"/>
        </w:rPr>
        <w:t>1、治疗申请单</w:t>
      </w:r>
    </w:p>
    <w:p w14:paraId="6EE04233">
      <w:pPr>
        <w:pStyle w:val="359"/>
        <w:ind w:firstLine="420"/>
        <w:rPr>
          <w:rFonts w:hint="eastAsia" w:ascii="宋体" w:hAnsi="宋体"/>
          <w:szCs w:val="21"/>
          <w:highlight w:val="none"/>
        </w:rPr>
      </w:pPr>
      <w:r>
        <w:rPr>
          <w:rFonts w:hint="eastAsia" w:ascii="宋体" w:hAnsi="宋体"/>
          <w:szCs w:val="21"/>
          <w:highlight w:val="none"/>
        </w:rPr>
        <w:t>医师下达治疗医嘱，知识库结合患者的诊断等信息进行治疗方案的推荐，医师选择合适的治疗方案，并完成患者的治疗申请单。</w:t>
      </w:r>
    </w:p>
    <w:p w14:paraId="2C58A03B">
      <w:pPr>
        <w:pStyle w:val="359"/>
        <w:ind w:firstLine="420"/>
        <w:rPr>
          <w:rFonts w:hint="eastAsia" w:ascii="宋体" w:hAnsi="宋体"/>
          <w:szCs w:val="21"/>
          <w:highlight w:val="none"/>
        </w:rPr>
      </w:pPr>
      <w:r>
        <w:rPr>
          <w:rFonts w:ascii="宋体" w:hAnsi="宋体"/>
          <w:szCs w:val="21"/>
          <w:highlight w:val="none"/>
        </w:rPr>
        <w:t>2、医嘱校对</w:t>
      </w:r>
    </w:p>
    <w:p w14:paraId="5F07BB18">
      <w:pPr>
        <w:pStyle w:val="359"/>
        <w:ind w:firstLine="420"/>
        <w:rPr>
          <w:rFonts w:hint="eastAsia" w:ascii="宋体" w:hAnsi="宋体"/>
          <w:szCs w:val="21"/>
          <w:highlight w:val="none"/>
        </w:rPr>
      </w:pPr>
      <w:r>
        <w:rPr>
          <w:rFonts w:hint="eastAsia" w:ascii="宋体" w:hAnsi="宋体"/>
          <w:szCs w:val="21"/>
          <w:highlight w:val="none"/>
        </w:rPr>
        <w:t>护士对医师的医嘱进行校对，对需要多次治疗的项目进行预约登记；系统根据执行的频率自动生成治疗时间列表，护士对患者的每次治疗进行记录。</w:t>
      </w:r>
    </w:p>
    <w:p w14:paraId="46A16262">
      <w:pPr>
        <w:pStyle w:val="359"/>
        <w:ind w:firstLine="420"/>
        <w:rPr>
          <w:rFonts w:hint="eastAsia" w:ascii="宋体" w:hAnsi="宋体"/>
          <w:szCs w:val="21"/>
          <w:highlight w:val="none"/>
        </w:rPr>
      </w:pPr>
      <w:r>
        <w:rPr>
          <w:rFonts w:ascii="宋体" w:hAnsi="宋体"/>
          <w:szCs w:val="21"/>
          <w:highlight w:val="none"/>
        </w:rPr>
        <w:t>3、病历调阅</w:t>
      </w:r>
    </w:p>
    <w:p w14:paraId="38481B33">
      <w:pPr>
        <w:pStyle w:val="359"/>
        <w:ind w:firstLine="420"/>
        <w:rPr>
          <w:rFonts w:hint="eastAsia" w:ascii="宋体" w:hAnsi="宋体"/>
          <w:szCs w:val="21"/>
          <w:highlight w:val="none"/>
        </w:rPr>
      </w:pPr>
      <w:r>
        <w:rPr>
          <w:rFonts w:hint="eastAsia" w:ascii="宋体" w:hAnsi="宋体"/>
          <w:szCs w:val="21"/>
          <w:highlight w:val="none"/>
        </w:rPr>
        <w:t>治疗系统中能实时调阅患者的病历，进行有针对性的治疗。</w:t>
      </w:r>
    </w:p>
    <w:p w14:paraId="414845F3">
      <w:pPr>
        <w:pStyle w:val="359"/>
        <w:ind w:firstLine="420"/>
        <w:rPr>
          <w:rFonts w:hint="eastAsia" w:ascii="宋体" w:hAnsi="宋体"/>
          <w:szCs w:val="21"/>
          <w:highlight w:val="none"/>
        </w:rPr>
      </w:pPr>
      <w:r>
        <w:rPr>
          <w:rFonts w:ascii="宋体" w:hAnsi="宋体"/>
          <w:szCs w:val="21"/>
          <w:highlight w:val="none"/>
        </w:rPr>
        <w:t>4、治疗记录共享</w:t>
      </w:r>
    </w:p>
    <w:p w14:paraId="0CB04DA1">
      <w:pPr>
        <w:pStyle w:val="359"/>
        <w:ind w:firstLine="420"/>
        <w:rPr>
          <w:rFonts w:hint="eastAsia" w:ascii="宋体" w:hAnsi="宋体"/>
          <w:szCs w:val="21"/>
          <w:highlight w:val="none"/>
        </w:rPr>
      </w:pPr>
      <w:r>
        <w:rPr>
          <w:rFonts w:hint="eastAsia" w:ascii="宋体" w:hAnsi="宋体"/>
          <w:szCs w:val="21"/>
          <w:highlight w:val="none"/>
        </w:rPr>
        <w:t>治疗系统的记录能实时反馈到医生站，供医生进行查看，并作为下一次治疗的依据。</w:t>
      </w:r>
    </w:p>
    <w:p w14:paraId="629EBE80">
      <w:pPr>
        <w:pStyle w:val="359"/>
        <w:ind w:firstLine="420"/>
        <w:rPr>
          <w:rFonts w:hint="eastAsia" w:ascii="宋体" w:hAnsi="宋体"/>
          <w:szCs w:val="21"/>
          <w:highlight w:val="none"/>
        </w:rPr>
      </w:pPr>
      <w:r>
        <w:rPr>
          <w:rFonts w:ascii="宋体" w:hAnsi="宋体"/>
          <w:szCs w:val="21"/>
          <w:highlight w:val="none"/>
        </w:rPr>
        <w:t>5、治疗小结</w:t>
      </w:r>
    </w:p>
    <w:p w14:paraId="7EFF2A5C">
      <w:pPr>
        <w:pStyle w:val="359"/>
        <w:ind w:firstLine="420"/>
        <w:rPr>
          <w:rFonts w:hint="eastAsia" w:ascii="宋体" w:hAnsi="宋体"/>
          <w:szCs w:val="21"/>
          <w:highlight w:val="none"/>
        </w:rPr>
      </w:pPr>
      <w:r>
        <w:rPr>
          <w:rFonts w:hint="eastAsia" w:ascii="宋体" w:hAnsi="宋体"/>
          <w:szCs w:val="21"/>
          <w:highlight w:val="none"/>
        </w:rPr>
        <w:t>治疗结束后，由医生书写治疗记录小结，实现整个治疗过程的闭环管理。</w:t>
      </w:r>
    </w:p>
    <w:p w14:paraId="1E0900E9">
      <w:pPr>
        <w:pStyle w:val="5"/>
        <w:rPr>
          <w:rFonts w:hint="eastAsia" w:ascii="宋体" w:hAnsi="宋体" w:eastAsia="宋体"/>
          <w:sz w:val="21"/>
          <w:szCs w:val="21"/>
          <w:highlight w:val="none"/>
        </w:rPr>
      </w:pPr>
      <w:r>
        <w:rPr>
          <w:rFonts w:hint="eastAsia" w:ascii="宋体" w:hAnsi="宋体" w:eastAsia="宋体"/>
          <w:sz w:val="21"/>
          <w:szCs w:val="21"/>
          <w:highlight w:val="none"/>
        </w:rPr>
        <w:t>手术闭环管理</w:t>
      </w:r>
    </w:p>
    <w:p w14:paraId="5A74BD4A">
      <w:pPr>
        <w:pStyle w:val="359"/>
        <w:ind w:firstLine="420"/>
        <w:rPr>
          <w:rFonts w:hint="eastAsia" w:ascii="宋体" w:hAnsi="宋体"/>
          <w:szCs w:val="21"/>
          <w:highlight w:val="none"/>
        </w:rPr>
      </w:pPr>
      <w:r>
        <w:rPr>
          <w:rFonts w:hint="eastAsia" w:ascii="宋体" w:hAnsi="宋体"/>
          <w:szCs w:val="21"/>
          <w:highlight w:val="none"/>
        </w:rPr>
        <w:t>手术医嘱主要涉及病房医生、病房护士、手术室和复苏室之间的交互联动。</w:t>
      </w:r>
    </w:p>
    <w:p w14:paraId="4B8EA722">
      <w:pPr>
        <w:pStyle w:val="359"/>
        <w:ind w:firstLine="420"/>
        <w:rPr>
          <w:rFonts w:hint="eastAsia" w:ascii="宋体" w:hAnsi="宋体"/>
          <w:szCs w:val="21"/>
          <w:highlight w:val="none"/>
        </w:rPr>
      </w:pPr>
      <w:r>
        <w:rPr>
          <w:rFonts w:ascii="宋体" w:hAnsi="宋体"/>
          <w:szCs w:val="21"/>
          <w:highlight w:val="none"/>
        </w:rPr>
        <w:t>1、术前工作提示</w:t>
      </w:r>
    </w:p>
    <w:p w14:paraId="3AAEA8BB">
      <w:pPr>
        <w:pStyle w:val="359"/>
        <w:ind w:firstLine="420"/>
        <w:rPr>
          <w:rFonts w:hint="eastAsia" w:ascii="宋体" w:hAnsi="宋体"/>
          <w:szCs w:val="21"/>
          <w:highlight w:val="none"/>
        </w:rPr>
      </w:pPr>
      <w:r>
        <w:rPr>
          <w:rFonts w:hint="eastAsia" w:ascii="宋体" w:hAnsi="宋体"/>
          <w:szCs w:val="21"/>
          <w:highlight w:val="none"/>
        </w:rPr>
        <w:t>医生下达手术医嘱，对患者的术前常规检查及对未完成的工作进行提示。</w:t>
      </w:r>
    </w:p>
    <w:p w14:paraId="598BDE8E">
      <w:pPr>
        <w:pStyle w:val="359"/>
        <w:ind w:firstLine="420"/>
        <w:rPr>
          <w:rFonts w:hint="eastAsia" w:ascii="宋体" w:hAnsi="宋体"/>
          <w:szCs w:val="21"/>
          <w:highlight w:val="none"/>
        </w:rPr>
      </w:pPr>
      <w:r>
        <w:rPr>
          <w:rFonts w:ascii="宋体" w:hAnsi="宋体"/>
          <w:szCs w:val="21"/>
          <w:highlight w:val="none"/>
        </w:rPr>
        <w:t>2、手术申请单</w:t>
      </w:r>
    </w:p>
    <w:p w14:paraId="65E5D882">
      <w:pPr>
        <w:pStyle w:val="359"/>
        <w:ind w:firstLine="420"/>
        <w:rPr>
          <w:rFonts w:hint="eastAsia" w:ascii="宋体" w:hAnsi="宋体"/>
          <w:szCs w:val="21"/>
          <w:highlight w:val="none"/>
        </w:rPr>
      </w:pPr>
      <w:r>
        <w:rPr>
          <w:rFonts w:hint="eastAsia" w:ascii="宋体" w:hAnsi="宋体"/>
          <w:szCs w:val="21"/>
          <w:highlight w:val="none"/>
        </w:rPr>
        <w:t>根据手术医嘱，系统生成手术申请单，并对患者当前存在的异常值和危急值进行警示；由临床医生结合实际情况进行判断是否继续申请手术。</w:t>
      </w:r>
    </w:p>
    <w:p w14:paraId="3DAFD4C9">
      <w:pPr>
        <w:pStyle w:val="359"/>
        <w:ind w:firstLine="420"/>
        <w:rPr>
          <w:rFonts w:hint="eastAsia" w:ascii="宋体" w:hAnsi="宋体"/>
          <w:szCs w:val="21"/>
          <w:highlight w:val="none"/>
        </w:rPr>
      </w:pPr>
      <w:r>
        <w:rPr>
          <w:rFonts w:ascii="宋体" w:hAnsi="宋体"/>
          <w:szCs w:val="21"/>
          <w:highlight w:val="none"/>
        </w:rPr>
        <w:t>3、手术申请审核</w:t>
      </w:r>
    </w:p>
    <w:p w14:paraId="1D82E988">
      <w:pPr>
        <w:pStyle w:val="359"/>
        <w:ind w:firstLine="420"/>
        <w:rPr>
          <w:rFonts w:hint="eastAsia" w:ascii="宋体" w:hAnsi="宋体"/>
          <w:szCs w:val="21"/>
          <w:highlight w:val="none"/>
        </w:rPr>
      </w:pPr>
      <w:r>
        <w:rPr>
          <w:rFonts w:hint="eastAsia" w:ascii="宋体" w:hAnsi="宋体"/>
          <w:szCs w:val="21"/>
          <w:highlight w:val="none"/>
        </w:rPr>
        <w:t>涉及重大手术和非预期再次手术的，提醒需要完成重大手术申请审核和上级医师查房、进行术前讨论等内容。</w:t>
      </w:r>
    </w:p>
    <w:p w14:paraId="4245B6F6">
      <w:pPr>
        <w:pStyle w:val="359"/>
        <w:ind w:firstLine="420"/>
        <w:rPr>
          <w:rFonts w:hint="eastAsia" w:ascii="宋体" w:hAnsi="宋体"/>
          <w:szCs w:val="21"/>
          <w:highlight w:val="none"/>
        </w:rPr>
      </w:pPr>
      <w:r>
        <w:rPr>
          <w:rFonts w:ascii="宋体" w:hAnsi="宋体"/>
          <w:szCs w:val="21"/>
          <w:highlight w:val="none"/>
        </w:rPr>
        <w:t>4、手术排台</w:t>
      </w:r>
    </w:p>
    <w:p w14:paraId="0788C9D2">
      <w:pPr>
        <w:pStyle w:val="359"/>
        <w:ind w:firstLine="420"/>
        <w:rPr>
          <w:rFonts w:hint="eastAsia" w:ascii="宋体" w:hAnsi="宋体"/>
          <w:szCs w:val="21"/>
          <w:highlight w:val="none"/>
        </w:rPr>
      </w:pPr>
      <w:r>
        <w:rPr>
          <w:rFonts w:hint="eastAsia" w:ascii="宋体" w:hAnsi="宋体"/>
          <w:szCs w:val="21"/>
          <w:highlight w:val="none"/>
        </w:rPr>
        <w:t>手术经过各层级审核后，发送到手术排台系统进行排台工作。</w:t>
      </w:r>
    </w:p>
    <w:p w14:paraId="25B33796">
      <w:pPr>
        <w:pStyle w:val="359"/>
        <w:ind w:firstLine="420"/>
        <w:rPr>
          <w:rFonts w:hint="eastAsia" w:ascii="宋体" w:hAnsi="宋体"/>
          <w:szCs w:val="21"/>
          <w:highlight w:val="none"/>
        </w:rPr>
      </w:pPr>
      <w:r>
        <w:rPr>
          <w:rFonts w:ascii="宋体" w:hAnsi="宋体"/>
          <w:szCs w:val="21"/>
          <w:highlight w:val="none"/>
        </w:rPr>
        <w:t>5、术前准备</w:t>
      </w:r>
    </w:p>
    <w:p w14:paraId="6768351B">
      <w:pPr>
        <w:pStyle w:val="359"/>
        <w:ind w:firstLine="420"/>
        <w:rPr>
          <w:rFonts w:hint="eastAsia" w:ascii="宋体" w:hAnsi="宋体"/>
          <w:szCs w:val="21"/>
          <w:highlight w:val="none"/>
        </w:rPr>
      </w:pPr>
      <w:r>
        <w:rPr>
          <w:rFonts w:hint="eastAsia" w:ascii="宋体" w:hAnsi="宋体"/>
          <w:szCs w:val="21"/>
          <w:highlight w:val="none"/>
        </w:rPr>
        <w:t>手术室护士完成排台工作后，将排台信息发送到医护工作站，各角色进行患者的术前准备工作。</w:t>
      </w:r>
    </w:p>
    <w:p w14:paraId="23CA2ED1">
      <w:pPr>
        <w:pStyle w:val="359"/>
        <w:ind w:firstLine="420"/>
        <w:rPr>
          <w:rFonts w:hint="eastAsia" w:ascii="宋体" w:hAnsi="宋体"/>
          <w:szCs w:val="21"/>
          <w:highlight w:val="none"/>
        </w:rPr>
      </w:pPr>
      <w:r>
        <w:rPr>
          <w:rFonts w:ascii="宋体" w:hAnsi="宋体"/>
          <w:szCs w:val="21"/>
          <w:highlight w:val="none"/>
        </w:rPr>
        <w:t>6、患者身份核实</w:t>
      </w:r>
    </w:p>
    <w:p w14:paraId="1E72D1E2">
      <w:pPr>
        <w:pStyle w:val="359"/>
        <w:ind w:firstLine="420"/>
        <w:rPr>
          <w:rFonts w:hint="eastAsia" w:ascii="宋体" w:hAnsi="宋体"/>
          <w:szCs w:val="21"/>
          <w:highlight w:val="none"/>
        </w:rPr>
      </w:pPr>
      <w:r>
        <w:rPr>
          <w:rFonts w:hint="eastAsia" w:ascii="宋体" w:hAnsi="宋体"/>
          <w:szCs w:val="21"/>
          <w:highlight w:val="none"/>
        </w:rPr>
        <w:t>手术日，手术室去科室接手术患者，采用机读方式确认接收人员的一致性；手术患者运送到手术室，手术室进行接收登记，并记录患者所带物品等信息。</w:t>
      </w:r>
    </w:p>
    <w:p w14:paraId="35EA894B">
      <w:pPr>
        <w:pStyle w:val="359"/>
        <w:ind w:firstLine="420"/>
        <w:rPr>
          <w:rFonts w:hint="eastAsia" w:ascii="宋体" w:hAnsi="宋体"/>
          <w:szCs w:val="21"/>
          <w:highlight w:val="none"/>
        </w:rPr>
      </w:pPr>
      <w:r>
        <w:rPr>
          <w:rFonts w:ascii="宋体" w:hAnsi="宋体"/>
          <w:szCs w:val="21"/>
          <w:highlight w:val="none"/>
        </w:rPr>
        <w:t>7、手术记录登记</w:t>
      </w:r>
    </w:p>
    <w:p w14:paraId="01A1D2F3">
      <w:pPr>
        <w:pStyle w:val="359"/>
        <w:ind w:firstLine="420"/>
        <w:rPr>
          <w:rFonts w:hint="eastAsia" w:ascii="宋体" w:hAnsi="宋体"/>
          <w:szCs w:val="21"/>
          <w:highlight w:val="none"/>
        </w:rPr>
      </w:pPr>
      <w:r>
        <w:rPr>
          <w:rFonts w:hint="eastAsia" w:ascii="宋体" w:hAnsi="宋体"/>
          <w:szCs w:val="21"/>
          <w:highlight w:val="none"/>
        </w:rPr>
        <w:t>手术麻醉系统中记录患者手术开始、麻醉开始、手术结束、麻醉结束、复苏时间等信息。</w:t>
      </w:r>
    </w:p>
    <w:p w14:paraId="38265971">
      <w:pPr>
        <w:pStyle w:val="359"/>
        <w:ind w:firstLine="420"/>
        <w:rPr>
          <w:rFonts w:hint="eastAsia" w:ascii="宋体" w:hAnsi="宋体"/>
          <w:szCs w:val="21"/>
          <w:highlight w:val="none"/>
        </w:rPr>
      </w:pPr>
      <w:r>
        <w:rPr>
          <w:rFonts w:ascii="宋体" w:hAnsi="宋体"/>
          <w:szCs w:val="21"/>
          <w:highlight w:val="none"/>
        </w:rPr>
        <w:t>8、患者复苏</w:t>
      </w:r>
    </w:p>
    <w:p w14:paraId="3242217D">
      <w:pPr>
        <w:pStyle w:val="359"/>
        <w:ind w:firstLine="420"/>
        <w:rPr>
          <w:rFonts w:hint="eastAsia" w:ascii="宋体" w:hAnsi="宋体"/>
          <w:szCs w:val="21"/>
          <w:highlight w:val="none"/>
        </w:rPr>
      </w:pPr>
      <w:r>
        <w:rPr>
          <w:rFonts w:hint="eastAsia" w:ascii="宋体" w:hAnsi="宋体"/>
          <w:szCs w:val="21"/>
          <w:highlight w:val="none"/>
        </w:rPr>
        <w:t>手术结束后患者送到复苏室，工作人员完成相关的记录，患者苏醒后由护工送回科室。</w:t>
      </w:r>
    </w:p>
    <w:p w14:paraId="2E0B8AC2">
      <w:pPr>
        <w:pStyle w:val="359"/>
        <w:ind w:firstLine="420"/>
        <w:rPr>
          <w:rFonts w:hint="eastAsia" w:ascii="宋体" w:hAnsi="宋体"/>
          <w:szCs w:val="21"/>
          <w:highlight w:val="none"/>
        </w:rPr>
      </w:pPr>
      <w:r>
        <w:rPr>
          <w:rFonts w:ascii="宋体" w:hAnsi="宋体"/>
          <w:szCs w:val="21"/>
          <w:highlight w:val="none"/>
        </w:rPr>
        <w:t>9、手术记录补充</w:t>
      </w:r>
    </w:p>
    <w:p w14:paraId="0BD6FFDC">
      <w:pPr>
        <w:pStyle w:val="359"/>
        <w:ind w:firstLine="420"/>
        <w:rPr>
          <w:rFonts w:hint="eastAsia" w:ascii="宋体" w:hAnsi="宋体"/>
          <w:szCs w:val="21"/>
          <w:highlight w:val="none"/>
        </w:rPr>
      </w:pPr>
      <w:r>
        <w:rPr>
          <w:rFonts w:hint="eastAsia" w:ascii="宋体" w:hAnsi="宋体"/>
          <w:szCs w:val="21"/>
          <w:highlight w:val="none"/>
        </w:rPr>
        <w:t>手术后，系统提示医生要在</w:t>
      </w:r>
      <w:r>
        <w:rPr>
          <w:rFonts w:ascii="宋体" w:hAnsi="宋体"/>
          <w:szCs w:val="21"/>
          <w:highlight w:val="none"/>
        </w:rPr>
        <w:t>48小时内完成手术记录等内容。</w:t>
      </w:r>
    </w:p>
    <w:p w14:paraId="5222440F">
      <w:pPr>
        <w:pStyle w:val="359"/>
        <w:ind w:firstLine="420"/>
        <w:rPr>
          <w:rFonts w:hint="eastAsia" w:ascii="宋体" w:hAnsi="宋体"/>
          <w:szCs w:val="21"/>
          <w:highlight w:val="none"/>
        </w:rPr>
      </w:pPr>
      <w:r>
        <w:rPr>
          <w:rFonts w:ascii="宋体" w:hAnsi="宋体"/>
          <w:szCs w:val="21"/>
          <w:highlight w:val="none"/>
        </w:rPr>
        <w:t>10、术后监控</w:t>
      </w:r>
    </w:p>
    <w:p w14:paraId="0799C294">
      <w:pPr>
        <w:pStyle w:val="359"/>
        <w:ind w:firstLine="420"/>
        <w:rPr>
          <w:rFonts w:hint="eastAsia" w:ascii="宋体" w:hAnsi="宋体"/>
          <w:szCs w:val="21"/>
          <w:highlight w:val="none"/>
        </w:rPr>
      </w:pPr>
      <w:r>
        <w:rPr>
          <w:rFonts w:hint="eastAsia" w:ascii="宋体" w:hAnsi="宋体"/>
          <w:szCs w:val="21"/>
          <w:highlight w:val="none"/>
        </w:rPr>
        <w:t>护士对术后患者进行监控，如果出现异常数据，以消息方式提醒医生进行相应处置，护士进行护理记录。</w:t>
      </w:r>
    </w:p>
    <w:p w14:paraId="30CA540D">
      <w:pPr>
        <w:pStyle w:val="5"/>
        <w:rPr>
          <w:rFonts w:hint="eastAsia" w:ascii="宋体" w:hAnsi="宋体" w:eastAsia="宋体"/>
          <w:sz w:val="21"/>
          <w:szCs w:val="21"/>
          <w:highlight w:val="none"/>
        </w:rPr>
      </w:pPr>
      <w:r>
        <w:rPr>
          <w:rFonts w:hint="eastAsia" w:ascii="宋体" w:hAnsi="宋体" w:eastAsia="宋体"/>
          <w:sz w:val="21"/>
          <w:szCs w:val="21"/>
          <w:highlight w:val="none"/>
        </w:rPr>
        <w:t>临床用血闭环管理</w:t>
      </w:r>
    </w:p>
    <w:p w14:paraId="5D07379C">
      <w:pPr>
        <w:pStyle w:val="359"/>
        <w:ind w:firstLine="420"/>
        <w:rPr>
          <w:rFonts w:hint="eastAsia" w:ascii="宋体" w:hAnsi="宋体"/>
          <w:szCs w:val="21"/>
          <w:highlight w:val="none"/>
        </w:rPr>
      </w:pPr>
      <w:r>
        <w:rPr>
          <w:rFonts w:hint="eastAsia" w:ascii="宋体" w:hAnsi="宋体"/>
          <w:szCs w:val="21"/>
          <w:highlight w:val="none"/>
        </w:rPr>
        <w:t>输血医嘱主要涉及病房医生、病房护士、输血科之间的交互联动。</w:t>
      </w:r>
    </w:p>
    <w:p w14:paraId="78ED410C">
      <w:pPr>
        <w:pStyle w:val="359"/>
        <w:ind w:firstLine="420"/>
        <w:rPr>
          <w:rFonts w:hint="eastAsia" w:ascii="宋体" w:hAnsi="宋体"/>
          <w:szCs w:val="21"/>
          <w:highlight w:val="none"/>
        </w:rPr>
      </w:pPr>
      <w:r>
        <w:rPr>
          <w:rFonts w:ascii="宋体" w:hAnsi="宋体"/>
          <w:szCs w:val="21"/>
          <w:highlight w:val="none"/>
        </w:rPr>
        <w:t>1、输血开单</w:t>
      </w:r>
    </w:p>
    <w:p w14:paraId="40E56059">
      <w:pPr>
        <w:pStyle w:val="359"/>
        <w:ind w:firstLine="420"/>
        <w:rPr>
          <w:rFonts w:hint="eastAsia" w:ascii="宋体" w:hAnsi="宋体"/>
          <w:szCs w:val="21"/>
          <w:highlight w:val="none"/>
        </w:rPr>
      </w:pPr>
      <w:r>
        <w:rPr>
          <w:rFonts w:hint="eastAsia" w:ascii="宋体" w:hAnsi="宋体"/>
          <w:szCs w:val="21"/>
          <w:highlight w:val="none"/>
        </w:rPr>
        <w:t>医生根据患者诊断或者检验结果提示的输血适应症，进行新开输血医嘱操作。</w:t>
      </w:r>
    </w:p>
    <w:p w14:paraId="3AADFAE4">
      <w:pPr>
        <w:pStyle w:val="359"/>
        <w:ind w:firstLine="420"/>
        <w:rPr>
          <w:rFonts w:hint="eastAsia" w:ascii="宋体" w:hAnsi="宋体"/>
          <w:szCs w:val="21"/>
          <w:highlight w:val="none"/>
        </w:rPr>
      </w:pPr>
      <w:r>
        <w:rPr>
          <w:rFonts w:ascii="宋体" w:hAnsi="宋体"/>
          <w:szCs w:val="21"/>
          <w:highlight w:val="none"/>
        </w:rPr>
        <w:t>2、知情同意书</w:t>
      </w:r>
    </w:p>
    <w:p w14:paraId="3F7EDE63">
      <w:pPr>
        <w:pStyle w:val="359"/>
        <w:ind w:firstLine="420"/>
        <w:rPr>
          <w:rFonts w:hint="eastAsia" w:ascii="宋体" w:hAnsi="宋体"/>
          <w:szCs w:val="21"/>
          <w:highlight w:val="none"/>
        </w:rPr>
      </w:pPr>
      <w:r>
        <w:rPr>
          <w:rFonts w:hint="eastAsia" w:ascii="宋体" w:hAnsi="宋体"/>
          <w:szCs w:val="21"/>
          <w:highlight w:val="none"/>
        </w:rPr>
        <w:t>输血系统提供严格的流程控制服务，首先必须完成输血的知情同意书，对患者进行输血前的评估，系统提供知识库判断，申请的血液制品的类型是否正确。</w:t>
      </w:r>
    </w:p>
    <w:p w14:paraId="0126427A">
      <w:pPr>
        <w:pStyle w:val="359"/>
        <w:ind w:firstLine="420"/>
        <w:rPr>
          <w:rFonts w:hint="eastAsia" w:ascii="宋体" w:hAnsi="宋体"/>
          <w:szCs w:val="21"/>
          <w:highlight w:val="none"/>
        </w:rPr>
      </w:pPr>
      <w:r>
        <w:rPr>
          <w:rFonts w:ascii="宋体" w:hAnsi="宋体"/>
          <w:szCs w:val="21"/>
          <w:highlight w:val="none"/>
        </w:rPr>
        <w:t>3、输血审批</w:t>
      </w:r>
    </w:p>
    <w:p w14:paraId="33D0F2E0">
      <w:pPr>
        <w:pStyle w:val="359"/>
        <w:ind w:firstLine="420"/>
        <w:rPr>
          <w:rFonts w:hint="eastAsia" w:ascii="宋体" w:hAnsi="宋体"/>
          <w:szCs w:val="21"/>
          <w:highlight w:val="none"/>
        </w:rPr>
      </w:pPr>
      <w:r>
        <w:rPr>
          <w:rFonts w:hint="eastAsia" w:ascii="宋体" w:hAnsi="宋体"/>
          <w:szCs w:val="21"/>
          <w:highlight w:val="none"/>
        </w:rPr>
        <w:t>如果患者当次输血量或者</w:t>
      </w:r>
      <w:r>
        <w:rPr>
          <w:rFonts w:ascii="宋体" w:hAnsi="宋体"/>
          <w:szCs w:val="21"/>
          <w:highlight w:val="none"/>
        </w:rPr>
        <w:t>24小时内的输血量超过8u，需要进行三级审批；只有审核通过后，才能发送输血的申请医嘱。</w:t>
      </w:r>
    </w:p>
    <w:p w14:paraId="720249D3">
      <w:pPr>
        <w:pStyle w:val="359"/>
        <w:ind w:firstLine="420"/>
        <w:rPr>
          <w:rFonts w:hint="eastAsia" w:ascii="宋体" w:hAnsi="宋体"/>
          <w:szCs w:val="21"/>
          <w:highlight w:val="none"/>
        </w:rPr>
      </w:pPr>
      <w:r>
        <w:rPr>
          <w:rFonts w:ascii="宋体" w:hAnsi="宋体"/>
          <w:szCs w:val="21"/>
          <w:highlight w:val="none"/>
        </w:rPr>
        <w:t>4、配血出库</w:t>
      </w:r>
    </w:p>
    <w:p w14:paraId="5CD70FCF">
      <w:pPr>
        <w:pStyle w:val="359"/>
        <w:ind w:firstLine="420"/>
        <w:rPr>
          <w:rFonts w:hint="eastAsia" w:ascii="宋体" w:hAnsi="宋体"/>
          <w:szCs w:val="21"/>
          <w:highlight w:val="none"/>
        </w:rPr>
      </w:pPr>
      <w:r>
        <w:rPr>
          <w:rFonts w:hint="eastAsia" w:ascii="宋体" w:hAnsi="宋体"/>
          <w:szCs w:val="21"/>
          <w:highlight w:val="none"/>
        </w:rPr>
        <w:t>输血申请发送到护士站进行校对，护士打印标本条码，使用</w:t>
      </w:r>
      <w:r>
        <w:rPr>
          <w:rFonts w:ascii="宋体" w:hAnsi="宋体"/>
          <w:szCs w:val="21"/>
          <w:highlight w:val="none"/>
        </w:rPr>
        <w:t>PDA进行标本采集，将标本配送到输血科进行交叉配血操作。根据交叉配血的结果进行配血出库。</w:t>
      </w:r>
    </w:p>
    <w:p w14:paraId="41866CDD">
      <w:pPr>
        <w:pStyle w:val="359"/>
        <w:ind w:firstLine="420"/>
        <w:rPr>
          <w:rFonts w:hint="eastAsia" w:ascii="宋体" w:hAnsi="宋体"/>
          <w:szCs w:val="21"/>
          <w:highlight w:val="none"/>
        </w:rPr>
      </w:pPr>
      <w:r>
        <w:rPr>
          <w:rFonts w:ascii="宋体" w:hAnsi="宋体"/>
          <w:szCs w:val="21"/>
          <w:highlight w:val="none"/>
        </w:rPr>
        <w:t>5、领血</w:t>
      </w:r>
    </w:p>
    <w:p w14:paraId="5D0B2D01">
      <w:pPr>
        <w:pStyle w:val="359"/>
        <w:ind w:firstLine="420"/>
        <w:rPr>
          <w:rFonts w:hint="eastAsia" w:ascii="宋体" w:hAnsi="宋体"/>
          <w:szCs w:val="21"/>
          <w:highlight w:val="none"/>
        </w:rPr>
      </w:pPr>
      <w:r>
        <w:rPr>
          <w:rFonts w:hint="eastAsia" w:ascii="宋体" w:hAnsi="宋体"/>
          <w:szCs w:val="21"/>
          <w:highlight w:val="none"/>
        </w:rPr>
        <w:t>护士站接收到输血科的配血完成通知，到输血科进行领血，由双人进行血液的出库操作，</w:t>
      </w:r>
      <w:r>
        <w:rPr>
          <w:rFonts w:ascii="宋体" w:hAnsi="宋体"/>
          <w:szCs w:val="21"/>
          <w:highlight w:val="none"/>
        </w:rPr>
        <w:t>PDA记录出库人和接收人。</w:t>
      </w:r>
    </w:p>
    <w:p w14:paraId="10CA6D96">
      <w:pPr>
        <w:pStyle w:val="359"/>
        <w:ind w:firstLine="420"/>
        <w:rPr>
          <w:rFonts w:hint="eastAsia" w:ascii="宋体" w:hAnsi="宋体"/>
          <w:szCs w:val="21"/>
          <w:highlight w:val="none"/>
        </w:rPr>
      </w:pPr>
      <w:r>
        <w:rPr>
          <w:rFonts w:ascii="宋体" w:hAnsi="宋体"/>
          <w:szCs w:val="21"/>
          <w:highlight w:val="none"/>
        </w:rPr>
        <w:t>6、输血信息核对</w:t>
      </w:r>
    </w:p>
    <w:p w14:paraId="40DACE63">
      <w:pPr>
        <w:pStyle w:val="359"/>
        <w:ind w:firstLine="420"/>
        <w:rPr>
          <w:rFonts w:hint="eastAsia" w:ascii="宋体" w:hAnsi="宋体"/>
          <w:szCs w:val="21"/>
          <w:highlight w:val="none"/>
        </w:rPr>
      </w:pPr>
      <w:r>
        <w:rPr>
          <w:rFonts w:hint="eastAsia" w:ascii="宋体" w:hAnsi="宋体"/>
          <w:szCs w:val="21"/>
          <w:highlight w:val="none"/>
        </w:rPr>
        <w:t>血液运送到护士站，护士进行接收和再次确认工作，都必须是双人核对。确认无误后扫描患者腕带和血袋进行核对，确保用血的安全；核对无误后，进行输血执行。</w:t>
      </w:r>
    </w:p>
    <w:p w14:paraId="252C7CF7">
      <w:pPr>
        <w:pStyle w:val="359"/>
        <w:ind w:firstLine="420"/>
        <w:rPr>
          <w:rFonts w:hint="eastAsia" w:ascii="宋体" w:hAnsi="宋体"/>
          <w:szCs w:val="21"/>
          <w:highlight w:val="none"/>
        </w:rPr>
      </w:pPr>
      <w:r>
        <w:rPr>
          <w:rFonts w:ascii="宋体" w:hAnsi="宋体"/>
          <w:szCs w:val="21"/>
          <w:highlight w:val="none"/>
        </w:rPr>
        <w:t>7、输血巡视</w:t>
      </w:r>
    </w:p>
    <w:p w14:paraId="36C2D0C5">
      <w:pPr>
        <w:pStyle w:val="359"/>
        <w:ind w:firstLine="420"/>
        <w:rPr>
          <w:rFonts w:hint="eastAsia" w:ascii="宋体" w:hAnsi="宋体"/>
          <w:szCs w:val="21"/>
          <w:highlight w:val="none"/>
        </w:rPr>
      </w:pPr>
      <w:r>
        <w:rPr>
          <w:rFonts w:hint="eastAsia" w:ascii="宋体" w:hAnsi="宋体"/>
          <w:szCs w:val="21"/>
          <w:highlight w:val="none"/>
        </w:rPr>
        <w:t>输血过程中，护士进行不同时间段的巡视。患者出现不良反应时，使用移动护理进行登记，并将不良反应的信息以即时消息的方式通知医师和输血科。医师进行临床的处置，输血科对不良反应进行追踪。</w:t>
      </w:r>
    </w:p>
    <w:p w14:paraId="6ACFE284">
      <w:pPr>
        <w:pStyle w:val="359"/>
        <w:ind w:firstLine="420"/>
        <w:rPr>
          <w:rFonts w:hint="eastAsia" w:ascii="宋体" w:hAnsi="宋体"/>
          <w:szCs w:val="21"/>
          <w:highlight w:val="none"/>
        </w:rPr>
      </w:pPr>
      <w:r>
        <w:rPr>
          <w:rFonts w:ascii="宋体" w:hAnsi="宋体"/>
          <w:szCs w:val="21"/>
          <w:highlight w:val="none"/>
        </w:rPr>
        <w:t>8、输血记录同步</w:t>
      </w:r>
    </w:p>
    <w:p w14:paraId="4431D0B2">
      <w:pPr>
        <w:pStyle w:val="359"/>
        <w:ind w:firstLine="420"/>
        <w:rPr>
          <w:rFonts w:hint="eastAsia" w:ascii="宋体" w:hAnsi="宋体"/>
          <w:szCs w:val="21"/>
          <w:highlight w:val="none"/>
        </w:rPr>
      </w:pPr>
      <w:r>
        <w:rPr>
          <w:rFonts w:ascii="宋体" w:hAnsi="宋体"/>
          <w:szCs w:val="21"/>
          <w:highlight w:val="none"/>
        </w:rPr>
        <w:t>PDA执行的所有输血记录会同步到护士站的护理记录中，保持患者护理记录的完整性。</w:t>
      </w:r>
    </w:p>
    <w:p w14:paraId="4620287C">
      <w:pPr>
        <w:pStyle w:val="359"/>
        <w:ind w:firstLine="420"/>
        <w:rPr>
          <w:rFonts w:hint="eastAsia" w:ascii="宋体" w:hAnsi="宋体"/>
          <w:szCs w:val="21"/>
          <w:highlight w:val="none"/>
        </w:rPr>
      </w:pPr>
      <w:r>
        <w:rPr>
          <w:rFonts w:ascii="宋体" w:hAnsi="宋体"/>
          <w:szCs w:val="21"/>
          <w:highlight w:val="none"/>
        </w:rPr>
        <w:t>9、血袋回收销毁</w:t>
      </w:r>
    </w:p>
    <w:p w14:paraId="5ABE057F">
      <w:pPr>
        <w:pStyle w:val="359"/>
        <w:ind w:firstLine="420"/>
        <w:rPr>
          <w:rFonts w:hint="eastAsia" w:ascii="宋体" w:hAnsi="宋体"/>
          <w:szCs w:val="21"/>
          <w:highlight w:val="none"/>
        </w:rPr>
      </w:pPr>
      <w:r>
        <w:rPr>
          <w:rFonts w:hint="eastAsia" w:ascii="宋体" w:hAnsi="宋体"/>
          <w:szCs w:val="21"/>
          <w:highlight w:val="none"/>
        </w:rPr>
        <w:t>最后对输血进行结束操作，将空血袋进行回收和销毁。</w:t>
      </w:r>
    </w:p>
    <w:p w14:paraId="46E5BAEB">
      <w:pPr>
        <w:pStyle w:val="3"/>
        <w:rPr>
          <w:rFonts w:hint="eastAsia" w:ascii="宋体" w:hAnsi="宋体"/>
          <w:sz w:val="21"/>
          <w:szCs w:val="21"/>
          <w:highlight w:val="none"/>
        </w:rPr>
      </w:pPr>
      <w:r>
        <w:rPr>
          <w:rFonts w:hint="eastAsia" w:ascii="宋体" w:hAnsi="宋体"/>
          <w:sz w:val="21"/>
          <w:szCs w:val="21"/>
          <w:highlight w:val="none"/>
        </w:rPr>
        <w:t>医院实施配置管理系统</w:t>
      </w:r>
    </w:p>
    <w:p w14:paraId="7640A4C8">
      <w:pPr>
        <w:pStyle w:val="4"/>
        <w:rPr>
          <w:rFonts w:hint="eastAsia" w:ascii="宋体" w:hAnsi="宋体"/>
          <w:sz w:val="21"/>
          <w:szCs w:val="21"/>
          <w:highlight w:val="none"/>
        </w:rPr>
      </w:pPr>
      <w:r>
        <w:rPr>
          <w:rFonts w:ascii="宋体" w:hAnsi="宋体"/>
          <w:sz w:val="21"/>
          <w:szCs w:val="21"/>
          <w:highlight w:val="none"/>
        </w:rPr>
        <w:t>实施配置</w:t>
      </w:r>
    </w:p>
    <w:p w14:paraId="28FE7D93">
      <w:pPr>
        <w:pStyle w:val="5"/>
        <w:rPr>
          <w:rFonts w:hint="eastAsia" w:ascii="宋体" w:hAnsi="宋体" w:eastAsia="宋体"/>
          <w:sz w:val="21"/>
          <w:szCs w:val="21"/>
          <w:highlight w:val="none"/>
        </w:rPr>
      </w:pPr>
      <w:bookmarkStart w:id="117" w:name="_Toc7676"/>
      <w:r>
        <w:rPr>
          <w:rFonts w:hint="eastAsia" w:ascii="宋体" w:hAnsi="宋体" w:eastAsia="宋体"/>
          <w:sz w:val="21"/>
          <w:szCs w:val="21"/>
          <w:highlight w:val="none"/>
        </w:rPr>
        <w:t>物价管理系统</w:t>
      </w:r>
      <w:bookmarkEnd w:id="117"/>
    </w:p>
    <w:p w14:paraId="4624400D">
      <w:pPr>
        <w:rPr>
          <w:rFonts w:hint="eastAsia"/>
          <w:szCs w:val="21"/>
          <w:highlight w:val="none"/>
        </w:rPr>
      </w:pPr>
      <w:r>
        <w:rPr>
          <w:rFonts w:hint="eastAsia"/>
          <w:szCs w:val="21"/>
          <w:highlight w:val="none"/>
        </w:rPr>
        <w:t>要求实现医院物价管理部门对医院信息系统所需的各种诊疗服务收费项目的维护。</w:t>
      </w:r>
    </w:p>
    <w:p w14:paraId="77BA0FC8">
      <w:pPr>
        <w:rPr>
          <w:rFonts w:hint="eastAsia"/>
          <w:szCs w:val="21"/>
          <w:highlight w:val="none"/>
        </w:rPr>
      </w:pPr>
      <w:r>
        <w:rPr>
          <w:szCs w:val="21"/>
          <w:highlight w:val="none"/>
        </w:rPr>
        <w:t>1、收费项目维护</w:t>
      </w:r>
    </w:p>
    <w:p w14:paraId="37FC5C6D">
      <w:pPr>
        <w:rPr>
          <w:rFonts w:hint="eastAsia"/>
          <w:szCs w:val="21"/>
          <w:highlight w:val="none"/>
        </w:rPr>
      </w:pPr>
      <w:r>
        <w:rPr>
          <w:rFonts w:hint="eastAsia"/>
          <w:szCs w:val="21"/>
          <w:highlight w:val="none"/>
        </w:rPr>
        <w:t>按物价管理部门提供的医疗服务项目规范维护收费项目，包括项目标准编码、项目名称、单位、单价、发票类别、核算类别、折扣规则等。</w:t>
      </w:r>
    </w:p>
    <w:p w14:paraId="6772834F">
      <w:pPr>
        <w:rPr>
          <w:rFonts w:hint="eastAsia"/>
          <w:szCs w:val="21"/>
          <w:highlight w:val="none"/>
        </w:rPr>
      </w:pPr>
      <w:r>
        <w:rPr>
          <w:rFonts w:hint="eastAsia"/>
          <w:szCs w:val="21"/>
          <w:highlight w:val="none"/>
        </w:rPr>
        <w:t>提供收费项目的修改、停用、恢复、调价等操作。</w:t>
      </w:r>
    </w:p>
    <w:p w14:paraId="2F245301">
      <w:pPr>
        <w:rPr>
          <w:rFonts w:hint="eastAsia"/>
          <w:szCs w:val="21"/>
          <w:highlight w:val="none"/>
        </w:rPr>
      </w:pPr>
      <w:r>
        <w:rPr>
          <w:rFonts w:hint="eastAsia"/>
          <w:szCs w:val="21"/>
          <w:highlight w:val="none"/>
        </w:rPr>
        <w:t>提供收费项目的申请、执行权限向科室分发功能。</w:t>
      </w:r>
    </w:p>
    <w:p w14:paraId="1F911705">
      <w:pPr>
        <w:rPr>
          <w:rFonts w:hint="eastAsia"/>
          <w:szCs w:val="21"/>
          <w:highlight w:val="none"/>
        </w:rPr>
      </w:pPr>
      <w:r>
        <w:rPr>
          <w:szCs w:val="21"/>
          <w:highlight w:val="none"/>
        </w:rPr>
        <w:t>2、诊疗项目维护</w:t>
      </w:r>
    </w:p>
    <w:p w14:paraId="1C2CE380">
      <w:pPr>
        <w:rPr>
          <w:rFonts w:hint="eastAsia"/>
          <w:szCs w:val="21"/>
          <w:highlight w:val="none"/>
        </w:rPr>
      </w:pPr>
      <w:r>
        <w:rPr>
          <w:rFonts w:hint="eastAsia"/>
          <w:szCs w:val="21"/>
          <w:highlight w:val="none"/>
        </w:rPr>
        <w:t>诊疗项目维护是按临床要求将常用项目组合，以便于临床部门快速开单。维护内容包括项目名称、单位、单价（自动计算）、关联收费项目等。</w:t>
      </w:r>
    </w:p>
    <w:p w14:paraId="01206053">
      <w:pPr>
        <w:rPr>
          <w:rFonts w:hint="eastAsia"/>
          <w:szCs w:val="21"/>
          <w:highlight w:val="none"/>
        </w:rPr>
      </w:pPr>
      <w:r>
        <w:rPr>
          <w:rFonts w:hint="eastAsia"/>
          <w:szCs w:val="21"/>
          <w:highlight w:val="none"/>
        </w:rPr>
        <w:t>提供诊疗项目的修改、停用、恢复等操作。</w:t>
      </w:r>
    </w:p>
    <w:p w14:paraId="521BF3D1">
      <w:pPr>
        <w:rPr>
          <w:rFonts w:hint="eastAsia"/>
          <w:szCs w:val="21"/>
          <w:highlight w:val="none"/>
        </w:rPr>
      </w:pPr>
      <w:r>
        <w:rPr>
          <w:rFonts w:hint="eastAsia"/>
          <w:szCs w:val="21"/>
          <w:highlight w:val="none"/>
        </w:rPr>
        <w:t>提供诊疗项目的申请、执行权限向科室分发功能。</w:t>
      </w:r>
    </w:p>
    <w:p w14:paraId="15658474">
      <w:pPr>
        <w:rPr>
          <w:rFonts w:hint="eastAsia"/>
          <w:szCs w:val="21"/>
          <w:highlight w:val="none"/>
        </w:rPr>
      </w:pPr>
      <w:r>
        <w:rPr>
          <w:szCs w:val="21"/>
          <w:highlight w:val="none"/>
        </w:rPr>
        <w:t>3、医保项目维护</w:t>
      </w:r>
    </w:p>
    <w:p w14:paraId="729707D1">
      <w:pPr>
        <w:rPr>
          <w:rFonts w:hint="eastAsia"/>
          <w:szCs w:val="21"/>
          <w:highlight w:val="none"/>
        </w:rPr>
      </w:pPr>
      <w:r>
        <w:rPr>
          <w:rFonts w:hint="eastAsia"/>
          <w:szCs w:val="21"/>
          <w:highlight w:val="none"/>
        </w:rPr>
        <w:t>医保项目维护包括医保类别字典、医保特殊病种字典、医保项目字典、医保对照字典的维护。</w:t>
      </w:r>
    </w:p>
    <w:p w14:paraId="2713C72D">
      <w:pPr>
        <w:rPr>
          <w:rFonts w:hint="eastAsia"/>
          <w:szCs w:val="21"/>
          <w:highlight w:val="none"/>
        </w:rPr>
      </w:pPr>
      <w:r>
        <w:rPr>
          <w:szCs w:val="21"/>
          <w:highlight w:val="none"/>
        </w:rPr>
        <w:t>4、费别收费配置</w:t>
      </w:r>
    </w:p>
    <w:p w14:paraId="3CCCD2B4">
      <w:pPr>
        <w:rPr>
          <w:rFonts w:hint="eastAsia"/>
          <w:szCs w:val="21"/>
          <w:highlight w:val="none"/>
        </w:rPr>
      </w:pPr>
      <w:r>
        <w:rPr>
          <w:rFonts w:hint="eastAsia"/>
          <w:szCs w:val="21"/>
          <w:highlight w:val="none"/>
        </w:rPr>
        <w:t>设置和维护不同费别对该诊疗项目的特殊收费比例。</w:t>
      </w:r>
    </w:p>
    <w:p w14:paraId="18BC1690">
      <w:pPr>
        <w:pStyle w:val="5"/>
        <w:rPr>
          <w:rFonts w:hint="eastAsia" w:ascii="宋体" w:hAnsi="宋体" w:eastAsia="宋体"/>
          <w:sz w:val="21"/>
          <w:szCs w:val="21"/>
          <w:highlight w:val="none"/>
        </w:rPr>
      </w:pPr>
      <w:bookmarkStart w:id="118" w:name="_Toc19012"/>
      <w:r>
        <w:rPr>
          <w:rFonts w:hint="eastAsia" w:ascii="宋体" w:hAnsi="宋体" w:eastAsia="宋体"/>
          <w:sz w:val="21"/>
          <w:szCs w:val="21"/>
          <w:highlight w:val="none"/>
        </w:rPr>
        <w:t>配置管理系统</w:t>
      </w:r>
      <w:bookmarkEnd w:id="118"/>
    </w:p>
    <w:p w14:paraId="02BA5D9F">
      <w:pPr>
        <w:rPr>
          <w:rFonts w:hint="eastAsia"/>
          <w:szCs w:val="21"/>
          <w:highlight w:val="none"/>
        </w:rPr>
      </w:pPr>
      <w:r>
        <w:rPr>
          <w:rFonts w:hint="eastAsia"/>
          <w:szCs w:val="21"/>
          <w:highlight w:val="none"/>
        </w:rPr>
        <w:t>要求提供系统数据、权限等基础配置，保证系统正常运行。包含系统基础参数、子系统菜单、基础字典、国际化、定时器、缓存、工作流等配置。</w:t>
      </w:r>
    </w:p>
    <w:p w14:paraId="42A63EEE">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提供票据管理参数控制、自动计算参数控制、记帐报警参数控制、操作权限参数控制、单据操作参数控制、库存检查参数控制等功能，能满足医院应用模式的变化，不需要修改程序，通过参数调整即可完成医院应用模式的调整。</w:t>
      </w:r>
    </w:p>
    <w:p w14:paraId="7EC903B5">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可为全院、院区、科室、个人灵活控制医院实际业务流程，通过参数的调整，即可完成医院对业务权限的控制。并对每个参数的修改记录操作日志。</w:t>
      </w:r>
    </w:p>
    <w:p w14:paraId="00A02008">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提供国家标准数据字典、行业标准数据字典、地方标准数据字典和用户数据字典等标准数据，符合相关法律、法规、规章及规定。</w:t>
      </w:r>
    </w:p>
    <w:p w14:paraId="19F98E54">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提供菜单权限分发和配置。</w:t>
      </w:r>
    </w:p>
    <w:p w14:paraId="15D5E192">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支持对系统使用的参数字典缓存进行管理。支持刷新更新缓存，保证基础数据的及时性。</w:t>
      </w:r>
    </w:p>
    <w:p w14:paraId="493B4DBB">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支持针对定时执行的任务进行配置开启时间、执行频率、执行业务等。可以新增、删除、修改定时器。可以查看定时器状态、定时器配置的修改日志以及定时器执行业务的执行日志。可以将失败的执行进行补执行。</w:t>
      </w:r>
    </w:p>
    <w:p w14:paraId="0321DD29">
      <w:pPr>
        <w:pStyle w:val="117"/>
        <w:numPr>
          <w:ilvl w:val="6"/>
          <w:numId w:val="38"/>
        </w:numPr>
        <w:spacing w:line="360" w:lineRule="auto"/>
        <w:ind w:left="851" w:firstLineChars="0"/>
        <w:rPr>
          <w:rFonts w:hint="eastAsia" w:ascii="宋体" w:hAnsi="宋体"/>
          <w:szCs w:val="21"/>
          <w:highlight w:val="none"/>
        </w:rPr>
      </w:pPr>
      <w:r>
        <w:rPr>
          <w:rFonts w:hint="eastAsia" w:ascii="宋体" w:hAnsi="宋体"/>
          <w:szCs w:val="21"/>
          <w:highlight w:val="none"/>
        </w:rPr>
        <w:t>可以配置系统里提示的文字内容以及文字语言。</w:t>
      </w:r>
    </w:p>
    <w:p w14:paraId="452E1E00">
      <w:pPr>
        <w:ind w:firstLine="484" w:firstLineChars="202"/>
        <w:rPr>
          <w:rFonts w:hint="eastAsia"/>
          <w:szCs w:val="21"/>
          <w:highlight w:val="none"/>
        </w:rPr>
      </w:pPr>
    </w:p>
    <w:p w14:paraId="62E1698D">
      <w:pPr>
        <w:pStyle w:val="3"/>
        <w:rPr>
          <w:rFonts w:hint="eastAsia" w:ascii="宋体" w:hAnsi="宋体"/>
          <w:sz w:val="21"/>
          <w:szCs w:val="21"/>
          <w:highlight w:val="none"/>
        </w:rPr>
      </w:pPr>
      <w:r>
        <w:rPr>
          <w:rFonts w:hint="eastAsia" w:ascii="宋体" w:hAnsi="宋体"/>
          <w:sz w:val="21"/>
          <w:szCs w:val="21"/>
          <w:highlight w:val="none"/>
        </w:rPr>
        <w:t>医院统一门户系统</w:t>
      </w:r>
    </w:p>
    <w:p w14:paraId="7C9B2DFF">
      <w:pPr>
        <w:pStyle w:val="4"/>
        <w:rPr>
          <w:rFonts w:hint="eastAsia" w:ascii="宋体" w:hAnsi="宋体"/>
          <w:sz w:val="21"/>
          <w:szCs w:val="21"/>
          <w:highlight w:val="none"/>
        </w:rPr>
      </w:pPr>
      <w:r>
        <w:rPr>
          <w:rFonts w:ascii="宋体" w:hAnsi="宋体"/>
          <w:sz w:val="21"/>
          <w:szCs w:val="21"/>
          <w:highlight w:val="none"/>
        </w:rPr>
        <w:t>统一门户</w:t>
      </w:r>
    </w:p>
    <w:p w14:paraId="68407F6D">
      <w:pPr>
        <w:pStyle w:val="5"/>
        <w:rPr>
          <w:rFonts w:hint="eastAsia" w:ascii="宋体" w:hAnsi="宋体" w:eastAsia="宋体"/>
          <w:sz w:val="21"/>
          <w:szCs w:val="21"/>
          <w:highlight w:val="none"/>
        </w:rPr>
      </w:pPr>
      <w:r>
        <w:rPr>
          <w:rFonts w:ascii="宋体" w:hAnsi="宋体" w:eastAsia="宋体"/>
          <w:sz w:val="21"/>
          <w:szCs w:val="21"/>
          <w:highlight w:val="none"/>
        </w:rPr>
        <w:t>个人通用门户</w:t>
      </w:r>
    </w:p>
    <w:p w14:paraId="0D65791A">
      <w:pPr>
        <w:rPr>
          <w:rFonts w:hint="eastAsia"/>
          <w:szCs w:val="21"/>
          <w:highlight w:val="none"/>
        </w:rPr>
      </w:pPr>
      <w:r>
        <w:rPr>
          <w:rFonts w:hint="eastAsia"/>
          <w:szCs w:val="21"/>
          <w:highlight w:val="none"/>
        </w:rPr>
        <w:t>要求提供统一门户首页，可支持根据用户的角色不同，设定不同的门户模版，将用户最为关心的信息展现在首页中。支持用户根据自己的工作习惯，对首页中的展示模块进行自定义，以符合自身的工作习惯。</w:t>
      </w:r>
    </w:p>
    <w:p w14:paraId="08E3A1A2">
      <w:pPr>
        <w:rPr>
          <w:rFonts w:hint="eastAsia"/>
          <w:szCs w:val="21"/>
          <w:highlight w:val="none"/>
        </w:rPr>
      </w:pPr>
      <w:r>
        <w:rPr>
          <w:rFonts w:hint="eastAsia"/>
          <w:szCs w:val="21"/>
          <w:highlight w:val="none"/>
        </w:rPr>
        <w:t>支持用户根据自己的喜好和习惯，配置主题内容。</w:t>
      </w:r>
    </w:p>
    <w:p w14:paraId="1FBC6665">
      <w:pPr>
        <w:rPr>
          <w:rFonts w:hint="eastAsia"/>
          <w:szCs w:val="21"/>
          <w:highlight w:val="none"/>
        </w:rPr>
      </w:pPr>
      <w:r>
        <w:rPr>
          <w:rFonts w:hint="eastAsia"/>
          <w:szCs w:val="21"/>
          <w:highlight w:val="none"/>
        </w:rPr>
        <w:t>支持资源的自定义配置，把常用菜单资源和信息数据资源配置到不同的角色门户桌面。</w:t>
      </w:r>
    </w:p>
    <w:p w14:paraId="19B1006B">
      <w:pPr>
        <w:rPr>
          <w:rFonts w:hint="eastAsia"/>
          <w:szCs w:val="21"/>
          <w:highlight w:val="none"/>
        </w:rPr>
      </w:pPr>
      <w:r>
        <w:rPr>
          <w:rFonts w:hint="eastAsia"/>
          <w:szCs w:val="21"/>
          <w:highlight w:val="none"/>
        </w:rPr>
        <w:t>可以根据不同角色的权限、需求、兴趣，提供简单、迅速、客户化配置的医疗信息的浏览方式，从而将大量不同来源的医疗信息以一种有效的方式提供给不同角色。</w:t>
      </w:r>
    </w:p>
    <w:p w14:paraId="3669C68A">
      <w:pPr>
        <w:pStyle w:val="5"/>
        <w:rPr>
          <w:rFonts w:hint="eastAsia" w:ascii="宋体" w:hAnsi="宋体" w:eastAsia="宋体"/>
          <w:sz w:val="21"/>
          <w:szCs w:val="21"/>
          <w:highlight w:val="none"/>
        </w:rPr>
      </w:pPr>
      <w:r>
        <w:rPr>
          <w:rFonts w:ascii="宋体" w:hAnsi="宋体" w:eastAsia="宋体"/>
          <w:sz w:val="21"/>
          <w:szCs w:val="21"/>
          <w:highlight w:val="none"/>
        </w:rPr>
        <w:t>护士长门户</w:t>
      </w:r>
    </w:p>
    <w:p w14:paraId="12F2626B">
      <w:pPr>
        <w:rPr>
          <w:rFonts w:hint="eastAsia"/>
          <w:szCs w:val="21"/>
          <w:highlight w:val="none"/>
        </w:rPr>
      </w:pPr>
      <w:r>
        <w:rPr>
          <w:rFonts w:hint="eastAsia"/>
          <w:szCs w:val="21"/>
          <w:highlight w:val="none"/>
        </w:rPr>
        <w:t>要求系统提供护士长门户桌面作为护士长登录系统的入口。系统能够将医嘱查询、科室药品管理、预交金预警、护理评估单等系统菜单放在门户桌面作为业务快捷入口，同时在门户桌面展示护理工作量分布统计数据、护理指标监测信息、病区流转信息统计、病区物资库存情况统计、护理排班等信息。</w:t>
      </w:r>
    </w:p>
    <w:p w14:paraId="77B664E1">
      <w:pPr>
        <w:pStyle w:val="5"/>
        <w:rPr>
          <w:rFonts w:hint="eastAsia" w:ascii="宋体" w:hAnsi="宋体" w:eastAsia="宋体"/>
          <w:sz w:val="21"/>
          <w:szCs w:val="21"/>
          <w:highlight w:val="none"/>
        </w:rPr>
      </w:pPr>
      <w:r>
        <w:rPr>
          <w:rFonts w:ascii="宋体" w:hAnsi="宋体" w:eastAsia="宋体"/>
          <w:sz w:val="21"/>
          <w:szCs w:val="21"/>
          <w:highlight w:val="none"/>
        </w:rPr>
        <w:t>门诊部门户</w:t>
      </w:r>
    </w:p>
    <w:p w14:paraId="2B490CEB">
      <w:pPr>
        <w:rPr>
          <w:rFonts w:hint="eastAsia"/>
          <w:szCs w:val="21"/>
          <w:highlight w:val="none"/>
        </w:rPr>
      </w:pPr>
      <w:r>
        <w:rPr>
          <w:rFonts w:hint="eastAsia"/>
          <w:szCs w:val="21"/>
          <w:highlight w:val="none"/>
        </w:rPr>
        <w:t>要求系统提供门诊部门户桌面作为门诊管理用户登录系统的入口，能够在门户桌面显示门诊部的门诊就诊情况统计、预约就诊率等指标信息，查看门诊部医疗收入占比、费用控制、收支结构以及工作量等趋势图，也支持按照门诊科室分别统计查看各个关键指标管控情况。</w:t>
      </w:r>
    </w:p>
    <w:p w14:paraId="2C814C8B">
      <w:pPr>
        <w:pStyle w:val="5"/>
        <w:rPr>
          <w:rFonts w:hint="eastAsia" w:ascii="宋体" w:hAnsi="宋体" w:eastAsia="宋体"/>
          <w:sz w:val="21"/>
          <w:szCs w:val="21"/>
          <w:highlight w:val="none"/>
        </w:rPr>
      </w:pPr>
      <w:r>
        <w:rPr>
          <w:rFonts w:ascii="宋体" w:hAnsi="宋体" w:eastAsia="宋体"/>
          <w:sz w:val="21"/>
          <w:szCs w:val="21"/>
          <w:highlight w:val="none"/>
        </w:rPr>
        <w:t>临床科主任门户</w:t>
      </w:r>
    </w:p>
    <w:p w14:paraId="77623AAC">
      <w:pPr>
        <w:rPr>
          <w:rFonts w:hint="eastAsia"/>
          <w:szCs w:val="21"/>
          <w:highlight w:val="none"/>
        </w:rPr>
      </w:pPr>
      <w:r>
        <w:rPr>
          <w:rFonts w:hint="eastAsia"/>
          <w:szCs w:val="21"/>
          <w:highlight w:val="none"/>
        </w:rPr>
        <w:t>要求系统提供临床科主任门户桌面作为科主任登录系统的入口，并且将病程记录、医嘱查询、临床路径、会诊审批、病案回退审批等系统菜单放在门户桌面作为业务快捷入口，同时在门户桌面展示手术指标统计对比、抗菌药使用统计、临床路径入径率等关键指标信息，也支持查阅科室收入占比和统计分析数据。</w:t>
      </w:r>
    </w:p>
    <w:p w14:paraId="0E71D1F2">
      <w:pPr>
        <w:pStyle w:val="5"/>
        <w:rPr>
          <w:rFonts w:hint="eastAsia" w:ascii="宋体" w:hAnsi="宋体" w:eastAsia="宋体"/>
          <w:sz w:val="21"/>
          <w:szCs w:val="21"/>
          <w:highlight w:val="none"/>
        </w:rPr>
      </w:pPr>
      <w:r>
        <w:rPr>
          <w:rFonts w:ascii="宋体" w:hAnsi="宋体" w:eastAsia="宋体"/>
          <w:sz w:val="21"/>
          <w:szCs w:val="21"/>
          <w:highlight w:val="none"/>
        </w:rPr>
        <w:t>统一身份认证及单点登录</w:t>
      </w:r>
    </w:p>
    <w:p w14:paraId="3F8FF553">
      <w:pPr>
        <w:rPr>
          <w:rFonts w:hint="eastAsia"/>
          <w:szCs w:val="21"/>
          <w:highlight w:val="none"/>
        </w:rPr>
      </w:pPr>
      <w:r>
        <w:rPr>
          <w:rFonts w:hint="eastAsia"/>
          <w:szCs w:val="21"/>
          <w:highlight w:val="none"/>
        </w:rPr>
        <w:t>要求实现用户只需登录一次即可访问单点登录域中安装的所有医院业务应用。要求提供统一的访问入口，通过后台的映射和权限隧道传递技术实现单点登录，不必再分别登录门户整合的其它业务系统进行验证，同时支持和第三方安全认证和权限管理系统的整合，有效提高安全和效率。</w:t>
      </w:r>
    </w:p>
    <w:p w14:paraId="10C344C7">
      <w:pPr>
        <w:rPr>
          <w:rFonts w:hint="eastAsia"/>
          <w:szCs w:val="21"/>
          <w:highlight w:val="none"/>
        </w:rPr>
      </w:pPr>
      <w:r>
        <w:rPr>
          <w:rFonts w:hint="eastAsia"/>
          <w:szCs w:val="21"/>
          <w:highlight w:val="none"/>
        </w:rPr>
        <w:t>1</w:t>
      </w:r>
      <w:r>
        <w:rPr>
          <w:szCs w:val="21"/>
          <w:highlight w:val="none"/>
        </w:rPr>
        <w:t>.</w:t>
      </w:r>
      <w:r>
        <w:rPr>
          <w:rFonts w:hint="eastAsia"/>
          <w:szCs w:val="21"/>
          <w:highlight w:val="none"/>
        </w:rPr>
        <w:t>提供用户授权管理，采用唯一身份标识，并对实体身份进行统一管理。</w:t>
      </w:r>
    </w:p>
    <w:p w14:paraId="2E322EAE">
      <w:pPr>
        <w:rPr>
          <w:rFonts w:hint="eastAsia"/>
          <w:szCs w:val="21"/>
          <w:highlight w:val="none"/>
        </w:rPr>
      </w:pPr>
      <w:r>
        <w:rPr>
          <w:szCs w:val="21"/>
          <w:highlight w:val="none"/>
        </w:rPr>
        <w:t>2.</w:t>
      </w:r>
      <w:r>
        <w:rPr>
          <w:rFonts w:hint="eastAsia"/>
          <w:szCs w:val="21"/>
          <w:highlight w:val="none"/>
        </w:rPr>
        <w:t>根据用户对医院业务使用性质的不同进行用户分类管理。</w:t>
      </w:r>
    </w:p>
    <w:p w14:paraId="56359F61">
      <w:pPr>
        <w:rPr>
          <w:rFonts w:hint="eastAsia"/>
          <w:szCs w:val="21"/>
          <w:highlight w:val="none"/>
        </w:rPr>
      </w:pPr>
      <w:r>
        <w:rPr>
          <w:rFonts w:hint="eastAsia"/>
          <w:szCs w:val="21"/>
          <w:highlight w:val="none"/>
        </w:rPr>
        <w:t>3</w:t>
      </w:r>
      <w:r>
        <w:rPr>
          <w:szCs w:val="21"/>
          <w:highlight w:val="none"/>
        </w:rPr>
        <w:t>.</w:t>
      </w:r>
      <w:r>
        <w:rPr>
          <w:rFonts w:hint="eastAsia"/>
          <w:szCs w:val="21"/>
          <w:highlight w:val="none"/>
        </w:rPr>
        <w:t>支持对用户、角色、资源和权限的标准化管理，实施权限管理和权限的分配</w:t>
      </w:r>
    </w:p>
    <w:p w14:paraId="623021BB">
      <w:pPr>
        <w:rPr>
          <w:rFonts w:hint="eastAsia"/>
          <w:szCs w:val="21"/>
          <w:highlight w:val="none"/>
        </w:rPr>
      </w:pPr>
      <w:r>
        <w:rPr>
          <w:rFonts w:hint="eastAsia"/>
          <w:szCs w:val="21"/>
          <w:highlight w:val="none"/>
        </w:rPr>
        <w:t>4</w:t>
      </w:r>
      <w:r>
        <w:rPr>
          <w:szCs w:val="21"/>
          <w:highlight w:val="none"/>
        </w:rPr>
        <w:t>.</w:t>
      </w:r>
      <w:r>
        <w:rPr>
          <w:rFonts w:hint="eastAsia"/>
          <w:szCs w:val="21"/>
          <w:highlight w:val="none"/>
        </w:rPr>
        <w:t xml:space="preserve"> 提供对用户所有登录认证操作及授权访问行为的全面记录和监控，确保所有操作处于可控和可审计状态，包括身份认证、访问控制、数据完整性保护等。</w:t>
      </w:r>
    </w:p>
    <w:p w14:paraId="6B8AE670">
      <w:pPr>
        <w:rPr>
          <w:rFonts w:hint="eastAsia"/>
          <w:szCs w:val="21"/>
          <w:highlight w:val="none"/>
        </w:rPr>
      </w:pPr>
      <w:r>
        <w:rPr>
          <w:rFonts w:hint="eastAsia"/>
          <w:szCs w:val="21"/>
          <w:highlight w:val="none"/>
        </w:rPr>
        <w:t>5</w:t>
      </w:r>
      <w:r>
        <w:rPr>
          <w:szCs w:val="21"/>
          <w:highlight w:val="none"/>
        </w:rPr>
        <w:t>.</w:t>
      </w:r>
      <w:r>
        <w:rPr>
          <w:rFonts w:hint="eastAsia"/>
          <w:szCs w:val="21"/>
          <w:highlight w:val="none"/>
        </w:rPr>
        <w:t xml:space="preserve"> 支持对第三方系统统一授权登录。授权后无需再输入用户名密码即可登录第三方系统。</w:t>
      </w:r>
    </w:p>
    <w:p w14:paraId="4AB738EB">
      <w:pPr>
        <w:rPr>
          <w:rFonts w:hint="eastAsia"/>
          <w:szCs w:val="21"/>
          <w:highlight w:val="none"/>
        </w:rPr>
      </w:pPr>
      <w:r>
        <w:rPr>
          <w:rFonts w:hint="eastAsia"/>
          <w:szCs w:val="21"/>
          <w:highlight w:val="none"/>
        </w:rPr>
        <w:t>6</w:t>
      </w:r>
      <w:r>
        <w:rPr>
          <w:szCs w:val="21"/>
          <w:highlight w:val="none"/>
        </w:rPr>
        <w:t>.</w:t>
      </w:r>
      <w:r>
        <w:rPr>
          <w:rFonts w:hint="eastAsia"/>
          <w:szCs w:val="21"/>
          <w:highlight w:val="none"/>
        </w:rPr>
        <w:t xml:space="preserve"> 支持B/S、C/S不同架构系统的集成与登录。B/S系统支持菜单级集成，可通过系统菜单支持嵌入系统，实现一体化系统登录。C/S系统支持弹窗启动打开。</w:t>
      </w:r>
    </w:p>
    <w:p w14:paraId="720F6E4D">
      <w:pPr>
        <w:pStyle w:val="3"/>
        <w:rPr>
          <w:rFonts w:hint="eastAsia" w:ascii="宋体" w:hAnsi="宋体"/>
          <w:sz w:val="21"/>
          <w:szCs w:val="21"/>
          <w:highlight w:val="none"/>
        </w:rPr>
      </w:pPr>
      <w:r>
        <w:rPr>
          <w:rFonts w:hint="eastAsia" w:ascii="宋体" w:hAnsi="宋体"/>
          <w:sz w:val="21"/>
          <w:szCs w:val="21"/>
          <w:highlight w:val="none"/>
        </w:rPr>
        <w:t>智慧运维平台</w:t>
      </w:r>
    </w:p>
    <w:p w14:paraId="5507857E">
      <w:pPr>
        <w:pStyle w:val="4"/>
        <w:rPr>
          <w:rFonts w:hint="eastAsia" w:ascii="宋体" w:hAnsi="宋体"/>
          <w:sz w:val="21"/>
          <w:szCs w:val="21"/>
          <w:highlight w:val="none"/>
        </w:rPr>
      </w:pPr>
      <w:r>
        <w:rPr>
          <w:rFonts w:hint="eastAsia" w:ascii="宋体" w:hAnsi="宋体"/>
          <w:sz w:val="21"/>
          <w:szCs w:val="21"/>
          <w:highlight w:val="none"/>
        </w:rPr>
        <w:t>统一智慧运维平台</w:t>
      </w:r>
    </w:p>
    <w:p w14:paraId="1C9926FD">
      <w:pPr>
        <w:pStyle w:val="5"/>
        <w:rPr>
          <w:rFonts w:hint="eastAsia" w:ascii="宋体" w:hAnsi="宋体" w:eastAsia="宋体"/>
          <w:sz w:val="21"/>
          <w:szCs w:val="21"/>
          <w:highlight w:val="none"/>
        </w:rPr>
      </w:pPr>
      <w:r>
        <w:rPr>
          <w:rFonts w:hint="eastAsia" w:ascii="宋体" w:hAnsi="宋体" w:eastAsia="宋体"/>
          <w:sz w:val="21"/>
          <w:szCs w:val="21"/>
          <w:highlight w:val="none"/>
        </w:rPr>
        <w:t>基础运维管理要求</w:t>
      </w:r>
    </w:p>
    <w:p w14:paraId="3A79872F">
      <w:pPr>
        <w:ind w:firstLine="480" w:firstLineChars="200"/>
        <w:rPr>
          <w:rFonts w:hint="eastAsia"/>
          <w:szCs w:val="21"/>
          <w:highlight w:val="none"/>
        </w:rPr>
      </w:pPr>
      <w:r>
        <w:rPr>
          <w:rFonts w:hint="eastAsia"/>
          <w:szCs w:val="21"/>
          <w:highlight w:val="none"/>
        </w:rPr>
        <w:t>要求至少包含系统管理、运维资产管理、</w:t>
      </w:r>
      <w:r>
        <w:rPr>
          <w:szCs w:val="21"/>
          <w:highlight w:val="none"/>
        </w:rPr>
        <w:t>监控</w:t>
      </w:r>
      <w:r>
        <w:rPr>
          <w:rFonts w:hint="eastAsia"/>
          <w:szCs w:val="21"/>
          <w:highlight w:val="none"/>
        </w:rPr>
        <w:t>管理功能。</w:t>
      </w:r>
    </w:p>
    <w:p w14:paraId="6343F6A8">
      <w:pPr>
        <w:ind w:firstLine="482" w:firstLineChars="200"/>
        <w:rPr>
          <w:rFonts w:hint="eastAsia"/>
          <w:b/>
          <w:bCs/>
          <w:szCs w:val="21"/>
          <w:highlight w:val="none"/>
        </w:rPr>
      </w:pPr>
      <w:r>
        <w:rPr>
          <w:rFonts w:hint="eastAsia"/>
          <w:b/>
          <w:bCs/>
          <w:szCs w:val="21"/>
          <w:highlight w:val="none"/>
        </w:rPr>
        <w:t>1、系统管理功能</w:t>
      </w:r>
    </w:p>
    <w:p w14:paraId="415A6A0A">
      <w:pPr>
        <w:ind w:firstLine="480" w:firstLineChars="200"/>
        <w:rPr>
          <w:rFonts w:hint="eastAsia"/>
          <w:szCs w:val="21"/>
          <w:highlight w:val="none"/>
        </w:rPr>
      </w:pPr>
      <w:r>
        <w:rPr>
          <w:rFonts w:hint="eastAsia"/>
          <w:szCs w:val="21"/>
          <w:highlight w:val="none"/>
        </w:rPr>
        <w:t>要求至少包含用户管理、用户组管理、角色管理、访问权限管理、角色菜单管理、系统参数管理等。支持增加、修改、删除操作。</w:t>
      </w:r>
    </w:p>
    <w:p w14:paraId="44A2E7C3">
      <w:pPr>
        <w:ind w:firstLine="482" w:firstLineChars="200"/>
        <w:rPr>
          <w:rFonts w:hint="eastAsia"/>
          <w:b/>
          <w:bCs/>
          <w:szCs w:val="21"/>
          <w:highlight w:val="none"/>
        </w:rPr>
      </w:pPr>
      <w:r>
        <w:rPr>
          <w:rFonts w:hint="eastAsia"/>
          <w:b/>
          <w:bCs/>
          <w:szCs w:val="21"/>
          <w:highlight w:val="none"/>
        </w:rPr>
        <w:t>2、运维资产管理</w:t>
      </w:r>
    </w:p>
    <w:p w14:paraId="38A1ED6C">
      <w:pPr>
        <w:ind w:firstLine="480" w:firstLineChars="200"/>
        <w:rPr>
          <w:rFonts w:hint="eastAsia"/>
          <w:szCs w:val="21"/>
          <w:highlight w:val="none"/>
        </w:rPr>
      </w:pPr>
      <w:r>
        <w:rPr>
          <w:rFonts w:hint="eastAsia"/>
          <w:szCs w:val="21"/>
          <w:highlight w:val="none"/>
        </w:rPr>
        <w:t>要求要能够</w:t>
      </w:r>
      <w:r>
        <w:rPr>
          <w:szCs w:val="21"/>
          <w:highlight w:val="none"/>
        </w:rPr>
        <w:t>添加</w:t>
      </w:r>
      <w:r>
        <w:rPr>
          <w:rFonts w:hint="eastAsia"/>
          <w:szCs w:val="21"/>
          <w:highlight w:val="none"/>
        </w:rPr>
        <w:t>、</w:t>
      </w:r>
      <w:r>
        <w:rPr>
          <w:szCs w:val="21"/>
          <w:highlight w:val="none"/>
        </w:rPr>
        <w:t>修改</w:t>
      </w:r>
      <w:r>
        <w:rPr>
          <w:rFonts w:hint="eastAsia"/>
          <w:szCs w:val="21"/>
          <w:highlight w:val="none"/>
        </w:rPr>
        <w:t>、</w:t>
      </w:r>
      <w:r>
        <w:rPr>
          <w:szCs w:val="21"/>
          <w:highlight w:val="none"/>
        </w:rPr>
        <w:t>删除资产相关信息</w:t>
      </w:r>
      <w:r>
        <w:rPr>
          <w:rFonts w:hint="eastAsia"/>
          <w:szCs w:val="21"/>
          <w:highlight w:val="none"/>
        </w:rPr>
        <w:t>（至少包含名称、主机标识、</w:t>
      </w:r>
      <w:r>
        <w:rPr>
          <w:szCs w:val="21"/>
          <w:highlight w:val="none"/>
        </w:rPr>
        <w:t>ip、cpu、内存、操作系统、位置信息、采控系统版本、所属客户、所属业务平台、主负责人、是否启用、是否已监控、监控方式、备注、资产添加时间等）</w:t>
      </w:r>
      <w:r>
        <w:rPr>
          <w:rFonts w:hint="eastAsia"/>
          <w:szCs w:val="21"/>
          <w:highlight w:val="none"/>
        </w:rPr>
        <w:t>，管理的资产至少</w:t>
      </w:r>
      <w:r>
        <w:rPr>
          <w:szCs w:val="21"/>
          <w:highlight w:val="none"/>
        </w:rPr>
        <w:t>包括</w:t>
      </w:r>
      <w:r>
        <w:rPr>
          <w:rFonts w:hint="eastAsia"/>
          <w:szCs w:val="21"/>
          <w:highlight w:val="none"/>
        </w:rPr>
        <w:t>主机、数据库、中间件、应用服务。要求支持批量导入及自动发现，能够通过各种协议（如</w:t>
      </w:r>
      <w:r>
        <w:rPr>
          <w:szCs w:val="21"/>
          <w:highlight w:val="none"/>
        </w:rPr>
        <w:t>SNMP、TCP、UDP）、采控端等自动采集补充资产信息，</w:t>
      </w:r>
      <w:r>
        <w:rPr>
          <w:rFonts w:hint="eastAsia"/>
          <w:szCs w:val="21"/>
          <w:highlight w:val="none"/>
        </w:rPr>
        <w:t>能够最资产进行分组管理，</w:t>
      </w:r>
      <w:r>
        <w:rPr>
          <w:szCs w:val="21"/>
          <w:highlight w:val="none"/>
        </w:rPr>
        <w:t>提高资产信息维护效率及数据准确度。</w:t>
      </w:r>
    </w:p>
    <w:p w14:paraId="371E09F3">
      <w:pPr>
        <w:ind w:firstLine="482" w:firstLineChars="200"/>
        <w:rPr>
          <w:rFonts w:hint="eastAsia"/>
          <w:b/>
          <w:bCs/>
          <w:szCs w:val="21"/>
          <w:highlight w:val="none"/>
        </w:rPr>
      </w:pPr>
      <w:r>
        <w:rPr>
          <w:rFonts w:hint="eastAsia"/>
          <w:b/>
          <w:bCs/>
          <w:szCs w:val="21"/>
          <w:highlight w:val="none"/>
        </w:rPr>
        <w:t>3、监控管理</w:t>
      </w:r>
    </w:p>
    <w:p w14:paraId="16706E38">
      <w:pPr>
        <w:ind w:firstLine="480" w:firstLineChars="200"/>
        <w:rPr>
          <w:rFonts w:hint="eastAsia"/>
          <w:szCs w:val="21"/>
          <w:highlight w:val="none"/>
        </w:rPr>
      </w:pPr>
      <w:r>
        <w:rPr>
          <w:rFonts w:hint="eastAsia"/>
          <w:szCs w:val="21"/>
          <w:highlight w:val="none"/>
        </w:rPr>
        <w:t>要求要能够汇总预览平台所监控的数据库、服务器、中间件</w:t>
      </w:r>
      <w:r>
        <w:rPr>
          <w:szCs w:val="21"/>
          <w:highlight w:val="none"/>
        </w:rPr>
        <w:t>的监控告警信息</w:t>
      </w:r>
      <w:r>
        <w:rPr>
          <w:rFonts w:hint="eastAsia"/>
          <w:szCs w:val="21"/>
          <w:highlight w:val="none"/>
        </w:rPr>
        <w:t>，要求至少支持对服务器、数据库、中间件的监控。</w:t>
      </w:r>
    </w:p>
    <w:p w14:paraId="724123FF">
      <w:pPr>
        <w:ind w:firstLine="480" w:firstLineChars="200"/>
        <w:rPr>
          <w:rFonts w:hint="eastAsia"/>
          <w:szCs w:val="21"/>
          <w:highlight w:val="none"/>
        </w:rPr>
      </w:pPr>
      <w:r>
        <w:rPr>
          <w:rFonts w:hint="eastAsia"/>
          <w:szCs w:val="21"/>
          <w:highlight w:val="none"/>
        </w:rPr>
        <w:t>（1）服务器监控</w:t>
      </w:r>
    </w:p>
    <w:p w14:paraId="480EDCAE">
      <w:pPr>
        <w:ind w:firstLine="480" w:firstLineChars="200"/>
        <w:rPr>
          <w:rFonts w:hint="eastAsia"/>
          <w:szCs w:val="21"/>
          <w:highlight w:val="none"/>
        </w:rPr>
      </w:pPr>
      <w:r>
        <w:rPr>
          <w:rFonts w:hint="eastAsia"/>
          <w:szCs w:val="21"/>
          <w:highlight w:val="none"/>
        </w:rPr>
        <w:t>要求支持内存使用情况、CPU使用情况、磁盘空间使用情况、网卡流量等相关性能数据的监控展示，能够下钻查看具体监控项的历史监控记录，并且对超出阈值的监控项进行告警。</w:t>
      </w:r>
    </w:p>
    <w:p w14:paraId="7D34E08A">
      <w:pPr>
        <w:ind w:firstLine="480" w:firstLineChars="200"/>
        <w:rPr>
          <w:rFonts w:hint="eastAsia"/>
          <w:szCs w:val="21"/>
          <w:highlight w:val="none"/>
        </w:rPr>
      </w:pPr>
      <w:r>
        <w:rPr>
          <w:rFonts w:hint="eastAsia"/>
          <w:szCs w:val="21"/>
          <w:highlight w:val="none"/>
        </w:rPr>
        <w:t>（2）数据库监控</w:t>
      </w:r>
    </w:p>
    <w:p w14:paraId="70970C76">
      <w:pPr>
        <w:ind w:firstLine="480" w:firstLineChars="200"/>
        <w:rPr>
          <w:rFonts w:hint="eastAsia"/>
          <w:szCs w:val="21"/>
          <w:highlight w:val="none"/>
        </w:rPr>
      </w:pPr>
      <w:r>
        <w:rPr>
          <w:rFonts w:hint="eastAsia"/>
          <w:szCs w:val="21"/>
          <w:highlight w:val="none"/>
        </w:rPr>
        <w:t xml:space="preserve"> 要求支持表空间使用情况、锁信息、连接数、活动会话数、最近慢查询等相关性能数据的监控展示，能够下钻查看具体监</w:t>
      </w:r>
    </w:p>
    <w:p w14:paraId="6DC5EE4B">
      <w:pPr>
        <w:ind w:firstLine="480" w:firstLineChars="200"/>
        <w:rPr>
          <w:rFonts w:hint="eastAsia"/>
          <w:szCs w:val="21"/>
          <w:highlight w:val="none"/>
        </w:rPr>
      </w:pPr>
      <w:r>
        <w:rPr>
          <w:rFonts w:hint="eastAsia"/>
          <w:szCs w:val="21"/>
          <w:highlight w:val="none"/>
        </w:rPr>
        <w:t>控项的历史监控记录，并且对超出阈值的监控项进行告警。</w:t>
      </w:r>
    </w:p>
    <w:p w14:paraId="5D53B4F2">
      <w:pPr>
        <w:ind w:firstLine="480" w:firstLineChars="200"/>
        <w:rPr>
          <w:rFonts w:hint="eastAsia"/>
          <w:szCs w:val="21"/>
          <w:highlight w:val="none"/>
        </w:rPr>
      </w:pPr>
      <w:r>
        <w:rPr>
          <w:rFonts w:hint="eastAsia"/>
          <w:szCs w:val="21"/>
          <w:highlight w:val="none"/>
        </w:rPr>
        <w:t>中间件监控</w:t>
      </w:r>
    </w:p>
    <w:p w14:paraId="6F5191EF">
      <w:pPr>
        <w:ind w:firstLine="480" w:firstLineChars="200"/>
        <w:rPr>
          <w:rFonts w:hint="eastAsia"/>
          <w:szCs w:val="21"/>
          <w:highlight w:val="none"/>
        </w:rPr>
      </w:pPr>
      <w:r>
        <w:rPr>
          <w:rFonts w:hint="eastAsia"/>
          <w:szCs w:val="21"/>
          <w:highlight w:val="none"/>
        </w:rPr>
        <w:t>要求支持对主流常用中间件的可用性，内存使用、CPU使用情况等相关性能数据监控展示。</w:t>
      </w:r>
    </w:p>
    <w:p w14:paraId="27587EDA">
      <w:pPr>
        <w:pStyle w:val="5"/>
        <w:rPr>
          <w:rFonts w:hint="eastAsia" w:ascii="宋体" w:hAnsi="宋体" w:eastAsia="宋体"/>
          <w:sz w:val="21"/>
          <w:szCs w:val="21"/>
          <w:highlight w:val="none"/>
        </w:rPr>
      </w:pPr>
      <w:r>
        <w:rPr>
          <w:rFonts w:hint="eastAsia" w:ascii="宋体" w:hAnsi="宋体" w:eastAsia="宋体"/>
          <w:sz w:val="21"/>
          <w:szCs w:val="21"/>
          <w:highlight w:val="none"/>
        </w:rPr>
        <w:t>运维综合告警要求</w:t>
      </w:r>
    </w:p>
    <w:p w14:paraId="090742F2">
      <w:pPr>
        <w:ind w:firstLine="480" w:firstLineChars="200"/>
        <w:rPr>
          <w:rFonts w:hint="eastAsia"/>
          <w:szCs w:val="21"/>
          <w:highlight w:val="none"/>
        </w:rPr>
      </w:pPr>
      <w:r>
        <w:rPr>
          <w:rFonts w:hint="eastAsia"/>
          <w:szCs w:val="21"/>
          <w:highlight w:val="none"/>
        </w:rPr>
        <w:t>要求至少包含数据采集控制管理、配置管理、故障管理，要能够为可视化运维监控展示提供数据基础，能够转换、分析和处理采集到的的数据，并且进行故障信息分级预警，能够利用公众号、电话、微信渠道及时通知相关运维工作人员，快速定位故障。</w:t>
      </w:r>
    </w:p>
    <w:p w14:paraId="769FF7E8">
      <w:pPr>
        <w:ind w:firstLine="482" w:firstLineChars="200"/>
        <w:rPr>
          <w:rFonts w:hint="eastAsia"/>
          <w:b/>
          <w:bCs/>
          <w:szCs w:val="21"/>
          <w:highlight w:val="none"/>
        </w:rPr>
      </w:pPr>
      <w:r>
        <w:rPr>
          <w:b/>
          <w:bCs/>
          <w:szCs w:val="21"/>
          <w:highlight w:val="none"/>
        </w:rPr>
        <w:t>1</w:t>
      </w:r>
      <w:r>
        <w:rPr>
          <w:rFonts w:hint="eastAsia"/>
          <w:b/>
          <w:bCs/>
          <w:szCs w:val="21"/>
          <w:highlight w:val="none"/>
        </w:rPr>
        <w:t>、数据采集控制管理</w:t>
      </w:r>
    </w:p>
    <w:p w14:paraId="71F66FBF">
      <w:pPr>
        <w:ind w:firstLine="480" w:firstLineChars="200"/>
        <w:rPr>
          <w:rFonts w:hint="eastAsia"/>
          <w:szCs w:val="21"/>
          <w:highlight w:val="none"/>
        </w:rPr>
      </w:pPr>
      <w:r>
        <w:rPr>
          <w:rFonts w:hint="eastAsia"/>
          <w:szCs w:val="21"/>
          <w:highlight w:val="none"/>
        </w:rPr>
        <w:t>要求要能够</w:t>
      </w:r>
      <w:r>
        <w:rPr>
          <w:szCs w:val="21"/>
          <w:highlight w:val="none"/>
        </w:rPr>
        <w:t>获取当前主机监控项配置</w:t>
      </w:r>
      <w:r>
        <w:rPr>
          <w:rFonts w:hint="eastAsia"/>
          <w:szCs w:val="21"/>
          <w:highlight w:val="none"/>
        </w:rPr>
        <w:t>，至少</w:t>
      </w:r>
      <w:r>
        <w:rPr>
          <w:szCs w:val="21"/>
          <w:highlight w:val="none"/>
        </w:rPr>
        <w:t>包括监控类别</w:t>
      </w:r>
      <w:r>
        <w:rPr>
          <w:rFonts w:hint="eastAsia"/>
          <w:szCs w:val="21"/>
          <w:highlight w:val="none"/>
        </w:rPr>
        <w:t>、</w:t>
      </w:r>
      <w:r>
        <w:rPr>
          <w:szCs w:val="21"/>
          <w:highlight w:val="none"/>
        </w:rPr>
        <w:t>监控项</w:t>
      </w:r>
      <w:r>
        <w:rPr>
          <w:rFonts w:hint="eastAsia"/>
          <w:szCs w:val="21"/>
          <w:highlight w:val="none"/>
        </w:rPr>
        <w:t>、</w:t>
      </w:r>
      <w:r>
        <w:rPr>
          <w:szCs w:val="21"/>
          <w:highlight w:val="none"/>
        </w:rPr>
        <w:t>监控频率</w:t>
      </w:r>
      <w:r>
        <w:rPr>
          <w:rFonts w:hint="eastAsia"/>
          <w:szCs w:val="21"/>
          <w:highlight w:val="none"/>
        </w:rPr>
        <w:t>，并且要能够获取到对应监控项的数值，并上传给监控系统。采集的数据范围至少包括服务器、数据库、中间件。要能够根据监控系统故障管理配置执行相应的命令，处理相关故障、收集相关故障信息，辅助故障定位分析及故障自愈。</w:t>
      </w:r>
    </w:p>
    <w:p w14:paraId="1629E4F4">
      <w:pPr>
        <w:ind w:firstLine="482" w:firstLineChars="200"/>
        <w:rPr>
          <w:rFonts w:hint="eastAsia"/>
          <w:b/>
          <w:bCs/>
          <w:szCs w:val="21"/>
          <w:highlight w:val="none"/>
        </w:rPr>
      </w:pPr>
      <w:r>
        <w:rPr>
          <w:b/>
          <w:bCs/>
          <w:szCs w:val="21"/>
          <w:highlight w:val="none"/>
        </w:rPr>
        <w:t>2</w:t>
      </w:r>
      <w:r>
        <w:rPr>
          <w:rFonts w:hint="eastAsia"/>
          <w:b/>
          <w:bCs/>
          <w:szCs w:val="21"/>
          <w:highlight w:val="none"/>
        </w:rPr>
        <w:t>、配置管理</w:t>
      </w:r>
    </w:p>
    <w:p w14:paraId="60413423">
      <w:pPr>
        <w:ind w:firstLine="480" w:firstLineChars="200"/>
        <w:rPr>
          <w:rFonts w:hint="eastAsia"/>
          <w:szCs w:val="21"/>
          <w:highlight w:val="none"/>
        </w:rPr>
      </w:pPr>
      <w:r>
        <w:rPr>
          <w:rFonts w:hint="eastAsia"/>
          <w:szCs w:val="21"/>
          <w:highlight w:val="none"/>
        </w:rPr>
        <w:t>要求至少实现主机、数据库采集的可视化配置，并且要能够实现对服务、操作系统、数据库项的监控模板配置和模板监控项的管理，能够收集部署在服务器上的应用信息，支持中间件和数据库的分发管理。</w:t>
      </w:r>
    </w:p>
    <w:p w14:paraId="407A1834">
      <w:pPr>
        <w:ind w:firstLine="482" w:firstLineChars="200"/>
        <w:rPr>
          <w:rFonts w:hint="eastAsia"/>
          <w:b/>
          <w:bCs/>
          <w:szCs w:val="21"/>
          <w:highlight w:val="none"/>
        </w:rPr>
      </w:pPr>
      <w:r>
        <w:rPr>
          <w:rFonts w:hint="eastAsia"/>
          <w:b/>
          <w:bCs/>
          <w:szCs w:val="21"/>
          <w:highlight w:val="none"/>
        </w:rPr>
        <w:t>3、故障管理</w:t>
      </w:r>
    </w:p>
    <w:p w14:paraId="26FF558A">
      <w:pPr>
        <w:ind w:firstLine="480" w:firstLineChars="200"/>
        <w:rPr>
          <w:rFonts w:hint="eastAsia"/>
          <w:szCs w:val="21"/>
          <w:highlight w:val="none"/>
        </w:rPr>
      </w:pPr>
      <w:r>
        <w:rPr>
          <w:rFonts w:hint="eastAsia"/>
          <w:szCs w:val="21"/>
          <w:highlight w:val="none"/>
        </w:rPr>
        <w:t>要求要能够定义各个采集数据的告警阈值，实现对超出阈值的作出告警动作。要能够利用公众号、电话、微信渠道将故障事件及时通知相关人员（包括告警信息、告警人员、告警渠道）。要能够配置对应的故障自愈套餐，在出现对应故障时，执行相关操作及命令恢复故障。</w:t>
      </w:r>
    </w:p>
    <w:p w14:paraId="2C815006">
      <w:pPr>
        <w:pStyle w:val="5"/>
        <w:rPr>
          <w:rFonts w:hint="eastAsia" w:ascii="宋体" w:hAnsi="宋体" w:eastAsia="宋体"/>
          <w:sz w:val="21"/>
          <w:szCs w:val="21"/>
          <w:highlight w:val="none"/>
        </w:rPr>
      </w:pPr>
      <w:r>
        <w:rPr>
          <w:rFonts w:hint="eastAsia" w:ascii="宋体" w:hAnsi="宋体" w:eastAsia="宋体"/>
          <w:sz w:val="21"/>
          <w:szCs w:val="21"/>
          <w:highlight w:val="none"/>
        </w:rPr>
        <w:t>运维可视化要求</w:t>
      </w:r>
    </w:p>
    <w:p w14:paraId="77E7B531">
      <w:pPr>
        <w:ind w:firstLine="480" w:firstLineChars="200"/>
        <w:rPr>
          <w:rFonts w:hint="eastAsia"/>
          <w:szCs w:val="21"/>
          <w:highlight w:val="none"/>
        </w:rPr>
      </w:pPr>
      <w:r>
        <w:rPr>
          <w:rFonts w:hint="eastAsia"/>
          <w:szCs w:val="21"/>
          <w:highlight w:val="none"/>
        </w:rPr>
        <w:t>要求运维可视化至少包含运维监控大屏、运维监管控制台功能，要能够实现提前预警故障、</w:t>
      </w:r>
      <w:r>
        <w:rPr>
          <w:szCs w:val="21"/>
          <w:highlight w:val="none"/>
        </w:rPr>
        <w:t>快速定位问题</w:t>
      </w:r>
      <w:r>
        <w:rPr>
          <w:rFonts w:hint="eastAsia"/>
          <w:szCs w:val="21"/>
          <w:highlight w:val="none"/>
        </w:rPr>
        <w:t>、提示</w:t>
      </w:r>
      <w:r>
        <w:rPr>
          <w:szCs w:val="21"/>
          <w:highlight w:val="none"/>
        </w:rPr>
        <w:t>运维效率。</w:t>
      </w:r>
    </w:p>
    <w:p w14:paraId="0F1F0FCA">
      <w:pPr>
        <w:ind w:firstLine="482" w:firstLineChars="200"/>
        <w:rPr>
          <w:rFonts w:hint="eastAsia"/>
          <w:b/>
          <w:bCs/>
          <w:szCs w:val="21"/>
          <w:highlight w:val="none"/>
        </w:rPr>
      </w:pPr>
      <w:r>
        <w:rPr>
          <w:rFonts w:hint="eastAsia"/>
          <w:b/>
          <w:bCs/>
          <w:szCs w:val="21"/>
          <w:highlight w:val="none"/>
        </w:rPr>
        <w:t>1、运维监控大屏</w:t>
      </w:r>
    </w:p>
    <w:p w14:paraId="35AD7CF1">
      <w:pPr>
        <w:ind w:firstLine="480" w:firstLineChars="200"/>
        <w:rPr>
          <w:rFonts w:hint="eastAsia"/>
          <w:szCs w:val="21"/>
          <w:highlight w:val="none"/>
        </w:rPr>
      </w:pPr>
      <w:r>
        <w:rPr>
          <w:rFonts w:hint="eastAsia"/>
          <w:szCs w:val="21"/>
          <w:highlight w:val="none"/>
        </w:rPr>
        <w:t>要求运维监控大屏要能够形象直观的展示当前院内服务器运行情况、数据库运行情况</w:t>
      </w:r>
      <w:r>
        <w:rPr>
          <w:szCs w:val="21"/>
          <w:highlight w:val="none"/>
        </w:rPr>
        <w:t>以及预警消息。</w:t>
      </w:r>
      <w:r>
        <w:rPr>
          <w:rFonts w:hint="eastAsia"/>
          <w:szCs w:val="21"/>
          <w:highlight w:val="none"/>
        </w:rPr>
        <w:t>能够根据业务分类展示当前业务流程中涉及到的服务器运行情况，至少包含以下运维监控信息展示：</w:t>
      </w:r>
    </w:p>
    <w:p w14:paraId="5B9F0B1B">
      <w:pPr>
        <w:ind w:firstLine="480" w:firstLineChars="200"/>
        <w:rPr>
          <w:rFonts w:hint="eastAsia"/>
          <w:szCs w:val="21"/>
          <w:highlight w:val="none"/>
        </w:rPr>
      </w:pPr>
      <w:r>
        <w:rPr>
          <w:rFonts w:hint="eastAsia"/>
          <w:szCs w:val="21"/>
          <w:highlight w:val="none"/>
        </w:rPr>
        <w:t>（1）当前医院监控主机、数据库</w:t>
      </w:r>
      <w:r>
        <w:rPr>
          <w:szCs w:val="21"/>
          <w:highlight w:val="none"/>
        </w:rPr>
        <w:t>的正常数与异常数量</w:t>
      </w:r>
    </w:p>
    <w:p w14:paraId="7F79F7AD">
      <w:pPr>
        <w:ind w:firstLine="480" w:firstLineChars="200"/>
        <w:rPr>
          <w:rFonts w:hint="eastAsia"/>
          <w:szCs w:val="21"/>
          <w:highlight w:val="none"/>
        </w:rPr>
      </w:pPr>
      <w:r>
        <w:rPr>
          <w:rFonts w:hint="eastAsia"/>
          <w:szCs w:val="21"/>
          <w:highlight w:val="none"/>
        </w:rPr>
        <w:t>（2）当前医院业务列表展示</w:t>
      </w:r>
    </w:p>
    <w:p w14:paraId="051FA522">
      <w:pPr>
        <w:ind w:firstLine="480" w:firstLineChars="200"/>
        <w:rPr>
          <w:rFonts w:hint="eastAsia"/>
          <w:szCs w:val="21"/>
          <w:highlight w:val="none"/>
        </w:rPr>
      </w:pPr>
      <w:r>
        <w:rPr>
          <w:rFonts w:hint="eastAsia"/>
          <w:szCs w:val="21"/>
          <w:highlight w:val="none"/>
        </w:rPr>
        <w:t>（3）当前业务涉及数据展示</w:t>
      </w:r>
    </w:p>
    <w:p w14:paraId="2A0EB171">
      <w:pPr>
        <w:ind w:firstLine="480" w:firstLineChars="200"/>
        <w:rPr>
          <w:rFonts w:hint="eastAsia"/>
          <w:szCs w:val="21"/>
          <w:highlight w:val="none"/>
        </w:rPr>
      </w:pPr>
      <w:r>
        <w:rPr>
          <w:rFonts w:hint="eastAsia"/>
          <w:szCs w:val="21"/>
          <w:highlight w:val="none"/>
        </w:rPr>
        <w:t>（4）服务器、数据库</w:t>
      </w:r>
      <w:r>
        <w:rPr>
          <w:szCs w:val="21"/>
          <w:highlight w:val="none"/>
        </w:rPr>
        <w:t>监控信息展示</w:t>
      </w:r>
    </w:p>
    <w:p w14:paraId="10B9F659">
      <w:pPr>
        <w:ind w:firstLine="480" w:firstLineChars="200"/>
        <w:rPr>
          <w:rFonts w:hint="eastAsia"/>
          <w:szCs w:val="21"/>
          <w:highlight w:val="none"/>
        </w:rPr>
      </w:pPr>
      <w:r>
        <w:rPr>
          <w:rFonts w:hint="eastAsia"/>
          <w:szCs w:val="21"/>
          <w:highlight w:val="none"/>
        </w:rPr>
        <w:t>（5）异常预警显示</w:t>
      </w:r>
    </w:p>
    <w:p w14:paraId="492C73F2">
      <w:pPr>
        <w:ind w:firstLine="482" w:firstLineChars="200"/>
        <w:rPr>
          <w:rFonts w:hint="eastAsia"/>
          <w:b/>
          <w:bCs/>
          <w:szCs w:val="21"/>
          <w:highlight w:val="none"/>
        </w:rPr>
      </w:pPr>
      <w:r>
        <w:rPr>
          <w:rFonts w:hint="eastAsia"/>
          <w:b/>
          <w:bCs/>
          <w:szCs w:val="21"/>
          <w:highlight w:val="none"/>
        </w:rPr>
        <w:t>2、运维监管控制台</w:t>
      </w:r>
    </w:p>
    <w:p w14:paraId="4968ECEC">
      <w:pPr>
        <w:ind w:firstLine="480" w:firstLineChars="200"/>
        <w:rPr>
          <w:rFonts w:hint="eastAsia"/>
          <w:szCs w:val="21"/>
          <w:highlight w:val="none"/>
        </w:rPr>
      </w:pPr>
      <w:r>
        <w:rPr>
          <w:rFonts w:hint="eastAsia"/>
          <w:szCs w:val="21"/>
          <w:highlight w:val="none"/>
        </w:rPr>
        <w:t>要求要能够基于采集到的告警信息，直观的显示项目的主机信息、数据库信息等，显示的信息至少包含负载服务器信息、业务服务器、中间件服务器、数据库服务器的集群信息、使用概况，并且支持下钻功能，能够详细展示各个预警信息对应的内容详情。</w:t>
      </w:r>
    </w:p>
    <w:p w14:paraId="5955E3B0">
      <w:pPr>
        <w:pStyle w:val="5"/>
        <w:rPr>
          <w:rFonts w:hint="eastAsia" w:ascii="宋体" w:hAnsi="宋体" w:eastAsia="宋体"/>
          <w:sz w:val="21"/>
          <w:szCs w:val="21"/>
          <w:highlight w:val="none"/>
        </w:rPr>
      </w:pPr>
      <w:r>
        <w:rPr>
          <w:rFonts w:hint="eastAsia" w:ascii="宋体" w:hAnsi="宋体" w:eastAsia="宋体"/>
          <w:sz w:val="21"/>
          <w:szCs w:val="21"/>
          <w:highlight w:val="none"/>
        </w:rPr>
        <w:t>运维助手</w:t>
      </w:r>
    </w:p>
    <w:p w14:paraId="4F0CBB7E">
      <w:pPr>
        <w:rPr>
          <w:rFonts w:hint="eastAsia"/>
          <w:szCs w:val="21"/>
          <w:highlight w:val="none"/>
        </w:rPr>
      </w:pPr>
      <w:r>
        <w:rPr>
          <w:rFonts w:hint="eastAsia"/>
          <w:szCs w:val="21"/>
          <w:highlight w:val="none"/>
        </w:rPr>
        <w:t>对院方系统进行一键巡检并展示评估结论，包括服务器、数据库、中间件、应用等。监测内容包括各环节项目的总数、检测数、正常数、异常数且支持下钻查看异常信息。给院方提供巡检类报告的数据提供数据支持。</w:t>
      </w:r>
    </w:p>
    <w:p w14:paraId="3681A179">
      <w:pPr>
        <w:pStyle w:val="3"/>
        <w:rPr>
          <w:rFonts w:hint="eastAsia" w:ascii="宋体" w:hAnsi="宋体"/>
          <w:sz w:val="21"/>
          <w:szCs w:val="21"/>
          <w:highlight w:val="none"/>
        </w:rPr>
      </w:pPr>
      <w:r>
        <w:rPr>
          <w:rFonts w:hint="eastAsia" w:ascii="宋体" w:hAnsi="宋体"/>
          <w:sz w:val="21"/>
          <w:szCs w:val="21"/>
          <w:highlight w:val="none"/>
        </w:rPr>
        <w:t>医院集成平台升级改造</w:t>
      </w:r>
    </w:p>
    <w:p w14:paraId="261C6A7D">
      <w:pPr>
        <w:pStyle w:val="4"/>
        <w:spacing w:line="360" w:lineRule="auto"/>
        <w:rPr>
          <w:rFonts w:hint="eastAsia" w:ascii="宋体" w:hAnsi="宋体"/>
          <w:sz w:val="21"/>
          <w:szCs w:val="21"/>
          <w:highlight w:val="none"/>
        </w:rPr>
      </w:pPr>
      <w:bookmarkStart w:id="119" w:name="_Toc134612300"/>
      <w:r>
        <w:rPr>
          <w:rFonts w:hint="eastAsia" w:ascii="宋体" w:hAnsi="宋体"/>
          <w:sz w:val="21"/>
          <w:szCs w:val="21"/>
          <w:highlight w:val="none"/>
        </w:rPr>
        <w:t>基础服务平台升级</w:t>
      </w:r>
      <w:bookmarkEnd w:id="119"/>
    </w:p>
    <w:p w14:paraId="2B2DF47C">
      <w:pPr>
        <w:pStyle w:val="5"/>
        <w:spacing w:line="360" w:lineRule="auto"/>
        <w:rPr>
          <w:rFonts w:hint="eastAsia" w:ascii="宋体" w:hAnsi="宋体" w:eastAsia="宋体"/>
          <w:sz w:val="21"/>
          <w:szCs w:val="21"/>
          <w:highlight w:val="none"/>
        </w:rPr>
      </w:pPr>
      <w:r>
        <w:rPr>
          <w:rFonts w:hint="eastAsia" w:ascii="宋体" w:hAnsi="宋体" w:eastAsia="宋体"/>
          <w:sz w:val="21"/>
          <w:szCs w:val="21"/>
          <w:highlight w:val="none"/>
        </w:rPr>
        <w:t>运维分析系统 --服务运行状态监控管理</w:t>
      </w:r>
    </w:p>
    <w:p w14:paraId="1D08FFEE">
      <w:pPr>
        <w:ind w:firstLine="480" w:firstLineChars="200"/>
        <w:rPr>
          <w:rFonts w:hint="eastAsia"/>
          <w:szCs w:val="21"/>
          <w:highlight w:val="none"/>
        </w:rPr>
      </w:pPr>
      <w:r>
        <w:rPr>
          <w:rFonts w:hint="eastAsia"/>
          <w:szCs w:val="21"/>
          <w:highlight w:val="none"/>
        </w:rPr>
        <w:t>系统对所有接入集成平台的接口调用日志进行统一分析，展示集成平台所有接口的调用量，日均调用量，接口性能情况等。提供每个服务的调用失败率统计，支持下钻关联到对应异常的消息查看错误信息。支持对服务的调用量进行排序，展示调用量</w:t>
      </w:r>
      <w:r>
        <w:rPr>
          <w:szCs w:val="21"/>
          <w:highlight w:val="none"/>
        </w:rPr>
        <w:t>TOP10的服务</w:t>
      </w:r>
      <w:r>
        <w:rPr>
          <w:rFonts w:hint="eastAsia"/>
          <w:szCs w:val="21"/>
          <w:highlight w:val="none"/>
        </w:rPr>
        <w:t>。</w:t>
      </w:r>
    </w:p>
    <w:p w14:paraId="7D4F20DA">
      <w:pPr>
        <w:pStyle w:val="5"/>
        <w:spacing w:line="360" w:lineRule="auto"/>
        <w:rPr>
          <w:rFonts w:hint="eastAsia" w:ascii="宋体" w:hAnsi="宋体" w:eastAsia="宋体"/>
          <w:sz w:val="21"/>
          <w:szCs w:val="21"/>
          <w:highlight w:val="none"/>
        </w:rPr>
      </w:pPr>
      <w:r>
        <w:rPr>
          <w:rFonts w:hint="eastAsia" w:ascii="宋体" w:hAnsi="宋体" w:eastAsia="宋体"/>
          <w:sz w:val="21"/>
          <w:szCs w:val="21"/>
          <w:highlight w:val="none"/>
        </w:rPr>
        <w:t>平台概况</w:t>
      </w:r>
    </w:p>
    <w:p w14:paraId="5FAC51C4">
      <w:pPr>
        <w:ind w:firstLine="480"/>
        <w:rPr>
          <w:rFonts w:hint="eastAsia"/>
          <w:szCs w:val="21"/>
          <w:highlight w:val="none"/>
        </w:rPr>
      </w:pPr>
      <w:r>
        <w:rPr>
          <w:rFonts w:hint="eastAsia"/>
          <w:szCs w:val="21"/>
          <w:highlight w:val="none"/>
        </w:rPr>
        <w:t>实现平台</w:t>
      </w:r>
      <w:r>
        <w:rPr>
          <w:szCs w:val="21"/>
          <w:highlight w:val="none"/>
        </w:rPr>
        <w:t>接入情况汇总分别从厂商和服务两个视角对集成平台的接入情况进行集中展示，可以直观的展示医院集成平台的建设情况和互联互通能力。【厂商视角】从对接的系统角度出发，直观展示集成平台与第三方厂商的对接情况，可以看到接入平台的厂商有几个，分别有哪些系统。【</w:t>
      </w:r>
      <w:r>
        <w:rPr>
          <w:rFonts w:hint="eastAsia"/>
          <w:szCs w:val="21"/>
          <w:highlight w:val="none"/>
        </w:rPr>
        <w:t>服务</w:t>
      </w:r>
      <w:r>
        <w:rPr>
          <w:szCs w:val="21"/>
          <w:highlight w:val="none"/>
        </w:rPr>
        <w:t>视角】</w:t>
      </w:r>
      <w:r>
        <w:rPr>
          <w:rFonts w:hint="eastAsia"/>
          <w:szCs w:val="21"/>
          <w:highlight w:val="none"/>
        </w:rPr>
        <w:t>从服务的角度出发，直观的体现了目前集成平台拥有的服务数量，可以看到目前已经划分的服务类型和服务的数量。</w:t>
      </w:r>
    </w:p>
    <w:p w14:paraId="70C9AEBB">
      <w:pPr>
        <w:pStyle w:val="5"/>
        <w:spacing w:line="360" w:lineRule="auto"/>
        <w:rPr>
          <w:rFonts w:hint="eastAsia" w:ascii="宋体" w:hAnsi="宋体" w:eastAsia="宋体"/>
          <w:sz w:val="21"/>
          <w:szCs w:val="21"/>
          <w:highlight w:val="none"/>
        </w:rPr>
      </w:pPr>
      <w:r>
        <w:rPr>
          <w:rFonts w:hint="eastAsia" w:ascii="宋体" w:hAnsi="宋体" w:eastAsia="宋体"/>
          <w:sz w:val="21"/>
          <w:szCs w:val="21"/>
          <w:highlight w:val="none"/>
        </w:rPr>
        <w:t>服务订阅--交互服务订阅管理</w:t>
      </w:r>
    </w:p>
    <w:p w14:paraId="044136AC">
      <w:pPr>
        <w:ind w:firstLine="480"/>
        <w:rPr>
          <w:rFonts w:hint="eastAsia"/>
          <w:szCs w:val="21"/>
          <w:highlight w:val="none"/>
        </w:rPr>
      </w:pPr>
      <w:r>
        <w:rPr>
          <w:rFonts w:hint="eastAsia"/>
          <w:szCs w:val="21"/>
          <w:highlight w:val="none"/>
        </w:rPr>
        <w:t>要求服务订阅实现业务系统向集成平台订阅需要的服务信息，当集成平台上的服务信息更新后会主动推送到指定的已订阅该服务的系统。通过服务订阅实现一对多的消息发送模式，以病人信息新增为例需要将其发送给所有系统，有了订阅模式就能实现一次接入后续新的系统只要配下订阅即可，降低了接口对接的成本提高了接口的复用性。</w:t>
      </w:r>
    </w:p>
    <w:p w14:paraId="54DB05FA">
      <w:pPr>
        <w:pStyle w:val="5"/>
        <w:spacing w:line="360" w:lineRule="auto"/>
        <w:rPr>
          <w:rFonts w:hint="eastAsia" w:ascii="宋体" w:hAnsi="宋体" w:eastAsia="宋体"/>
          <w:sz w:val="21"/>
          <w:szCs w:val="21"/>
          <w:highlight w:val="none"/>
        </w:rPr>
      </w:pPr>
      <w:bookmarkStart w:id="120" w:name="_Toc16072"/>
      <w:r>
        <w:rPr>
          <w:rFonts w:hint="eastAsia" w:ascii="宋体" w:hAnsi="宋体" w:eastAsia="宋体"/>
          <w:sz w:val="21"/>
          <w:szCs w:val="21"/>
          <w:highlight w:val="none"/>
        </w:rPr>
        <w:t>访问控制管理</w:t>
      </w:r>
      <w:bookmarkEnd w:id="120"/>
    </w:p>
    <w:p w14:paraId="71812913">
      <w:pPr>
        <w:ind w:firstLine="480"/>
        <w:rPr>
          <w:rFonts w:hint="eastAsia"/>
          <w:szCs w:val="21"/>
          <w:highlight w:val="none"/>
        </w:rPr>
      </w:pPr>
      <w:r>
        <w:rPr>
          <w:rFonts w:hint="eastAsia"/>
          <w:szCs w:val="21"/>
          <w:highlight w:val="none"/>
        </w:rPr>
        <w:t>基础服务平台提供流量控制及黑名单管理功能，对接入医院信息集成平台的系统和服务进行颗粒化的控制管理。基于业务逻辑分析及历史调用行为分析，配置针对各业务系统各服务的流量管控规则，从服务调用次数、服务调用数据量大小、服务调用时间段等多维度对服务进行安全性管理。当发现异常调用行为时可以自动将调用系统加入流量管控范围或者是手动加入黑名单。通过流量控制和黑名单管理功能能够讲第三方异常的调用进行隔离和阻断，进一步提供基础服务平台运行的稳定性。</w:t>
      </w:r>
    </w:p>
    <w:p w14:paraId="0311B544">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流量控制配置</w:t>
      </w:r>
    </w:p>
    <w:p w14:paraId="5963B2D1">
      <w:pPr>
        <w:ind w:firstLine="480"/>
        <w:rPr>
          <w:rFonts w:hint="eastAsia"/>
          <w:szCs w:val="21"/>
          <w:highlight w:val="none"/>
        </w:rPr>
      </w:pPr>
      <w:r>
        <w:rPr>
          <w:rFonts w:hint="eastAsia"/>
          <w:szCs w:val="21"/>
          <w:highlight w:val="none"/>
        </w:rPr>
        <w:t>在流量控制模块提供流程规则的新增、修改、删除。在对服务的流量管控方面大的能够针对所有服务和所有厂商，小的能够到每个服务对应的厂商进行配置，在规则维度上支持从服务调用次数、服务调用数据量大小、服务调用时间段等多维度对服务进行安全性管理。通过对流量的控制杜绝第三方错误的循环导致的频繁调用，以及没有条件限制的大批量数据获取，以此来达到提供平台运行的稳定性。</w:t>
      </w:r>
    </w:p>
    <w:p w14:paraId="60CFCFD9">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流量控制记录</w:t>
      </w:r>
    </w:p>
    <w:p w14:paraId="1F659319">
      <w:pPr>
        <w:ind w:firstLine="480"/>
        <w:rPr>
          <w:rFonts w:hint="eastAsia"/>
          <w:szCs w:val="21"/>
          <w:highlight w:val="none"/>
        </w:rPr>
      </w:pPr>
      <w:r>
        <w:rPr>
          <w:rFonts w:hint="eastAsia"/>
          <w:szCs w:val="21"/>
          <w:highlight w:val="none"/>
        </w:rPr>
        <w:t>流量控制记录对触发了规则控制的事件进行记录，方便操作人员对触发的记录进行查看分析事件产生的原因，通过分析原因该整改的整改避免规则的再次触发，导致请求被阻隔。</w:t>
      </w:r>
    </w:p>
    <w:p w14:paraId="16C8E2B4">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黑名单管理</w:t>
      </w:r>
    </w:p>
    <w:p w14:paraId="33ADC4D8">
      <w:pPr>
        <w:ind w:firstLine="480"/>
        <w:rPr>
          <w:rFonts w:hint="eastAsia"/>
          <w:szCs w:val="21"/>
          <w:highlight w:val="none"/>
        </w:rPr>
      </w:pPr>
      <w:r>
        <w:rPr>
          <w:rFonts w:hint="eastAsia"/>
          <w:szCs w:val="21"/>
          <w:highlight w:val="none"/>
        </w:rPr>
        <w:t>黑名单管理主要是通过对请求的I</w:t>
      </w:r>
      <w:r>
        <w:rPr>
          <w:szCs w:val="21"/>
          <w:highlight w:val="none"/>
        </w:rPr>
        <w:t>P</w:t>
      </w:r>
      <w:r>
        <w:rPr>
          <w:rFonts w:hint="eastAsia"/>
          <w:szCs w:val="21"/>
          <w:highlight w:val="none"/>
        </w:rPr>
        <w:t>进行校验，如果I</w:t>
      </w:r>
      <w:r>
        <w:rPr>
          <w:szCs w:val="21"/>
          <w:highlight w:val="none"/>
        </w:rPr>
        <w:t>P</w:t>
      </w:r>
      <w:r>
        <w:rPr>
          <w:rFonts w:hint="eastAsia"/>
          <w:szCs w:val="21"/>
          <w:highlight w:val="none"/>
        </w:rPr>
        <w:t>在黑名单中就将请求进行阻拦。对于突发的恶意请求利用黑名单的方式快速进行配置，能够第一时间将请求进行阻拦。</w:t>
      </w:r>
    </w:p>
    <w:p w14:paraId="2C6567D0">
      <w:pPr>
        <w:pStyle w:val="5"/>
        <w:spacing w:line="360" w:lineRule="auto"/>
        <w:rPr>
          <w:rFonts w:hint="eastAsia" w:ascii="宋体" w:hAnsi="宋体" w:eastAsia="宋体"/>
          <w:sz w:val="21"/>
          <w:szCs w:val="21"/>
          <w:highlight w:val="none"/>
        </w:rPr>
      </w:pPr>
      <w:bookmarkStart w:id="121" w:name="_Toc29594"/>
      <w:bookmarkStart w:id="245" w:name="_GoBack"/>
      <w:bookmarkEnd w:id="245"/>
      <w:r>
        <w:rPr>
          <w:rFonts w:hint="eastAsia" w:ascii="宋体" w:hAnsi="宋体" w:eastAsia="宋体"/>
          <w:sz w:val="21"/>
          <w:szCs w:val="21"/>
          <w:highlight w:val="none"/>
        </w:rPr>
        <w:t>日志信息监管</w:t>
      </w:r>
      <w:bookmarkEnd w:id="121"/>
    </w:p>
    <w:p w14:paraId="494C6C21">
      <w:pPr>
        <w:ind w:firstLine="480"/>
        <w:rPr>
          <w:rFonts w:hint="eastAsia"/>
          <w:szCs w:val="21"/>
          <w:highlight w:val="none"/>
        </w:rPr>
      </w:pPr>
      <w:r>
        <w:rPr>
          <w:rFonts w:hint="eastAsia"/>
          <w:szCs w:val="21"/>
          <w:highlight w:val="none"/>
        </w:rPr>
        <w:t>日志信息监管中包含了日志记录检索、消息重发池、后台操作日志。日志记录检索对于对接入集成平台的系统进行统一的日志管理，详细记录每个服务的性能消耗、服务消费方、服务调用次数、服务入出参等信息。提供可视化的日志查询及统计功能，能够协助运维人员快速了解整体服务运行情况、快速定位性能瓶颈及问题点。消息重发池对于订阅的消息进行失败自动重发也可以手动重发，具体的失败重发次数由系统操作配置，通过订阅消息的失败重发减少由于网络硬件问题导致的消息失败，提供消息的成功率。后台操作日志记录在基础服务平台上的所有操作，对</w:t>
      </w:r>
      <w:r>
        <w:rPr>
          <w:szCs w:val="21"/>
          <w:highlight w:val="none"/>
        </w:rPr>
        <w:t>需要记录用户的关键操作日志,以便后期的系统维护,方便的查看问题,及时排除等原因。</w:t>
      </w:r>
    </w:p>
    <w:p w14:paraId="13DD1877">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日志记录检索</w:t>
      </w:r>
    </w:p>
    <w:p w14:paraId="240044FB">
      <w:pPr>
        <w:ind w:firstLine="480"/>
        <w:rPr>
          <w:rFonts w:hint="eastAsia"/>
          <w:szCs w:val="21"/>
          <w:highlight w:val="none"/>
        </w:rPr>
      </w:pPr>
      <w:r>
        <w:rPr>
          <w:rFonts w:hint="eastAsia"/>
          <w:szCs w:val="21"/>
          <w:highlight w:val="none"/>
        </w:rPr>
        <w:t>日志记录检索记录进出平台的消息日志，提供可视化的日志查询及统计功能，能够协助运维人员快速了解整体服务运行情况、快速定位性能瓶颈及问题点。</w:t>
      </w:r>
    </w:p>
    <w:p w14:paraId="39630A0E">
      <w:pPr>
        <w:ind w:firstLine="480"/>
        <w:rPr>
          <w:rFonts w:hint="eastAsia"/>
          <w:szCs w:val="21"/>
          <w:highlight w:val="none"/>
        </w:rPr>
      </w:pPr>
      <w:r>
        <w:rPr>
          <w:rFonts w:hint="eastAsia"/>
          <w:szCs w:val="21"/>
          <w:highlight w:val="none"/>
        </w:rPr>
        <w:t>提供多种搜索方式的组合，可以根据服务的名称、访问者、接收着、请求的入参和响应的出差进行联合查询，方便运维人员快速的定位到要排查的消息，减轻查找日志的工作量。具有高效的检索效率，百万级别以上日志检索能达到秒级响应。</w:t>
      </w:r>
    </w:p>
    <w:p w14:paraId="27858FC2">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后台操作日志--等保审计要求</w:t>
      </w:r>
    </w:p>
    <w:p w14:paraId="49E8C2B1">
      <w:pPr>
        <w:ind w:firstLine="480"/>
        <w:rPr>
          <w:rFonts w:hint="eastAsia"/>
          <w:szCs w:val="21"/>
          <w:highlight w:val="none"/>
        </w:rPr>
      </w:pPr>
      <w:r>
        <w:rPr>
          <w:rFonts w:hint="eastAsia"/>
          <w:szCs w:val="21"/>
          <w:highlight w:val="none"/>
        </w:rPr>
        <w:t>基础服务平台拥有</w:t>
      </w:r>
      <w:r>
        <w:rPr>
          <w:szCs w:val="21"/>
          <w:highlight w:val="none"/>
        </w:rPr>
        <w:t>详尽的操作日志，管理员可查阅所有账号对</w:t>
      </w:r>
      <w:r>
        <w:rPr>
          <w:rFonts w:hint="eastAsia"/>
          <w:szCs w:val="21"/>
          <w:highlight w:val="none"/>
        </w:rPr>
        <w:t>系统</w:t>
      </w:r>
      <w:r>
        <w:rPr>
          <w:szCs w:val="21"/>
          <w:highlight w:val="none"/>
        </w:rPr>
        <w:t>的操作记录，追溯异常操作。能提供完善的跟踪、记录、监控管理机制，从登录开始到退出账号所有操作均可后台查阅。管理员可根据操作日志对用户的操作行为进行追溯、查询、分析和审计，让任何异常操作行为无处遁形。</w:t>
      </w:r>
      <w:r>
        <w:rPr>
          <w:rFonts w:hint="eastAsia"/>
          <w:szCs w:val="21"/>
          <w:highlight w:val="none"/>
        </w:rPr>
        <w:t>基础服务平台的配置涉及到了集成平台运行，对于操作系统的人员的操作进行日志记录，有利于在出现问题后快速的定位到是什么操作导致的。</w:t>
      </w:r>
    </w:p>
    <w:p w14:paraId="0181E981">
      <w:pPr>
        <w:pStyle w:val="4"/>
        <w:spacing w:line="360" w:lineRule="auto"/>
        <w:rPr>
          <w:rFonts w:hint="eastAsia" w:ascii="宋体" w:hAnsi="宋体"/>
          <w:sz w:val="21"/>
          <w:szCs w:val="21"/>
          <w:highlight w:val="none"/>
        </w:rPr>
      </w:pPr>
      <w:bookmarkStart w:id="122" w:name="_Toc10259"/>
      <w:bookmarkStart w:id="123" w:name="_Toc134612301"/>
      <w:bookmarkStart w:id="124" w:name="_Toc122366606"/>
      <w:r>
        <w:rPr>
          <w:rFonts w:hint="eastAsia" w:ascii="宋体" w:hAnsi="宋体"/>
          <w:sz w:val="21"/>
          <w:szCs w:val="21"/>
          <w:highlight w:val="none"/>
        </w:rPr>
        <w:t>数据综合查询系统(数据脱敏配置管理)</w:t>
      </w:r>
      <w:bookmarkEnd w:id="122"/>
      <w:bookmarkEnd w:id="123"/>
      <w:bookmarkEnd w:id="124"/>
    </w:p>
    <w:p w14:paraId="6FE7AE3C">
      <w:pPr>
        <w:ind w:firstLine="480"/>
        <w:rPr>
          <w:rFonts w:hint="eastAsia"/>
          <w:szCs w:val="21"/>
          <w:highlight w:val="none"/>
        </w:rPr>
      </w:pPr>
      <w:r>
        <w:rPr>
          <w:rFonts w:hint="eastAsia"/>
          <w:szCs w:val="21"/>
          <w:highlight w:val="none"/>
        </w:rPr>
        <w:t>提供数据查询服务，发布统一的数据查询服务接口，通过对统一查询接口的调用来完成数据交互与业务协同，实现了异构、分布式应用系统之间的敏捷、快速、松耦合、高可靠的应用集成。提供可视化的数据查询配置功能，将复杂的数据接口，通过简单便捷的可视化界面配置实现，提高数据服务效率。另一方面在数据提供的时候对关键数据进行匿名处理，保证患者个人信息就医记录的安全性。</w:t>
      </w:r>
    </w:p>
    <w:p w14:paraId="261432BA">
      <w:pPr>
        <w:pStyle w:val="5"/>
        <w:spacing w:line="360" w:lineRule="auto"/>
        <w:rPr>
          <w:rFonts w:hint="eastAsia" w:ascii="宋体" w:hAnsi="宋体" w:eastAsia="宋体"/>
          <w:sz w:val="21"/>
          <w:szCs w:val="21"/>
          <w:highlight w:val="none"/>
        </w:rPr>
      </w:pPr>
      <w:bookmarkStart w:id="125" w:name="_Toc15111"/>
      <w:r>
        <w:rPr>
          <w:rFonts w:hint="eastAsia" w:ascii="宋体" w:hAnsi="宋体" w:eastAsia="宋体"/>
          <w:sz w:val="21"/>
          <w:szCs w:val="21"/>
          <w:highlight w:val="none"/>
        </w:rPr>
        <w:t>数据链接管理</w:t>
      </w:r>
      <w:bookmarkEnd w:id="125"/>
    </w:p>
    <w:p w14:paraId="6FEAE368">
      <w:pPr>
        <w:ind w:firstLine="480"/>
        <w:rPr>
          <w:rFonts w:hint="eastAsia"/>
          <w:szCs w:val="21"/>
          <w:highlight w:val="none"/>
        </w:rPr>
      </w:pPr>
      <w:r>
        <w:rPr>
          <w:rFonts w:hint="eastAsia"/>
          <w:szCs w:val="21"/>
          <w:highlight w:val="none"/>
        </w:rPr>
        <w:t>面对医院不同的数据查询场景，数据的来源可以来自生产库也可以来自其它的库，为了达到多个数据源的查询，数据综合查询系统提供了多种数据源的选择配置，通过简单的数据库参数配置快速的实现数据库的连接，方便操作人员配置数据链接。</w:t>
      </w:r>
    </w:p>
    <w:p w14:paraId="212304D2">
      <w:pPr>
        <w:pStyle w:val="5"/>
        <w:spacing w:line="360" w:lineRule="auto"/>
        <w:rPr>
          <w:rFonts w:hint="eastAsia" w:ascii="宋体" w:hAnsi="宋体" w:eastAsia="宋体"/>
          <w:sz w:val="21"/>
          <w:szCs w:val="21"/>
          <w:highlight w:val="none"/>
        </w:rPr>
      </w:pPr>
      <w:bookmarkStart w:id="126" w:name="_Toc26131"/>
      <w:r>
        <w:rPr>
          <w:rFonts w:hint="eastAsia" w:ascii="宋体" w:hAnsi="宋体" w:eastAsia="宋体"/>
          <w:sz w:val="21"/>
          <w:szCs w:val="21"/>
          <w:highlight w:val="none"/>
        </w:rPr>
        <w:t>数据开放规则管理</w:t>
      </w:r>
      <w:bookmarkEnd w:id="126"/>
    </w:p>
    <w:p w14:paraId="577C9F77">
      <w:pPr>
        <w:ind w:firstLine="480"/>
        <w:rPr>
          <w:rFonts w:hint="eastAsia"/>
          <w:szCs w:val="21"/>
          <w:highlight w:val="none"/>
        </w:rPr>
      </w:pPr>
      <w:r>
        <w:rPr>
          <w:szCs w:val="21"/>
          <w:highlight w:val="none"/>
        </w:rPr>
        <w:t>随着技术的飞速发展，</w:t>
      </w:r>
      <w:r>
        <w:rPr>
          <w:rFonts w:hint="eastAsia"/>
          <w:szCs w:val="21"/>
          <w:highlight w:val="none"/>
        </w:rPr>
        <w:t>医院</w:t>
      </w:r>
      <w:r>
        <w:rPr>
          <w:szCs w:val="21"/>
          <w:highlight w:val="none"/>
        </w:rPr>
        <w:t>互联网呈现多元化快速发展趋势。然而，由于一直缺乏有效的用户个人隐私信息管控方式，导致用户个人信息滥用和隐私泄露等问题泛滥成灾。</w:t>
      </w:r>
      <w:r>
        <w:rPr>
          <w:rFonts w:hint="eastAsia"/>
          <w:szCs w:val="21"/>
          <w:highlight w:val="none"/>
        </w:rPr>
        <w:t>对于数据资源的提供方，集成平台基于数据开放规则管理，最小粒度到每个字段进行数据隐私加密，保证了患者和医院信息的安全。数据脱敏脱密处理，指对某些敏感信息通过脱敏规则进行数据的变形，实现敏感隐私数据的可靠保护，以便在开发、测试及交换等生产环境以及外包或云计算环境中安全的使用脱敏后的真实数据集。</w:t>
      </w:r>
    </w:p>
    <w:p w14:paraId="62FE7464">
      <w:pPr>
        <w:pStyle w:val="5"/>
        <w:spacing w:line="360" w:lineRule="auto"/>
        <w:rPr>
          <w:rFonts w:hint="eastAsia" w:ascii="宋体" w:hAnsi="宋体" w:eastAsia="宋体"/>
          <w:sz w:val="21"/>
          <w:szCs w:val="21"/>
          <w:highlight w:val="none"/>
        </w:rPr>
      </w:pPr>
      <w:bookmarkStart w:id="127" w:name="_Toc23523"/>
      <w:r>
        <w:rPr>
          <w:rFonts w:hint="eastAsia" w:ascii="宋体" w:hAnsi="宋体" w:eastAsia="宋体"/>
          <w:sz w:val="21"/>
          <w:szCs w:val="21"/>
          <w:highlight w:val="none"/>
        </w:rPr>
        <w:t>服务管理</w:t>
      </w:r>
      <w:bookmarkEnd w:id="127"/>
    </w:p>
    <w:p w14:paraId="56C40A33">
      <w:pPr>
        <w:pStyle w:val="361"/>
        <w:ind w:firstLine="420"/>
        <w:rPr>
          <w:rFonts w:hint="eastAsia" w:ascii="宋体" w:hAnsi="宋体"/>
          <w:szCs w:val="21"/>
          <w:highlight w:val="none"/>
        </w:rPr>
      </w:pPr>
      <w:r>
        <w:rPr>
          <w:rFonts w:hint="eastAsia" w:ascii="宋体" w:hAnsi="宋体"/>
          <w:szCs w:val="21"/>
          <w:highlight w:val="none"/>
        </w:rPr>
        <w:t>数据综合查询提供了快速的查询接口开发，在服务管理模块可以针对基础服务平台配置的服务，进行查询服务的配置。对于复杂的S</w:t>
      </w:r>
      <w:r>
        <w:rPr>
          <w:rFonts w:ascii="宋体" w:hAnsi="宋体"/>
          <w:szCs w:val="21"/>
          <w:highlight w:val="none"/>
        </w:rPr>
        <w:t>QL</w:t>
      </w:r>
      <w:r>
        <w:rPr>
          <w:rFonts w:hint="eastAsia" w:ascii="宋体" w:hAnsi="宋体"/>
          <w:szCs w:val="21"/>
          <w:highlight w:val="none"/>
        </w:rPr>
        <w:t>查询数据综合查询提供多种解决方案，对于数据来源不同数据库的提供指定每个查询语法的数据源，最终汇聚输出结果。对于有先后查询顺序的需求提供主从模式，第二条S</w:t>
      </w:r>
      <w:r>
        <w:rPr>
          <w:rFonts w:ascii="宋体" w:hAnsi="宋体"/>
          <w:szCs w:val="21"/>
          <w:highlight w:val="none"/>
        </w:rPr>
        <w:t>QL</w:t>
      </w:r>
      <w:r>
        <w:rPr>
          <w:rFonts w:hint="eastAsia" w:ascii="宋体" w:hAnsi="宋体"/>
          <w:szCs w:val="21"/>
          <w:highlight w:val="none"/>
        </w:rPr>
        <w:t>语法可以使用第一条S</w:t>
      </w:r>
      <w:r>
        <w:rPr>
          <w:rFonts w:ascii="宋体" w:hAnsi="宋体"/>
          <w:szCs w:val="21"/>
          <w:highlight w:val="none"/>
        </w:rPr>
        <w:t>QL</w:t>
      </w:r>
      <w:r>
        <w:rPr>
          <w:rFonts w:hint="eastAsia" w:ascii="宋体" w:hAnsi="宋体"/>
          <w:szCs w:val="21"/>
          <w:highlight w:val="none"/>
        </w:rPr>
        <w:t>语法的查询结果。通过灵活的配置支持各种复杂的查询，使管理员能够快速的进行接口语法的配置。</w:t>
      </w:r>
    </w:p>
    <w:p w14:paraId="39C8399E">
      <w:pPr>
        <w:pStyle w:val="361"/>
        <w:ind w:firstLine="420"/>
        <w:rPr>
          <w:rFonts w:hint="eastAsia" w:ascii="宋体" w:hAnsi="宋体"/>
          <w:szCs w:val="21"/>
          <w:highlight w:val="none"/>
        </w:rPr>
      </w:pPr>
      <w:r>
        <w:rPr>
          <w:rFonts w:hint="eastAsia" w:ascii="宋体" w:hAnsi="宋体"/>
          <w:szCs w:val="21"/>
          <w:highlight w:val="none"/>
        </w:rPr>
        <w:t>数据综合查询系统提供对查询结果的格式进行个性化制定，在结果集配置中提供</w:t>
      </w:r>
      <w:r>
        <w:rPr>
          <w:rFonts w:ascii="宋体" w:hAnsi="宋体"/>
          <w:szCs w:val="21"/>
          <w:highlight w:val="none"/>
        </w:rPr>
        <w:t>XSLT</w:t>
      </w:r>
      <w:r>
        <w:rPr>
          <w:rFonts w:hint="eastAsia" w:ascii="宋体" w:hAnsi="宋体"/>
          <w:szCs w:val="21"/>
          <w:highlight w:val="none"/>
        </w:rPr>
        <w:t>和</w:t>
      </w:r>
      <w:r>
        <w:rPr>
          <w:rFonts w:ascii="宋体" w:hAnsi="宋体"/>
          <w:szCs w:val="21"/>
          <w:highlight w:val="none"/>
        </w:rPr>
        <w:t>F</w:t>
      </w:r>
      <w:r>
        <w:rPr>
          <w:rFonts w:hint="eastAsia" w:ascii="宋体" w:hAnsi="宋体"/>
          <w:szCs w:val="21"/>
          <w:highlight w:val="none"/>
        </w:rPr>
        <w:t>ree</w:t>
      </w:r>
      <w:r>
        <w:rPr>
          <w:rFonts w:ascii="宋体" w:hAnsi="宋体"/>
          <w:szCs w:val="21"/>
          <w:highlight w:val="none"/>
        </w:rPr>
        <w:t>M</w:t>
      </w:r>
      <w:r>
        <w:rPr>
          <w:rFonts w:hint="eastAsia" w:ascii="宋体" w:hAnsi="宋体"/>
          <w:szCs w:val="21"/>
          <w:highlight w:val="none"/>
        </w:rPr>
        <w:t>arker两种模板，支持X</w:t>
      </w:r>
      <w:r>
        <w:rPr>
          <w:rFonts w:ascii="宋体" w:hAnsi="宋体"/>
          <w:szCs w:val="21"/>
          <w:highlight w:val="none"/>
        </w:rPr>
        <w:t>ML</w:t>
      </w:r>
      <w:r>
        <w:rPr>
          <w:rFonts w:hint="eastAsia" w:ascii="宋体" w:hAnsi="宋体"/>
          <w:szCs w:val="21"/>
          <w:highlight w:val="none"/>
        </w:rPr>
        <w:t>、H</w:t>
      </w:r>
      <w:r>
        <w:rPr>
          <w:rFonts w:ascii="宋体" w:hAnsi="宋体"/>
          <w:szCs w:val="21"/>
          <w:highlight w:val="none"/>
        </w:rPr>
        <w:t>L7V2</w:t>
      </w:r>
      <w:r>
        <w:rPr>
          <w:rFonts w:hint="eastAsia" w:ascii="宋体" w:hAnsi="宋体"/>
          <w:szCs w:val="21"/>
          <w:highlight w:val="none"/>
        </w:rPr>
        <w:t>、H</w:t>
      </w:r>
      <w:r>
        <w:rPr>
          <w:rFonts w:ascii="宋体" w:hAnsi="宋体"/>
          <w:szCs w:val="21"/>
          <w:highlight w:val="none"/>
        </w:rPr>
        <w:t>L7V3</w:t>
      </w:r>
      <w:r>
        <w:rPr>
          <w:rFonts w:hint="eastAsia" w:ascii="宋体" w:hAnsi="宋体"/>
          <w:szCs w:val="21"/>
          <w:highlight w:val="none"/>
        </w:rPr>
        <w:t>、J</w:t>
      </w:r>
      <w:r>
        <w:rPr>
          <w:rFonts w:ascii="宋体" w:hAnsi="宋体"/>
          <w:szCs w:val="21"/>
          <w:highlight w:val="none"/>
        </w:rPr>
        <w:t>SON</w:t>
      </w:r>
      <w:r>
        <w:rPr>
          <w:rFonts w:hint="eastAsia" w:ascii="宋体" w:hAnsi="宋体"/>
          <w:szCs w:val="21"/>
          <w:highlight w:val="none"/>
        </w:rPr>
        <w:t>、等多种格式的输出。通过这种方式实现面对有改造困难的第三方实现快速对接。</w:t>
      </w:r>
    </w:p>
    <w:p w14:paraId="51573C3D">
      <w:pPr>
        <w:pStyle w:val="3"/>
        <w:rPr>
          <w:rFonts w:hint="eastAsia" w:ascii="宋体" w:hAnsi="宋体"/>
          <w:sz w:val="21"/>
          <w:szCs w:val="21"/>
          <w:highlight w:val="none"/>
        </w:rPr>
      </w:pPr>
      <w:bookmarkStart w:id="128" w:name="_Toc190190112"/>
      <w:r>
        <w:rPr>
          <w:rFonts w:hint="eastAsia" w:ascii="宋体" w:hAnsi="宋体"/>
          <w:sz w:val="21"/>
          <w:szCs w:val="21"/>
          <w:highlight w:val="none"/>
        </w:rPr>
        <w:t>集成引擎中间件</w:t>
      </w:r>
    </w:p>
    <w:p w14:paraId="1AAEC1D6">
      <w:pPr>
        <w:pStyle w:val="4"/>
        <w:rPr>
          <w:rFonts w:hint="eastAsia" w:ascii="宋体" w:hAnsi="宋体"/>
          <w:sz w:val="21"/>
          <w:szCs w:val="21"/>
          <w:highlight w:val="none"/>
        </w:rPr>
      </w:pPr>
      <w:r>
        <w:rPr>
          <w:rFonts w:hint="eastAsia" w:ascii="宋体" w:hAnsi="宋体"/>
          <w:sz w:val="21"/>
          <w:szCs w:val="21"/>
          <w:highlight w:val="none"/>
        </w:rPr>
        <w:t>集成引擎中间件</w:t>
      </w:r>
      <w:bookmarkEnd w:id="128"/>
    </w:p>
    <w:p w14:paraId="3D4EE1C5">
      <w:pPr>
        <w:pStyle w:val="5"/>
        <w:rPr>
          <w:rFonts w:hint="eastAsia" w:ascii="宋体" w:hAnsi="宋体" w:eastAsia="宋体"/>
          <w:sz w:val="21"/>
          <w:szCs w:val="21"/>
          <w:highlight w:val="none"/>
        </w:rPr>
      </w:pPr>
      <w:r>
        <w:rPr>
          <w:rFonts w:hint="eastAsia" w:ascii="宋体" w:hAnsi="宋体" w:eastAsia="宋体"/>
          <w:sz w:val="21"/>
          <w:szCs w:val="21"/>
          <w:highlight w:val="none"/>
        </w:rPr>
        <w:t>服务编排管理</w:t>
      </w:r>
    </w:p>
    <w:p w14:paraId="163810CB">
      <w:pPr>
        <w:rPr>
          <w:rFonts w:hint="eastAsia"/>
          <w:szCs w:val="21"/>
          <w:highlight w:val="none"/>
        </w:rPr>
      </w:pPr>
      <w:r>
        <w:rPr>
          <w:rFonts w:hint="eastAsia"/>
          <w:szCs w:val="21"/>
          <w:highlight w:val="none"/>
        </w:rPr>
        <w:t>界面全中文和可视化拖放式设计面板，使得用户可以通过直观的操作来设计和部署数据流和集成逻辑，而无需编写复杂的代码。同时会记录每个服务分配负载关系以及版本控制，实现服务的灰度发布和精细化回滚。</w:t>
      </w:r>
    </w:p>
    <w:p w14:paraId="7FE9077F">
      <w:pPr>
        <w:rPr>
          <w:rFonts w:hint="eastAsia"/>
          <w:szCs w:val="21"/>
          <w:highlight w:val="none"/>
        </w:rPr>
      </w:pPr>
      <w:r>
        <w:rPr>
          <w:rFonts w:hint="eastAsia"/>
          <w:szCs w:val="21"/>
          <w:highlight w:val="none"/>
        </w:rPr>
        <w:t>内置复用管理功能，以文件形式导入导出，实现跨项目的服务复用和共享配置，提高开发效率。</w:t>
      </w:r>
    </w:p>
    <w:p w14:paraId="29D1857B">
      <w:pPr>
        <w:pStyle w:val="5"/>
        <w:rPr>
          <w:rFonts w:hint="eastAsia" w:ascii="宋体" w:hAnsi="宋体" w:eastAsia="宋体"/>
          <w:sz w:val="21"/>
          <w:szCs w:val="21"/>
          <w:highlight w:val="none"/>
        </w:rPr>
      </w:pPr>
      <w:bookmarkStart w:id="129" w:name="_Toc165020781"/>
      <w:r>
        <w:rPr>
          <w:rFonts w:ascii="宋体" w:hAnsi="宋体" w:eastAsia="宋体"/>
          <w:sz w:val="21"/>
          <w:szCs w:val="21"/>
          <w:highlight w:val="none"/>
        </w:rPr>
        <w:t>服务日志中心</w:t>
      </w:r>
      <w:bookmarkEnd w:id="129"/>
    </w:p>
    <w:p w14:paraId="65FA7A5A">
      <w:pPr>
        <w:ind w:firstLine="480" w:firstLineChars="200"/>
        <w:rPr>
          <w:rFonts w:hint="eastAsia" w:cs="宋体"/>
          <w:color w:val="000000"/>
          <w:szCs w:val="21"/>
          <w:highlight w:val="none"/>
        </w:rPr>
      </w:pPr>
      <w:r>
        <w:rPr>
          <w:rFonts w:cs="宋体"/>
          <w:color w:val="000000"/>
          <w:szCs w:val="21"/>
          <w:highlight w:val="none"/>
        </w:rPr>
        <w:t>服务日志中心主要是对服务链路日志以及重发的数据进行统一展示，可以通过直观的操作来对数据进行筛选重发。对消息数据进行记录并且对每条数据的走向进行拆分解析，如果需要对异常日志以及区间数据进行数据重发，可以使用消息重发管理进行重发，并且在重发管理中的任务进行统一管理，形成完整闭环。</w:t>
      </w:r>
    </w:p>
    <w:p w14:paraId="5534B126">
      <w:pPr>
        <w:pStyle w:val="5"/>
        <w:rPr>
          <w:rFonts w:hint="eastAsia" w:ascii="宋体" w:hAnsi="宋体" w:eastAsia="宋体"/>
          <w:sz w:val="21"/>
          <w:szCs w:val="21"/>
          <w:highlight w:val="none"/>
        </w:rPr>
      </w:pPr>
      <w:bookmarkStart w:id="130" w:name="_Toc165020785"/>
      <w:r>
        <w:rPr>
          <w:rFonts w:ascii="宋体" w:hAnsi="宋体" w:eastAsia="宋体"/>
          <w:sz w:val="21"/>
          <w:szCs w:val="21"/>
          <w:highlight w:val="none"/>
        </w:rPr>
        <w:t>业务中心管理</w:t>
      </w:r>
      <w:bookmarkEnd w:id="130"/>
    </w:p>
    <w:p w14:paraId="617CF291">
      <w:pPr>
        <w:ind w:firstLine="480" w:firstLineChars="200"/>
        <w:rPr>
          <w:rFonts w:hint="eastAsia" w:cs="宋体"/>
          <w:color w:val="000000"/>
          <w:szCs w:val="21"/>
          <w:highlight w:val="none"/>
        </w:rPr>
      </w:pPr>
      <w:r>
        <w:rPr>
          <w:rFonts w:cs="宋体"/>
          <w:color w:val="000000"/>
          <w:szCs w:val="21"/>
          <w:highlight w:val="none"/>
        </w:rPr>
        <w:t>业务中心管理是做了一个提供可视化的数据映射面板，通过一些简单配置将一些复杂数据集中，规整成映射事件，并在需要时将其取出与相应的功能进行响应并关联，对已有或未定义的数据进行统一的授权，有效预防潜在的安全风险。</w:t>
      </w:r>
    </w:p>
    <w:p w14:paraId="117296DF">
      <w:pPr>
        <w:pStyle w:val="5"/>
        <w:rPr>
          <w:rFonts w:hint="eastAsia" w:ascii="宋体" w:hAnsi="宋体" w:eastAsia="宋体"/>
          <w:sz w:val="21"/>
          <w:szCs w:val="21"/>
          <w:highlight w:val="none"/>
        </w:rPr>
      </w:pPr>
      <w:bookmarkStart w:id="131" w:name="_Toc165020789"/>
      <w:r>
        <w:rPr>
          <w:rFonts w:ascii="宋体" w:hAnsi="宋体" w:eastAsia="宋体"/>
          <w:sz w:val="21"/>
          <w:szCs w:val="21"/>
          <w:highlight w:val="none"/>
        </w:rPr>
        <w:t>实例应用管理</w:t>
      </w:r>
      <w:bookmarkEnd w:id="131"/>
    </w:p>
    <w:p w14:paraId="74129597">
      <w:pPr>
        <w:ind w:firstLine="480" w:firstLineChars="200"/>
        <w:rPr>
          <w:rFonts w:hint="eastAsia" w:cs="宋体"/>
          <w:szCs w:val="21"/>
          <w:highlight w:val="none"/>
        </w:rPr>
      </w:pPr>
      <w:r>
        <w:rPr>
          <w:rFonts w:cs="宋体"/>
          <w:color w:val="000000"/>
          <w:szCs w:val="21"/>
          <w:highlight w:val="none"/>
        </w:rPr>
        <w:t>应用运行状态主要监控实例下各路由状态，对路由具体状态的操作。并且可以从路由维度实现路由状态监控、单个路由日志查看及按照路由所属的不同实例查看日志，帮助用户优化系统资源配置，提高系统性能。</w:t>
      </w:r>
    </w:p>
    <w:p w14:paraId="0801C4FC">
      <w:pPr>
        <w:pStyle w:val="5"/>
        <w:rPr>
          <w:rFonts w:hint="eastAsia" w:ascii="宋体" w:hAnsi="宋体" w:eastAsia="宋体"/>
          <w:sz w:val="21"/>
          <w:szCs w:val="21"/>
          <w:highlight w:val="none"/>
        </w:rPr>
      </w:pPr>
      <w:bookmarkStart w:id="132" w:name="_Toc165020793"/>
      <w:r>
        <w:rPr>
          <w:rFonts w:ascii="宋体" w:hAnsi="宋体" w:eastAsia="宋体"/>
          <w:sz w:val="21"/>
          <w:szCs w:val="21"/>
          <w:highlight w:val="none"/>
        </w:rPr>
        <w:t>服务消息引擎</w:t>
      </w:r>
      <w:bookmarkEnd w:id="132"/>
    </w:p>
    <w:p w14:paraId="46EEA63A">
      <w:pPr>
        <w:ind w:firstLine="480" w:firstLineChars="200"/>
        <w:rPr>
          <w:rFonts w:hint="eastAsia"/>
          <w:color w:val="000000"/>
          <w:szCs w:val="21"/>
          <w:highlight w:val="none"/>
        </w:rPr>
      </w:pPr>
      <w:r>
        <w:rPr>
          <w:rFonts w:cs="宋体"/>
          <w:color w:val="000000"/>
          <w:szCs w:val="21"/>
          <w:highlight w:val="none"/>
        </w:rPr>
        <w:t>服务消息引擎可以通过不同的服务路由、消息流转调用时间进行过滤获取对应的消息上下文；对获取上下文的数据，可以进行智能处理，以编排链路的形式、可视化完整的还原每次服务流程的日志，每个路由节点都能够查看对应流程中经过该节点的各项消息数据，便于每次服务流程的问题排查，及基于日志的信息批量快速注入</w:t>
      </w:r>
      <w:r>
        <w:rPr>
          <w:color w:val="000000"/>
          <w:szCs w:val="21"/>
          <w:highlight w:val="none"/>
        </w:rPr>
        <w:t>。</w:t>
      </w:r>
    </w:p>
    <w:p w14:paraId="4C6BDF21">
      <w:pPr>
        <w:pStyle w:val="5"/>
        <w:rPr>
          <w:rFonts w:hint="eastAsia" w:ascii="宋体" w:hAnsi="宋体" w:eastAsia="宋体"/>
          <w:sz w:val="21"/>
          <w:szCs w:val="21"/>
          <w:highlight w:val="none"/>
        </w:rPr>
      </w:pPr>
      <w:bookmarkStart w:id="133" w:name="_Toc165020795"/>
      <w:r>
        <w:rPr>
          <w:rFonts w:ascii="宋体" w:hAnsi="宋体" w:eastAsia="宋体"/>
          <w:sz w:val="21"/>
          <w:szCs w:val="21"/>
          <w:highlight w:val="none"/>
        </w:rPr>
        <w:t>项目管理</w:t>
      </w:r>
      <w:bookmarkEnd w:id="133"/>
    </w:p>
    <w:p w14:paraId="615BC995">
      <w:pPr>
        <w:ind w:firstLine="480" w:firstLineChars="200"/>
        <w:rPr>
          <w:rFonts w:hint="eastAsia"/>
          <w:szCs w:val="21"/>
          <w:highlight w:val="none"/>
        </w:rPr>
      </w:pPr>
      <w:r>
        <w:rPr>
          <w:szCs w:val="21"/>
          <w:highlight w:val="none"/>
        </w:rPr>
        <w:tab/>
      </w:r>
      <w:r>
        <w:rPr>
          <w:rFonts w:cs="宋体"/>
          <w:color w:val="000000"/>
          <w:szCs w:val="21"/>
          <w:highlight w:val="none"/>
        </w:rPr>
        <w:t>项目管理是实现对项目中的业务进行统一管理，维护项目字典，规划项目区块，针对业务对区块进行整理、归集，这样方便用户在使用过程中可以通过业务找到对应的数据，便于管理以及维护。</w:t>
      </w:r>
    </w:p>
    <w:p w14:paraId="195135BE">
      <w:pPr>
        <w:pStyle w:val="5"/>
        <w:rPr>
          <w:rFonts w:hint="eastAsia" w:ascii="宋体" w:hAnsi="宋体" w:eastAsia="宋体"/>
          <w:sz w:val="21"/>
          <w:szCs w:val="21"/>
          <w:highlight w:val="none"/>
        </w:rPr>
      </w:pPr>
      <w:bookmarkStart w:id="134" w:name="_Toc165020796"/>
      <w:r>
        <w:rPr>
          <w:rFonts w:ascii="宋体" w:hAnsi="宋体" w:eastAsia="宋体"/>
          <w:sz w:val="21"/>
          <w:szCs w:val="21"/>
          <w:highlight w:val="none"/>
        </w:rPr>
        <w:t>服务管理</w:t>
      </w:r>
      <w:bookmarkEnd w:id="134"/>
    </w:p>
    <w:p w14:paraId="5B8780FB">
      <w:pPr>
        <w:ind w:firstLine="480" w:firstLineChars="200"/>
        <w:rPr>
          <w:rFonts w:hint="eastAsia" w:cs="宋体"/>
          <w:szCs w:val="21"/>
          <w:highlight w:val="none"/>
        </w:rPr>
      </w:pPr>
      <w:r>
        <w:rPr>
          <w:rFonts w:cs="宋体"/>
          <w:color w:val="000000"/>
          <w:szCs w:val="21"/>
          <w:highlight w:val="none"/>
        </w:rPr>
        <w:t>实现对全局环境变量的统一配置管理，配置后加载到所有引用的业务组件中，提供了一个简单的方式来访问频繁使用的数据，减少了代码的复杂性。可以避免在多个地方重复定义相同的数据，从而减少内存的使用。</w:t>
      </w:r>
    </w:p>
    <w:p w14:paraId="786BF78B">
      <w:pPr>
        <w:pStyle w:val="5"/>
        <w:rPr>
          <w:rFonts w:hint="eastAsia" w:ascii="宋体" w:hAnsi="宋体" w:eastAsia="宋体"/>
          <w:sz w:val="21"/>
          <w:szCs w:val="21"/>
          <w:highlight w:val="none"/>
        </w:rPr>
      </w:pPr>
      <w:bookmarkStart w:id="135" w:name="_Toc165020798"/>
      <w:r>
        <w:rPr>
          <w:rFonts w:ascii="宋体" w:hAnsi="宋体" w:eastAsia="宋体"/>
          <w:sz w:val="21"/>
          <w:szCs w:val="21"/>
          <w:highlight w:val="none"/>
        </w:rPr>
        <w:t>数据源管理</w:t>
      </w:r>
      <w:bookmarkEnd w:id="135"/>
    </w:p>
    <w:p w14:paraId="610491F2">
      <w:pPr>
        <w:ind w:firstLine="480" w:firstLineChars="200"/>
        <w:rPr>
          <w:rFonts w:hint="eastAsia" w:cs="宋体"/>
          <w:szCs w:val="21"/>
          <w:highlight w:val="none"/>
        </w:rPr>
      </w:pPr>
      <w:r>
        <w:rPr>
          <w:rFonts w:cs="宋体"/>
          <w:color w:val="000000"/>
          <w:szCs w:val="21"/>
          <w:highlight w:val="none"/>
        </w:rPr>
        <w:t>可以支持如：oracle，mysql，sqlserver、redis、kafka、es、达梦等主流数据库的连接配置，对数据源的识别、配置和维护，确保数据的可用性、一致性和安全性。通过有效的数据源管理，可以确保数据的质量和可靠性，提高系统的整体性能和稳定性，同时降低运营风险。</w:t>
      </w:r>
    </w:p>
    <w:p w14:paraId="075FD3E6">
      <w:pPr>
        <w:pStyle w:val="5"/>
        <w:rPr>
          <w:rFonts w:hint="eastAsia" w:ascii="宋体" w:hAnsi="宋体" w:eastAsia="宋体"/>
          <w:sz w:val="21"/>
          <w:szCs w:val="21"/>
          <w:highlight w:val="none"/>
        </w:rPr>
      </w:pPr>
      <w:bookmarkStart w:id="136" w:name="_Toc165020800"/>
      <w:r>
        <w:rPr>
          <w:rFonts w:ascii="宋体" w:hAnsi="宋体" w:eastAsia="宋体"/>
          <w:sz w:val="21"/>
          <w:szCs w:val="21"/>
          <w:highlight w:val="none"/>
        </w:rPr>
        <w:t>组件注册管理</w:t>
      </w:r>
      <w:bookmarkEnd w:id="136"/>
    </w:p>
    <w:p w14:paraId="0250D003">
      <w:pPr>
        <w:ind w:firstLine="480" w:firstLineChars="200"/>
        <w:rPr>
          <w:rFonts w:hint="eastAsia" w:cs="宋体"/>
          <w:color w:val="000000"/>
          <w:szCs w:val="21"/>
          <w:highlight w:val="none"/>
        </w:rPr>
      </w:pPr>
      <w:r>
        <w:rPr>
          <w:rFonts w:cs="宋体"/>
          <w:color w:val="000000"/>
          <w:szCs w:val="21"/>
          <w:highlight w:val="none"/>
        </w:rPr>
        <w:t>实现丰富多样的组在组件注册中心快速注册、表单生成、应用生效，它基于骆驼丰富组件库支持大量的协议组件：http、webservice、oracle、mysql、sqlserver、es、redis、kafka、ftp、email、socket、websocket、tcp等等大于80种以上的协议支持，它与其他软件相比优势在于：除了大量骆驼组件外，还支持各式各样的国产组件，比如，达梦数据库组件、国密算法组件、阿里rocketMq组件等等。较好的契合了国家发布的国产化标准。</w:t>
      </w:r>
    </w:p>
    <w:p w14:paraId="7148B211">
      <w:pPr>
        <w:pStyle w:val="5"/>
        <w:rPr>
          <w:rFonts w:hint="eastAsia" w:ascii="宋体" w:hAnsi="宋体" w:eastAsia="宋体"/>
          <w:sz w:val="21"/>
          <w:szCs w:val="21"/>
          <w:highlight w:val="none"/>
        </w:rPr>
      </w:pPr>
      <w:bookmarkStart w:id="137" w:name="_Toc165020802"/>
      <w:r>
        <w:rPr>
          <w:rFonts w:ascii="宋体" w:hAnsi="宋体" w:eastAsia="宋体"/>
          <w:sz w:val="21"/>
          <w:szCs w:val="21"/>
          <w:highlight w:val="none"/>
        </w:rPr>
        <w:t>系统知识管理</w:t>
      </w:r>
      <w:bookmarkEnd w:id="137"/>
    </w:p>
    <w:p w14:paraId="0CE4321D">
      <w:pPr>
        <w:ind w:firstLine="480" w:firstLineChars="200"/>
        <w:rPr>
          <w:rFonts w:hint="eastAsia" w:cs="宋体"/>
          <w:color w:val="000000"/>
          <w:szCs w:val="21"/>
          <w:highlight w:val="none"/>
        </w:rPr>
      </w:pPr>
      <w:r>
        <w:rPr>
          <w:rFonts w:cs="宋体"/>
          <w:color w:val="000000"/>
          <w:szCs w:val="21"/>
          <w:highlight w:val="none"/>
        </w:rPr>
        <w:t>在知识沉淀方面，集成引擎中间件内嵌海量知识库，支持对脚本函数和环境参数进行整理、存储和更新的管理，提高使用者的知识水平和创新能力，降低学习成本，提高开发速度。</w:t>
      </w:r>
    </w:p>
    <w:p w14:paraId="2963375C">
      <w:pPr>
        <w:pStyle w:val="5"/>
        <w:rPr>
          <w:rFonts w:hint="eastAsia" w:ascii="宋体" w:hAnsi="宋体" w:eastAsia="宋体"/>
          <w:sz w:val="21"/>
          <w:szCs w:val="21"/>
          <w:highlight w:val="none"/>
        </w:rPr>
      </w:pPr>
      <w:bookmarkStart w:id="138" w:name="_Toc165020805"/>
      <w:r>
        <w:rPr>
          <w:rFonts w:ascii="宋体" w:hAnsi="宋体" w:eastAsia="宋体"/>
          <w:sz w:val="21"/>
          <w:szCs w:val="21"/>
          <w:highlight w:val="none"/>
        </w:rPr>
        <w:t>应用系统功能</w:t>
      </w:r>
      <w:bookmarkEnd w:id="138"/>
    </w:p>
    <w:p w14:paraId="5E4FA06F">
      <w:pPr>
        <w:ind w:firstLine="480" w:firstLineChars="200"/>
        <w:rPr>
          <w:rFonts w:hint="eastAsia" w:cs="宋体"/>
          <w:color w:val="000000"/>
          <w:szCs w:val="21"/>
          <w:highlight w:val="none"/>
        </w:rPr>
      </w:pPr>
      <w:r>
        <w:rPr>
          <w:rFonts w:cs="宋体"/>
          <w:color w:val="000000"/>
          <w:szCs w:val="21"/>
          <w:highlight w:val="none"/>
        </w:rPr>
        <w:t>应用系统功能的实现对于确保企业的运营效率和安全性至关重要，拥有确保数据一致性和防止多用户冲突的机制，同时对于日志监控、审计和合规性有着良好的应用，共同支持和促进了企业的日常运营和安全保障。</w:t>
      </w:r>
    </w:p>
    <w:p w14:paraId="2FCA9E43">
      <w:pPr>
        <w:pStyle w:val="5"/>
        <w:rPr>
          <w:rFonts w:hint="eastAsia" w:ascii="宋体" w:hAnsi="宋体" w:eastAsia="宋体"/>
          <w:sz w:val="21"/>
          <w:szCs w:val="21"/>
          <w:highlight w:val="none"/>
        </w:rPr>
      </w:pPr>
      <w:bookmarkStart w:id="139" w:name="_Toc165020808"/>
      <w:r>
        <w:rPr>
          <w:rFonts w:ascii="宋体" w:hAnsi="宋体" w:eastAsia="宋体"/>
          <w:sz w:val="21"/>
          <w:szCs w:val="21"/>
          <w:highlight w:val="none"/>
        </w:rPr>
        <w:t>sentinel状态管理</w:t>
      </w:r>
      <w:bookmarkEnd w:id="139"/>
    </w:p>
    <w:p w14:paraId="0B264550">
      <w:pPr>
        <w:ind w:firstLine="480" w:firstLineChars="200"/>
        <w:rPr>
          <w:rFonts w:hint="eastAsia" w:cs="宋体"/>
          <w:szCs w:val="21"/>
          <w:highlight w:val="none"/>
        </w:rPr>
      </w:pPr>
      <w:r>
        <w:rPr>
          <w:rFonts w:cs="宋体"/>
          <w:color w:val="000000"/>
          <w:szCs w:val="21"/>
          <w:highlight w:val="none"/>
        </w:rPr>
        <w:t>Sentinel状态管理是维护服务高可用性时的状态监控、故障转移以及配置管理等功能的集合。对每次服务流程进行分析、识别故障，通过累积的数据智能启动熔断策略，保障系统的稳定。</w:t>
      </w:r>
    </w:p>
    <w:p w14:paraId="563DC0CA">
      <w:pPr>
        <w:ind w:firstLine="480" w:firstLineChars="200"/>
        <w:rPr>
          <w:rFonts w:hint="eastAsia" w:cs="宋体"/>
          <w:szCs w:val="21"/>
          <w:highlight w:val="none"/>
        </w:rPr>
      </w:pPr>
      <w:r>
        <w:rPr>
          <w:rFonts w:cs="宋体"/>
          <w:color w:val="000000"/>
          <w:szCs w:val="21"/>
          <w:highlight w:val="none"/>
        </w:rPr>
        <w:t>同时，作为分布式系统，多个进程互相合作，以提高系统的健壮性和减少误判的可能性，即使部分实例不可用，系统仍能正常工作。</w:t>
      </w:r>
    </w:p>
    <w:p w14:paraId="1A19DE1A">
      <w:pPr>
        <w:pStyle w:val="5"/>
        <w:rPr>
          <w:rFonts w:hint="eastAsia" w:ascii="宋体" w:hAnsi="宋体" w:eastAsia="宋体"/>
          <w:sz w:val="21"/>
          <w:szCs w:val="21"/>
          <w:highlight w:val="none"/>
        </w:rPr>
      </w:pPr>
      <w:bookmarkStart w:id="140" w:name="_Toc165020809"/>
      <w:r>
        <w:rPr>
          <w:rFonts w:ascii="宋体" w:hAnsi="宋体" w:eastAsia="宋体"/>
          <w:sz w:val="21"/>
          <w:szCs w:val="21"/>
          <w:highlight w:val="none"/>
        </w:rPr>
        <w:t>路由地址管理</w:t>
      </w:r>
      <w:bookmarkEnd w:id="140"/>
    </w:p>
    <w:p w14:paraId="6D6A4151">
      <w:pPr>
        <w:ind w:firstLine="480" w:firstLineChars="200"/>
        <w:rPr>
          <w:rFonts w:hint="eastAsia" w:cs="宋体"/>
          <w:szCs w:val="21"/>
          <w:highlight w:val="none"/>
        </w:rPr>
      </w:pPr>
      <w:r>
        <w:rPr>
          <w:rFonts w:cs="宋体"/>
          <w:color w:val="000000"/>
          <w:szCs w:val="21"/>
          <w:highlight w:val="none"/>
        </w:rPr>
        <w:t>路由地址管理是已配置路由的网络层地址的管理界面，具体包括生产环境和测试环境等地址的总汇，和相关路由信息以及状态的展示，方便运维人员提供和对路由健康状态的监控。</w:t>
      </w:r>
    </w:p>
    <w:p w14:paraId="2058B145">
      <w:pPr>
        <w:pStyle w:val="5"/>
        <w:rPr>
          <w:rFonts w:hint="eastAsia" w:ascii="宋体" w:hAnsi="宋体" w:eastAsia="宋体"/>
          <w:sz w:val="21"/>
          <w:szCs w:val="21"/>
          <w:highlight w:val="none"/>
        </w:rPr>
      </w:pPr>
      <w:bookmarkStart w:id="141" w:name="_Toc165020810"/>
      <w:r>
        <w:rPr>
          <w:rFonts w:ascii="宋体" w:hAnsi="宋体" w:eastAsia="宋体"/>
          <w:sz w:val="21"/>
          <w:szCs w:val="21"/>
          <w:highlight w:val="none"/>
        </w:rPr>
        <w:t>监控管理</w:t>
      </w:r>
      <w:bookmarkEnd w:id="141"/>
    </w:p>
    <w:p w14:paraId="05956CD3">
      <w:pPr>
        <w:ind w:firstLine="480" w:firstLineChars="200"/>
        <w:rPr>
          <w:rFonts w:hint="eastAsia" w:cs="宋体"/>
          <w:szCs w:val="21"/>
          <w:highlight w:val="none"/>
        </w:rPr>
      </w:pPr>
      <w:r>
        <w:rPr>
          <w:rFonts w:cs="宋体"/>
          <w:color w:val="000000"/>
          <w:szCs w:val="21"/>
          <w:highlight w:val="none"/>
        </w:rPr>
        <w:t>监控管理是确保中间件稳定运行的关键环节，监控中间件的性能指标，如响应时间、吞吐量等多方面的管理和监控整个中间件的健康运行状态，确保系统的稳定性和可靠性。做到“横向到边，纵向到底”的全方面监管分析脉络，收集和分析中间件的运行日志，为问题的定位和解决提供依据。</w:t>
      </w:r>
    </w:p>
    <w:p w14:paraId="507C9C70">
      <w:pPr>
        <w:rPr>
          <w:rFonts w:hint="eastAsia"/>
          <w:szCs w:val="21"/>
          <w:highlight w:val="none"/>
        </w:rPr>
      </w:pPr>
    </w:p>
    <w:p w14:paraId="578A60F5">
      <w:pPr>
        <w:pStyle w:val="3"/>
        <w:rPr>
          <w:rFonts w:hint="eastAsia" w:ascii="宋体" w:hAnsi="宋体"/>
          <w:sz w:val="21"/>
          <w:szCs w:val="21"/>
          <w:highlight w:val="none"/>
        </w:rPr>
      </w:pPr>
      <w:bookmarkStart w:id="142" w:name="_Toc8913"/>
      <w:r>
        <w:rPr>
          <w:rFonts w:hint="eastAsia" w:ascii="宋体" w:hAnsi="宋体"/>
          <w:sz w:val="21"/>
          <w:szCs w:val="21"/>
          <w:highlight w:val="none"/>
        </w:rPr>
        <w:t>医院决策支持系统</w:t>
      </w:r>
      <w:bookmarkEnd w:id="142"/>
    </w:p>
    <w:p w14:paraId="72B682E6">
      <w:pPr>
        <w:pStyle w:val="4"/>
        <w:rPr>
          <w:rFonts w:hint="eastAsia" w:ascii="宋体" w:hAnsi="宋体"/>
          <w:sz w:val="21"/>
          <w:szCs w:val="21"/>
          <w:highlight w:val="none"/>
        </w:rPr>
      </w:pPr>
      <w:r>
        <w:rPr>
          <w:rFonts w:hint="eastAsia" w:ascii="宋体" w:hAnsi="宋体"/>
          <w:sz w:val="21"/>
          <w:szCs w:val="21"/>
          <w:highlight w:val="none"/>
        </w:rPr>
        <w:t>数据缓存库（ODS）</w:t>
      </w:r>
    </w:p>
    <w:p w14:paraId="5EC8A0F9">
      <w:pPr>
        <w:pStyle w:val="5"/>
        <w:rPr>
          <w:rFonts w:hint="eastAsia" w:ascii="宋体" w:hAnsi="宋体" w:eastAsia="宋体"/>
          <w:sz w:val="21"/>
          <w:szCs w:val="21"/>
          <w:highlight w:val="none"/>
        </w:rPr>
      </w:pPr>
      <w:r>
        <w:rPr>
          <w:rFonts w:ascii="宋体" w:hAnsi="宋体" w:eastAsia="宋体"/>
          <w:sz w:val="21"/>
          <w:szCs w:val="21"/>
          <w:highlight w:val="none"/>
        </w:rPr>
        <w:t>数据仓库</w:t>
      </w:r>
    </w:p>
    <w:p w14:paraId="51D44E31">
      <w:pPr>
        <w:rPr>
          <w:rFonts w:hint="eastAsia"/>
          <w:szCs w:val="21"/>
          <w:highlight w:val="none"/>
        </w:rPr>
      </w:pPr>
      <w:r>
        <w:rPr>
          <w:rFonts w:hint="eastAsia"/>
          <w:szCs w:val="21"/>
          <w:highlight w:val="none"/>
        </w:rPr>
        <w:t>数据仓库是在临床数据、医院管理类数据以及财务类数据采集的基础上对各类数据进行归类整合并加以利用。按其数据的性质大致可分为三类：卫生资源信息、临床诊疗信息、卫生业务信息。其中卫生资源信息可作为卫生资源分布的基础数据；临床诊疗中与费用相关的信息可作为卫生资源消耗的基础数据；临床诊疗中的疾病数据和卫生业务信息可作为卫生资源需求的基础数据，医院的管理与决策可利用这些数据所产生的信息为相关的卫生决策进行支撑。</w:t>
      </w:r>
    </w:p>
    <w:p w14:paraId="58C8908E">
      <w:pPr>
        <w:rPr>
          <w:rFonts w:hint="eastAsia"/>
          <w:szCs w:val="21"/>
          <w:highlight w:val="none"/>
        </w:rPr>
      </w:pPr>
      <w:r>
        <w:rPr>
          <w:szCs w:val="21"/>
          <w:highlight w:val="none"/>
        </w:rPr>
        <w:t>1、数据模型设计：根据医院数据仓库系统的需求，在数据仓库模型的选择上主要采用星型和雪花型两种架构，解决不同的分析的要求。</w:t>
      </w:r>
    </w:p>
    <w:p w14:paraId="215E80DD">
      <w:pPr>
        <w:rPr>
          <w:rFonts w:hint="eastAsia"/>
          <w:szCs w:val="21"/>
          <w:highlight w:val="none"/>
        </w:rPr>
      </w:pPr>
      <w:r>
        <w:rPr>
          <w:szCs w:val="21"/>
          <w:highlight w:val="none"/>
        </w:rPr>
        <w:t>2、主体明细层：主题明细层是按业务概念组织的细节数据，对数据中心的数据进行关联组合、代码标准化等处理，未按照维度进行汇总计算，形成具有数据仓库规范的标准明细数据集。</w:t>
      </w:r>
    </w:p>
    <w:p w14:paraId="418259A1">
      <w:pPr>
        <w:rPr>
          <w:rFonts w:hint="eastAsia"/>
          <w:szCs w:val="21"/>
          <w:highlight w:val="none"/>
        </w:rPr>
      </w:pPr>
      <w:r>
        <w:rPr>
          <w:szCs w:val="21"/>
          <w:highlight w:val="none"/>
        </w:rPr>
        <w:t>3、主题汇总层：主题汇总层是对主题明细层的数据进行医院决策主题的数据进行汇总预处理,形成不同分析主题的汇总数据,减少决策分析应用的数据计算，提高分析效率。</w:t>
      </w:r>
    </w:p>
    <w:p w14:paraId="40B549EF">
      <w:pPr>
        <w:rPr>
          <w:rFonts w:hint="eastAsia"/>
          <w:szCs w:val="21"/>
          <w:highlight w:val="none"/>
        </w:rPr>
      </w:pPr>
      <w:r>
        <w:rPr>
          <w:szCs w:val="21"/>
          <w:highlight w:val="none"/>
        </w:rPr>
        <w:t>4、数据集市层：数据集市层是数据仓库提供数据服务的中间层，数据仓库的数据通过数据集市的关联、转换形成面向应用主题的数据子集。医院决策包含多种应用场景和不同的用户群体，数据集市根据特定业务进行纵横切分和数据集重组，形成不同的数据集市，从而隔离数据仓库和应用系统，保证数据仓库的规范性和合理性。</w:t>
      </w:r>
    </w:p>
    <w:p w14:paraId="05E22481">
      <w:pPr>
        <w:pStyle w:val="5"/>
        <w:rPr>
          <w:rFonts w:hint="eastAsia" w:ascii="宋体" w:hAnsi="宋体" w:eastAsia="宋体"/>
          <w:sz w:val="21"/>
          <w:szCs w:val="21"/>
          <w:highlight w:val="none"/>
        </w:rPr>
      </w:pPr>
      <w:r>
        <w:rPr>
          <w:rFonts w:hint="eastAsia" w:ascii="宋体" w:hAnsi="宋体" w:eastAsia="宋体"/>
          <w:sz w:val="21"/>
          <w:szCs w:val="21"/>
          <w:highlight w:val="none"/>
        </w:rPr>
        <w:t>数据集市</w:t>
      </w:r>
    </w:p>
    <w:p w14:paraId="4F9F11B3">
      <w:pPr>
        <w:ind w:firstLine="480" w:firstLineChars="200"/>
        <w:rPr>
          <w:rFonts w:hint="eastAsia"/>
          <w:szCs w:val="21"/>
          <w:highlight w:val="none"/>
        </w:rPr>
      </w:pPr>
      <w:r>
        <w:rPr>
          <w:rFonts w:hint="eastAsia"/>
          <w:szCs w:val="21"/>
          <w:highlight w:val="none"/>
        </w:rPr>
        <w:t>数据集市是构成专题下的细分项，是决策分析最小的展示数据单位，是经过一定的运算规则构成。其中医疗运行领域下的门诊运行主题，可由门诊人次、门诊总费用、门诊平均费用指标构成，门诊平均费用（指标值）</w:t>
      </w:r>
      <w:r>
        <w:rPr>
          <w:szCs w:val="21"/>
          <w:highlight w:val="none"/>
        </w:rPr>
        <w:t>=</w:t>
      </w:r>
      <w:r>
        <w:rPr>
          <w:rFonts w:hint="eastAsia"/>
          <w:szCs w:val="21"/>
          <w:highlight w:val="none"/>
        </w:rPr>
        <w:t>门诊总费用（资源值）</w:t>
      </w:r>
      <w:r>
        <w:rPr>
          <w:szCs w:val="21"/>
          <w:highlight w:val="none"/>
        </w:rPr>
        <w:t>/</w:t>
      </w:r>
      <w:r>
        <w:rPr>
          <w:rFonts w:hint="eastAsia"/>
          <w:szCs w:val="21"/>
          <w:highlight w:val="none"/>
        </w:rPr>
        <w:t>门诊人次（资源值）。其中资源值是数据仓库管理的最基本单位，是不可再分割的单元。资源值实际上是由操作明细数据经过抽取、清洗、转换而形成的统计数据。</w:t>
      </w:r>
    </w:p>
    <w:p w14:paraId="2476D9A5">
      <w:pPr>
        <w:rPr>
          <w:rFonts w:hint="eastAsia"/>
          <w:szCs w:val="21"/>
          <w:highlight w:val="none"/>
        </w:rPr>
      </w:pPr>
    </w:p>
    <w:p w14:paraId="7E884BB4">
      <w:pPr>
        <w:pStyle w:val="4"/>
        <w:rPr>
          <w:rFonts w:hint="eastAsia" w:ascii="宋体" w:hAnsi="宋体"/>
          <w:sz w:val="21"/>
          <w:szCs w:val="21"/>
          <w:highlight w:val="none"/>
        </w:rPr>
      </w:pPr>
      <w:r>
        <w:rPr>
          <w:rFonts w:hint="eastAsia" w:ascii="宋体" w:hAnsi="宋体"/>
          <w:sz w:val="21"/>
          <w:szCs w:val="21"/>
          <w:highlight w:val="none"/>
        </w:rPr>
        <w:t>数据ETL管理</w:t>
      </w:r>
    </w:p>
    <w:p w14:paraId="4DCD4482">
      <w:pPr>
        <w:pStyle w:val="5"/>
        <w:rPr>
          <w:rFonts w:hint="eastAsia" w:ascii="宋体" w:hAnsi="宋体" w:eastAsia="宋体"/>
          <w:sz w:val="21"/>
          <w:szCs w:val="21"/>
          <w:highlight w:val="none"/>
        </w:rPr>
      </w:pPr>
      <w:r>
        <w:rPr>
          <w:rFonts w:hint="eastAsia" w:ascii="宋体" w:hAnsi="宋体" w:eastAsia="宋体"/>
          <w:sz w:val="21"/>
          <w:szCs w:val="21"/>
          <w:highlight w:val="none"/>
        </w:rPr>
        <w:t>基础管理</w:t>
      </w:r>
    </w:p>
    <w:p w14:paraId="56C9FC7A">
      <w:pPr>
        <w:pStyle w:val="6"/>
        <w:numPr>
          <w:ilvl w:val="4"/>
          <w:numId w:val="0"/>
        </w:numPr>
        <w:ind w:left="1008" w:hanging="1008"/>
        <w:rPr>
          <w:rFonts w:hint="eastAsia" w:ascii="宋体" w:hAnsi="宋体"/>
          <w:sz w:val="21"/>
          <w:szCs w:val="21"/>
          <w:highlight w:val="none"/>
        </w:rPr>
      </w:pPr>
      <w:bookmarkStart w:id="143" w:name="_Toc15651444"/>
      <w:r>
        <w:rPr>
          <w:rFonts w:hint="eastAsia" w:ascii="宋体" w:hAnsi="宋体"/>
          <w:sz w:val="21"/>
          <w:szCs w:val="21"/>
          <w:highlight w:val="none"/>
        </w:rPr>
        <w:t>用户管理</w:t>
      </w:r>
      <w:bookmarkEnd w:id="143"/>
    </w:p>
    <w:p w14:paraId="1DE7B894">
      <w:pPr>
        <w:ind w:firstLine="480" w:firstLineChars="200"/>
        <w:rPr>
          <w:rFonts w:hint="eastAsia"/>
          <w:szCs w:val="21"/>
          <w:highlight w:val="none"/>
        </w:rPr>
      </w:pPr>
      <w:r>
        <w:rPr>
          <w:rFonts w:hint="eastAsia"/>
          <w:szCs w:val="21"/>
          <w:highlight w:val="none"/>
        </w:rPr>
        <w:t>对访问平台的相关用户管理，包括对应的机构、角色管理。主要对接入平台的相关用户进行有效管理。用户按照不同的岗位角色进行划分，并结合机构进行管理，直观有效的进行用户管理。包括管理员用户以及通过权限配置的其他不同层级的用户。管理员用户可通过登录名称和密码进行系统功能和数据的操作。一般用户根据不同层级权限进行访问。</w:t>
      </w:r>
    </w:p>
    <w:p w14:paraId="5DA0BA97">
      <w:pPr>
        <w:pStyle w:val="6"/>
        <w:numPr>
          <w:ilvl w:val="4"/>
          <w:numId w:val="0"/>
        </w:numPr>
        <w:ind w:left="1008" w:hanging="1008"/>
        <w:rPr>
          <w:rFonts w:hint="eastAsia" w:ascii="宋体" w:hAnsi="宋体"/>
          <w:sz w:val="21"/>
          <w:szCs w:val="21"/>
          <w:highlight w:val="none"/>
        </w:rPr>
      </w:pPr>
      <w:bookmarkStart w:id="144" w:name="_Toc15651445"/>
      <w:r>
        <w:rPr>
          <w:rFonts w:hint="eastAsia" w:ascii="宋体" w:hAnsi="宋体"/>
          <w:sz w:val="21"/>
          <w:szCs w:val="21"/>
          <w:highlight w:val="none"/>
        </w:rPr>
        <w:t>指标管理</w:t>
      </w:r>
      <w:bookmarkEnd w:id="144"/>
    </w:p>
    <w:p w14:paraId="7A230EDD">
      <w:pPr>
        <w:ind w:firstLine="480" w:firstLineChars="200"/>
        <w:rPr>
          <w:rFonts w:hint="eastAsia"/>
          <w:szCs w:val="21"/>
          <w:highlight w:val="none"/>
        </w:rPr>
      </w:pPr>
      <w:r>
        <w:rPr>
          <w:rFonts w:hint="eastAsia"/>
          <w:szCs w:val="21"/>
          <w:highlight w:val="none"/>
        </w:rPr>
        <w:t>指标管理，是整个系统管理的基本功能。针对用户所查阅的相关功能模块，包括实时监测、工作量相关模块的基础框架维护。以及对应仪表盘内容在后台能够进行有效管理，为系统建立起一个流程化的管理体系。另外，提供与中间件</w:t>
      </w:r>
      <w:r>
        <w:rPr>
          <w:szCs w:val="21"/>
          <w:highlight w:val="none"/>
        </w:rPr>
        <w:t>FR</w:t>
      </w:r>
      <w:r>
        <w:rPr>
          <w:rFonts w:hint="eastAsia"/>
          <w:szCs w:val="21"/>
          <w:highlight w:val="none"/>
        </w:rPr>
        <w:t>的融合应用配置相关模块化管理。除此之外，可以针对平台所采用的指标算法进行有效维护，并与具体指标进行挂钩在前台展示，方便用户对指标计算方式的理解。</w:t>
      </w:r>
    </w:p>
    <w:p w14:paraId="2DFE3696">
      <w:pPr>
        <w:pStyle w:val="6"/>
        <w:numPr>
          <w:ilvl w:val="4"/>
          <w:numId w:val="0"/>
        </w:numPr>
        <w:ind w:left="1008" w:hanging="1008"/>
        <w:rPr>
          <w:rFonts w:hint="eastAsia" w:ascii="宋体" w:hAnsi="宋体"/>
          <w:sz w:val="21"/>
          <w:szCs w:val="21"/>
          <w:highlight w:val="none"/>
        </w:rPr>
      </w:pPr>
      <w:bookmarkStart w:id="145" w:name="_Toc15651446"/>
      <w:r>
        <w:rPr>
          <w:rFonts w:hint="eastAsia" w:ascii="宋体" w:hAnsi="宋体"/>
          <w:sz w:val="21"/>
          <w:szCs w:val="21"/>
          <w:highlight w:val="none"/>
        </w:rPr>
        <w:t>权限管理</w:t>
      </w:r>
      <w:bookmarkEnd w:id="145"/>
    </w:p>
    <w:p w14:paraId="0C80ED8A">
      <w:pPr>
        <w:ind w:firstLine="480" w:firstLineChars="200"/>
        <w:rPr>
          <w:rFonts w:hint="eastAsia"/>
          <w:szCs w:val="21"/>
          <w:highlight w:val="none"/>
        </w:rPr>
      </w:pPr>
      <w:r>
        <w:rPr>
          <w:rFonts w:hint="eastAsia"/>
          <w:szCs w:val="21"/>
          <w:highlight w:val="none"/>
        </w:rPr>
        <w:t>平台的权限管理基于软件即服务（</w:t>
      </w:r>
      <w:r>
        <w:rPr>
          <w:szCs w:val="21"/>
          <w:highlight w:val="none"/>
        </w:rPr>
        <w:t>Software-as-a-Service</w:t>
      </w:r>
      <w:r>
        <w:rPr>
          <w:rFonts w:hint="eastAsia"/>
          <w:szCs w:val="21"/>
          <w:highlight w:val="none"/>
        </w:rPr>
        <w:t>，</w:t>
      </w:r>
      <w:r>
        <w:rPr>
          <w:szCs w:val="21"/>
          <w:highlight w:val="none"/>
        </w:rPr>
        <w:t>SaaS</w:t>
      </w:r>
      <w:r>
        <w:rPr>
          <w:rFonts w:hint="eastAsia"/>
          <w:szCs w:val="21"/>
          <w:highlight w:val="none"/>
        </w:rPr>
        <w:t>）的权限管理模式来设计。</w:t>
      </w:r>
      <w:r>
        <w:rPr>
          <w:szCs w:val="21"/>
          <w:highlight w:val="none"/>
        </w:rPr>
        <w:t>SaaS</w:t>
      </w:r>
      <w:r>
        <w:rPr>
          <w:rFonts w:hint="eastAsia"/>
          <w:szCs w:val="21"/>
          <w:highlight w:val="none"/>
        </w:rPr>
        <w:t>模式最为突出的特点是，在同一个实例中，不同租户之间的数据逻辑完全隔离，但物理上却统一存储。平台权限管理内容包括两部分：功能权限和数据权限。功能权限主要为不同层级的组织（用户）配置功能菜单的方式来实现功能上的控制。数据权限方面，主要通过用户所管辖的范围进行数据的访问权限的控制。</w:t>
      </w:r>
      <w:r>
        <w:rPr>
          <w:szCs w:val="21"/>
          <w:highlight w:val="none"/>
        </w:rPr>
        <w:t xml:space="preserve"> </w:t>
      </w:r>
    </w:p>
    <w:p w14:paraId="492580D4">
      <w:pPr>
        <w:pStyle w:val="6"/>
        <w:numPr>
          <w:ilvl w:val="4"/>
          <w:numId w:val="0"/>
        </w:numPr>
        <w:ind w:left="1008" w:hanging="1008"/>
        <w:rPr>
          <w:rFonts w:hint="eastAsia" w:ascii="宋体" w:hAnsi="宋体"/>
          <w:sz w:val="21"/>
          <w:szCs w:val="21"/>
          <w:highlight w:val="none"/>
        </w:rPr>
      </w:pPr>
      <w:bookmarkStart w:id="146" w:name="_Toc15651447"/>
      <w:r>
        <w:rPr>
          <w:rFonts w:hint="eastAsia" w:ascii="宋体" w:hAnsi="宋体"/>
          <w:sz w:val="21"/>
          <w:szCs w:val="21"/>
          <w:highlight w:val="none"/>
        </w:rPr>
        <w:t>指标搜索</w:t>
      </w:r>
      <w:bookmarkEnd w:id="146"/>
    </w:p>
    <w:p w14:paraId="3ECC199C">
      <w:pPr>
        <w:ind w:firstLine="480" w:firstLineChars="200"/>
        <w:rPr>
          <w:rFonts w:hint="eastAsia"/>
          <w:szCs w:val="21"/>
          <w:highlight w:val="none"/>
        </w:rPr>
      </w:pPr>
      <w:r>
        <w:rPr>
          <w:rFonts w:hint="eastAsia"/>
          <w:szCs w:val="21"/>
          <w:highlight w:val="none"/>
        </w:rPr>
        <w:t>提供平台的指标查询服务，用户可根据所查询的条件筛选指标内容。主要查询的内容包括医疗服务、基本公卫、妇幼保健、人口管理、卫生资源相关指标查询。同时，用户通过指标搜索，定位到指标所分析内容的关键信息，及时获取平台统计信息，快速查找指标相关内容。</w:t>
      </w:r>
    </w:p>
    <w:p w14:paraId="36FF5249">
      <w:pPr>
        <w:pStyle w:val="6"/>
        <w:numPr>
          <w:ilvl w:val="4"/>
          <w:numId w:val="0"/>
        </w:numPr>
        <w:ind w:left="1008" w:hanging="1008"/>
        <w:rPr>
          <w:rFonts w:hint="eastAsia" w:ascii="宋体" w:hAnsi="宋体"/>
          <w:sz w:val="21"/>
          <w:szCs w:val="21"/>
          <w:highlight w:val="none"/>
        </w:rPr>
      </w:pPr>
      <w:bookmarkStart w:id="147" w:name="_Toc15651448"/>
      <w:r>
        <w:rPr>
          <w:rFonts w:hint="eastAsia" w:ascii="宋体" w:hAnsi="宋体"/>
          <w:sz w:val="21"/>
          <w:szCs w:val="21"/>
          <w:highlight w:val="none"/>
        </w:rPr>
        <w:t>指标收藏</w:t>
      </w:r>
      <w:bookmarkEnd w:id="147"/>
    </w:p>
    <w:p w14:paraId="7C048179">
      <w:pPr>
        <w:ind w:firstLine="480" w:firstLineChars="200"/>
        <w:rPr>
          <w:rFonts w:hint="eastAsia"/>
          <w:szCs w:val="21"/>
          <w:highlight w:val="none"/>
        </w:rPr>
      </w:pPr>
      <w:r>
        <w:rPr>
          <w:rFonts w:hint="eastAsia"/>
          <w:szCs w:val="21"/>
          <w:highlight w:val="none"/>
        </w:rPr>
        <w:t>指标收藏主要指针对不同用户所关注的监管指标不同，故需要提供不同用户的日常重点指标的收藏夹，用于可以快速定位日常应用的相关指标内容。方便用户有效缩短定位指标的时间，提高监管的有效性。</w:t>
      </w:r>
    </w:p>
    <w:p w14:paraId="53E7FFAF">
      <w:pPr>
        <w:pStyle w:val="6"/>
        <w:numPr>
          <w:ilvl w:val="4"/>
          <w:numId w:val="0"/>
        </w:numPr>
        <w:ind w:left="1008" w:hanging="1008"/>
        <w:rPr>
          <w:rFonts w:hint="eastAsia" w:ascii="宋体" w:hAnsi="宋体"/>
          <w:sz w:val="21"/>
          <w:szCs w:val="21"/>
          <w:highlight w:val="none"/>
        </w:rPr>
      </w:pPr>
      <w:bookmarkStart w:id="148" w:name="_Toc15651449"/>
      <w:r>
        <w:rPr>
          <w:rFonts w:hint="eastAsia" w:ascii="宋体" w:hAnsi="宋体"/>
          <w:sz w:val="21"/>
          <w:szCs w:val="21"/>
          <w:highlight w:val="none"/>
        </w:rPr>
        <w:t>指标说明</w:t>
      </w:r>
      <w:bookmarkEnd w:id="148"/>
    </w:p>
    <w:p w14:paraId="0648B8D1">
      <w:pPr>
        <w:ind w:firstLine="480" w:firstLineChars="200"/>
        <w:rPr>
          <w:rFonts w:hint="eastAsia"/>
          <w:kern w:val="0"/>
          <w:szCs w:val="21"/>
          <w:highlight w:val="none"/>
        </w:rPr>
      </w:pPr>
      <w:r>
        <w:rPr>
          <w:rFonts w:hint="eastAsia"/>
          <w:kern w:val="0"/>
          <w:szCs w:val="21"/>
          <w:highlight w:val="none"/>
        </w:rPr>
        <w:t>在对应的指标模块，有单独的模块进行指标计算来源、计算方式相关内容的查询。</w:t>
      </w:r>
    </w:p>
    <w:p w14:paraId="2EE6CE0B">
      <w:pPr>
        <w:pStyle w:val="5"/>
        <w:numPr>
          <w:ilvl w:val="4"/>
          <w:numId w:val="0"/>
        </w:numPr>
        <w:spacing w:line="372" w:lineRule="auto"/>
        <w:ind w:left="1008" w:hanging="1008"/>
        <w:jc w:val="center"/>
        <w:rPr>
          <w:rFonts w:hint="eastAsia" w:ascii="宋体" w:hAnsi="宋体" w:eastAsia="宋体"/>
          <w:sz w:val="21"/>
          <w:szCs w:val="21"/>
          <w:highlight w:val="none"/>
        </w:rPr>
      </w:pPr>
      <w:r>
        <w:rPr>
          <w:rFonts w:hint="eastAsia" w:ascii="宋体" w:hAnsi="宋体" w:eastAsia="宋体"/>
          <w:sz w:val="21"/>
          <w:szCs w:val="21"/>
          <w:highlight w:val="none"/>
        </w:rPr>
        <w:t>实时监测</w:t>
      </w:r>
    </w:p>
    <w:p w14:paraId="677B4499">
      <w:pPr>
        <w:ind w:firstLine="480"/>
        <w:rPr>
          <w:rFonts w:hint="eastAsia"/>
          <w:szCs w:val="21"/>
          <w:highlight w:val="none"/>
        </w:rPr>
      </w:pPr>
      <w:r>
        <w:rPr>
          <w:rFonts w:hint="eastAsia"/>
          <w:szCs w:val="21"/>
          <w:highlight w:val="none"/>
        </w:rPr>
        <w:t>该模块主要以5分钟/次的刷新频率从医院基本运营方向进行在线实时监管，并可以根据不同的指标下钻到科室级别。</w:t>
      </w:r>
    </w:p>
    <w:p w14:paraId="7F03A228">
      <w:pPr>
        <w:ind w:firstLine="480"/>
        <w:rPr>
          <w:rFonts w:hint="eastAsia"/>
          <w:szCs w:val="21"/>
          <w:highlight w:val="none"/>
        </w:rPr>
      </w:pPr>
      <w:r>
        <w:rPr>
          <w:rFonts w:hint="eastAsia"/>
          <w:szCs w:val="21"/>
          <w:highlight w:val="none"/>
        </w:rPr>
        <w:t>主要包括以下内容:</w:t>
      </w:r>
    </w:p>
    <w:p w14:paraId="4970CD0B">
      <w:pPr>
        <w:ind w:firstLine="482"/>
        <w:rPr>
          <w:rFonts w:hint="eastAsia"/>
          <w:szCs w:val="21"/>
          <w:highlight w:val="none"/>
        </w:rPr>
      </w:pPr>
      <w:r>
        <w:rPr>
          <w:rFonts w:hint="eastAsia"/>
          <w:b/>
          <w:szCs w:val="21"/>
          <w:highlight w:val="none"/>
        </w:rPr>
        <w:t>门诊</w:t>
      </w:r>
      <w:r>
        <w:rPr>
          <w:rFonts w:hint="eastAsia"/>
          <w:szCs w:val="21"/>
          <w:highlight w:val="none"/>
        </w:rPr>
        <w:t>:包括门急诊量、急诊人次、门急诊均次费用、门诊预缴金、门诊候诊比例、无排班就诊人次、排班就诊人次、候诊人次、平均候诊时长、医生人数、各个诊室医生候诊情况、预约人次、预约就诊人次、预约就诊率、各预约途径的预约就诊人次、各科室预约就诊情况、以及每小时门诊量情况、当日门诊量排行前20的疾病；主要通过这些指标判定当前急诊医患比情况，候诊是否出现滞留，是否需要增加部分人力投入。</w:t>
      </w:r>
    </w:p>
    <w:p w14:paraId="07770A39">
      <w:pPr>
        <w:ind w:firstLine="482"/>
        <w:rPr>
          <w:rFonts w:hint="eastAsia"/>
          <w:szCs w:val="21"/>
          <w:highlight w:val="none"/>
        </w:rPr>
      </w:pPr>
      <w:r>
        <w:rPr>
          <w:rFonts w:hint="eastAsia"/>
          <w:b/>
          <w:szCs w:val="21"/>
          <w:highlight w:val="none"/>
        </w:rPr>
        <w:t>住院</w:t>
      </w:r>
      <w:r>
        <w:rPr>
          <w:rFonts w:hint="eastAsia"/>
          <w:szCs w:val="21"/>
          <w:highlight w:val="none"/>
        </w:rPr>
        <w:t>：包括入院人数、出院人数、现有病人数、危重病人数、住院预缴金、出院患者均次费用、普通住院、急诊住院；主要通过这些指标判定目前是否还有很多患者正等待入院，病房的使用情况是否紧张，办理出院结算的时间是否过长，是否需要进行办理人员的投入。</w:t>
      </w:r>
    </w:p>
    <w:p w14:paraId="7CCFDD68">
      <w:pPr>
        <w:ind w:firstLine="482"/>
        <w:rPr>
          <w:rFonts w:hint="eastAsia"/>
          <w:szCs w:val="21"/>
          <w:highlight w:val="none"/>
        </w:rPr>
      </w:pPr>
      <w:r>
        <w:rPr>
          <w:rFonts w:hint="eastAsia"/>
          <w:b/>
          <w:szCs w:val="21"/>
          <w:highlight w:val="none"/>
        </w:rPr>
        <w:t>手术：</w:t>
      </w:r>
      <w:r>
        <w:rPr>
          <w:rFonts w:hint="eastAsia"/>
          <w:szCs w:val="21"/>
          <w:highlight w:val="none"/>
        </w:rPr>
        <w:t>包括住院手术排台数、完成手术台次、术前准备人次、待手术人次，各手术间的手术情况；主要通过这些指标判断手术排台的合理情况、手术间是否充分利用。</w:t>
      </w:r>
    </w:p>
    <w:p w14:paraId="4D6DE188">
      <w:pPr>
        <w:rPr>
          <w:rFonts w:hint="eastAsia"/>
          <w:szCs w:val="21"/>
          <w:highlight w:val="none"/>
        </w:rPr>
      </w:pPr>
      <w:r>
        <w:rPr>
          <w:rFonts w:hint="eastAsia"/>
          <w:b/>
          <w:szCs w:val="21"/>
          <w:highlight w:val="none"/>
        </w:rPr>
        <w:t>医技：</w:t>
      </w:r>
      <w:r>
        <w:rPr>
          <w:rFonts w:hint="eastAsia"/>
          <w:szCs w:val="21"/>
          <w:highlight w:val="none"/>
        </w:rPr>
        <w:t>包括完成检查人次、待检查人次、今日开单人次、完成检验人次、体检检验人次、今日已开单人次、各检查项目待检查与开单情况、各项检验项目开单与待检验情况；主要通过这些指标判断待检情况，以及当日开单工作量。</w:t>
      </w:r>
    </w:p>
    <w:p w14:paraId="0B71F6E6">
      <w:pPr>
        <w:pStyle w:val="5"/>
        <w:rPr>
          <w:rFonts w:hint="eastAsia" w:ascii="宋体" w:hAnsi="宋体" w:eastAsia="宋体"/>
          <w:sz w:val="21"/>
          <w:szCs w:val="21"/>
          <w:highlight w:val="none"/>
        </w:rPr>
      </w:pPr>
      <w:r>
        <w:rPr>
          <w:rFonts w:hint="eastAsia" w:ascii="宋体" w:hAnsi="宋体" w:eastAsia="宋体"/>
          <w:sz w:val="21"/>
          <w:szCs w:val="21"/>
          <w:highlight w:val="none"/>
        </w:rPr>
        <w:t>工作量分析</w:t>
      </w:r>
    </w:p>
    <w:p w14:paraId="2E199CE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主题-门诊实时监测</w:t>
      </w:r>
    </w:p>
    <w:p w14:paraId="27A4874F">
      <w:pPr>
        <w:rPr>
          <w:rFonts w:hint="eastAsia"/>
          <w:szCs w:val="21"/>
          <w:highlight w:val="none"/>
        </w:rPr>
      </w:pPr>
      <w:r>
        <w:rPr>
          <w:rFonts w:hint="eastAsia"/>
          <w:szCs w:val="21"/>
          <w:highlight w:val="none"/>
        </w:rPr>
        <w:t>门诊实时监测包括门诊就诊人次监测、门诊费用收入监测、门诊预约候诊监测、门诊诊断疾病监测；主要通过这些监测模块下的具体指标判定当前门急诊医患比情况，预约候诊是否出现滞留，是否需要增加部分人力投入。</w:t>
      </w:r>
    </w:p>
    <w:p w14:paraId="6DE7A92E">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门诊就诊人次监测</w:t>
      </w:r>
    </w:p>
    <w:p w14:paraId="6B522E7D">
      <w:pPr>
        <w:rPr>
          <w:rFonts w:hint="eastAsia"/>
          <w:szCs w:val="21"/>
          <w:highlight w:val="none"/>
        </w:rPr>
      </w:pPr>
      <w:r>
        <w:rPr>
          <w:rFonts w:hint="eastAsia"/>
          <w:szCs w:val="21"/>
          <w:highlight w:val="none"/>
        </w:rPr>
        <w:t>门诊就诊人次监测患者到医院进行非住院治疗的人次数，是门诊、急诊人次数之和。通过具体数值展示实现对门急诊量、门诊人次、急诊人次、按挂号类别门急诊人次指标的实时监测，更好的分配医疗资源，满足患者的就医需求。</w:t>
      </w:r>
    </w:p>
    <w:p w14:paraId="4ACE5716">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门诊费用收入监测</w:t>
      </w:r>
    </w:p>
    <w:p w14:paraId="68EFD390">
      <w:pPr>
        <w:rPr>
          <w:rFonts w:hint="eastAsia"/>
          <w:szCs w:val="21"/>
          <w:highlight w:val="none"/>
        </w:rPr>
      </w:pPr>
      <w:r>
        <w:rPr>
          <w:rFonts w:hint="eastAsia"/>
          <w:szCs w:val="21"/>
          <w:highlight w:val="none"/>
        </w:rPr>
        <w:t>通过门诊费用收入监测，包括可以进行下钻查看各科室的日常门诊收入情况，实时了解全院不同维度的门诊收入情况。通过具体数值对门诊次均费用、门急诊收入指标进行实时监测，确保门诊费用收入监测效果显著。</w:t>
      </w:r>
    </w:p>
    <w:p w14:paraId="53941CB8">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门诊预约候诊监测</w:t>
      </w:r>
    </w:p>
    <w:p w14:paraId="741E9DC6">
      <w:pPr>
        <w:rPr>
          <w:rFonts w:hint="eastAsia"/>
          <w:szCs w:val="21"/>
          <w:highlight w:val="none"/>
        </w:rPr>
      </w:pPr>
      <w:r>
        <w:rPr>
          <w:rFonts w:hint="eastAsia"/>
          <w:szCs w:val="21"/>
          <w:highlight w:val="none"/>
        </w:rPr>
        <w:t>为方便患者挂号，节省患者的候诊时间</w:t>
      </w:r>
      <w:r>
        <w:rPr>
          <w:szCs w:val="21"/>
          <w:highlight w:val="none"/>
        </w:rPr>
        <w:t>,提升服务水平，优化服务流程，改善就诊秩序，构建和谐医患关系，通过对预约人次、预约就诊人次、预约失诊人次、现场排队人次、预约就诊率、预约失诊率、候诊比例、候诊人次、平均候诊时长、医生人数、 医生准点率指标进行监测，实现医院预约挂号资源合理分配，完善医院预约诊疗制度。</w:t>
      </w:r>
    </w:p>
    <w:p w14:paraId="5597BA73">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门诊诊断疾病监测</w:t>
      </w:r>
    </w:p>
    <w:p w14:paraId="38D8C1FE">
      <w:pPr>
        <w:rPr>
          <w:rFonts w:hint="eastAsia"/>
          <w:szCs w:val="21"/>
          <w:highlight w:val="none"/>
        </w:rPr>
      </w:pPr>
      <w:r>
        <w:rPr>
          <w:rFonts w:hint="eastAsia"/>
          <w:szCs w:val="21"/>
          <w:highlight w:val="none"/>
        </w:rPr>
        <w:t>门诊诊断疾病监测主要包括门急诊人次诊断疾病按诊断排行前十进行监测，以柱状图表的形式对以上指标进行实时监测，通过疾病排行的变化情况，有效快速的发现潜在的突发性疾病，并能够进行提早有效干预，完善医院诊疗服务相关措施。</w:t>
      </w:r>
    </w:p>
    <w:p w14:paraId="6E96FC8C">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主题</w:t>
      </w:r>
      <w:r>
        <w:rPr>
          <w:rFonts w:ascii="宋体" w:hAnsi="宋体"/>
          <w:sz w:val="21"/>
          <w:szCs w:val="21"/>
          <w:highlight w:val="none"/>
        </w:rPr>
        <w:t>-住院实时监测</w:t>
      </w:r>
    </w:p>
    <w:p w14:paraId="31636771">
      <w:pPr>
        <w:rPr>
          <w:rFonts w:hint="eastAsia"/>
          <w:szCs w:val="21"/>
          <w:highlight w:val="none"/>
        </w:rPr>
      </w:pPr>
      <w:r>
        <w:rPr>
          <w:rFonts w:hint="eastAsia"/>
          <w:szCs w:val="21"/>
          <w:highlight w:val="none"/>
        </w:rPr>
        <w:t>住院实时监测包括住院患者人次监测、住院费用收入监测、住院科室床位监测；主要通过这些指标判定目前是否还有很多患者等待入院，病房的使用情况是否紧张，办理出院结算的时间是否过长，以及是否需要增加医院办理人员的投入。</w:t>
      </w:r>
    </w:p>
    <w:p w14:paraId="4D843922">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主题-工作量分析</w:t>
      </w:r>
    </w:p>
    <w:p w14:paraId="6490BA72">
      <w:pPr>
        <w:rPr>
          <w:rFonts w:hint="eastAsia"/>
          <w:szCs w:val="21"/>
          <w:highlight w:val="none"/>
        </w:rPr>
      </w:pPr>
      <w:r>
        <w:rPr>
          <w:rFonts w:hint="eastAsia"/>
          <w:szCs w:val="21"/>
          <w:highlight w:val="none"/>
        </w:rPr>
        <w:t>门诊工作量分析：主要以饼图、曲线图、趋势图等不同的方式对全院门急诊工作量进行同环比分析、科室排行及门急诊病人构成情况</w:t>
      </w:r>
      <w:r>
        <w:rPr>
          <w:szCs w:val="21"/>
          <w:highlight w:val="none"/>
        </w:rPr>
        <w:t>,了解全院门急诊工作量总况。主要包括门急诊人次分析、门急诊诊断排行分析、门急诊挂号类型分析、门急诊预约候诊分析、门急诊病人组成分析。用户可以自行通过时间维度自定义组合查询不同科室的门诊预约就诊率及平均候诊趋势分析，实现关键指标从全院到科室的层级下钻分析。</w:t>
      </w:r>
    </w:p>
    <w:p w14:paraId="1F4D933D">
      <w:pPr>
        <w:rPr>
          <w:rFonts w:hint="eastAsia"/>
          <w:szCs w:val="21"/>
          <w:highlight w:val="none"/>
        </w:rPr>
      </w:pPr>
      <w:r>
        <w:rPr>
          <w:rFonts w:hint="eastAsia"/>
          <w:szCs w:val="21"/>
          <w:highlight w:val="none"/>
        </w:rPr>
        <w:t>住院工作量分析：主要以饼图、曲线图、趋势图等不同的方式对全院住院工作量进行同环比分析、科室排行情况</w:t>
      </w:r>
      <w:r>
        <w:rPr>
          <w:szCs w:val="21"/>
          <w:highlight w:val="none"/>
        </w:rPr>
        <w:t>,了解全院住院工作量总况。主要包括出院人次数分析、入院人次数分析、出院诊断排行分析、自动出院率分析、病种出院人次分析。用户可以自行通过时间维度自定义组合查询不同科室的出院诊断排行、自动出院率月趋势以及疾病患者疾病转归分析，实现关键指标从全院到科室的层级下钻分析。</w:t>
      </w:r>
    </w:p>
    <w:p w14:paraId="7E164D3E">
      <w:pPr>
        <w:rPr>
          <w:rFonts w:hint="eastAsia"/>
          <w:szCs w:val="21"/>
          <w:highlight w:val="none"/>
        </w:rPr>
      </w:pPr>
      <w:r>
        <w:rPr>
          <w:rFonts w:hint="eastAsia"/>
          <w:szCs w:val="21"/>
          <w:highlight w:val="none"/>
        </w:rPr>
        <w:t>手术工作量分析：主要以饼图、曲线图、趋势图等不同的方式对全院住院手术进行同环比分析、目标达成情况、科室排行情况</w:t>
      </w:r>
      <w:r>
        <w:rPr>
          <w:szCs w:val="21"/>
          <w:highlight w:val="none"/>
        </w:rPr>
        <w:t>,了解全院住院手术分析情况，并实现关键指标从全院到科室的层级下钻分析。主要从住院手术台数分析、三四级手术比例分析、住院手术排行分析、I类手术切口占比分析、手术间利用率分析维度了解手术分布及趋势情况，配合联动、下钻功能，层层深入分析，掌握全院及各科室的住院手术分析情况。</w:t>
      </w:r>
    </w:p>
    <w:p w14:paraId="389E4BAB">
      <w:pPr>
        <w:rPr>
          <w:rFonts w:hint="eastAsia"/>
          <w:szCs w:val="21"/>
          <w:highlight w:val="none"/>
        </w:rPr>
      </w:pPr>
      <w:r>
        <w:rPr>
          <w:rFonts w:hint="eastAsia"/>
          <w:szCs w:val="21"/>
          <w:highlight w:val="none"/>
        </w:rPr>
        <w:t>医技工作量分析：分别以柱状图、饼图、曲线图等不同的方式展示全院检查、检验工作情况、检查项目收入、平均检查收入、医师人均检查量指标进行分析</w:t>
      </w:r>
      <w:r>
        <w:rPr>
          <w:szCs w:val="21"/>
          <w:highlight w:val="none"/>
        </w:rPr>
        <w:t>,对各类型检查、检验项目进行TOP分析，了解全院的检查工作量情况，并实现关键指标从全院到科室再到医生的层级下钻分析。</w:t>
      </w:r>
    </w:p>
    <w:p w14:paraId="2BC9BA9C">
      <w:pPr>
        <w:pStyle w:val="5"/>
        <w:rPr>
          <w:rFonts w:hint="eastAsia" w:ascii="宋体" w:hAnsi="宋体" w:eastAsia="宋体"/>
          <w:sz w:val="21"/>
          <w:szCs w:val="21"/>
          <w:highlight w:val="none"/>
        </w:rPr>
      </w:pPr>
      <w:r>
        <w:rPr>
          <w:rFonts w:hint="eastAsia" w:ascii="宋体" w:hAnsi="宋体" w:eastAsia="宋体"/>
          <w:sz w:val="21"/>
          <w:szCs w:val="21"/>
          <w:highlight w:val="none"/>
        </w:rPr>
        <w:t>卫生经济分析</w:t>
      </w:r>
    </w:p>
    <w:p w14:paraId="7508C431">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主题-医疗收入分析</w:t>
      </w:r>
    </w:p>
    <w:p w14:paraId="6C5B7D9D">
      <w:pPr>
        <w:rPr>
          <w:rFonts w:hint="eastAsia"/>
          <w:szCs w:val="21"/>
          <w:highlight w:val="none"/>
        </w:rPr>
      </w:pPr>
      <w:r>
        <w:rPr>
          <w:rFonts w:hint="eastAsia"/>
          <w:szCs w:val="21"/>
          <w:highlight w:val="none"/>
        </w:rPr>
        <w:t>收入结构分析：主要以饼图、曲线图、趋势图等不同的方式对全院医疗收入进行同环比分析、目标达成情况、科室排行及医疗收入构成情况</w:t>
      </w:r>
      <w:r>
        <w:rPr>
          <w:szCs w:val="21"/>
          <w:highlight w:val="none"/>
        </w:rPr>
        <w:t>,了解全院医疗收入情况，并实现关键指标从全院到科室的层级下钻分析。另外，提供了医疗收入增长率的自助分析功能，主要从医疗收入占比出发，用户可以自行通过时间维度、收入构成、医院片区、业务领域维度自定义组合查询各科室医疗收入构成占比情况。</w:t>
      </w:r>
    </w:p>
    <w:p w14:paraId="0CEEECF2">
      <w:pPr>
        <w:rPr>
          <w:rFonts w:hint="eastAsia"/>
          <w:szCs w:val="21"/>
          <w:highlight w:val="none"/>
        </w:rPr>
      </w:pPr>
      <w:r>
        <w:rPr>
          <w:rFonts w:hint="eastAsia"/>
          <w:szCs w:val="21"/>
          <w:highlight w:val="none"/>
        </w:rPr>
        <w:t>药品收入分析：主要以饼图、曲线图、趋势图等不同的方式对药品收入情况进行同环比分析、目标达成情况、科室排行情况，从收入角度分析药耗占比、卫生材料占比合理性情况，并实现关键指标从全院到科室的层级下钻分析，辅助医院规范临床用药行为，提高药品质量。</w:t>
      </w:r>
    </w:p>
    <w:p w14:paraId="4504AB99">
      <w:pPr>
        <w:rPr>
          <w:rFonts w:hint="eastAsia"/>
          <w:szCs w:val="21"/>
          <w:highlight w:val="none"/>
        </w:rPr>
      </w:pPr>
      <w:r>
        <w:rPr>
          <w:rFonts w:hint="eastAsia"/>
          <w:szCs w:val="21"/>
          <w:highlight w:val="none"/>
        </w:rPr>
        <w:t>次均费用分析：主要以饼图、曲线图、趋势图等不同的方式进行同环比分析、科室排行情况，并实现关键指标从全院到科室的层级下钻分析。主要从门诊、住院费用维度分析患者医疗费用负担水平。配合联动、下钻功能，层层深入分析，掌握全院及各科室的患者医疗费用负担情况。</w:t>
      </w:r>
    </w:p>
    <w:p w14:paraId="5F37E273">
      <w:pPr>
        <w:rPr>
          <w:rFonts w:hint="eastAsia"/>
          <w:szCs w:val="21"/>
          <w:highlight w:val="none"/>
        </w:rPr>
      </w:pPr>
      <w:r>
        <w:rPr>
          <w:rFonts w:hint="eastAsia"/>
          <w:szCs w:val="21"/>
          <w:highlight w:val="none"/>
        </w:rPr>
        <w:t>工作效率分析：主要以饼图、曲线图、趋势图等不同的方式对工作效率情况进行同环比分析、目标达成情况、科室排行情况，从门诊、住院、床位、手术等角度分析评级每医生门诊人次、平均每医生出院人次、病床周转次、病床使用率、平均住院天数、日间手术率等情况。并实现关键指标从全院到科室的层级下钻分析，辅助医院合理分配医疗资源，提高医院工作效率。</w:t>
      </w:r>
    </w:p>
    <w:p w14:paraId="7DF735C2">
      <w:pPr>
        <w:pStyle w:val="5"/>
        <w:rPr>
          <w:rFonts w:hint="eastAsia" w:ascii="宋体" w:hAnsi="宋体" w:eastAsia="宋体"/>
          <w:sz w:val="21"/>
          <w:szCs w:val="21"/>
          <w:highlight w:val="none"/>
        </w:rPr>
      </w:pPr>
      <w:r>
        <w:rPr>
          <w:rFonts w:hint="eastAsia" w:ascii="宋体" w:hAnsi="宋体" w:eastAsia="宋体"/>
          <w:sz w:val="21"/>
          <w:szCs w:val="21"/>
          <w:highlight w:val="none"/>
        </w:rPr>
        <w:t>药品分析</w:t>
      </w:r>
    </w:p>
    <w:p w14:paraId="0FD64778">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主题-用药分析</w:t>
      </w:r>
    </w:p>
    <w:p w14:paraId="2A8080F7">
      <w:pPr>
        <w:rPr>
          <w:rFonts w:hint="eastAsia"/>
          <w:szCs w:val="21"/>
          <w:highlight w:val="none"/>
        </w:rPr>
      </w:pPr>
      <w:r>
        <w:rPr>
          <w:rFonts w:hint="eastAsia"/>
          <w:szCs w:val="21"/>
          <w:highlight w:val="none"/>
        </w:rPr>
        <w:t>通过对抗菌药、注射药物维度建模，搭建药品管理指标分析专题，用户可查看对应指标的同环比、趋势、饼图、柱状图等可视化分析，并且针对部分指标能够实现从全院分析到下级科室以及医疗小组</w:t>
      </w:r>
      <w:r>
        <w:rPr>
          <w:szCs w:val="21"/>
          <w:highlight w:val="none"/>
        </w:rPr>
        <w:t>/医生粒度，完成基于上层条件的层层下钻分析。</w:t>
      </w:r>
    </w:p>
    <w:p w14:paraId="1EE04A51">
      <w:pPr>
        <w:pStyle w:val="5"/>
        <w:rPr>
          <w:rFonts w:hint="eastAsia" w:ascii="宋体" w:hAnsi="宋体" w:eastAsia="宋体"/>
          <w:sz w:val="21"/>
          <w:szCs w:val="21"/>
          <w:highlight w:val="none"/>
        </w:rPr>
      </w:pPr>
      <w:r>
        <w:rPr>
          <w:rFonts w:hint="eastAsia" w:ascii="宋体" w:hAnsi="宋体" w:eastAsia="宋体"/>
          <w:sz w:val="21"/>
          <w:szCs w:val="21"/>
          <w:highlight w:val="none"/>
        </w:rPr>
        <w:t>医疗质量/安全分析</w:t>
      </w:r>
    </w:p>
    <w:p w14:paraId="1D8FBCF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主题-重返类分析</w:t>
      </w:r>
    </w:p>
    <w:p w14:paraId="2E50809C">
      <w:pPr>
        <w:rPr>
          <w:rFonts w:hint="eastAsia"/>
          <w:szCs w:val="21"/>
          <w:highlight w:val="none"/>
        </w:rPr>
      </w:pPr>
      <w:r>
        <w:rPr>
          <w:rFonts w:hint="eastAsia"/>
          <w:szCs w:val="21"/>
          <w:highlight w:val="none"/>
        </w:rPr>
        <w:t>再入院重返分析：通过对</w:t>
      </w:r>
      <w:r>
        <w:rPr>
          <w:szCs w:val="21"/>
          <w:highlight w:val="none"/>
        </w:rPr>
        <w:t>24小时再入院、2-15天再入院、16-31天再入院、2-31天再入院指标的分析，了解下患者的再入院人次和再入院率，并实现关键指标从全院到科室再到医生的层级下钻分析。</w:t>
      </w:r>
    </w:p>
    <w:p w14:paraId="61629B57">
      <w:pPr>
        <w:rPr>
          <w:rFonts w:hint="eastAsia"/>
          <w:szCs w:val="21"/>
          <w:highlight w:val="none"/>
        </w:rPr>
      </w:pPr>
      <w:r>
        <w:rPr>
          <w:szCs w:val="21"/>
          <w:highlight w:val="none"/>
        </w:rPr>
        <w:t>ICU重返分析：根据ICU重返人数、24小时ICU重返人数、48小时ICU重返人数出发分析ICU重返人员的情况，包括影响ICU重返人员的诊断排行，重返人员最终的疾病转归情况分布，ICU重返趋势分析对比，了解医院针对ICU重返现象是否有所改善，并能够实现下钻科室分析，发现影响主要重返的科室情况，辅助进行针对性整改调整。</w:t>
      </w:r>
    </w:p>
    <w:p w14:paraId="1EEE3B10">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主题-死亡类分析</w:t>
      </w:r>
    </w:p>
    <w:p w14:paraId="345CA237">
      <w:pPr>
        <w:rPr>
          <w:rFonts w:hint="eastAsia"/>
          <w:szCs w:val="21"/>
          <w:highlight w:val="none"/>
        </w:rPr>
      </w:pPr>
      <w:r>
        <w:rPr>
          <w:rFonts w:hint="eastAsia"/>
          <w:szCs w:val="21"/>
          <w:highlight w:val="none"/>
        </w:rPr>
        <w:t>住院死亡分析：以疾病、年龄段分析住院的死亡情况，并通过分析住院总死亡率、恶性肿瘤死亡率、重点病种死亡率、新生儿住院死亡率指标，可下钻了解死亡个案信息。</w:t>
      </w:r>
    </w:p>
    <w:p w14:paraId="60C7E3CE">
      <w:pPr>
        <w:rPr>
          <w:rFonts w:hint="eastAsia"/>
          <w:szCs w:val="21"/>
          <w:highlight w:val="none"/>
        </w:rPr>
      </w:pPr>
      <w:r>
        <w:rPr>
          <w:rFonts w:hint="eastAsia"/>
          <w:szCs w:val="21"/>
          <w:highlight w:val="none"/>
        </w:rPr>
        <w:t>手术死亡分析：以疾病、年龄段分析住院的死亡情况，并通过分析手术总死亡率、恶性肿瘤手术死亡率、重点手术死亡率、再次手术住院死亡率指标，可下钻了解死亡个案信息。</w:t>
      </w:r>
    </w:p>
    <w:p w14:paraId="6F7B4F24">
      <w:pPr>
        <w:rPr>
          <w:rFonts w:hint="eastAsia"/>
          <w:szCs w:val="21"/>
          <w:highlight w:val="none"/>
        </w:rPr>
      </w:pPr>
      <w:r>
        <w:rPr>
          <w:rFonts w:hint="eastAsia"/>
          <w:szCs w:val="21"/>
          <w:highlight w:val="none"/>
        </w:rPr>
        <w:t>急危重抢救死亡分析：以疾病、年龄段分析住院的死亡情况，并通过分析危重抢救成功人次、危重抢救成功率、急危重抢救死亡人数、急危重抢救死亡率指标，可下钻了解死亡个案信息。</w:t>
      </w:r>
    </w:p>
    <w:p w14:paraId="68981B3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主题-重点病种与手术分析</w:t>
      </w:r>
    </w:p>
    <w:p w14:paraId="2E586EF0">
      <w:pPr>
        <w:rPr>
          <w:rFonts w:hint="eastAsia"/>
          <w:szCs w:val="21"/>
          <w:highlight w:val="none"/>
        </w:rPr>
      </w:pPr>
      <w:r>
        <w:rPr>
          <w:rFonts w:hint="eastAsia"/>
          <w:szCs w:val="21"/>
          <w:highlight w:val="none"/>
        </w:rPr>
        <w:t>通过对重点病种、手术分析两个维度建模，搭建指标专题，用户可查看对应指标的同环比、趋势、饼图、柱状图等可视化分析，并且针对部分指标能够实现从全院分析到下级科室以及医疗小组</w:t>
      </w:r>
      <w:r>
        <w:rPr>
          <w:szCs w:val="21"/>
          <w:highlight w:val="none"/>
        </w:rPr>
        <w:t>/医生粒度，完成基于上层条件的层层下钻分析。</w:t>
      </w:r>
    </w:p>
    <w:p w14:paraId="11A4A6E3">
      <w:pPr>
        <w:pStyle w:val="5"/>
        <w:rPr>
          <w:rFonts w:hint="eastAsia" w:ascii="宋体" w:hAnsi="宋体" w:eastAsia="宋体"/>
          <w:sz w:val="21"/>
          <w:szCs w:val="21"/>
          <w:highlight w:val="none"/>
        </w:rPr>
      </w:pPr>
      <w:bookmarkStart w:id="149" w:name="_Toc23924"/>
      <w:bookmarkStart w:id="150" w:name="_Toc5001"/>
      <w:r>
        <w:rPr>
          <w:rFonts w:ascii="宋体" w:hAnsi="宋体" w:eastAsia="宋体"/>
          <w:sz w:val="21"/>
          <w:szCs w:val="21"/>
          <w:highlight w:val="none"/>
        </w:rPr>
        <w:t>报表</w:t>
      </w:r>
      <w:bookmarkEnd w:id="149"/>
      <w:r>
        <w:rPr>
          <w:rFonts w:hint="eastAsia" w:ascii="宋体" w:hAnsi="宋体" w:eastAsia="宋体"/>
          <w:sz w:val="21"/>
          <w:szCs w:val="21"/>
          <w:highlight w:val="none"/>
        </w:rPr>
        <w:t>工具</w:t>
      </w:r>
    </w:p>
    <w:p w14:paraId="74A300B1">
      <w:pPr>
        <w:rPr>
          <w:rFonts w:hint="eastAsia"/>
          <w:szCs w:val="21"/>
          <w:highlight w:val="none"/>
        </w:rPr>
      </w:pPr>
      <w:r>
        <w:rPr>
          <w:szCs w:val="21"/>
          <w:highlight w:val="none"/>
        </w:rPr>
        <w:t>BI中间件</w:t>
      </w:r>
      <w:r>
        <w:rPr>
          <w:rFonts w:hint="eastAsia"/>
          <w:szCs w:val="21"/>
          <w:highlight w:val="none"/>
        </w:rPr>
        <w:t>要求</w:t>
      </w:r>
      <w:r>
        <w:rPr>
          <w:szCs w:val="21"/>
          <w:highlight w:val="none"/>
        </w:rPr>
        <w:t>集数据展示（报表）和数据录入(填报)功能于一身，开发效率快，操作简单易用。</w:t>
      </w:r>
    </w:p>
    <w:p w14:paraId="2C5E8947">
      <w:pPr>
        <w:rPr>
          <w:rFonts w:hint="eastAsia"/>
          <w:szCs w:val="21"/>
          <w:highlight w:val="none"/>
        </w:rPr>
      </w:pPr>
      <w:r>
        <w:rPr>
          <w:rFonts w:hint="eastAsia"/>
          <w:szCs w:val="21"/>
          <w:highlight w:val="none"/>
        </w:rPr>
        <w:t>一、类</w:t>
      </w:r>
      <w:r>
        <w:rPr>
          <w:szCs w:val="21"/>
          <w:highlight w:val="none"/>
        </w:rPr>
        <w:t xml:space="preserve"> Excel 设计风格</w:t>
      </w:r>
    </w:p>
    <w:p w14:paraId="41C52FC0">
      <w:pPr>
        <w:rPr>
          <w:rFonts w:hint="eastAsia"/>
          <w:szCs w:val="21"/>
          <w:highlight w:val="none"/>
        </w:rPr>
      </w:pPr>
      <w:r>
        <w:rPr>
          <w:rFonts w:hint="eastAsia"/>
          <w:szCs w:val="21"/>
          <w:highlight w:val="none"/>
        </w:rPr>
        <w:t>类</w:t>
      </w:r>
      <w:r>
        <w:rPr>
          <w:szCs w:val="21"/>
          <w:highlight w:val="none"/>
        </w:rPr>
        <w:t xml:space="preserve"> Excel 的设计风格，“EXCEL+绑定数据列”形式的操作，大大降低了学习成本，会使用 excel，基本上就会使用中间件。多 SHEET 和跨 SHEET计算，完美兼容 EXCEL 公式，完全支持公式、数字和字符串的拖拽复制，行列变化时单元格引用的内容自动变化等，用户可以所见即所得的设计出任意复杂的表样。</w:t>
      </w:r>
    </w:p>
    <w:p w14:paraId="44C5B31D">
      <w:pPr>
        <w:rPr>
          <w:rFonts w:hint="eastAsia"/>
          <w:szCs w:val="21"/>
          <w:highlight w:val="none"/>
        </w:rPr>
      </w:pPr>
      <w:r>
        <w:rPr>
          <w:rFonts w:hint="eastAsia"/>
          <w:szCs w:val="21"/>
          <w:highlight w:val="none"/>
        </w:rPr>
        <w:t>二、远程设计</w:t>
      </w:r>
    </w:p>
    <w:p w14:paraId="6F753B9F">
      <w:pPr>
        <w:rPr>
          <w:rFonts w:hint="eastAsia"/>
          <w:szCs w:val="21"/>
          <w:highlight w:val="none"/>
        </w:rPr>
      </w:pPr>
      <w:r>
        <w:rPr>
          <w:rFonts w:hint="eastAsia"/>
          <w:szCs w:val="21"/>
          <w:highlight w:val="none"/>
        </w:rPr>
        <w:t>中间件提供了报表工作目录的概念，即每一个报表的独立应用或者集成环境都是一个工作目录。每个工作目录下都有相应的</w:t>
      </w:r>
      <w:r>
        <w:rPr>
          <w:szCs w:val="21"/>
          <w:highlight w:val="none"/>
        </w:rPr>
        <w:t xml:space="preserve"> jar 文件，报表模板文件，资源管理文件等。</w:t>
      </w:r>
    </w:p>
    <w:p w14:paraId="7F7D25AA">
      <w:pPr>
        <w:rPr>
          <w:rFonts w:hint="eastAsia"/>
          <w:szCs w:val="21"/>
          <w:highlight w:val="none"/>
        </w:rPr>
      </w:pPr>
      <w:r>
        <w:rPr>
          <w:rFonts w:hint="eastAsia"/>
          <w:szCs w:val="21"/>
          <w:highlight w:val="none"/>
        </w:rPr>
        <w:t>在实际的应用中，更多的需求是使用远程工作目录。即报表服务器集成部署于实际的系统当中，报表设计者通过设计器连接远程环境，直接对报表模板文件，配置参数等进行编辑保存。特别如果有测试环境，生产环境等多个环境的情况下，中间件的多工作目录便捷切换便能够给设计者提供极大的便利。</w:t>
      </w:r>
    </w:p>
    <w:p w14:paraId="7F1AE1F7">
      <w:pPr>
        <w:rPr>
          <w:rFonts w:hint="eastAsia"/>
          <w:szCs w:val="21"/>
          <w:highlight w:val="none"/>
        </w:rPr>
      </w:pPr>
      <w:r>
        <w:rPr>
          <w:rFonts w:hint="eastAsia"/>
          <w:szCs w:val="21"/>
          <w:highlight w:val="none"/>
        </w:rPr>
        <w:t>三、多源数据关联</w:t>
      </w:r>
    </w:p>
    <w:p w14:paraId="455BC0A2">
      <w:pPr>
        <w:rPr>
          <w:rFonts w:hint="eastAsia"/>
          <w:szCs w:val="21"/>
          <w:highlight w:val="none"/>
        </w:rPr>
      </w:pPr>
      <w:r>
        <w:rPr>
          <w:rFonts w:hint="eastAsia"/>
          <w:szCs w:val="21"/>
          <w:highlight w:val="none"/>
        </w:rPr>
        <w:t>中间件提供了异构数据源模型，可以进行多源数据关联，使得同一张报表的数据可以来源于同一数据库的多个不同表，或多个不同数据库。</w:t>
      </w:r>
    </w:p>
    <w:p w14:paraId="6BF9E316">
      <w:pPr>
        <w:pStyle w:val="3"/>
        <w:rPr>
          <w:rFonts w:hint="eastAsia" w:ascii="宋体" w:hAnsi="宋体"/>
          <w:sz w:val="21"/>
          <w:szCs w:val="21"/>
          <w:highlight w:val="none"/>
        </w:rPr>
      </w:pPr>
      <w:r>
        <w:rPr>
          <w:rFonts w:hint="eastAsia" w:ascii="宋体" w:hAnsi="宋体"/>
          <w:sz w:val="21"/>
          <w:szCs w:val="21"/>
          <w:highlight w:val="none"/>
        </w:rPr>
        <w:t>三级公立医院绩效考核指标管理系统</w:t>
      </w:r>
    </w:p>
    <w:p w14:paraId="6C89B3D5">
      <w:pPr>
        <w:pStyle w:val="4"/>
        <w:rPr>
          <w:rFonts w:hint="eastAsia" w:ascii="宋体" w:hAnsi="宋体"/>
          <w:sz w:val="21"/>
          <w:szCs w:val="21"/>
          <w:highlight w:val="none"/>
        </w:rPr>
      </w:pPr>
      <w:r>
        <w:rPr>
          <w:rFonts w:hint="eastAsia" w:ascii="宋体" w:hAnsi="宋体"/>
          <w:sz w:val="21"/>
          <w:szCs w:val="21"/>
          <w:highlight w:val="none"/>
        </w:rPr>
        <w:t>公立医院绩效考核</w:t>
      </w:r>
      <w:bookmarkEnd w:id="150"/>
    </w:p>
    <w:p w14:paraId="79C4E17F">
      <w:pPr>
        <w:pStyle w:val="5"/>
        <w:rPr>
          <w:rFonts w:hint="eastAsia" w:ascii="宋体" w:hAnsi="宋体" w:eastAsia="宋体"/>
          <w:sz w:val="21"/>
          <w:szCs w:val="21"/>
          <w:highlight w:val="none"/>
        </w:rPr>
      </w:pPr>
      <w:r>
        <w:rPr>
          <w:rFonts w:hint="eastAsia" w:ascii="宋体" w:hAnsi="宋体" w:eastAsia="宋体"/>
          <w:sz w:val="21"/>
          <w:szCs w:val="21"/>
          <w:highlight w:val="none"/>
        </w:rPr>
        <w:t>考核指标管理</w:t>
      </w:r>
    </w:p>
    <w:p w14:paraId="110BAD5D">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考核系统管理</w:t>
      </w:r>
    </w:p>
    <w:p w14:paraId="080695BE">
      <w:pPr>
        <w:rPr>
          <w:rFonts w:hint="eastAsia"/>
          <w:szCs w:val="21"/>
          <w:highlight w:val="none"/>
        </w:rPr>
      </w:pPr>
      <w:r>
        <w:rPr>
          <w:rFonts w:hint="eastAsia"/>
          <w:szCs w:val="21"/>
          <w:highlight w:val="none"/>
        </w:rPr>
        <w:t>要求构建围绕公立医院绩效考核需要的基础指标信息，要求以年份、国家、省或各地市不同构建医院的考核指标内容，形成医院自己的指标池管理，用于医院后续的绩效考核应用。</w:t>
      </w:r>
    </w:p>
    <w:p w14:paraId="7FAB3C0A">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指标属性配置</w:t>
      </w:r>
    </w:p>
    <w:p w14:paraId="672B374D">
      <w:pPr>
        <w:rPr>
          <w:rFonts w:hint="eastAsia"/>
          <w:szCs w:val="21"/>
          <w:highlight w:val="none"/>
        </w:rPr>
      </w:pPr>
      <w:r>
        <w:rPr>
          <w:rFonts w:hint="eastAsia"/>
          <w:szCs w:val="21"/>
          <w:highlight w:val="none"/>
        </w:rPr>
        <w:t>要求指标属性配置作为考核体系管理的基础组成部分，包括指标名称、指标单位、指标序号、是否二次计算指标、指标说明等基本信息。另外，提供二次计算指标的相关计算公式配置，最终基于形成医院针对公立医院绩效考核的相关指标内容。为后续年度指标确定提供基础。</w:t>
      </w:r>
    </w:p>
    <w:p w14:paraId="7FF585EC">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勾稽规则库</w:t>
      </w:r>
    </w:p>
    <w:p w14:paraId="091F9FBB">
      <w:pPr>
        <w:rPr>
          <w:rFonts w:hint="eastAsia"/>
          <w:szCs w:val="21"/>
          <w:highlight w:val="none"/>
        </w:rPr>
      </w:pPr>
      <w:r>
        <w:rPr>
          <w:rFonts w:hint="eastAsia"/>
          <w:szCs w:val="21"/>
          <w:highlight w:val="none"/>
        </w:rPr>
        <w:t>要求系统内置指标勾稽规则库，根据二次计算指标提供校验规则算法，形成“一个指标多处引用”的规则，满足自动完成一处修改、多处应用指标的变更。另外，勾稽规则库同时能够满足多层次指标引用的更改，若引用的为二次计算指标，则随着二次计算指标来源的变更，则所有的相关后续引用指标都会随之改变，保证了相关数据统一性、正确性的要求。</w:t>
      </w:r>
    </w:p>
    <w:p w14:paraId="1D3F791D">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指标任务管理</w:t>
      </w:r>
    </w:p>
    <w:p w14:paraId="27161F82">
      <w:pPr>
        <w:rPr>
          <w:rFonts w:hint="eastAsia"/>
          <w:szCs w:val="21"/>
          <w:highlight w:val="none"/>
        </w:rPr>
      </w:pPr>
      <w:r>
        <w:rPr>
          <w:rFonts w:hint="eastAsia"/>
          <w:szCs w:val="21"/>
          <w:highlight w:val="none"/>
        </w:rPr>
        <w:t>要求能根据公立医院绩效考核的指标进行设置，来支持按照不同上报版本情况进行指标的快速生成、快速复制等操作。要求能支持将建立的指标体系存储为模板，供每次调阅。支持按照不同院区进行数据指标的划分。</w:t>
      </w:r>
    </w:p>
    <w:p w14:paraId="16C38D21">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考核频率管理</w:t>
      </w:r>
    </w:p>
    <w:p w14:paraId="6709E8BA">
      <w:pPr>
        <w:rPr>
          <w:rFonts w:hint="eastAsia"/>
          <w:szCs w:val="21"/>
          <w:highlight w:val="none"/>
        </w:rPr>
      </w:pPr>
      <w:r>
        <w:rPr>
          <w:szCs w:val="21"/>
          <w:highlight w:val="none"/>
        </w:rPr>
        <w:t>医院可以根据不同的考核指标进行不同粒度的管理（如月、季、年），例如可以针对关注性指标可以选择月度管理考核，其他为季度或年度管理。同时能够满足后续国家要求进行全部指标的月度上报的适应扩展。</w:t>
      </w:r>
    </w:p>
    <w:p w14:paraId="02321B30">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数据来源管理</w:t>
      </w:r>
    </w:p>
    <w:p w14:paraId="5749BE54">
      <w:pPr>
        <w:rPr>
          <w:rFonts w:hint="eastAsia"/>
          <w:szCs w:val="21"/>
          <w:highlight w:val="none"/>
        </w:rPr>
      </w:pPr>
      <w:r>
        <w:rPr>
          <w:szCs w:val="21"/>
          <w:highlight w:val="none"/>
        </w:rPr>
        <w:t>针对公立医院考核指标并不是所有的指标都可来源信息化系统，则针对数据来源需要进行多来源管理。针对可以来源于系统的数据提供指标配置来源，链接对应信息库，实时获取数据作为填报的初始数据供对应指标负责人参考。另外，针对无法从系统获取的指标数据则提供填报功能。</w:t>
      </w:r>
    </w:p>
    <w:p w14:paraId="431777B5">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指标任务分发</w:t>
      </w:r>
    </w:p>
    <w:p w14:paraId="76582767">
      <w:pPr>
        <w:rPr>
          <w:rFonts w:hint="eastAsia"/>
          <w:szCs w:val="21"/>
          <w:highlight w:val="none"/>
        </w:rPr>
      </w:pPr>
      <w:r>
        <w:rPr>
          <w:rFonts w:hint="eastAsia"/>
          <w:szCs w:val="21"/>
          <w:highlight w:val="none"/>
        </w:rPr>
        <w:t>指标任务分发是为公立医院绩效考核数据质控流程服务，目的是为保证上报数据的真实准确。系统设置了数据填报、审核、确认权限。针对不同的指标内容可以分配给不同的科室、不同的人员进行分类权限管理。达到部分人员仅有部分指标的填报权限，部分人员具有审核权限，最终上报部门具有确认权限的目的。</w:t>
      </w:r>
    </w:p>
    <w:p w14:paraId="2EEC93A7">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数值锁定管理</w:t>
      </w:r>
    </w:p>
    <w:p w14:paraId="44E9439C">
      <w:pPr>
        <w:rPr>
          <w:rFonts w:hint="eastAsia"/>
          <w:szCs w:val="21"/>
          <w:highlight w:val="none"/>
        </w:rPr>
      </w:pPr>
      <w:r>
        <w:rPr>
          <w:rFonts w:hint="eastAsia"/>
          <w:szCs w:val="21"/>
          <w:highlight w:val="none"/>
        </w:rPr>
        <w:t>要求最终公立医院绩效考核确认人员能够针对不同粒度（如月度、季度、年度）的数据锁定功能。应对在未走完审核、确认流程后需要及时上报数据的需求。一但锁定后，则所有的指标内容无论当前处在何种流程都不可进行更改。若需要更改则需要确认人员进行解锁操作才可重新进入审批流程</w:t>
      </w:r>
    </w:p>
    <w:p w14:paraId="43D39EA0">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上报任务管理</w:t>
      </w:r>
    </w:p>
    <w:p w14:paraId="287929A2">
      <w:pPr>
        <w:rPr>
          <w:rFonts w:hint="eastAsia"/>
          <w:szCs w:val="21"/>
          <w:highlight w:val="none"/>
        </w:rPr>
      </w:pPr>
      <w:r>
        <w:rPr>
          <w:rFonts w:hint="eastAsia"/>
          <w:szCs w:val="21"/>
          <w:highlight w:val="none"/>
        </w:rPr>
        <w:t>要求充分满足数据上报的严谨性要求，支持数据填报、数据审核、数据确认权限等功能设置。支持实现数据从信息系统抓取后，专人审核、责任部门审核到上报部门审核的全过程，同时数据审核过程中支持各节点责任人对数据进行保存、退回、各指标流程状态与痕迹查询。</w:t>
      </w:r>
    </w:p>
    <w:p w14:paraId="4B3EE698">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指标填报任务</w:t>
      </w:r>
    </w:p>
    <w:p w14:paraId="47213EA5">
      <w:pPr>
        <w:rPr>
          <w:rFonts w:hint="eastAsia"/>
          <w:szCs w:val="21"/>
          <w:highlight w:val="none"/>
        </w:rPr>
      </w:pPr>
      <w:r>
        <w:rPr>
          <w:rFonts w:hint="eastAsia"/>
          <w:szCs w:val="21"/>
          <w:highlight w:val="none"/>
        </w:rPr>
        <w:t>要求</w:t>
      </w:r>
      <w:r>
        <w:rPr>
          <w:szCs w:val="21"/>
          <w:highlight w:val="none"/>
        </w:rPr>
        <w:t>不同的用户可以针对所负责的内容进行相关数据的上报，若是数据来源于信息系统的则会初始默认值，在未提交之前可以进行相关数据的填报更改。若提交后则自动进行数据锁定，撤回后也不会在赋予系统初始值。</w:t>
      </w:r>
    </w:p>
    <w:p w14:paraId="616D0938">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指标审核任务</w:t>
      </w:r>
    </w:p>
    <w:p w14:paraId="2F079BE9">
      <w:pPr>
        <w:rPr>
          <w:rFonts w:hint="eastAsia"/>
          <w:szCs w:val="21"/>
          <w:highlight w:val="none"/>
        </w:rPr>
      </w:pPr>
      <w:r>
        <w:rPr>
          <w:rFonts w:hint="eastAsia"/>
          <w:szCs w:val="21"/>
          <w:highlight w:val="none"/>
        </w:rPr>
        <w:t>要求具备审核权限的用户才可查看该模块内容，针对下级填报人员的数据进行审核工作，并能够修改相关数据内容，亦可进行回退操作，并说明回退原因，又填报人员进行数据更改后提交。待审核完成提交后，则数据不可进行再次更改。</w:t>
      </w:r>
    </w:p>
    <w:p w14:paraId="51F50911">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考核统计分析</w:t>
      </w:r>
    </w:p>
    <w:p w14:paraId="4069BFB2">
      <w:pPr>
        <w:rPr>
          <w:rFonts w:hint="eastAsia"/>
          <w:szCs w:val="21"/>
          <w:highlight w:val="none"/>
        </w:rPr>
      </w:pPr>
      <w:r>
        <w:rPr>
          <w:rFonts w:hint="eastAsia"/>
          <w:szCs w:val="21"/>
          <w:highlight w:val="none"/>
        </w:rPr>
        <w:t>要求实现对公立医院绩效要求的</w:t>
      </w:r>
      <w:r>
        <w:rPr>
          <w:szCs w:val="21"/>
          <w:highlight w:val="none"/>
        </w:rPr>
        <w:t>55项指标的综合查询，系统需支持按照数据审核频率、时间维度、机构维度进行当前填报情况数据的实时查询，需支持对各项指标进行同环、趋势分析，并根据考核要求分析各项指标的改善情况。</w:t>
      </w:r>
    </w:p>
    <w:p w14:paraId="33EBE66F">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数据即时查询</w:t>
      </w:r>
    </w:p>
    <w:p w14:paraId="7BF3F0D6">
      <w:pPr>
        <w:rPr>
          <w:rFonts w:hint="eastAsia"/>
          <w:szCs w:val="21"/>
          <w:highlight w:val="none"/>
        </w:rPr>
      </w:pPr>
      <w:r>
        <w:rPr>
          <w:rFonts w:hint="eastAsia"/>
          <w:szCs w:val="21"/>
          <w:highlight w:val="none"/>
        </w:rPr>
        <w:t>要求数据即时查询是用户可以按照考核指标数据的审核频率、时间维度、机构维度进行当前填报情况的数据的实时查询。</w:t>
      </w:r>
    </w:p>
    <w:p w14:paraId="586B2AA4">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历年数据分析</w:t>
      </w:r>
    </w:p>
    <w:p w14:paraId="224FBACF">
      <w:pPr>
        <w:rPr>
          <w:rFonts w:hint="eastAsia"/>
          <w:szCs w:val="21"/>
          <w:highlight w:val="none"/>
        </w:rPr>
      </w:pPr>
      <w:r>
        <w:rPr>
          <w:rFonts w:hint="eastAsia"/>
          <w:szCs w:val="21"/>
          <w:highlight w:val="none"/>
        </w:rPr>
        <w:t>公立医院绩效考核按年度数据考核，通过横向分析历年考核数据，充分运用历年考核结果，分析历年指标数据变化规律，推动医院有效科学管理，改善医疗服务质量，提升医疗服务水平。</w:t>
      </w:r>
    </w:p>
    <w:p w14:paraId="67BE59E2">
      <w:pPr>
        <w:rPr>
          <w:rFonts w:hint="eastAsia"/>
          <w:szCs w:val="21"/>
          <w:highlight w:val="none"/>
        </w:rPr>
      </w:pPr>
      <w:r>
        <w:rPr>
          <w:rFonts w:hint="eastAsia"/>
          <w:szCs w:val="21"/>
          <w:highlight w:val="none"/>
        </w:rPr>
        <w:t>通过分析指标的环比变化情况、同比变化情况和历年趋势对比分析，掌握医院改善医疗服务效果，并制定有效决策实现绩效考核目标。历年绩效考核结果的对比分析，有助于医院明确现状和差距，为后续的改进提供方向。</w:t>
      </w:r>
    </w:p>
    <w:p w14:paraId="0C8B2645">
      <w:pPr>
        <w:pStyle w:val="5"/>
        <w:rPr>
          <w:rFonts w:hint="eastAsia" w:ascii="宋体" w:hAnsi="宋体" w:eastAsia="宋体"/>
          <w:sz w:val="21"/>
          <w:szCs w:val="21"/>
          <w:highlight w:val="none"/>
        </w:rPr>
      </w:pPr>
      <w:r>
        <w:rPr>
          <w:rFonts w:ascii="宋体" w:hAnsi="宋体" w:eastAsia="宋体"/>
          <w:sz w:val="21"/>
          <w:szCs w:val="21"/>
          <w:highlight w:val="none"/>
        </w:rPr>
        <w:t>指标监管分析</w:t>
      </w:r>
    </w:p>
    <w:p w14:paraId="5147DF82">
      <w:pPr>
        <w:rPr>
          <w:rFonts w:hint="eastAsia"/>
          <w:szCs w:val="21"/>
          <w:highlight w:val="none"/>
        </w:rPr>
      </w:pPr>
      <w:r>
        <w:rPr>
          <w:rFonts w:hint="eastAsia"/>
          <w:szCs w:val="21"/>
          <w:highlight w:val="none"/>
        </w:rPr>
        <w:t>要求支持对公立医院绩效考核指标监管，包括医疗质量、运行效率、持续发展和满意度评价。辅助医院通过监管公立医院绩效考核指标，及时掌握医院医疗质量和医疗安全情况，引导医院落实功能定位，提高医疗服务质量和效率，提升医院科学管理水平，为人民群众提供高质量的医疗服务。</w:t>
      </w:r>
    </w:p>
    <w:p w14:paraId="4D567224">
      <w:pPr>
        <w:pStyle w:val="3"/>
        <w:rPr>
          <w:rFonts w:hint="eastAsia" w:ascii="宋体" w:hAnsi="宋体"/>
          <w:sz w:val="21"/>
          <w:szCs w:val="21"/>
          <w:highlight w:val="none"/>
        </w:rPr>
      </w:pPr>
      <w:r>
        <w:rPr>
          <w:rFonts w:hint="eastAsia" w:ascii="宋体" w:hAnsi="宋体"/>
          <w:sz w:val="21"/>
          <w:szCs w:val="21"/>
          <w:highlight w:val="none"/>
        </w:rPr>
        <w:t>等级医院评审智能辅助系统</w:t>
      </w:r>
    </w:p>
    <w:p w14:paraId="0865A8D9">
      <w:pPr>
        <w:pStyle w:val="4"/>
        <w:rPr>
          <w:rFonts w:hint="eastAsia" w:ascii="宋体" w:hAnsi="宋体"/>
          <w:sz w:val="21"/>
          <w:szCs w:val="21"/>
          <w:highlight w:val="none"/>
        </w:rPr>
      </w:pPr>
      <w:r>
        <w:rPr>
          <w:rFonts w:hint="eastAsia" w:ascii="宋体" w:hAnsi="宋体"/>
          <w:sz w:val="21"/>
          <w:szCs w:val="21"/>
          <w:highlight w:val="none"/>
        </w:rPr>
        <w:t>等级医院评审辅助监管系统</w:t>
      </w:r>
    </w:p>
    <w:p w14:paraId="3F0B312C">
      <w:pPr>
        <w:pStyle w:val="5"/>
        <w:rPr>
          <w:rFonts w:hint="eastAsia" w:ascii="宋体" w:hAnsi="宋体" w:eastAsia="宋体"/>
          <w:sz w:val="21"/>
          <w:szCs w:val="21"/>
          <w:highlight w:val="none"/>
        </w:rPr>
      </w:pPr>
      <w:r>
        <w:rPr>
          <w:rFonts w:hint="eastAsia" w:ascii="宋体" w:hAnsi="宋体" w:eastAsia="宋体"/>
          <w:sz w:val="21"/>
          <w:szCs w:val="21"/>
          <w:highlight w:val="none"/>
        </w:rPr>
        <w:t>指标管理（第二部分）</w:t>
      </w:r>
    </w:p>
    <w:p w14:paraId="2B6A427F">
      <w:pPr>
        <w:rPr>
          <w:rFonts w:hint="eastAsia"/>
          <w:szCs w:val="21"/>
          <w:highlight w:val="none"/>
        </w:rPr>
      </w:pPr>
      <w:r>
        <w:rPr>
          <w:rFonts w:hint="eastAsia"/>
          <w:szCs w:val="21"/>
          <w:highlight w:val="none"/>
        </w:rPr>
        <w:t>依据国家标准要求落实监测等级医院评审要求相关指标，要求支持对指标数据进行基础信息维护、资源配置管理等，通过规范的指标监测工具，建立流程化管理体系，根据指标申报审核的流程全面统一管理指标数据信息。建设内容要求包括：</w:t>
      </w:r>
      <w:bookmarkStart w:id="151" w:name="_Toc27610"/>
      <w:bookmarkStart w:id="152" w:name="_Toc30344"/>
      <w:bookmarkStart w:id="153" w:name="_Toc8674"/>
      <w:r>
        <w:rPr>
          <w:rFonts w:hint="eastAsia"/>
          <w:szCs w:val="21"/>
          <w:highlight w:val="none"/>
        </w:rPr>
        <w:t>指标</w:t>
      </w:r>
      <w:bookmarkEnd w:id="151"/>
      <w:bookmarkEnd w:id="152"/>
      <w:bookmarkEnd w:id="153"/>
      <w:bookmarkStart w:id="154" w:name="_Toc31466"/>
      <w:bookmarkStart w:id="155" w:name="_Toc18571"/>
      <w:bookmarkStart w:id="156" w:name="_Toc15912"/>
      <w:r>
        <w:rPr>
          <w:rFonts w:hint="eastAsia"/>
          <w:szCs w:val="21"/>
          <w:highlight w:val="none"/>
        </w:rPr>
        <w:t>管理</w:t>
      </w:r>
      <w:bookmarkEnd w:id="154"/>
      <w:bookmarkEnd w:id="155"/>
      <w:bookmarkEnd w:id="156"/>
      <w:r>
        <w:rPr>
          <w:rFonts w:hint="eastAsia"/>
          <w:szCs w:val="21"/>
          <w:highlight w:val="none"/>
        </w:rPr>
        <w:t>、综合分析。</w:t>
      </w:r>
    </w:p>
    <w:p w14:paraId="2685CFFD">
      <w:pPr>
        <w:pStyle w:val="5"/>
        <w:rPr>
          <w:rFonts w:hint="eastAsia" w:ascii="宋体" w:hAnsi="宋体" w:eastAsia="宋体"/>
          <w:sz w:val="21"/>
          <w:szCs w:val="21"/>
          <w:highlight w:val="none"/>
        </w:rPr>
      </w:pPr>
      <w:r>
        <w:rPr>
          <w:rFonts w:hint="eastAsia" w:ascii="宋体" w:hAnsi="宋体" w:eastAsia="宋体"/>
          <w:sz w:val="21"/>
          <w:szCs w:val="21"/>
          <w:highlight w:val="none"/>
        </w:rPr>
        <w:t>台账管理（第一、三部分）</w:t>
      </w:r>
    </w:p>
    <w:p w14:paraId="7688EC2E">
      <w:pPr>
        <w:rPr>
          <w:rFonts w:hint="eastAsia"/>
          <w:szCs w:val="21"/>
          <w:highlight w:val="none"/>
          <w:lang w:val="zh-CN"/>
        </w:rPr>
      </w:pPr>
      <w:r>
        <w:rPr>
          <w:rFonts w:hint="eastAsia"/>
          <w:szCs w:val="21"/>
          <w:highlight w:val="none"/>
          <w:lang w:val="zh-CN"/>
        </w:rPr>
        <w:t>评审条款责任制：依据标准管理模块对各责任部门所分解下发的条款任务，各责任部门只能查看且操作已分发有权限的评审条款。</w:t>
      </w:r>
    </w:p>
    <w:p w14:paraId="7DD9A7A7">
      <w:pPr>
        <w:rPr>
          <w:rFonts w:hint="eastAsia"/>
          <w:szCs w:val="21"/>
          <w:highlight w:val="none"/>
          <w:lang w:val="zh-CN"/>
        </w:rPr>
      </w:pPr>
      <w:r>
        <w:rPr>
          <w:rFonts w:hint="eastAsia"/>
          <w:szCs w:val="21"/>
          <w:highlight w:val="none"/>
          <w:lang w:val="zh-CN"/>
        </w:rPr>
        <w:t>台账资料上传：责任部门依据评审条款要求，上传对应的文档资料，支持对上传的文档资料进行资料分类（资料类别可依据医院管理需求自定义维护），支持在线预览或下载已上传的资料文件，支持对上传的文档资料添加资料描述。</w:t>
      </w:r>
    </w:p>
    <w:p w14:paraId="2201B71E">
      <w:pPr>
        <w:rPr>
          <w:rFonts w:hint="eastAsia"/>
          <w:szCs w:val="21"/>
          <w:highlight w:val="none"/>
          <w:lang w:val="zh-CN"/>
        </w:rPr>
      </w:pPr>
      <w:r>
        <w:rPr>
          <w:rFonts w:hint="eastAsia"/>
          <w:szCs w:val="21"/>
          <w:highlight w:val="none"/>
          <w:lang w:val="zh-CN"/>
        </w:rPr>
        <w:t>台账资料审批：管理部门可查看责任部门对应上传的文档资料并审批，支持查看台账明细列表，针对台账资料进行审核通过或回退，支持填写回退原因，支持批量审批，台账审批流程节点支持按医院实际管理需要自定义配置。</w:t>
      </w:r>
    </w:p>
    <w:p w14:paraId="36DAC0B5">
      <w:pPr>
        <w:rPr>
          <w:rFonts w:hint="eastAsia"/>
          <w:szCs w:val="21"/>
          <w:highlight w:val="none"/>
        </w:rPr>
      </w:pPr>
      <w:r>
        <w:rPr>
          <w:rFonts w:hint="eastAsia"/>
          <w:szCs w:val="21"/>
          <w:highlight w:val="none"/>
          <w:lang w:val="zh-CN"/>
        </w:rPr>
        <w:t>台账进度追踪：可实时追踪台账资料处理进度，清晰了解条款是否上传资料以及已上传资料的审批处理进度，可视化展示审批流程节点及对应处理人。</w:t>
      </w:r>
    </w:p>
    <w:p w14:paraId="011FAC2F">
      <w:pPr>
        <w:pStyle w:val="5"/>
        <w:rPr>
          <w:rFonts w:hint="eastAsia" w:ascii="宋体" w:hAnsi="宋体" w:eastAsia="宋体"/>
          <w:sz w:val="21"/>
          <w:szCs w:val="21"/>
          <w:highlight w:val="none"/>
        </w:rPr>
      </w:pPr>
      <w:r>
        <w:rPr>
          <w:rFonts w:hint="eastAsia" w:ascii="宋体" w:hAnsi="宋体" w:eastAsia="宋体"/>
          <w:sz w:val="21"/>
          <w:szCs w:val="21"/>
          <w:highlight w:val="none"/>
        </w:rPr>
        <w:t>自评自查（第三部分）</w:t>
      </w:r>
    </w:p>
    <w:p w14:paraId="371D450A">
      <w:pPr>
        <w:rPr>
          <w:rFonts w:hint="eastAsia"/>
          <w:szCs w:val="21"/>
          <w:highlight w:val="none"/>
          <w:lang w:val="zh-CN"/>
        </w:rPr>
      </w:pPr>
      <w:r>
        <w:rPr>
          <w:rFonts w:hint="eastAsia"/>
          <w:szCs w:val="21"/>
          <w:highlight w:val="none"/>
          <w:lang w:val="zh-CN"/>
        </w:rPr>
        <w:t>依据标准建立评审评价机制，通过评审表单实现对第三部分现场检查评审细则的多次自审自评自查，支持主观查检，提供上传附件、明确扣分原因佐证自评，全面发现问题及时整改；</w:t>
      </w:r>
    </w:p>
    <w:p w14:paraId="78EE72C9">
      <w:pPr>
        <w:rPr>
          <w:rFonts w:hint="eastAsia"/>
          <w:szCs w:val="21"/>
          <w:highlight w:val="none"/>
          <w:lang w:val="zh-CN"/>
        </w:rPr>
      </w:pPr>
    </w:p>
    <w:p w14:paraId="6EB692BC">
      <w:pPr>
        <w:pStyle w:val="5"/>
        <w:rPr>
          <w:rFonts w:hint="eastAsia" w:ascii="宋体" w:hAnsi="宋体" w:eastAsia="宋体"/>
          <w:sz w:val="21"/>
          <w:szCs w:val="21"/>
          <w:highlight w:val="none"/>
        </w:rPr>
      </w:pPr>
      <w:bookmarkStart w:id="157" w:name="_Toc21768"/>
      <w:bookmarkStart w:id="158" w:name="_Toc30111"/>
      <w:bookmarkStart w:id="159" w:name="_Toc28467"/>
      <w:r>
        <w:rPr>
          <w:rFonts w:hint="eastAsia" w:ascii="宋体" w:hAnsi="宋体" w:eastAsia="宋体"/>
          <w:sz w:val="21"/>
          <w:szCs w:val="21"/>
          <w:highlight w:val="none"/>
        </w:rPr>
        <w:t>系统管理</w:t>
      </w:r>
      <w:bookmarkEnd w:id="157"/>
      <w:bookmarkEnd w:id="158"/>
      <w:bookmarkEnd w:id="159"/>
    </w:p>
    <w:p w14:paraId="6D28311A">
      <w:pPr>
        <w:rPr>
          <w:rFonts w:hint="eastAsia"/>
          <w:szCs w:val="21"/>
          <w:highlight w:val="none"/>
        </w:rPr>
      </w:pPr>
      <w:r>
        <w:rPr>
          <w:rFonts w:hint="eastAsia"/>
          <w:szCs w:val="21"/>
          <w:highlight w:val="none"/>
          <w:lang w:val="zh-CN"/>
        </w:rPr>
        <w:t>要求提供</w:t>
      </w:r>
      <w:bookmarkStart w:id="160" w:name="_Toc12350"/>
      <w:bookmarkStart w:id="161" w:name="_Toc29678"/>
      <w:bookmarkStart w:id="162" w:name="_Toc28580"/>
      <w:r>
        <w:rPr>
          <w:rFonts w:hint="eastAsia"/>
          <w:szCs w:val="21"/>
          <w:highlight w:val="none"/>
        </w:rPr>
        <w:t>用户管理</w:t>
      </w:r>
      <w:bookmarkEnd w:id="160"/>
      <w:bookmarkEnd w:id="161"/>
      <w:bookmarkEnd w:id="162"/>
      <w:r>
        <w:rPr>
          <w:rFonts w:hint="eastAsia"/>
          <w:szCs w:val="21"/>
          <w:highlight w:val="none"/>
        </w:rPr>
        <w:t>、</w:t>
      </w:r>
      <w:bookmarkStart w:id="163" w:name="_Toc13727"/>
      <w:bookmarkStart w:id="164" w:name="_Toc21095"/>
      <w:bookmarkStart w:id="165" w:name="_Toc5510"/>
      <w:r>
        <w:rPr>
          <w:rFonts w:hint="eastAsia"/>
          <w:szCs w:val="21"/>
          <w:highlight w:val="none"/>
        </w:rPr>
        <w:t>角色管理</w:t>
      </w:r>
      <w:bookmarkEnd w:id="163"/>
      <w:bookmarkEnd w:id="164"/>
      <w:bookmarkEnd w:id="165"/>
      <w:r>
        <w:rPr>
          <w:rFonts w:hint="eastAsia"/>
          <w:szCs w:val="21"/>
          <w:highlight w:val="none"/>
        </w:rPr>
        <w:t>、</w:t>
      </w:r>
      <w:bookmarkStart w:id="166" w:name="_Toc26224"/>
      <w:bookmarkStart w:id="167" w:name="_Toc12223"/>
      <w:bookmarkStart w:id="168" w:name="_Toc25052"/>
      <w:r>
        <w:rPr>
          <w:rFonts w:hint="eastAsia"/>
          <w:szCs w:val="21"/>
          <w:highlight w:val="none"/>
        </w:rPr>
        <w:t>权限管理</w:t>
      </w:r>
      <w:bookmarkEnd w:id="166"/>
      <w:bookmarkEnd w:id="167"/>
      <w:bookmarkEnd w:id="168"/>
      <w:bookmarkStart w:id="169" w:name="_Toc21414"/>
      <w:r>
        <w:rPr>
          <w:rFonts w:hint="eastAsia"/>
          <w:szCs w:val="21"/>
          <w:highlight w:val="none"/>
        </w:rPr>
        <w:t>、反馈整改</w:t>
      </w:r>
      <w:bookmarkEnd w:id="169"/>
      <w:r>
        <w:rPr>
          <w:rFonts w:hint="eastAsia"/>
          <w:szCs w:val="21"/>
          <w:highlight w:val="none"/>
        </w:rPr>
        <w:t>、</w:t>
      </w:r>
      <w:bookmarkStart w:id="170" w:name="_Toc31608"/>
      <w:r>
        <w:rPr>
          <w:rFonts w:hint="eastAsia"/>
          <w:szCs w:val="21"/>
          <w:highlight w:val="none"/>
        </w:rPr>
        <w:t>任务管理</w:t>
      </w:r>
      <w:bookmarkEnd w:id="170"/>
      <w:r>
        <w:rPr>
          <w:rFonts w:hint="eastAsia"/>
          <w:szCs w:val="21"/>
          <w:highlight w:val="none"/>
        </w:rPr>
        <w:t>等。</w:t>
      </w:r>
    </w:p>
    <w:p w14:paraId="39F0A78F">
      <w:pPr>
        <w:rPr>
          <w:rFonts w:hint="eastAsia"/>
          <w:szCs w:val="21"/>
          <w:highlight w:val="none"/>
        </w:rPr>
      </w:pPr>
      <w:r>
        <w:rPr>
          <w:rFonts w:hint="eastAsia"/>
          <w:szCs w:val="21"/>
          <w:highlight w:val="none"/>
        </w:rPr>
        <w:t>1、用户管理；主要对接入系统的相关用户进行有效管理，用户要求按照不同的岗位角色进行划分，并结合机构进行管理。</w:t>
      </w:r>
    </w:p>
    <w:p w14:paraId="6058EF31">
      <w:pPr>
        <w:rPr>
          <w:rFonts w:hint="eastAsia"/>
          <w:szCs w:val="21"/>
          <w:highlight w:val="none"/>
        </w:rPr>
      </w:pPr>
      <w:r>
        <w:rPr>
          <w:rFonts w:hint="eastAsia"/>
          <w:szCs w:val="21"/>
          <w:highlight w:val="none"/>
        </w:rPr>
        <w:t>2、角色管理：对不同业务模块下的角色进行有效管理，要求包括角色的创建和角色的业务模块归属，结合模块和菜单对角色统一管理。</w:t>
      </w:r>
    </w:p>
    <w:p w14:paraId="4EDD0743">
      <w:pPr>
        <w:rPr>
          <w:rFonts w:hint="eastAsia"/>
          <w:szCs w:val="21"/>
          <w:highlight w:val="none"/>
        </w:rPr>
      </w:pPr>
      <w:r>
        <w:rPr>
          <w:rFonts w:hint="eastAsia"/>
          <w:szCs w:val="21"/>
          <w:highlight w:val="none"/>
        </w:rPr>
        <w:t>3、权限管理；系统权限管理内容要求包括两部分：功能权限和数据权限。功能权限主要为不同层级的组织（用户）配置功能菜单的方式来实现功能上的控制。数据权限方面，主要通过用户所管辖的范围进行数据的访问权限的控制。</w:t>
      </w:r>
    </w:p>
    <w:p w14:paraId="106C74BA">
      <w:pPr>
        <w:rPr>
          <w:rFonts w:hint="eastAsia"/>
          <w:szCs w:val="21"/>
          <w:highlight w:val="none"/>
        </w:rPr>
      </w:pPr>
      <w:r>
        <w:rPr>
          <w:rFonts w:hint="eastAsia"/>
          <w:szCs w:val="21"/>
          <w:highlight w:val="none"/>
        </w:rPr>
        <w:t>4、反馈整改：指标整改反馈用于评审管理部门对未达到管理目标的责任部门科室进行评审指标的反馈和整改。要求运用数据综合分析结果，对指标监测结果不达标、指标需改进等问题找出原因所在，及时反馈至责任人，提出整改意见制定改进措施，支持多次反馈并查看反馈整改记录，追踪查验改善结果，督促存在不合理项的科室部门持续改进。</w:t>
      </w:r>
    </w:p>
    <w:p w14:paraId="2BC6BFD0">
      <w:pPr>
        <w:rPr>
          <w:rFonts w:hint="eastAsia"/>
          <w:szCs w:val="21"/>
          <w:highlight w:val="none"/>
        </w:rPr>
      </w:pPr>
      <w:r>
        <w:rPr>
          <w:rFonts w:hint="eastAsia"/>
          <w:szCs w:val="21"/>
          <w:highlight w:val="none"/>
        </w:rPr>
        <w:t>5、任务管理：要求包括指标的申报任务、审批任务、整改任务等，能结合业务流程生成对应待办任务并进行事件推送，要求支持快速查看任务详情并便捷处理对应任务，对任务事项的上下游且完成状态进行全流程追踪管理。</w:t>
      </w:r>
    </w:p>
    <w:p w14:paraId="02B969E7">
      <w:pPr>
        <w:pStyle w:val="3"/>
        <w:rPr>
          <w:rFonts w:hint="eastAsia" w:ascii="宋体" w:hAnsi="宋体"/>
          <w:sz w:val="21"/>
          <w:szCs w:val="21"/>
          <w:highlight w:val="none"/>
        </w:rPr>
      </w:pPr>
      <w:r>
        <w:rPr>
          <w:rFonts w:hint="eastAsia" w:ascii="宋体" w:hAnsi="宋体"/>
          <w:sz w:val="21"/>
          <w:szCs w:val="21"/>
          <w:highlight w:val="none"/>
        </w:rPr>
        <w:t>全资源预约平台</w:t>
      </w:r>
    </w:p>
    <w:p w14:paraId="1E208681">
      <w:pPr>
        <w:pStyle w:val="4"/>
        <w:rPr>
          <w:rFonts w:hint="eastAsia" w:ascii="宋体" w:hAnsi="宋体"/>
          <w:sz w:val="21"/>
          <w:szCs w:val="21"/>
          <w:highlight w:val="none"/>
        </w:rPr>
      </w:pPr>
      <w:bookmarkStart w:id="171" w:name="_Toc7753"/>
      <w:r>
        <w:rPr>
          <w:rFonts w:ascii="宋体" w:hAnsi="宋体"/>
          <w:sz w:val="21"/>
          <w:szCs w:val="21"/>
          <w:highlight w:val="none"/>
        </w:rPr>
        <w:t>门诊预约系统</w:t>
      </w:r>
      <w:bookmarkEnd w:id="171"/>
    </w:p>
    <w:p w14:paraId="60D4D68F">
      <w:pPr>
        <w:pStyle w:val="5"/>
        <w:rPr>
          <w:rFonts w:hint="eastAsia" w:ascii="宋体" w:hAnsi="宋体" w:eastAsia="宋体"/>
          <w:sz w:val="21"/>
          <w:szCs w:val="21"/>
          <w:highlight w:val="none"/>
        </w:rPr>
      </w:pPr>
      <w:r>
        <w:rPr>
          <w:rFonts w:ascii="宋体" w:hAnsi="宋体" w:eastAsia="宋体"/>
          <w:sz w:val="21"/>
          <w:szCs w:val="21"/>
          <w:highlight w:val="none"/>
        </w:rPr>
        <w:t>门诊预约</w:t>
      </w:r>
    </w:p>
    <w:p w14:paraId="603818AB">
      <w:pPr>
        <w:rPr>
          <w:rFonts w:hint="eastAsia"/>
          <w:szCs w:val="21"/>
          <w:highlight w:val="none"/>
        </w:rPr>
      </w:pPr>
      <w:r>
        <w:rPr>
          <w:rFonts w:hint="eastAsia"/>
          <w:szCs w:val="21"/>
          <w:highlight w:val="none"/>
        </w:rPr>
        <w:t>要求支持通过分诊台、医生诊间、自助机、门户网站、手机</w:t>
      </w:r>
      <w:r>
        <w:rPr>
          <w:szCs w:val="21"/>
          <w:highlight w:val="none"/>
        </w:rPr>
        <w:t>app，微信公众号等预约渠道实现门诊号源预约。门诊预约具备完善的排班管理功能，简化医务人员以往繁杂的排班流程，也支持多样的预约规则库避免医疗资源的浪费，同时依托分诊管理和大屏叫号，充分解决科室就医无序混乱等状态。</w:t>
      </w:r>
    </w:p>
    <w:p w14:paraId="63174776">
      <w:pPr>
        <w:rPr>
          <w:rFonts w:hint="eastAsia"/>
          <w:szCs w:val="21"/>
          <w:highlight w:val="none"/>
        </w:rPr>
      </w:pPr>
      <w:r>
        <w:rPr>
          <w:rFonts w:hint="eastAsia"/>
          <w:szCs w:val="21"/>
          <w:highlight w:val="none"/>
        </w:rPr>
        <w:t>（</w:t>
      </w:r>
      <w:r>
        <w:rPr>
          <w:szCs w:val="21"/>
          <w:highlight w:val="none"/>
        </w:rPr>
        <w:t>1）预约管理</w:t>
      </w:r>
    </w:p>
    <w:p w14:paraId="0F1D76ED">
      <w:pPr>
        <w:rPr>
          <w:rFonts w:hint="eastAsia"/>
          <w:szCs w:val="21"/>
          <w:highlight w:val="none"/>
        </w:rPr>
      </w:pPr>
      <w:r>
        <w:rPr>
          <w:rFonts w:hint="eastAsia"/>
          <w:szCs w:val="21"/>
          <w:highlight w:val="none"/>
        </w:rPr>
        <w:t>要求支持根据排班所生成的号源将在统一号源池进行集中管理，对外为患者提供多渠道预约服务，预约时根据预约规则进行限制，例如：年龄、性别、同班次号源重复预约等，实现号源不浪费节约医疗资源。主要功能要求包括：预约规则、多渠道预约、专家号</w:t>
      </w:r>
      <w:r>
        <w:rPr>
          <w:szCs w:val="21"/>
          <w:highlight w:val="none"/>
        </w:rPr>
        <w:t>/科室普通号预约、取消预约、改期预约、号源查询、预约记录查询。</w:t>
      </w:r>
    </w:p>
    <w:p w14:paraId="78681BA4">
      <w:pPr>
        <w:rPr>
          <w:rFonts w:hint="eastAsia"/>
          <w:szCs w:val="21"/>
          <w:highlight w:val="none"/>
        </w:rPr>
      </w:pPr>
      <w:r>
        <w:rPr>
          <w:rFonts w:hint="eastAsia"/>
          <w:szCs w:val="21"/>
          <w:highlight w:val="none"/>
        </w:rPr>
        <w:t>（</w:t>
      </w:r>
      <w:r>
        <w:rPr>
          <w:szCs w:val="21"/>
          <w:highlight w:val="none"/>
        </w:rPr>
        <w:t>2）签到管理</w:t>
      </w:r>
    </w:p>
    <w:p w14:paraId="4CF94F99">
      <w:pPr>
        <w:rPr>
          <w:rFonts w:hint="eastAsia"/>
          <w:szCs w:val="21"/>
          <w:highlight w:val="none"/>
        </w:rPr>
      </w:pPr>
      <w:r>
        <w:rPr>
          <w:rFonts w:hint="eastAsia"/>
          <w:szCs w:val="21"/>
          <w:highlight w:val="none"/>
        </w:rPr>
        <w:t>要求支持患者在分诊台、自助机、公众号等进行签到候诊，签到时遵循签到规则并且支持对于已签到的患者进行查询。主要功能要求包括：签到规则、迟到规则、过号规则、取消规则、爽约规则、签到查询。</w:t>
      </w:r>
    </w:p>
    <w:p w14:paraId="136F8583">
      <w:pPr>
        <w:pStyle w:val="5"/>
        <w:rPr>
          <w:rFonts w:hint="eastAsia" w:ascii="宋体" w:hAnsi="宋体" w:eastAsia="宋体"/>
          <w:sz w:val="21"/>
          <w:szCs w:val="21"/>
          <w:highlight w:val="none"/>
        </w:rPr>
      </w:pPr>
      <w:r>
        <w:rPr>
          <w:rFonts w:ascii="宋体" w:hAnsi="宋体" w:eastAsia="宋体"/>
          <w:sz w:val="21"/>
          <w:szCs w:val="21"/>
          <w:highlight w:val="none"/>
        </w:rPr>
        <w:t>门诊排班管理</w:t>
      </w:r>
    </w:p>
    <w:p w14:paraId="3861BFC4">
      <w:pPr>
        <w:rPr>
          <w:rFonts w:hint="eastAsia"/>
          <w:szCs w:val="21"/>
          <w:highlight w:val="none"/>
        </w:rPr>
      </w:pPr>
      <w:r>
        <w:rPr>
          <w:rFonts w:hint="eastAsia"/>
          <w:szCs w:val="21"/>
          <w:highlight w:val="none"/>
        </w:rPr>
        <w:t>要求系统通过完善的排班管理功能对科室医生进行排班操作。计划排班与临时排班并行满足医院日常排班需求，排班设置完成后根据排班生成号源，同时通过节假日管理和时令管理确保号源只在医院工作日内的上下班时间生成。为了满足不同科室的需求，要求系统支持不同科室个性化配置可预约渠道，并支持为不同渠道设置不同的可预约号源数，同时搭配便捷快速的停诊和替诊操作，使排班更加合理化和智能化。主要功能要求包括：计划排班、临时排班管理、多渠道号源限制、节假日管理、替诊管理、停诊管理、批量限号</w:t>
      </w:r>
      <w:r>
        <w:rPr>
          <w:szCs w:val="21"/>
          <w:highlight w:val="none"/>
        </w:rPr>
        <w:t>/恢复、号源管理、时令管理。</w:t>
      </w:r>
    </w:p>
    <w:p w14:paraId="19069F7E">
      <w:pPr>
        <w:pStyle w:val="5"/>
        <w:rPr>
          <w:rFonts w:hint="eastAsia" w:ascii="宋体" w:hAnsi="宋体" w:eastAsia="宋体"/>
          <w:sz w:val="21"/>
          <w:szCs w:val="21"/>
          <w:highlight w:val="none"/>
        </w:rPr>
      </w:pPr>
      <w:r>
        <w:rPr>
          <w:rFonts w:ascii="宋体" w:hAnsi="宋体" w:eastAsia="宋体"/>
          <w:sz w:val="21"/>
          <w:szCs w:val="21"/>
          <w:highlight w:val="none"/>
        </w:rPr>
        <w:t>门诊分诊管理</w:t>
      </w:r>
    </w:p>
    <w:p w14:paraId="2E215DB8">
      <w:pPr>
        <w:rPr>
          <w:rFonts w:hint="eastAsia"/>
          <w:szCs w:val="21"/>
          <w:highlight w:val="none"/>
        </w:rPr>
      </w:pPr>
      <w:r>
        <w:rPr>
          <w:rFonts w:hint="eastAsia"/>
          <w:szCs w:val="21"/>
          <w:highlight w:val="none"/>
        </w:rPr>
        <w:t>门诊分诊管理帮助分诊人员根据患者病情及预约情况，确定患者看诊优先次序，要求通过签到、回诊上屏、优先叫号等分诊规则实现分诊队列调整，解决患者在看病中所遇到的各种排队、拥挤和混乱等现象，避免患者反复进出诊室、打乱诊疗秩序。主要功能要求包括：队列管理、回诊管理、优先规则、动态加号、诊室变更、停诊管理、锁号管理、转诊规则。</w:t>
      </w:r>
    </w:p>
    <w:p w14:paraId="5115377B">
      <w:pPr>
        <w:pStyle w:val="5"/>
        <w:rPr>
          <w:rFonts w:hint="eastAsia" w:ascii="宋体" w:hAnsi="宋体" w:eastAsia="宋体"/>
          <w:sz w:val="21"/>
          <w:szCs w:val="21"/>
          <w:highlight w:val="none"/>
        </w:rPr>
      </w:pPr>
      <w:bookmarkStart w:id="172" w:name="_Toc35337339"/>
      <w:r>
        <w:rPr>
          <w:rFonts w:hint="eastAsia" w:ascii="宋体" w:hAnsi="宋体" w:eastAsia="宋体"/>
          <w:sz w:val="21"/>
          <w:szCs w:val="21"/>
          <w:highlight w:val="none"/>
        </w:rPr>
        <w:t>基础管理系统</w:t>
      </w:r>
      <w:bookmarkEnd w:id="172"/>
    </w:p>
    <w:p w14:paraId="35FE4925">
      <w:pPr>
        <w:ind w:firstLine="480" w:firstLineChars="200"/>
        <w:rPr>
          <w:rFonts w:hint="eastAsia"/>
          <w:szCs w:val="21"/>
          <w:highlight w:val="none"/>
        </w:rPr>
      </w:pPr>
      <w:r>
        <w:rPr>
          <w:rFonts w:hint="eastAsia"/>
          <w:szCs w:val="21"/>
          <w:highlight w:val="none"/>
        </w:rPr>
        <w:t>主要针对平台的基础字典的统一维护管理功能</w:t>
      </w:r>
      <w:r>
        <w:rPr>
          <w:rFonts w:hint="eastAsia"/>
          <w:kern w:val="0"/>
          <w:szCs w:val="21"/>
          <w:highlight w:val="none"/>
        </w:rPr>
        <w:t>，字典简单、字典内容数据相对固定、字典数据可以相对标准统一编辑模块进行维护</w:t>
      </w:r>
      <w:r>
        <w:rPr>
          <w:rFonts w:hint="eastAsia"/>
          <w:szCs w:val="21"/>
          <w:highlight w:val="none"/>
        </w:rPr>
        <w:t>，包括检查类别、检查部位、归属院区、科室类别、菜单、接口服务等。</w:t>
      </w:r>
    </w:p>
    <w:p w14:paraId="7748D3A6">
      <w:pPr>
        <w:pStyle w:val="5"/>
        <w:rPr>
          <w:rFonts w:hint="eastAsia" w:ascii="宋体" w:hAnsi="宋体" w:eastAsia="宋体"/>
          <w:sz w:val="21"/>
          <w:szCs w:val="21"/>
          <w:highlight w:val="none"/>
        </w:rPr>
      </w:pPr>
      <w:bookmarkStart w:id="173" w:name="_Toc3278415"/>
      <w:bookmarkStart w:id="174" w:name="_Toc2668675"/>
      <w:bookmarkStart w:id="175" w:name="_Toc35337344"/>
      <w:r>
        <w:rPr>
          <w:rFonts w:ascii="宋体" w:hAnsi="宋体" w:eastAsia="宋体"/>
          <w:sz w:val="21"/>
          <w:szCs w:val="21"/>
          <w:highlight w:val="none"/>
        </w:rPr>
        <w:t>签到管理</w:t>
      </w:r>
      <w:bookmarkEnd w:id="173"/>
      <w:bookmarkEnd w:id="174"/>
      <w:bookmarkEnd w:id="175"/>
    </w:p>
    <w:p w14:paraId="3FEC84E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签到查询</w:t>
      </w:r>
    </w:p>
    <w:p w14:paraId="6FB2BC6C">
      <w:pPr>
        <w:ind w:firstLine="480"/>
        <w:rPr>
          <w:rFonts w:hint="eastAsia"/>
          <w:szCs w:val="21"/>
          <w:highlight w:val="none"/>
        </w:rPr>
      </w:pPr>
      <w:r>
        <w:rPr>
          <w:rFonts w:hint="eastAsia"/>
          <w:szCs w:val="21"/>
          <w:highlight w:val="none"/>
        </w:rPr>
        <w:t>在科室分诊台、医生工作站、P</w:t>
      </w:r>
      <w:r>
        <w:rPr>
          <w:szCs w:val="21"/>
          <w:highlight w:val="none"/>
        </w:rPr>
        <w:t>ACS</w:t>
      </w:r>
      <w:r>
        <w:rPr>
          <w:rFonts w:hint="eastAsia"/>
          <w:szCs w:val="21"/>
          <w:highlight w:val="none"/>
        </w:rPr>
        <w:t>系统中可查询诊室已签到人员数据。</w:t>
      </w:r>
    </w:p>
    <w:p w14:paraId="36F371C6">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预约签到</w:t>
      </w:r>
    </w:p>
    <w:p w14:paraId="34607A31">
      <w:pPr>
        <w:ind w:firstLine="480"/>
        <w:rPr>
          <w:rFonts w:hint="eastAsia"/>
          <w:szCs w:val="21"/>
          <w:highlight w:val="none"/>
        </w:rPr>
      </w:pPr>
      <w:r>
        <w:rPr>
          <w:rFonts w:hint="eastAsia"/>
          <w:szCs w:val="21"/>
          <w:highlight w:val="none"/>
        </w:rPr>
        <w:t>凭预约凭证在分诊台、自助机、医生工作站、便民服务小程序等签到排队，根据签到顺序分配到候诊队列最短的诊室，加入到该诊室的排队叫号队列中。签到顺序规则只在预约号源所在时段内有效，超过号源所在时间段签到，则自动顺延参与下一时间段内的签到排序。</w:t>
      </w:r>
    </w:p>
    <w:p w14:paraId="743C8BA7">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取消签到</w:t>
      </w:r>
    </w:p>
    <w:p w14:paraId="51C68E69">
      <w:pPr>
        <w:ind w:firstLine="480"/>
        <w:rPr>
          <w:rFonts w:hint="eastAsia"/>
          <w:szCs w:val="21"/>
          <w:highlight w:val="none"/>
        </w:rPr>
      </w:pPr>
      <w:r>
        <w:rPr>
          <w:rFonts w:hint="eastAsia"/>
          <w:szCs w:val="21"/>
          <w:highlight w:val="none"/>
        </w:rPr>
        <w:t>签到后可到分诊台取消签到，成功后退出签到队列并取消当前预约号。支持取消后重新预约下次检查时间。</w:t>
      </w:r>
    </w:p>
    <w:p w14:paraId="49523F04">
      <w:pPr>
        <w:pStyle w:val="5"/>
        <w:rPr>
          <w:rFonts w:hint="eastAsia" w:ascii="宋体" w:hAnsi="宋体" w:eastAsia="宋体"/>
          <w:sz w:val="21"/>
          <w:szCs w:val="21"/>
          <w:highlight w:val="none"/>
        </w:rPr>
      </w:pPr>
      <w:bookmarkStart w:id="176" w:name="_Toc35337345"/>
      <w:bookmarkStart w:id="177" w:name="_Toc23404936"/>
      <w:r>
        <w:rPr>
          <w:rFonts w:hint="eastAsia" w:ascii="宋体" w:hAnsi="宋体" w:eastAsia="宋体"/>
          <w:sz w:val="21"/>
          <w:szCs w:val="21"/>
          <w:highlight w:val="none"/>
        </w:rPr>
        <w:t>黑名单管理</w:t>
      </w:r>
      <w:bookmarkEnd w:id="176"/>
      <w:bookmarkEnd w:id="177"/>
    </w:p>
    <w:p w14:paraId="7348535E">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黑名单维护</w:t>
      </w:r>
    </w:p>
    <w:p w14:paraId="38B331F6">
      <w:pPr>
        <w:ind w:firstLine="480"/>
        <w:rPr>
          <w:rFonts w:hint="eastAsia"/>
          <w:szCs w:val="21"/>
          <w:highlight w:val="none"/>
        </w:rPr>
      </w:pPr>
      <w:r>
        <w:rPr>
          <w:rFonts w:hint="eastAsia"/>
          <w:szCs w:val="21"/>
          <w:highlight w:val="none"/>
        </w:rPr>
        <w:t>对信用记录不良者进行黑名单处理。黑名单规则为以下三种情况①一个月内在系统取消预约超过三次者将被记录不良信息黑名单②预约后占用号源屡次爽约将被记录黑名单，信用记录良好者可升级为白名单，后台管理系统支持对黑名单的新增、修改、删除功能。</w:t>
      </w:r>
    </w:p>
    <w:p w14:paraId="4D908B19">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撤销黑名单审核</w:t>
      </w:r>
    </w:p>
    <w:p w14:paraId="3D352B07">
      <w:pPr>
        <w:ind w:firstLine="480"/>
        <w:rPr>
          <w:rFonts w:hint="eastAsia"/>
          <w:szCs w:val="21"/>
          <w:highlight w:val="none"/>
        </w:rPr>
      </w:pPr>
      <w:r>
        <w:rPr>
          <w:rFonts w:hint="eastAsia"/>
          <w:szCs w:val="21"/>
          <w:highlight w:val="none"/>
        </w:rPr>
        <w:t>系统或人为误操作将人员拉入黑名单列表，人员可提出相关申诉，撤销黑名单审核处理传入的黑名单申诉列表。模块支持对黑名单申诉列表进行修改、删除、审核等基本操作。</w:t>
      </w:r>
    </w:p>
    <w:p w14:paraId="3BC0896E">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黑名单规则</w:t>
      </w:r>
    </w:p>
    <w:p w14:paraId="64650B4A">
      <w:pPr>
        <w:ind w:firstLine="480" w:firstLineChars="200"/>
        <w:rPr>
          <w:rFonts w:hint="eastAsia"/>
          <w:szCs w:val="21"/>
          <w:highlight w:val="none"/>
        </w:rPr>
      </w:pPr>
      <w:r>
        <w:rPr>
          <w:rFonts w:hint="eastAsia"/>
          <w:szCs w:val="21"/>
          <w:highlight w:val="none"/>
        </w:rPr>
        <w:t>对于预约中黑名单规则的管理，主要是对疑似倒号、伤医、连续爽约（失信）等行为制定具体的限制规则。</w:t>
      </w:r>
    </w:p>
    <w:p w14:paraId="136EF6EB">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黑名单申诉</w:t>
      </w:r>
    </w:p>
    <w:p w14:paraId="23035177">
      <w:pPr>
        <w:rPr>
          <w:rFonts w:hint="eastAsia"/>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对于在预约中违反对应规则而进入黑明单的患者，在医院A</w:t>
      </w:r>
      <w:r>
        <w:rPr>
          <w:szCs w:val="21"/>
          <w:highlight w:val="none"/>
        </w:rPr>
        <w:t>PP</w:t>
      </w:r>
      <w:r>
        <w:rPr>
          <w:rFonts w:hint="eastAsia"/>
          <w:szCs w:val="21"/>
          <w:highlight w:val="none"/>
        </w:rPr>
        <w:t>、公众号中将提供黑名单申诉功能。管理员将对患者的申诉记录进行审核，审核通过则将使患者的就诊身份信息从黑名单中去除。</w:t>
      </w:r>
    </w:p>
    <w:p w14:paraId="51590FA1">
      <w:pPr>
        <w:pStyle w:val="5"/>
        <w:rPr>
          <w:rFonts w:hint="eastAsia" w:ascii="宋体" w:hAnsi="宋体" w:eastAsia="宋体"/>
          <w:sz w:val="21"/>
          <w:szCs w:val="21"/>
          <w:highlight w:val="none"/>
        </w:rPr>
      </w:pPr>
      <w:bookmarkStart w:id="178" w:name="_Toc23404937"/>
      <w:bookmarkStart w:id="179" w:name="_Toc2668678"/>
      <w:bookmarkStart w:id="180" w:name="_Toc35337346"/>
      <w:bookmarkStart w:id="181" w:name="_Toc3278418"/>
      <w:r>
        <w:rPr>
          <w:rFonts w:ascii="宋体" w:hAnsi="宋体" w:eastAsia="宋体"/>
          <w:sz w:val="21"/>
          <w:szCs w:val="21"/>
          <w:highlight w:val="none"/>
        </w:rPr>
        <w:t>通知管理</w:t>
      </w:r>
      <w:bookmarkEnd w:id="178"/>
      <w:bookmarkEnd w:id="179"/>
      <w:bookmarkEnd w:id="180"/>
      <w:bookmarkEnd w:id="181"/>
    </w:p>
    <w:p w14:paraId="60B985AD">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预约成功通知</w:t>
      </w:r>
    </w:p>
    <w:p w14:paraId="484A3728">
      <w:pPr>
        <w:ind w:firstLine="480"/>
        <w:rPr>
          <w:rFonts w:hint="eastAsia"/>
          <w:szCs w:val="21"/>
          <w:highlight w:val="none"/>
        </w:rPr>
      </w:pPr>
      <w:r>
        <w:rPr>
          <w:szCs w:val="21"/>
          <w:highlight w:val="none"/>
        </w:rPr>
        <w:t>平台确认预约完成的消息出口，与医院集成平台实现消息转发，返回预约请求状态，并实现预约确认单据的打印。</w:t>
      </w:r>
    </w:p>
    <w:p w14:paraId="6232D64A">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取消预约通知</w:t>
      </w:r>
    </w:p>
    <w:p w14:paraId="5353D024">
      <w:pPr>
        <w:ind w:firstLine="480"/>
        <w:rPr>
          <w:rFonts w:hint="eastAsia"/>
          <w:szCs w:val="21"/>
          <w:highlight w:val="none"/>
        </w:rPr>
      </w:pPr>
      <w:r>
        <w:rPr>
          <w:szCs w:val="21"/>
          <w:highlight w:val="none"/>
        </w:rPr>
        <w:t>平台确认</w:t>
      </w:r>
      <w:r>
        <w:rPr>
          <w:rFonts w:hint="eastAsia"/>
          <w:szCs w:val="21"/>
          <w:highlight w:val="none"/>
        </w:rPr>
        <w:t>取消</w:t>
      </w:r>
      <w:r>
        <w:rPr>
          <w:szCs w:val="21"/>
          <w:highlight w:val="none"/>
        </w:rPr>
        <w:t>预约完成的消息出口，</w:t>
      </w:r>
      <w:r>
        <w:rPr>
          <w:rFonts w:hint="eastAsia"/>
          <w:szCs w:val="21"/>
          <w:highlight w:val="none"/>
        </w:rPr>
        <w:t>通过便民服务小程序、院内微信公众号等方式发送取消预约的通知消息。</w:t>
      </w:r>
    </w:p>
    <w:p w14:paraId="5164C733">
      <w:pPr>
        <w:pStyle w:val="6"/>
        <w:numPr>
          <w:ilvl w:val="4"/>
          <w:numId w:val="0"/>
        </w:numPr>
        <w:ind w:left="1008" w:hanging="1008"/>
        <w:rPr>
          <w:rFonts w:hint="eastAsia" w:ascii="宋体" w:hAnsi="宋体"/>
          <w:sz w:val="21"/>
          <w:szCs w:val="21"/>
          <w:highlight w:val="none"/>
        </w:rPr>
      </w:pPr>
      <w:r>
        <w:rPr>
          <w:rFonts w:ascii="宋体" w:hAnsi="宋体"/>
          <w:sz w:val="21"/>
          <w:szCs w:val="21"/>
          <w:highlight w:val="none"/>
        </w:rPr>
        <w:t>候诊通知</w:t>
      </w:r>
    </w:p>
    <w:p w14:paraId="223ACC5E">
      <w:pPr>
        <w:ind w:firstLine="480"/>
        <w:rPr>
          <w:rFonts w:hint="eastAsia"/>
          <w:szCs w:val="21"/>
          <w:highlight w:val="none"/>
        </w:rPr>
      </w:pPr>
      <w:r>
        <w:rPr>
          <w:szCs w:val="21"/>
          <w:highlight w:val="none"/>
        </w:rPr>
        <w:t>平台</w:t>
      </w:r>
      <w:r>
        <w:rPr>
          <w:rFonts w:hint="eastAsia"/>
          <w:szCs w:val="21"/>
          <w:highlight w:val="none"/>
        </w:rPr>
        <w:t>候诊通知</w:t>
      </w:r>
      <w:r>
        <w:rPr>
          <w:szCs w:val="21"/>
          <w:highlight w:val="none"/>
        </w:rPr>
        <w:t>的消息出口</w:t>
      </w:r>
      <w:r>
        <w:rPr>
          <w:rFonts w:hint="eastAsia"/>
          <w:szCs w:val="21"/>
          <w:highlight w:val="none"/>
        </w:rPr>
        <w:t>，在患者通过便民服务小程序进行院内签到后，将根据患者所预约号源的实际候诊排队情况，对患者发送候诊通知，以便患者及时到诊室进行就诊检查。</w:t>
      </w:r>
    </w:p>
    <w:p w14:paraId="44BEE7A6">
      <w:pPr>
        <w:pStyle w:val="6"/>
        <w:numPr>
          <w:ilvl w:val="4"/>
          <w:numId w:val="0"/>
        </w:numPr>
        <w:ind w:left="1008" w:hanging="1008"/>
        <w:rPr>
          <w:rFonts w:hint="eastAsia" w:ascii="宋体" w:hAnsi="宋体"/>
          <w:sz w:val="21"/>
          <w:szCs w:val="21"/>
          <w:highlight w:val="none"/>
        </w:rPr>
      </w:pPr>
      <w:r>
        <w:rPr>
          <w:rFonts w:hint="eastAsia" w:ascii="宋体" w:hAnsi="宋体"/>
          <w:sz w:val="21"/>
          <w:szCs w:val="21"/>
          <w:highlight w:val="none"/>
        </w:rPr>
        <w:t>停诊通知</w:t>
      </w:r>
    </w:p>
    <w:p w14:paraId="6AC9994E">
      <w:pPr>
        <w:ind w:firstLine="480" w:firstLineChars="200"/>
        <w:rPr>
          <w:rFonts w:hint="eastAsia"/>
          <w:szCs w:val="21"/>
          <w:highlight w:val="none"/>
        </w:rPr>
      </w:pPr>
      <w:r>
        <w:rPr>
          <w:rFonts w:hint="eastAsia"/>
          <w:szCs w:val="21"/>
          <w:highlight w:val="none"/>
        </w:rPr>
        <w:t>平台停诊的消息出口，在医生因为某些原因无法出诊或设备无法正常使用时，将会通过发送停诊通知告知预约患者，以便患者再次进行其他预约，减少耽误患者原有看病的行程的概率。</w:t>
      </w:r>
    </w:p>
    <w:p w14:paraId="530B228C">
      <w:pPr>
        <w:rPr>
          <w:rFonts w:hint="eastAsia"/>
          <w:szCs w:val="21"/>
          <w:highlight w:val="none"/>
        </w:rPr>
      </w:pPr>
    </w:p>
    <w:p w14:paraId="6D392D33">
      <w:pPr>
        <w:pStyle w:val="5"/>
        <w:rPr>
          <w:rFonts w:hint="eastAsia" w:ascii="宋体" w:hAnsi="宋体" w:eastAsia="宋体"/>
          <w:sz w:val="21"/>
          <w:szCs w:val="21"/>
          <w:highlight w:val="none"/>
        </w:rPr>
      </w:pPr>
      <w:bookmarkStart w:id="182" w:name="_Toc3278416"/>
      <w:bookmarkStart w:id="183" w:name="_Toc2668676"/>
      <w:bookmarkStart w:id="184" w:name="_Toc35337347"/>
      <w:r>
        <w:rPr>
          <w:rFonts w:hint="eastAsia" w:ascii="宋体" w:hAnsi="宋体" w:eastAsia="宋体"/>
          <w:sz w:val="21"/>
          <w:szCs w:val="21"/>
          <w:highlight w:val="none"/>
        </w:rPr>
        <w:t>检查</w:t>
      </w:r>
      <w:r>
        <w:rPr>
          <w:rFonts w:ascii="宋体" w:hAnsi="宋体" w:eastAsia="宋体"/>
          <w:sz w:val="21"/>
          <w:szCs w:val="21"/>
          <w:highlight w:val="none"/>
        </w:rPr>
        <w:t>预约</w:t>
      </w:r>
      <w:bookmarkEnd w:id="182"/>
      <w:bookmarkEnd w:id="183"/>
      <w:r>
        <w:rPr>
          <w:rFonts w:hint="eastAsia" w:ascii="宋体" w:hAnsi="宋体" w:eastAsia="宋体"/>
          <w:sz w:val="21"/>
          <w:szCs w:val="21"/>
          <w:highlight w:val="none"/>
        </w:rPr>
        <w:t>系统</w:t>
      </w:r>
      <w:bookmarkEnd w:id="184"/>
    </w:p>
    <w:p w14:paraId="4587DD49">
      <w:pPr>
        <w:pStyle w:val="6"/>
        <w:numPr>
          <w:ilvl w:val="4"/>
          <w:numId w:val="0"/>
        </w:numPr>
        <w:ind w:left="1008" w:hanging="1008"/>
        <w:rPr>
          <w:rFonts w:hint="eastAsia" w:ascii="宋体" w:hAnsi="宋体"/>
          <w:sz w:val="21"/>
          <w:szCs w:val="21"/>
          <w:highlight w:val="none"/>
        </w:rPr>
      </w:pPr>
      <w:bookmarkStart w:id="185" w:name="_Toc35337348"/>
      <w:r>
        <w:rPr>
          <w:rFonts w:hint="eastAsia" w:ascii="宋体" w:hAnsi="宋体"/>
          <w:sz w:val="21"/>
          <w:szCs w:val="21"/>
          <w:highlight w:val="none"/>
        </w:rPr>
        <w:t>检查项目管理</w:t>
      </w:r>
      <w:bookmarkEnd w:id="185"/>
    </w:p>
    <w:p w14:paraId="084118C2">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项目</w:t>
      </w:r>
      <w:r>
        <w:rPr>
          <w:rFonts w:hint="eastAsia" w:ascii="宋体" w:hAnsi="宋体" w:eastAsia="宋体"/>
          <w:sz w:val="21"/>
          <w:szCs w:val="21"/>
          <w:highlight w:val="none"/>
        </w:rPr>
        <w:t>管理</w:t>
      </w:r>
    </w:p>
    <w:p w14:paraId="445F78C8">
      <w:pPr>
        <w:ind w:firstLine="480" w:firstLineChars="200"/>
        <w:rPr>
          <w:rFonts w:hint="eastAsia"/>
          <w:szCs w:val="21"/>
          <w:highlight w:val="none"/>
        </w:rPr>
      </w:pPr>
      <w:r>
        <w:rPr>
          <w:rFonts w:hint="eastAsia"/>
          <w:szCs w:val="21"/>
          <w:highlight w:val="none"/>
        </w:rPr>
        <w:t>项目管理是对医院具体的医技检查项目信息进行管理，包括项目明细编码（</w:t>
      </w:r>
      <w:r>
        <w:rPr>
          <w:szCs w:val="21"/>
          <w:highlight w:val="none"/>
        </w:rPr>
        <w:t>H</w:t>
      </w:r>
      <w:r>
        <w:rPr>
          <w:rFonts w:hint="eastAsia"/>
          <w:szCs w:val="21"/>
          <w:highlight w:val="none"/>
        </w:rPr>
        <w:t>is收费项目编码）、项目明细名称（</w:t>
      </w:r>
      <w:r>
        <w:rPr>
          <w:szCs w:val="21"/>
          <w:highlight w:val="none"/>
        </w:rPr>
        <w:t>H</w:t>
      </w:r>
      <w:r>
        <w:rPr>
          <w:rFonts w:hint="eastAsia"/>
          <w:szCs w:val="21"/>
          <w:highlight w:val="none"/>
        </w:rPr>
        <w:t>is收费名称）、检查分类、标准编码（医保编码）、所属检查部位、检查建议等。支持通过文件导入的方式，对医院的医技项目进行快速的维护管理。同时将提供医技项目同步服务，实时与His的医技收费项目同步，自动对医院新增或修改的项目进行更新，减少管理人员繁杂的手工录入工作。</w:t>
      </w:r>
    </w:p>
    <w:p w14:paraId="1DA9743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项目权重管理</w:t>
      </w:r>
    </w:p>
    <w:p w14:paraId="08DD0B00">
      <w:pPr>
        <w:ind w:firstLine="480" w:firstLineChars="200"/>
        <w:rPr>
          <w:rFonts w:hint="eastAsia"/>
          <w:szCs w:val="21"/>
          <w:highlight w:val="none"/>
        </w:rPr>
      </w:pPr>
      <w:r>
        <w:rPr>
          <w:rFonts w:hint="eastAsia"/>
          <w:szCs w:val="21"/>
          <w:highlight w:val="none"/>
        </w:rPr>
        <w:t>项目权重管理是针对工作量优先策略模式支持每个检查项目权重的设置的功能。主要包括：每个检查项目的权重设置并且支持小程序、自助机等预约端检查项目时长的设置。同时项目管理支持依据项目的检查时间灵活配置班次，例如超声科室的腹部彩超项目，支持对项目进行配置早班，优先安排该项目的检查病人在上午进行检查。</w:t>
      </w:r>
    </w:p>
    <w:p w14:paraId="22FBB361">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项目组</w:t>
      </w:r>
      <w:r>
        <w:rPr>
          <w:rFonts w:hint="eastAsia" w:ascii="宋体" w:hAnsi="宋体" w:eastAsia="宋体"/>
          <w:sz w:val="21"/>
          <w:szCs w:val="21"/>
          <w:highlight w:val="none"/>
        </w:rPr>
        <w:t>管理</w:t>
      </w:r>
    </w:p>
    <w:p w14:paraId="2D1D4271">
      <w:pPr>
        <w:ind w:firstLine="480"/>
        <w:rPr>
          <w:rFonts w:hint="eastAsia"/>
          <w:szCs w:val="21"/>
          <w:highlight w:val="none"/>
        </w:rPr>
      </w:pPr>
      <w:r>
        <w:rPr>
          <w:rFonts w:hint="eastAsia"/>
          <w:szCs w:val="21"/>
          <w:highlight w:val="none"/>
        </w:rPr>
        <w:t>项目组管理是对医技项目的分组管理，通过对医技项目的分组，将同类别检查项目进行组合，可以将医生申请单中的多个检查项目进行组合预约，以此来减少预约时所消耗的预约号源数量。同时简化了患者的预约操作步骤，减少了多个项目之间的检查等待时间，提高整体就医效率。</w:t>
      </w:r>
    </w:p>
    <w:p w14:paraId="568AB75A">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诊室项目关联</w:t>
      </w:r>
    </w:p>
    <w:p w14:paraId="22A8CA6B">
      <w:pPr>
        <w:ind w:firstLine="480"/>
        <w:rPr>
          <w:rFonts w:hint="eastAsia"/>
          <w:szCs w:val="21"/>
          <w:highlight w:val="none"/>
        </w:rPr>
      </w:pPr>
      <w:r>
        <w:rPr>
          <w:rFonts w:hint="eastAsia"/>
          <w:szCs w:val="21"/>
          <w:highlight w:val="none"/>
        </w:rPr>
        <w:t>对诊室下开展的医技项目明细进行管理，通过诊室医技项目的关联，为后续诊室下医技项目的预约排班提供数据依据，同时对不同诊室下医技项目的组合预约限制产生影响。</w:t>
      </w:r>
    </w:p>
    <w:p w14:paraId="406A32BA">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医技项目关联</w:t>
      </w:r>
    </w:p>
    <w:p w14:paraId="4528EAD4">
      <w:pPr>
        <w:ind w:firstLine="480"/>
        <w:rPr>
          <w:rFonts w:hint="eastAsia"/>
          <w:szCs w:val="21"/>
          <w:highlight w:val="none"/>
        </w:rPr>
      </w:pPr>
      <w:r>
        <w:rPr>
          <w:rFonts w:hint="eastAsia"/>
          <w:szCs w:val="21"/>
          <w:highlight w:val="none"/>
        </w:rPr>
        <w:t>医技项目关联是项目分类与医技项目（即</w:t>
      </w:r>
      <w:r>
        <w:rPr>
          <w:szCs w:val="21"/>
          <w:highlight w:val="none"/>
        </w:rPr>
        <w:t>H</w:t>
      </w:r>
      <w:r>
        <w:rPr>
          <w:rFonts w:hint="eastAsia"/>
          <w:szCs w:val="21"/>
          <w:highlight w:val="none"/>
        </w:rPr>
        <w:t>is收费明细项目）的关联管理，用于对检查项目明细进行分组，能够让用户更快速的查询相应分类下的医技项目明细，并通过分类，对项目组进行快速的维护管理。</w:t>
      </w:r>
    </w:p>
    <w:p w14:paraId="4DC5980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HIS项目明细管理</w:t>
      </w:r>
    </w:p>
    <w:p w14:paraId="3065927E">
      <w:pPr>
        <w:ind w:firstLine="480"/>
        <w:jc w:val="left"/>
        <w:rPr>
          <w:rFonts w:hint="eastAsia"/>
          <w:szCs w:val="21"/>
          <w:highlight w:val="none"/>
        </w:rPr>
      </w:pPr>
      <w:r>
        <w:rPr>
          <w:rFonts w:hint="eastAsia"/>
          <w:szCs w:val="21"/>
          <w:highlight w:val="none"/>
        </w:rPr>
        <w:t>HIS项目明细管理包含项目明细名称，HIS编码，项目名称，检查类别，标准编码，医保编码，占用号源数等内容。</w:t>
      </w:r>
    </w:p>
    <w:p w14:paraId="43B1B8BA">
      <w:pPr>
        <w:pStyle w:val="6"/>
        <w:numPr>
          <w:ilvl w:val="4"/>
          <w:numId w:val="0"/>
        </w:numPr>
        <w:ind w:left="1008" w:hanging="1008"/>
        <w:rPr>
          <w:rFonts w:hint="eastAsia" w:ascii="宋体" w:hAnsi="宋体"/>
          <w:sz w:val="21"/>
          <w:szCs w:val="21"/>
          <w:highlight w:val="none"/>
        </w:rPr>
      </w:pPr>
      <w:bookmarkStart w:id="186" w:name="_Toc35337349"/>
      <w:r>
        <w:rPr>
          <w:rFonts w:hint="eastAsia" w:ascii="宋体" w:hAnsi="宋体"/>
          <w:sz w:val="21"/>
          <w:szCs w:val="21"/>
          <w:highlight w:val="none"/>
        </w:rPr>
        <w:t>检查预约</w:t>
      </w:r>
      <w:bookmarkEnd w:id="186"/>
    </w:p>
    <w:p w14:paraId="14087FF4">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门诊预约渠道</w:t>
      </w:r>
    </w:p>
    <w:p w14:paraId="252178F4">
      <w:pPr>
        <w:ind w:firstLine="480"/>
        <w:rPr>
          <w:rFonts w:hint="eastAsia"/>
          <w:szCs w:val="21"/>
          <w:highlight w:val="none"/>
        </w:rPr>
      </w:pPr>
      <w:r>
        <w:rPr>
          <w:szCs w:val="21"/>
          <w:highlight w:val="none"/>
        </w:rPr>
        <w:t>门诊医生开单后，患者凭就诊卡到医技分诊台进行预约，平台通过读取病人的就诊卡号获取到病人信息及医技申请单信息，对于多项检查的病人可以选择智能化一键批量预约，也可以根据病人的时间安排进行选择性预约。对于预约成功的信息，平台返回预约状态，为病人打印预约回执单。</w:t>
      </w:r>
    </w:p>
    <w:p w14:paraId="1029DCCB">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住院预约</w:t>
      </w:r>
      <w:r>
        <w:rPr>
          <w:rFonts w:hint="eastAsia" w:ascii="宋体" w:hAnsi="宋体" w:eastAsia="宋体"/>
          <w:sz w:val="21"/>
          <w:szCs w:val="21"/>
          <w:highlight w:val="none"/>
        </w:rPr>
        <w:t>渠道</w:t>
      </w:r>
    </w:p>
    <w:p w14:paraId="31081B68">
      <w:pPr>
        <w:ind w:firstLine="480"/>
        <w:rPr>
          <w:rFonts w:hint="eastAsia"/>
          <w:szCs w:val="21"/>
          <w:highlight w:val="none"/>
        </w:rPr>
      </w:pPr>
      <w:r>
        <w:rPr>
          <w:rFonts w:hint="eastAsia"/>
          <w:szCs w:val="21"/>
          <w:highlight w:val="none"/>
        </w:rPr>
        <w:t>住院预约与门诊预约类似，在住院医生为患者开单后，由医技窗口工作人员完成预约。工作人员通过病人的住院号及模糊查询，可以看到不同病区的病人信息及开单信息，通过医生的开单信息可以进行智能一键预约及选择性预约。</w:t>
      </w:r>
    </w:p>
    <w:p w14:paraId="1F103F72">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组合预约</w:t>
      </w:r>
    </w:p>
    <w:p w14:paraId="4D5ECA03">
      <w:pPr>
        <w:ind w:firstLine="480"/>
        <w:rPr>
          <w:rFonts w:hint="eastAsia"/>
          <w:szCs w:val="21"/>
          <w:highlight w:val="none"/>
        </w:rPr>
      </w:pPr>
      <w:r>
        <w:rPr>
          <w:rFonts w:hint="eastAsia"/>
          <w:szCs w:val="21"/>
          <w:highlight w:val="none"/>
        </w:rPr>
        <w:t>组合预约是针对同一个检查科室、同一个检查诊室的检查项目进行组合预约，组合预约在该病人检查时一次性完成，只占用一个预约号源。组合预约的项目需要在医技项目管理中进行组合后才可预约。</w:t>
      </w:r>
    </w:p>
    <w:p w14:paraId="4878A78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拆分预约</w:t>
      </w:r>
    </w:p>
    <w:p w14:paraId="57BF1EEF">
      <w:pPr>
        <w:ind w:firstLine="480" w:firstLineChars="200"/>
        <w:rPr>
          <w:rFonts w:hint="eastAsia"/>
          <w:szCs w:val="21"/>
          <w:highlight w:val="none"/>
        </w:rPr>
      </w:pPr>
      <w:r>
        <w:rPr>
          <w:rFonts w:hint="eastAsia"/>
          <w:szCs w:val="21"/>
          <w:highlight w:val="none"/>
        </w:rPr>
        <w:t>平台支持对已组合项目进行拆分预约，例如常规肠镜和常规胃镜检查，通常为一个检查项目，作为组合项只占用一个预约号源。为了尽可能提高平台的预约灵活性，针对已组合预约项目支持根据病人情况进行拆分，实现常规胃肠镜的分时段预约。</w:t>
      </w:r>
    </w:p>
    <w:p w14:paraId="5A12A890">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特殊预约</w:t>
      </w:r>
    </w:p>
    <w:p w14:paraId="18D9922D">
      <w:pPr>
        <w:ind w:firstLine="480"/>
        <w:rPr>
          <w:rFonts w:hint="eastAsia"/>
          <w:szCs w:val="21"/>
          <w:highlight w:val="none"/>
        </w:rPr>
      </w:pPr>
      <w:r>
        <w:rPr>
          <w:rFonts w:hint="eastAsia"/>
          <w:szCs w:val="21"/>
          <w:highlight w:val="none"/>
        </w:rPr>
        <w:t>对于需要执行紧急检查的医技任务或进行占位预约时，使用特殊预约功能。工作人员需录入病人卡号或住院号等病人基本信息，选择好相应的检查项目和HIS检查项目，备注好相应的特殊预约原因，点击开始预约，跳转时间选择页面，根据要求选择具体的时间即可。</w:t>
      </w:r>
    </w:p>
    <w:p w14:paraId="6DC99778">
      <w:pPr>
        <w:ind w:firstLine="480"/>
        <w:rPr>
          <w:rFonts w:hint="eastAsia"/>
          <w:szCs w:val="21"/>
          <w:highlight w:val="none"/>
        </w:rPr>
      </w:pPr>
      <w:r>
        <w:rPr>
          <w:szCs w:val="21"/>
          <w:highlight w:val="none"/>
        </w:rPr>
        <w:t>占位预约一般适用于医生未开单情况或医生已开单在HIS系统里面能查询到对应的申请单，却在医技预约平台上查询不到相应的开单项目时，使用特殊预约帮助患者进行占位。</w:t>
      </w:r>
    </w:p>
    <w:p w14:paraId="69C4CF9A">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转诊记录查询</w:t>
      </w:r>
    </w:p>
    <w:p w14:paraId="3E5D2E46">
      <w:pPr>
        <w:ind w:firstLine="480"/>
        <w:rPr>
          <w:rFonts w:hint="eastAsia"/>
          <w:szCs w:val="21"/>
          <w:highlight w:val="none"/>
        </w:rPr>
      </w:pPr>
      <w:r>
        <w:rPr>
          <w:rFonts w:hint="eastAsia"/>
          <w:szCs w:val="21"/>
          <w:highlight w:val="none"/>
        </w:rPr>
        <w:t>通过预约时间及转诊的病人信息可以查看到历史转诊情况，包括原诊室信息现预约信息及新的诊室信息。</w:t>
      </w:r>
    </w:p>
    <w:p w14:paraId="17C4F96A">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预约资源查询</w:t>
      </w:r>
    </w:p>
    <w:p w14:paraId="7AA12402">
      <w:pPr>
        <w:ind w:firstLine="480"/>
        <w:rPr>
          <w:rFonts w:hint="eastAsia"/>
          <w:szCs w:val="21"/>
          <w:highlight w:val="none"/>
        </w:rPr>
      </w:pPr>
      <w:r>
        <w:rPr>
          <w:rFonts w:hint="eastAsia"/>
          <w:szCs w:val="21"/>
          <w:highlight w:val="none"/>
        </w:rPr>
        <w:t>预约资源查询可以查看某时间段内的诊室资源使用情况，包括门诊及住院预约人数、剩余号源情况、总号源数、已预约未签到人数及相应的特殊预约情况。</w:t>
      </w:r>
    </w:p>
    <w:p w14:paraId="12EF4C07">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预约日志</w:t>
      </w:r>
    </w:p>
    <w:p w14:paraId="01446038">
      <w:pPr>
        <w:ind w:firstLine="480"/>
        <w:rPr>
          <w:rFonts w:hint="eastAsia"/>
          <w:szCs w:val="21"/>
          <w:highlight w:val="none"/>
        </w:rPr>
      </w:pPr>
      <w:r>
        <w:rPr>
          <w:rFonts w:hint="eastAsia"/>
          <w:szCs w:val="21"/>
          <w:highlight w:val="none"/>
        </w:rPr>
        <w:t>预约日志查询可以查询不同的诊室历史预约情况，包括预约信息、操作人信息及患者信息等。</w:t>
      </w:r>
    </w:p>
    <w:p w14:paraId="372BF63F">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取消预约</w:t>
      </w:r>
    </w:p>
    <w:p w14:paraId="2C92A7AE">
      <w:pPr>
        <w:ind w:firstLine="480"/>
        <w:rPr>
          <w:rFonts w:hint="eastAsia"/>
          <w:szCs w:val="21"/>
          <w:highlight w:val="none"/>
        </w:rPr>
      </w:pPr>
      <w:r>
        <w:rPr>
          <w:rFonts w:hint="eastAsia"/>
          <w:szCs w:val="21"/>
          <w:highlight w:val="none"/>
        </w:rPr>
        <w:t>医技</w:t>
      </w:r>
      <w:r>
        <w:rPr>
          <w:szCs w:val="21"/>
          <w:highlight w:val="none"/>
        </w:rPr>
        <w:t>预约可以为已经预约的病人进行撤销预约和变更预约时间</w:t>
      </w:r>
      <w:r>
        <w:rPr>
          <w:rFonts w:hint="eastAsia"/>
          <w:szCs w:val="21"/>
          <w:highlight w:val="none"/>
        </w:rPr>
        <w:t>。</w:t>
      </w:r>
    </w:p>
    <w:p w14:paraId="11378685">
      <w:pPr>
        <w:pStyle w:val="6"/>
        <w:numPr>
          <w:ilvl w:val="4"/>
          <w:numId w:val="0"/>
        </w:numPr>
        <w:ind w:left="1008" w:hanging="1008"/>
        <w:rPr>
          <w:rFonts w:hint="eastAsia" w:ascii="宋体" w:hAnsi="宋体"/>
          <w:sz w:val="21"/>
          <w:szCs w:val="21"/>
          <w:highlight w:val="none"/>
        </w:rPr>
      </w:pPr>
      <w:bookmarkStart w:id="187" w:name="_Toc35337350"/>
      <w:r>
        <w:rPr>
          <w:rFonts w:hint="eastAsia" w:ascii="宋体" w:hAnsi="宋体"/>
          <w:sz w:val="21"/>
          <w:szCs w:val="21"/>
          <w:highlight w:val="none"/>
        </w:rPr>
        <w:t>科室智能预约</w:t>
      </w:r>
      <w:bookmarkEnd w:id="187"/>
    </w:p>
    <w:p w14:paraId="1A305AA9">
      <w:pPr>
        <w:ind w:firstLine="480" w:firstLineChars="200"/>
        <w:rPr>
          <w:rFonts w:hint="eastAsia"/>
          <w:szCs w:val="21"/>
          <w:highlight w:val="none"/>
        </w:rPr>
      </w:pPr>
      <w:r>
        <w:rPr>
          <w:rFonts w:hint="eastAsia"/>
          <w:szCs w:val="21"/>
          <w:highlight w:val="none"/>
        </w:rPr>
        <w:t>通过对各科室的设备使用情况，检查项目数量，各项目的检查时间进行智能化计算，推荐出最合理的预约时间，减少医护人员工作量，提高预约效率，提高设备使用率，提升病人满意度。</w:t>
      </w:r>
    </w:p>
    <w:p w14:paraId="4C12BDAA">
      <w:pPr>
        <w:pStyle w:val="7"/>
        <w:numPr>
          <w:ilvl w:val="5"/>
          <w:numId w:val="0"/>
        </w:numPr>
        <w:ind w:left="1152" w:hanging="1152"/>
        <w:rPr>
          <w:rFonts w:hint="eastAsia" w:ascii="宋体" w:hAnsi="宋体" w:eastAsia="宋体"/>
          <w:sz w:val="21"/>
          <w:szCs w:val="21"/>
          <w:highlight w:val="none"/>
        </w:rPr>
      </w:pPr>
      <w:r>
        <w:rPr>
          <w:rFonts w:ascii="宋体" w:hAnsi="宋体" w:eastAsia="宋体"/>
          <w:sz w:val="21"/>
          <w:szCs w:val="21"/>
          <w:highlight w:val="none"/>
        </w:rPr>
        <w:t>超声科室</w:t>
      </w:r>
    </w:p>
    <w:p w14:paraId="06030C69">
      <w:pPr>
        <w:pStyle w:val="8"/>
        <w:ind w:firstLine="480"/>
        <w:rPr>
          <w:rFonts w:hint="eastAsia"/>
          <w:sz w:val="21"/>
          <w:szCs w:val="21"/>
          <w:highlight w:val="none"/>
        </w:rPr>
      </w:pPr>
      <w:r>
        <w:rPr>
          <w:rFonts w:hint="eastAsia"/>
          <w:sz w:val="21"/>
          <w:szCs w:val="21"/>
          <w:highlight w:val="none"/>
        </w:rPr>
        <w:t>普通超声</w:t>
      </w:r>
    </w:p>
    <w:p w14:paraId="3DFFCFF7">
      <w:pPr>
        <w:ind w:firstLine="480" w:firstLineChars="200"/>
        <w:rPr>
          <w:rFonts w:hint="eastAsia"/>
          <w:szCs w:val="21"/>
          <w:highlight w:val="none"/>
        </w:rPr>
      </w:pPr>
      <w:r>
        <w:rPr>
          <w:rFonts w:hint="eastAsia"/>
          <w:szCs w:val="21"/>
          <w:highlight w:val="none"/>
        </w:rPr>
        <w:t>依据病人检查项目进行自动排序，筛选出最近的可预约检查时间，支持多项目的合并预约及一键预约。对于已预约就诊病人，支持签到排队功能，优化就诊顺序，对于不满足检查条件病人支持挂起功能（例如行腹部超声检查需要憋尿，达不到检查要求的患者），让后续已满足就诊条件的病人先行检查，等满足检查条件后，支持优先安排机制。</w:t>
      </w:r>
    </w:p>
    <w:p w14:paraId="19DA1CEF">
      <w:pPr>
        <w:pStyle w:val="8"/>
        <w:ind w:firstLine="480"/>
        <w:rPr>
          <w:rFonts w:hint="eastAsia"/>
          <w:sz w:val="21"/>
          <w:szCs w:val="21"/>
          <w:highlight w:val="none"/>
        </w:rPr>
      </w:pPr>
      <w:r>
        <w:rPr>
          <w:rFonts w:hint="eastAsia"/>
          <w:sz w:val="21"/>
          <w:szCs w:val="21"/>
          <w:highlight w:val="none"/>
        </w:rPr>
        <w:t>产科超声</w:t>
      </w:r>
    </w:p>
    <w:p w14:paraId="5F94CD5F">
      <w:pPr>
        <w:ind w:firstLine="480" w:firstLineChars="200"/>
        <w:rPr>
          <w:rFonts w:hint="eastAsia"/>
          <w:szCs w:val="21"/>
          <w:highlight w:val="none"/>
        </w:rPr>
      </w:pPr>
      <w:r>
        <w:rPr>
          <w:rFonts w:hint="eastAsia"/>
          <w:szCs w:val="21"/>
          <w:highlight w:val="none"/>
        </w:rPr>
        <w:t>对于产科超声检查，支持对孕期的自动获取及运算，根据当前孕期自动匹配规则库，计算当前开具的检查项目合理的预约时间</w:t>
      </w:r>
      <w:r>
        <w:rPr>
          <w:szCs w:val="21"/>
          <w:highlight w:val="none"/>
        </w:rPr>
        <w:t>，为孕妇检查预约提供智能判断和</w:t>
      </w:r>
      <w:r>
        <w:rPr>
          <w:rFonts w:hint="eastAsia"/>
          <w:szCs w:val="21"/>
          <w:highlight w:val="none"/>
        </w:rPr>
        <w:t>时间</w:t>
      </w:r>
      <w:r>
        <w:rPr>
          <w:szCs w:val="21"/>
          <w:highlight w:val="none"/>
        </w:rPr>
        <w:t>推荐。</w:t>
      </w:r>
      <w:r>
        <w:rPr>
          <w:rFonts w:hint="eastAsia"/>
          <w:szCs w:val="21"/>
          <w:highlight w:val="none"/>
        </w:rPr>
        <w:t>例如NT检查时间在11-13周，平台通过对当前产妇的孕期进行计算，可以自动将产妇的预约时间定位到适合检查的时间周期，帮助分诊台人员高效预约。减少手工计算预约时间的误差。</w:t>
      </w:r>
    </w:p>
    <w:p w14:paraId="6A979977">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CT科室</w:t>
      </w:r>
    </w:p>
    <w:p w14:paraId="54E74FE8">
      <w:pPr>
        <w:ind w:firstLine="480" w:firstLineChars="200"/>
        <w:rPr>
          <w:rFonts w:hint="eastAsia"/>
          <w:szCs w:val="21"/>
          <w:highlight w:val="none"/>
        </w:rPr>
      </w:pPr>
      <w:r>
        <w:rPr>
          <w:rFonts w:hint="eastAsia"/>
          <w:szCs w:val="21"/>
          <w:highlight w:val="none"/>
        </w:rPr>
        <w:t>支持排班模板时间段维护及人数自动计算两种模式，根据不同科室的管理需要，可以配置门诊及住院病人的检查数量，满足医院对门诊、住院CT检查的管理需要，支持自动排队功能，通过读卡生成排队队列，与叫号大屏联动，改变以往通过检查单人工排队模式，提高科室检查效率。</w:t>
      </w:r>
    </w:p>
    <w:p w14:paraId="48F163C7">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磁共振科室</w:t>
      </w:r>
    </w:p>
    <w:p w14:paraId="6F8DA3BB">
      <w:pPr>
        <w:ind w:firstLine="480" w:firstLineChars="200"/>
        <w:rPr>
          <w:rFonts w:hint="eastAsia"/>
          <w:szCs w:val="21"/>
          <w:highlight w:val="none"/>
        </w:rPr>
      </w:pPr>
      <w:r>
        <w:rPr>
          <w:rFonts w:hint="eastAsia"/>
          <w:szCs w:val="21"/>
          <w:highlight w:val="none"/>
        </w:rPr>
        <w:t>磁共振（MRI）检查时间与病人数无关，需与检查部位强相关，例如一个部位检查30分钟，一个病人开具多个部位的检查项目，时间就会叠加，当预约明天检查的病人部位数达到了检查时间的最大值，那么后面病人只能往后进行预约。当天检查病人的等待时间，需要根据前一个病人的预约时间和检查部位数量进行推算。</w:t>
      </w:r>
    </w:p>
    <w:p w14:paraId="27CF1FFE">
      <w:pPr>
        <w:ind w:firstLine="480" w:firstLineChars="200"/>
        <w:rPr>
          <w:rFonts w:hint="eastAsia"/>
          <w:szCs w:val="21"/>
          <w:highlight w:val="none"/>
        </w:rPr>
      </w:pPr>
      <w:r>
        <w:rPr>
          <w:rFonts w:hint="eastAsia"/>
          <w:szCs w:val="21"/>
          <w:highlight w:val="none"/>
        </w:rPr>
        <w:t>平台针对MR科室的预约采用动态资源数算法，根据医疗机构的MR检查项目进行预先分组，不同分组类的检查项目以时间维度作为管理，例如A组为大概15分钟检查项目，B组30分钟，优化MR科室的预约流程，尽可能为患者提供精准化的预约，减少病人往返医院的次数及在院的等待时间，提高医院MR科室的就诊效率。</w:t>
      </w:r>
    </w:p>
    <w:p w14:paraId="500B0BD8">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心电科室</w:t>
      </w:r>
    </w:p>
    <w:p w14:paraId="52D23CA0">
      <w:pPr>
        <w:pStyle w:val="8"/>
        <w:ind w:firstLine="480"/>
        <w:rPr>
          <w:rFonts w:hint="eastAsia"/>
          <w:sz w:val="21"/>
          <w:szCs w:val="21"/>
          <w:highlight w:val="none"/>
        </w:rPr>
      </w:pPr>
      <w:r>
        <w:rPr>
          <w:rFonts w:hint="eastAsia"/>
          <w:sz w:val="21"/>
          <w:szCs w:val="21"/>
          <w:highlight w:val="none"/>
        </w:rPr>
        <w:t>常规心电检查</w:t>
      </w:r>
    </w:p>
    <w:p w14:paraId="666CBA30">
      <w:pPr>
        <w:ind w:firstLine="360" w:firstLineChars="150"/>
        <w:rPr>
          <w:rFonts w:hint="eastAsia"/>
          <w:szCs w:val="21"/>
          <w:highlight w:val="none"/>
        </w:rPr>
      </w:pPr>
      <w:r>
        <w:rPr>
          <w:rFonts w:hint="eastAsia"/>
          <w:szCs w:val="21"/>
          <w:highlight w:val="none"/>
        </w:rPr>
        <w:t>依据目前医院常规心电检查规则，进行候诊签到、排队，支持与叫号大屏系统联动。</w:t>
      </w:r>
    </w:p>
    <w:p w14:paraId="742FAB23">
      <w:pPr>
        <w:pStyle w:val="8"/>
        <w:ind w:firstLine="480"/>
        <w:rPr>
          <w:rFonts w:hint="eastAsia"/>
          <w:sz w:val="21"/>
          <w:szCs w:val="21"/>
          <w:highlight w:val="none"/>
        </w:rPr>
      </w:pPr>
      <w:r>
        <w:rPr>
          <w:rFonts w:hint="eastAsia"/>
          <w:sz w:val="21"/>
          <w:szCs w:val="21"/>
          <w:highlight w:val="none"/>
        </w:rPr>
        <w:t>动态心电检查</w:t>
      </w:r>
    </w:p>
    <w:p w14:paraId="63C5468A">
      <w:pPr>
        <w:ind w:firstLine="360" w:firstLineChars="150"/>
        <w:rPr>
          <w:rFonts w:hint="eastAsia"/>
          <w:szCs w:val="21"/>
          <w:highlight w:val="none"/>
        </w:rPr>
      </w:pPr>
      <w:r>
        <w:rPr>
          <w:rFonts w:hint="eastAsia"/>
          <w:szCs w:val="21"/>
          <w:highlight w:val="none"/>
        </w:rPr>
        <w:t>动态心电检查根据设备使用情况进行预约，设置检查时间，查看排队列表。可以直观显示当前诊疗病人以及预约排队病人，设备使用情况。</w:t>
      </w:r>
    </w:p>
    <w:p w14:paraId="222FFA78">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内窥镜科室</w:t>
      </w:r>
    </w:p>
    <w:p w14:paraId="25A89B5F">
      <w:pPr>
        <w:ind w:firstLine="480" w:firstLineChars="200"/>
        <w:rPr>
          <w:rFonts w:hint="eastAsia"/>
          <w:szCs w:val="21"/>
          <w:highlight w:val="none"/>
        </w:rPr>
      </w:pPr>
      <w:r>
        <w:rPr>
          <w:rFonts w:hint="eastAsia"/>
          <w:szCs w:val="21"/>
          <w:highlight w:val="none"/>
        </w:rPr>
        <w:t>内</w:t>
      </w:r>
      <w:r>
        <w:rPr>
          <w:szCs w:val="21"/>
          <w:highlight w:val="none"/>
        </w:rPr>
        <w:t>窥镜室检查可根据科室时间，坐诊医生，设备使用情况等进行定制化排班，多样灵活的排班方式。</w:t>
      </w:r>
    </w:p>
    <w:p w14:paraId="505D53D1">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检查事项提醒</w:t>
      </w:r>
    </w:p>
    <w:p w14:paraId="27655DA2">
      <w:pPr>
        <w:ind w:firstLine="360" w:firstLineChars="150"/>
        <w:rPr>
          <w:rFonts w:hint="eastAsia"/>
          <w:szCs w:val="21"/>
          <w:highlight w:val="none"/>
        </w:rPr>
      </w:pPr>
      <w:r>
        <w:rPr>
          <w:rFonts w:hint="eastAsia"/>
          <w:szCs w:val="21"/>
          <w:highlight w:val="none"/>
        </w:rPr>
        <w:t>平台支持根据科室、检查项目管理注意事项，为预约检查病人提供指导和建议，例如普通胃镜在检查前至少6小时不能进食与饮水。上午检查：前一天晚上10点后开始禁止饮食和饮水。下午检查：早上可进食少量稀早餐，8点后禁止饮食和饮水。</w:t>
      </w:r>
    </w:p>
    <w:p w14:paraId="76C5C81F">
      <w:pPr>
        <w:pStyle w:val="6"/>
        <w:numPr>
          <w:ilvl w:val="4"/>
          <w:numId w:val="0"/>
        </w:numPr>
        <w:ind w:left="1008" w:hanging="1008"/>
        <w:rPr>
          <w:rFonts w:hint="eastAsia" w:ascii="宋体" w:hAnsi="宋体"/>
          <w:sz w:val="21"/>
          <w:szCs w:val="21"/>
          <w:highlight w:val="none"/>
        </w:rPr>
      </w:pPr>
      <w:bookmarkStart w:id="188" w:name="_Toc35337351"/>
      <w:r>
        <w:rPr>
          <w:rFonts w:hint="eastAsia" w:ascii="宋体" w:hAnsi="宋体"/>
          <w:sz w:val="21"/>
          <w:szCs w:val="21"/>
          <w:highlight w:val="none"/>
        </w:rPr>
        <w:t>预约策略</w:t>
      </w:r>
      <w:bookmarkEnd w:id="188"/>
    </w:p>
    <w:p w14:paraId="1C9B36EA">
      <w:pPr>
        <w:ind w:firstLine="420"/>
        <w:rPr>
          <w:rFonts w:hint="eastAsia"/>
          <w:szCs w:val="21"/>
          <w:highlight w:val="none"/>
        </w:rPr>
      </w:pPr>
      <w:r>
        <w:rPr>
          <w:rFonts w:hint="eastAsia"/>
          <w:szCs w:val="21"/>
          <w:highlight w:val="none"/>
        </w:rPr>
        <w:t>预约策略指医技诊室排班的策略规则。分为工作量优先，自主分配，剩余号源优先及机器预约。</w:t>
      </w:r>
    </w:p>
    <w:p w14:paraId="099666FC">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工作量优先</w:t>
      </w:r>
    </w:p>
    <w:p w14:paraId="69F978F5">
      <w:pPr>
        <w:ind w:firstLine="420"/>
        <w:rPr>
          <w:rFonts w:hint="eastAsia"/>
          <w:szCs w:val="21"/>
          <w:highlight w:val="none"/>
        </w:rPr>
      </w:pPr>
      <w:r>
        <w:rPr>
          <w:rFonts w:hint="eastAsia"/>
          <w:szCs w:val="21"/>
          <w:highlight w:val="none"/>
        </w:rPr>
        <w:t>工作量优先策略指系统固定时间统计每个检查诊室的工作量，当有新的检查项目时，系统优先排给工作量少的检查诊室。例如：诊室2工作量为105min,则新检查任务优先排给诊室2，</w:t>
      </w:r>
      <w:r>
        <w:rPr>
          <w:rFonts w:hint="eastAsia"/>
          <w:color w:val="000000"/>
          <w:szCs w:val="21"/>
          <w:highlight w:val="none"/>
        </w:rPr>
        <w:t>工作量的长短是用权重值体现的。</w:t>
      </w:r>
    </w:p>
    <w:p w14:paraId="22A23DA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剩余号源优先</w:t>
      </w:r>
    </w:p>
    <w:p w14:paraId="4524D430">
      <w:pPr>
        <w:ind w:firstLine="420"/>
        <w:rPr>
          <w:rFonts w:hint="eastAsia"/>
          <w:szCs w:val="21"/>
          <w:highlight w:val="none"/>
        </w:rPr>
      </w:pPr>
      <w:r>
        <w:rPr>
          <w:rFonts w:hint="eastAsia"/>
          <w:szCs w:val="21"/>
          <w:highlight w:val="none"/>
        </w:rPr>
        <w:t>剩余号源优先策略遵循剩余号源多的先分配原则。例如：3个检查诊室一早上同样20个号源，至11点时，诊室1余号5，诊室2余号4，诊室3余号3.则新检查任务优先分配给诊室1.</w:t>
      </w:r>
    </w:p>
    <w:p w14:paraId="30ED141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自主分配</w:t>
      </w:r>
    </w:p>
    <w:p w14:paraId="1227E031">
      <w:pPr>
        <w:ind w:firstLine="420"/>
        <w:rPr>
          <w:rFonts w:hint="eastAsia"/>
          <w:szCs w:val="21"/>
          <w:highlight w:val="none"/>
        </w:rPr>
      </w:pPr>
      <w:r>
        <w:rPr>
          <w:rFonts w:hint="eastAsia"/>
          <w:szCs w:val="21"/>
          <w:highlight w:val="none"/>
        </w:rPr>
        <w:t>自主分配策略的概念即无规则限制提供医技预约，用于分诊台工作者为患者预约医技项目，预约时按现场诊室实际情况为患者随意分配医技诊室。</w:t>
      </w:r>
    </w:p>
    <w:p w14:paraId="1ED06FA0">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机器预约</w:t>
      </w:r>
    </w:p>
    <w:p w14:paraId="3D570CF7">
      <w:pPr>
        <w:ind w:firstLine="420"/>
        <w:rPr>
          <w:rFonts w:hint="eastAsia"/>
          <w:color w:val="000000"/>
          <w:szCs w:val="21"/>
          <w:highlight w:val="none"/>
        </w:rPr>
      </w:pPr>
      <w:r>
        <w:rPr>
          <w:rFonts w:hint="eastAsia"/>
          <w:color w:val="000000"/>
          <w:szCs w:val="21"/>
          <w:highlight w:val="none"/>
        </w:rPr>
        <w:t>机器预约指不同于预约到诊室，是对检查机器进行编码，患者预约指定到每台检查机器上。</w:t>
      </w:r>
    </w:p>
    <w:p w14:paraId="4F993047">
      <w:pPr>
        <w:pStyle w:val="6"/>
        <w:numPr>
          <w:ilvl w:val="4"/>
          <w:numId w:val="0"/>
        </w:numPr>
        <w:ind w:left="1008" w:hanging="1008"/>
        <w:rPr>
          <w:rFonts w:hint="eastAsia" w:ascii="宋体" w:hAnsi="宋体"/>
          <w:sz w:val="21"/>
          <w:szCs w:val="21"/>
          <w:highlight w:val="none"/>
        </w:rPr>
      </w:pPr>
      <w:bookmarkStart w:id="189" w:name="_Toc2668672"/>
      <w:bookmarkStart w:id="190" w:name="_Toc3278412"/>
      <w:bookmarkStart w:id="191" w:name="_Toc35337352"/>
      <w:r>
        <w:rPr>
          <w:rFonts w:ascii="宋体" w:hAnsi="宋体"/>
          <w:sz w:val="21"/>
          <w:szCs w:val="21"/>
          <w:highlight w:val="none"/>
        </w:rPr>
        <w:t>规则</w:t>
      </w:r>
      <w:bookmarkEnd w:id="189"/>
      <w:bookmarkEnd w:id="190"/>
      <w:r>
        <w:rPr>
          <w:rFonts w:hint="eastAsia" w:ascii="宋体" w:hAnsi="宋体"/>
          <w:sz w:val="21"/>
          <w:szCs w:val="21"/>
          <w:highlight w:val="none"/>
        </w:rPr>
        <w:t>配置管理</w:t>
      </w:r>
      <w:bookmarkEnd w:id="191"/>
    </w:p>
    <w:p w14:paraId="42DDF7BF">
      <w:pPr>
        <w:ind w:firstLine="480"/>
        <w:rPr>
          <w:rFonts w:hint="eastAsia"/>
          <w:szCs w:val="21"/>
          <w:highlight w:val="none"/>
        </w:rPr>
      </w:pPr>
      <w:r>
        <w:rPr>
          <w:szCs w:val="21"/>
          <w:highlight w:val="none"/>
        </w:rPr>
        <w:t>规则</w:t>
      </w:r>
      <w:r>
        <w:rPr>
          <w:rFonts w:hint="eastAsia"/>
          <w:szCs w:val="21"/>
          <w:highlight w:val="none"/>
        </w:rPr>
        <w:t>配置管理是用于</w:t>
      </w:r>
      <w:r>
        <w:rPr>
          <w:szCs w:val="21"/>
          <w:highlight w:val="none"/>
        </w:rPr>
        <w:t>维护</w:t>
      </w:r>
      <w:r>
        <w:rPr>
          <w:rFonts w:hint="eastAsia"/>
          <w:szCs w:val="21"/>
          <w:highlight w:val="none"/>
        </w:rPr>
        <w:t>检查项目各</w:t>
      </w:r>
      <w:r>
        <w:rPr>
          <w:szCs w:val="21"/>
          <w:highlight w:val="none"/>
        </w:rPr>
        <w:t>维度的</w:t>
      </w:r>
      <w:r>
        <w:rPr>
          <w:rFonts w:hint="eastAsia"/>
          <w:szCs w:val="21"/>
          <w:highlight w:val="none"/>
        </w:rPr>
        <w:t>冲突</w:t>
      </w:r>
      <w:r>
        <w:rPr>
          <w:szCs w:val="21"/>
          <w:highlight w:val="none"/>
        </w:rPr>
        <w:t>规则，为</w:t>
      </w:r>
      <w:r>
        <w:rPr>
          <w:rFonts w:hint="eastAsia"/>
          <w:szCs w:val="21"/>
          <w:highlight w:val="none"/>
        </w:rPr>
        <w:t>平</w:t>
      </w:r>
      <w:r>
        <w:rPr>
          <w:szCs w:val="21"/>
          <w:highlight w:val="none"/>
        </w:rPr>
        <w:t>台的智能预约、</w:t>
      </w:r>
      <w:r>
        <w:rPr>
          <w:rFonts w:hint="eastAsia"/>
          <w:szCs w:val="21"/>
          <w:highlight w:val="none"/>
        </w:rPr>
        <w:t>一键</w:t>
      </w:r>
      <w:r>
        <w:rPr>
          <w:szCs w:val="21"/>
          <w:highlight w:val="none"/>
        </w:rPr>
        <w:t>预约提供基础规则</w:t>
      </w:r>
      <w:r>
        <w:rPr>
          <w:rFonts w:hint="eastAsia"/>
          <w:szCs w:val="21"/>
          <w:highlight w:val="none"/>
        </w:rPr>
        <w:t>支撑</w:t>
      </w:r>
      <w:r>
        <w:rPr>
          <w:szCs w:val="21"/>
          <w:highlight w:val="none"/>
        </w:rPr>
        <w:t>。</w:t>
      </w:r>
    </w:p>
    <w:p w14:paraId="58764010">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冲突规则字</w:t>
      </w:r>
      <w:r>
        <w:rPr>
          <w:rFonts w:ascii="宋体" w:hAnsi="宋体" w:eastAsia="宋体"/>
          <w:sz w:val="21"/>
          <w:szCs w:val="21"/>
          <w:highlight w:val="none"/>
        </w:rPr>
        <w:t>典维护</w:t>
      </w:r>
    </w:p>
    <w:p w14:paraId="4B84924F">
      <w:pPr>
        <w:ind w:firstLine="480"/>
        <w:rPr>
          <w:rFonts w:hint="eastAsia"/>
          <w:szCs w:val="21"/>
          <w:highlight w:val="none"/>
        </w:rPr>
      </w:pPr>
      <w:r>
        <w:rPr>
          <w:rFonts w:hint="eastAsia"/>
          <w:szCs w:val="21"/>
          <w:highlight w:val="none"/>
        </w:rPr>
        <w:t>冲突</w:t>
      </w:r>
      <w:r>
        <w:rPr>
          <w:szCs w:val="21"/>
          <w:highlight w:val="none"/>
        </w:rPr>
        <w:t>规则字典维护，可以维护</w:t>
      </w:r>
      <w:r>
        <w:rPr>
          <w:rFonts w:hint="eastAsia"/>
          <w:szCs w:val="21"/>
          <w:highlight w:val="none"/>
        </w:rPr>
        <w:t>各</w:t>
      </w:r>
      <w:r>
        <w:rPr>
          <w:szCs w:val="21"/>
          <w:highlight w:val="none"/>
        </w:rPr>
        <w:t>种冲突规则</w:t>
      </w:r>
      <w:r>
        <w:rPr>
          <w:rFonts w:hint="eastAsia"/>
          <w:szCs w:val="21"/>
          <w:highlight w:val="none"/>
        </w:rPr>
        <w:t>，</w:t>
      </w:r>
      <w:r>
        <w:rPr>
          <w:szCs w:val="21"/>
          <w:highlight w:val="none"/>
        </w:rPr>
        <w:t>用于配置</w:t>
      </w:r>
      <w:r>
        <w:rPr>
          <w:rFonts w:hint="eastAsia"/>
          <w:szCs w:val="21"/>
          <w:highlight w:val="none"/>
        </w:rPr>
        <w:t>项</w:t>
      </w:r>
      <w:r>
        <w:rPr>
          <w:szCs w:val="21"/>
          <w:highlight w:val="none"/>
        </w:rPr>
        <w:t>目冲突使用，冲突规则可包括：A优先于B</w:t>
      </w:r>
      <w:r>
        <w:rPr>
          <w:rFonts w:hint="eastAsia"/>
          <w:szCs w:val="21"/>
          <w:highlight w:val="none"/>
        </w:rPr>
        <w:t>；A</w:t>
      </w:r>
      <w:r>
        <w:rPr>
          <w:szCs w:val="21"/>
          <w:highlight w:val="none"/>
        </w:rPr>
        <w:t>执行完N小时后才可以执行B</w:t>
      </w:r>
      <w:r>
        <w:rPr>
          <w:rFonts w:hint="eastAsia"/>
          <w:szCs w:val="21"/>
          <w:highlight w:val="none"/>
        </w:rPr>
        <w:t>;</w:t>
      </w:r>
      <w:r>
        <w:rPr>
          <w:szCs w:val="21"/>
          <w:highlight w:val="none"/>
        </w:rPr>
        <w:t>A必须早上执行;A</w:t>
      </w:r>
      <w:r>
        <w:rPr>
          <w:rFonts w:hint="eastAsia"/>
          <w:szCs w:val="21"/>
          <w:highlight w:val="none"/>
        </w:rPr>
        <w:t>不</w:t>
      </w:r>
      <w:r>
        <w:rPr>
          <w:szCs w:val="21"/>
          <w:highlight w:val="none"/>
        </w:rPr>
        <w:t>能使用急诊号源等。</w:t>
      </w:r>
    </w:p>
    <w:p w14:paraId="37EDBB23">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项</w:t>
      </w:r>
      <w:r>
        <w:rPr>
          <w:rFonts w:ascii="宋体" w:hAnsi="宋体" w:eastAsia="宋体"/>
          <w:sz w:val="21"/>
          <w:szCs w:val="21"/>
          <w:highlight w:val="none"/>
        </w:rPr>
        <w:t>目冲突维护</w:t>
      </w:r>
    </w:p>
    <w:p w14:paraId="363110C5">
      <w:pPr>
        <w:ind w:firstLine="480"/>
        <w:rPr>
          <w:rFonts w:hint="eastAsia"/>
          <w:szCs w:val="21"/>
          <w:highlight w:val="none"/>
        </w:rPr>
      </w:pPr>
      <w:r>
        <w:rPr>
          <w:rFonts w:hint="eastAsia"/>
          <w:szCs w:val="21"/>
          <w:highlight w:val="none"/>
        </w:rPr>
        <w:t>项</w:t>
      </w:r>
      <w:r>
        <w:rPr>
          <w:szCs w:val="21"/>
          <w:highlight w:val="none"/>
        </w:rPr>
        <w:t>目冲突规则</w:t>
      </w:r>
      <w:r>
        <w:rPr>
          <w:rFonts w:hint="eastAsia"/>
          <w:szCs w:val="21"/>
          <w:highlight w:val="none"/>
        </w:rPr>
        <w:t>维护</w:t>
      </w:r>
      <w:r>
        <w:rPr>
          <w:szCs w:val="21"/>
          <w:highlight w:val="none"/>
        </w:rPr>
        <w:t>功能，</w:t>
      </w:r>
      <w:r>
        <w:rPr>
          <w:rFonts w:hint="eastAsia"/>
          <w:szCs w:val="21"/>
          <w:highlight w:val="none"/>
        </w:rPr>
        <w:t>可</w:t>
      </w:r>
      <w:r>
        <w:rPr>
          <w:szCs w:val="21"/>
          <w:highlight w:val="none"/>
        </w:rPr>
        <w:t>以设置两个项目之间的冲突关系，当</w:t>
      </w:r>
      <w:r>
        <w:rPr>
          <w:rFonts w:hint="eastAsia"/>
          <w:szCs w:val="21"/>
          <w:highlight w:val="none"/>
        </w:rPr>
        <w:t>选择</w:t>
      </w:r>
      <w:r>
        <w:rPr>
          <w:szCs w:val="21"/>
          <w:highlight w:val="none"/>
        </w:rPr>
        <w:t>冲突</w:t>
      </w:r>
      <w:r>
        <w:rPr>
          <w:rFonts w:hint="eastAsia"/>
          <w:szCs w:val="21"/>
          <w:highlight w:val="none"/>
        </w:rPr>
        <w:t>规则</w:t>
      </w:r>
      <w:r>
        <w:rPr>
          <w:szCs w:val="21"/>
          <w:highlight w:val="none"/>
        </w:rPr>
        <w:t>只需要一个项目对象时，自动</w:t>
      </w:r>
      <w:r>
        <w:rPr>
          <w:rFonts w:hint="eastAsia"/>
          <w:szCs w:val="21"/>
          <w:highlight w:val="none"/>
        </w:rPr>
        <w:t>忽略</w:t>
      </w:r>
      <w:r>
        <w:rPr>
          <w:szCs w:val="21"/>
          <w:highlight w:val="none"/>
        </w:rPr>
        <w:t>项目B</w:t>
      </w:r>
      <w:r>
        <w:rPr>
          <w:rFonts w:hint="eastAsia"/>
          <w:szCs w:val="21"/>
          <w:highlight w:val="none"/>
        </w:rPr>
        <w:t>;当</w:t>
      </w:r>
      <w:r>
        <w:rPr>
          <w:szCs w:val="21"/>
          <w:highlight w:val="none"/>
        </w:rPr>
        <w:t>选择</w:t>
      </w:r>
      <w:r>
        <w:rPr>
          <w:rFonts w:hint="eastAsia"/>
          <w:szCs w:val="21"/>
          <w:highlight w:val="none"/>
        </w:rPr>
        <w:t>的</w:t>
      </w:r>
      <w:r>
        <w:rPr>
          <w:szCs w:val="21"/>
          <w:highlight w:val="none"/>
        </w:rPr>
        <w:t>冲突规则必须包含两个项目对象时，则项目A和项目</w:t>
      </w:r>
      <w:r>
        <w:rPr>
          <w:rFonts w:hint="eastAsia"/>
          <w:szCs w:val="21"/>
          <w:highlight w:val="none"/>
        </w:rPr>
        <w:t>B</w:t>
      </w:r>
      <w:r>
        <w:rPr>
          <w:szCs w:val="21"/>
          <w:highlight w:val="none"/>
        </w:rPr>
        <w:t>必填。</w:t>
      </w:r>
    </w:p>
    <w:p w14:paraId="135D345B">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项</w:t>
      </w:r>
      <w:r>
        <w:rPr>
          <w:rFonts w:ascii="宋体" w:hAnsi="宋体" w:eastAsia="宋体"/>
          <w:sz w:val="21"/>
          <w:szCs w:val="21"/>
          <w:highlight w:val="none"/>
        </w:rPr>
        <w:t>目</w:t>
      </w:r>
      <w:r>
        <w:rPr>
          <w:rFonts w:hint="eastAsia" w:ascii="宋体" w:hAnsi="宋体" w:eastAsia="宋体"/>
          <w:sz w:val="21"/>
          <w:szCs w:val="21"/>
          <w:highlight w:val="none"/>
        </w:rPr>
        <w:t>冲突组维护</w:t>
      </w:r>
    </w:p>
    <w:p w14:paraId="79AE31EA">
      <w:pPr>
        <w:ind w:firstLine="480" w:firstLineChars="200"/>
        <w:jc w:val="left"/>
        <w:rPr>
          <w:rFonts w:hint="eastAsia"/>
          <w:szCs w:val="21"/>
          <w:highlight w:val="none"/>
        </w:rPr>
      </w:pPr>
      <w:r>
        <w:rPr>
          <w:rFonts w:hint="eastAsia"/>
          <w:szCs w:val="21"/>
          <w:highlight w:val="none"/>
        </w:rPr>
        <w:t>为</w:t>
      </w:r>
      <w:r>
        <w:rPr>
          <w:szCs w:val="21"/>
          <w:highlight w:val="none"/>
        </w:rPr>
        <w:t>了避免同一</w:t>
      </w:r>
      <w:r>
        <w:rPr>
          <w:rFonts w:hint="eastAsia"/>
          <w:szCs w:val="21"/>
          <w:highlight w:val="none"/>
        </w:rPr>
        <w:t>类</w:t>
      </w:r>
      <w:r>
        <w:rPr>
          <w:szCs w:val="21"/>
          <w:highlight w:val="none"/>
        </w:rPr>
        <w:t>型的冲突多次维护，可将相同类</w:t>
      </w:r>
      <w:r>
        <w:rPr>
          <w:rFonts w:hint="eastAsia"/>
          <w:szCs w:val="21"/>
          <w:highlight w:val="none"/>
        </w:rPr>
        <w:t>型</w:t>
      </w:r>
      <w:r>
        <w:rPr>
          <w:szCs w:val="21"/>
          <w:highlight w:val="none"/>
        </w:rPr>
        <w:t>的检查项目设置为同一个冲突组，然后采用冲突组冲突维护来快速批</w:t>
      </w:r>
      <w:r>
        <w:rPr>
          <w:rFonts w:hint="eastAsia"/>
          <w:szCs w:val="21"/>
          <w:highlight w:val="none"/>
        </w:rPr>
        <w:t>量</w:t>
      </w:r>
      <w:r>
        <w:rPr>
          <w:szCs w:val="21"/>
          <w:highlight w:val="none"/>
        </w:rPr>
        <w:t>冲突维护。</w:t>
      </w:r>
      <w:r>
        <w:rPr>
          <w:rFonts w:hint="eastAsia"/>
          <w:szCs w:val="21"/>
          <w:highlight w:val="none"/>
        </w:rPr>
        <w:t>项</w:t>
      </w:r>
      <w:r>
        <w:rPr>
          <w:szCs w:val="21"/>
          <w:highlight w:val="none"/>
        </w:rPr>
        <w:t>目冲突组维护，用于建</w:t>
      </w:r>
      <w:r>
        <w:rPr>
          <w:rFonts w:hint="eastAsia"/>
          <w:szCs w:val="21"/>
          <w:highlight w:val="none"/>
        </w:rPr>
        <w:t>立</w:t>
      </w:r>
      <w:r>
        <w:rPr>
          <w:szCs w:val="21"/>
          <w:highlight w:val="none"/>
        </w:rPr>
        <w:t>一个</w:t>
      </w:r>
      <w:r>
        <w:rPr>
          <w:rFonts w:hint="eastAsia"/>
          <w:szCs w:val="21"/>
          <w:highlight w:val="none"/>
        </w:rPr>
        <w:t>项</w:t>
      </w:r>
      <w:r>
        <w:rPr>
          <w:szCs w:val="21"/>
          <w:highlight w:val="none"/>
        </w:rPr>
        <w:t>目冲突组</w:t>
      </w:r>
      <w:r>
        <w:rPr>
          <w:rFonts w:hint="eastAsia"/>
          <w:szCs w:val="21"/>
          <w:highlight w:val="none"/>
        </w:rPr>
        <w:t>，</w:t>
      </w:r>
      <w:r>
        <w:rPr>
          <w:szCs w:val="21"/>
          <w:highlight w:val="none"/>
        </w:rPr>
        <w:t>并对该组设定名称和对应的</w:t>
      </w:r>
      <w:r>
        <w:rPr>
          <w:rFonts w:hint="eastAsia"/>
          <w:szCs w:val="21"/>
          <w:highlight w:val="none"/>
        </w:rPr>
        <w:t>检查</w:t>
      </w:r>
      <w:r>
        <w:rPr>
          <w:szCs w:val="21"/>
          <w:highlight w:val="none"/>
        </w:rPr>
        <w:t>项目。</w:t>
      </w:r>
    </w:p>
    <w:p w14:paraId="2ABDDA51">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冲突组冲突维护</w:t>
      </w:r>
    </w:p>
    <w:p w14:paraId="506D1617">
      <w:pPr>
        <w:ind w:firstLine="480"/>
        <w:rPr>
          <w:rFonts w:hint="eastAsia"/>
          <w:szCs w:val="21"/>
          <w:highlight w:val="none"/>
        </w:rPr>
      </w:pPr>
      <w:r>
        <w:rPr>
          <w:rFonts w:hint="eastAsia"/>
          <w:szCs w:val="21"/>
          <w:highlight w:val="none"/>
        </w:rPr>
        <w:t>冲突</w:t>
      </w:r>
      <w:r>
        <w:rPr>
          <w:szCs w:val="21"/>
          <w:highlight w:val="none"/>
        </w:rPr>
        <w:t>组冲突维护功能，可选择</w:t>
      </w:r>
      <w:r>
        <w:rPr>
          <w:rFonts w:hint="eastAsia"/>
          <w:szCs w:val="21"/>
          <w:highlight w:val="none"/>
        </w:rPr>
        <w:t>冲突</w:t>
      </w:r>
      <w:r>
        <w:rPr>
          <w:szCs w:val="21"/>
          <w:highlight w:val="none"/>
        </w:rPr>
        <w:t>组A和冲突组B，并像维护单个项目冲突一样对</w:t>
      </w:r>
      <w:r>
        <w:rPr>
          <w:rFonts w:hint="eastAsia"/>
          <w:szCs w:val="21"/>
          <w:highlight w:val="none"/>
        </w:rPr>
        <w:t>两</w:t>
      </w:r>
      <w:r>
        <w:rPr>
          <w:szCs w:val="21"/>
          <w:highlight w:val="none"/>
        </w:rPr>
        <w:t>个冲突</w:t>
      </w:r>
      <w:r>
        <w:rPr>
          <w:rFonts w:hint="eastAsia"/>
          <w:szCs w:val="21"/>
          <w:highlight w:val="none"/>
        </w:rPr>
        <w:t>组</w:t>
      </w:r>
      <w:r>
        <w:rPr>
          <w:szCs w:val="21"/>
          <w:highlight w:val="none"/>
        </w:rPr>
        <w:t>的冲突进行维护。</w:t>
      </w:r>
    </w:p>
    <w:p w14:paraId="03F540D5">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冲突</w:t>
      </w:r>
      <w:r>
        <w:rPr>
          <w:rFonts w:ascii="宋体" w:hAnsi="宋体" w:eastAsia="宋体"/>
          <w:sz w:val="21"/>
          <w:szCs w:val="21"/>
          <w:highlight w:val="none"/>
        </w:rPr>
        <w:t>规则可</w:t>
      </w:r>
      <w:r>
        <w:rPr>
          <w:rFonts w:hint="eastAsia" w:ascii="宋体" w:hAnsi="宋体" w:eastAsia="宋体"/>
          <w:sz w:val="21"/>
          <w:szCs w:val="21"/>
          <w:highlight w:val="none"/>
        </w:rPr>
        <w:t>视</w:t>
      </w:r>
      <w:r>
        <w:rPr>
          <w:rFonts w:ascii="宋体" w:hAnsi="宋体" w:eastAsia="宋体"/>
          <w:sz w:val="21"/>
          <w:szCs w:val="21"/>
          <w:highlight w:val="none"/>
        </w:rPr>
        <w:t>化</w:t>
      </w:r>
    </w:p>
    <w:p w14:paraId="72C4E200">
      <w:pPr>
        <w:ind w:firstLine="480"/>
        <w:rPr>
          <w:rFonts w:hint="eastAsia"/>
          <w:szCs w:val="21"/>
          <w:highlight w:val="none"/>
        </w:rPr>
      </w:pPr>
      <w:r>
        <w:rPr>
          <w:szCs w:val="21"/>
          <w:highlight w:val="none"/>
        </w:rPr>
        <w:t>可视化的规则视图，将冲突组之间的关系通过链式结构进行直观的展示，方便维护人员能够及时发现新规则及进行冲突调整和优化。</w:t>
      </w:r>
    </w:p>
    <w:p w14:paraId="061F03CD">
      <w:pPr>
        <w:pStyle w:val="6"/>
        <w:numPr>
          <w:ilvl w:val="4"/>
          <w:numId w:val="0"/>
        </w:numPr>
        <w:ind w:left="1008" w:hanging="1008"/>
        <w:rPr>
          <w:rFonts w:hint="eastAsia" w:ascii="宋体" w:hAnsi="宋体"/>
          <w:sz w:val="21"/>
          <w:szCs w:val="21"/>
          <w:highlight w:val="none"/>
        </w:rPr>
      </w:pPr>
      <w:bookmarkStart w:id="192" w:name="_Toc35337353"/>
      <w:r>
        <w:rPr>
          <w:rFonts w:hint="eastAsia" w:ascii="宋体" w:hAnsi="宋体"/>
          <w:sz w:val="21"/>
          <w:szCs w:val="21"/>
          <w:highlight w:val="none"/>
        </w:rPr>
        <w:t>智能知识库</w:t>
      </w:r>
      <w:bookmarkEnd w:id="192"/>
    </w:p>
    <w:p w14:paraId="6EE1953A">
      <w:pPr>
        <w:ind w:firstLine="480" w:firstLineChars="200"/>
        <w:rPr>
          <w:rFonts w:hint="eastAsia"/>
          <w:szCs w:val="21"/>
          <w:highlight w:val="none"/>
        </w:rPr>
      </w:pPr>
      <w:r>
        <w:rPr>
          <w:rFonts w:hint="eastAsia"/>
          <w:szCs w:val="21"/>
          <w:highlight w:val="none"/>
        </w:rPr>
        <w:t>智能知识库根据实际检查项目之前的限制冲突，设定了各个检查科室中各个检查项目之间的预约约束规则，为平台在多个检查项目进行一键快速预约时，提供智能的规则依据及数据支撑。</w:t>
      </w:r>
    </w:p>
    <w:p w14:paraId="5F26D664">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检查项目冲突知识库</w:t>
      </w:r>
    </w:p>
    <w:p w14:paraId="6FFBB223">
      <w:pPr>
        <w:ind w:firstLine="480" w:firstLineChars="200"/>
        <w:rPr>
          <w:rFonts w:hint="eastAsia"/>
          <w:szCs w:val="21"/>
          <w:highlight w:val="none"/>
        </w:rPr>
      </w:pPr>
      <w:r>
        <w:rPr>
          <w:rFonts w:hint="eastAsia"/>
          <w:szCs w:val="21"/>
          <w:highlight w:val="none"/>
        </w:rPr>
        <w:t>由于各个检查项目之间存在特定的冲突排斥，医技项目冲突规则库是对检查项目、检查项目分组、检查类别之间的冲突规则限制，主要分为时间冲突及优先级冲突两类冲突，例如A</w:t>
      </w:r>
      <w:r>
        <w:rPr>
          <w:szCs w:val="21"/>
          <w:highlight w:val="none"/>
        </w:rPr>
        <w:t>项目优先于B项目，A项目执</w:t>
      </w:r>
      <w:r>
        <w:rPr>
          <w:rFonts w:hint="eastAsia"/>
          <w:szCs w:val="21"/>
          <w:highlight w:val="none"/>
        </w:rPr>
        <w:t>行</w:t>
      </w:r>
      <w:r>
        <w:rPr>
          <w:szCs w:val="21"/>
          <w:highlight w:val="none"/>
        </w:rPr>
        <w:t>完N小时之后才能执行B项目</w:t>
      </w:r>
      <w:r>
        <w:rPr>
          <w:rFonts w:hint="eastAsia"/>
          <w:szCs w:val="21"/>
          <w:highlight w:val="none"/>
        </w:rPr>
        <w:t>，A</w:t>
      </w:r>
      <w:r>
        <w:rPr>
          <w:szCs w:val="21"/>
          <w:highlight w:val="none"/>
        </w:rPr>
        <w:t>项目执行N小时之后才能执行其它</w:t>
      </w:r>
      <w:r>
        <w:rPr>
          <w:rFonts w:hint="eastAsia"/>
          <w:szCs w:val="21"/>
          <w:highlight w:val="none"/>
        </w:rPr>
        <w:t>项</w:t>
      </w:r>
      <w:r>
        <w:rPr>
          <w:szCs w:val="21"/>
          <w:highlight w:val="none"/>
        </w:rPr>
        <w:t>目等</w:t>
      </w:r>
      <w:r>
        <w:rPr>
          <w:rFonts w:hint="eastAsia"/>
          <w:szCs w:val="21"/>
          <w:highlight w:val="none"/>
        </w:rPr>
        <w:t>。</w:t>
      </w:r>
    </w:p>
    <w:p w14:paraId="25EDD391">
      <w:pPr>
        <w:rPr>
          <w:rFonts w:hint="eastAsia"/>
          <w:szCs w:val="21"/>
          <w:highlight w:val="none"/>
        </w:rPr>
      </w:pPr>
    </w:p>
    <w:p w14:paraId="2FDA160D">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磁共振检查时长知识库</w:t>
      </w:r>
    </w:p>
    <w:p w14:paraId="5C8CC949">
      <w:pPr>
        <w:ind w:firstLine="480" w:firstLineChars="200"/>
        <w:rPr>
          <w:rFonts w:hint="eastAsia"/>
          <w:szCs w:val="21"/>
          <w:highlight w:val="none"/>
        </w:rPr>
      </w:pPr>
      <w:r>
        <w:rPr>
          <w:rFonts w:hint="eastAsia"/>
          <w:szCs w:val="21"/>
          <w:highlight w:val="none"/>
        </w:rPr>
        <w:t>磁共振（MRI）检查时间一般与病人数无关，而与病人开具检查部位的项目多少相关，所需检查部位的项目越多，检查时间就越长，若以一般的预约模式，则无法计算病人精准的预约时间。检查时长知识库包含各个磁共振项目的大约检查时长，平台针对MR科室的预约采用动态资源数算法，尽可能为患者提供精准化的预约，减少病人往返医院的次数及在院的等待时间，提高医院MR科室的就诊效率。</w:t>
      </w:r>
    </w:p>
    <w:p w14:paraId="2012EA2F">
      <w:pPr>
        <w:pStyle w:val="7"/>
        <w:numPr>
          <w:ilvl w:val="5"/>
          <w:numId w:val="0"/>
        </w:numPr>
        <w:ind w:left="1152" w:hanging="1152"/>
        <w:rPr>
          <w:rFonts w:hint="eastAsia" w:ascii="宋体" w:hAnsi="宋体" w:eastAsia="宋体"/>
          <w:sz w:val="21"/>
          <w:szCs w:val="21"/>
          <w:highlight w:val="none"/>
        </w:rPr>
      </w:pPr>
      <w:r>
        <w:rPr>
          <w:rFonts w:hint="eastAsia" w:ascii="宋体" w:hAnsi="宋体" w:eastAsia="宋体"/>
          <w:sz w:val="21"/>
          <w:szCs w:val="21"/>
          <w:highlight w:val="none"/>
        </w:rPr>
        <w:t>孕期超声检查知识库</w:t>
      </w:r>
    </w:p>
    <w:p w14:paraId="10AEDFCC">
      <w:pPr>
        <w:ind w:firstLine="480"/>
        <w:rPr>
          <w:rFonts w:hint="eastAsia"/>
          <w:szCs w:val="21"/>
          <w:highlight w:val="none"/>
        </w:rPr>
      </w:pPr>
      <w:r>
        <w:rPr>
          <w:rFonts w:hint="eastAsia"/>
          <w:szCs w:val="21"/>
          <w:highlight w:val="none"/>
        </w:rPr>
        <w:t>孕期知识</w:t>
      </w:r>
      <w:r>
        <w:rPr>
          <w:szCs w:val="21"/>
          <w:highlight w:val="none"/>
        </w:rPr>
        <w:t>库，用于设置</w:t>
      </w:r>
      <w:r>
        <w:rPr>
          <w:rFonts w:hint="eastAsia"/>
          <w:szCs w:val="21"/>
          <w:highlight w:val="none"/>
        </w:rPr>
        <w:t>孕妇在</w:t>
      </w:r>
      <w:r>
        <w:rPr>
          <w:szCs w:val="21"/>
          <w:highlight w:val="none"/>
        </w:rPr>
        <w:t>孕期需要做的超声检查</w:t>
      </w:r>
      <w:r>
        <w:rPr>
          <w:rFonts w:hint="eastAsia"/>
          <w:szCs w:val="21"/>
          <w:highlight w:val="none"/>
        </w:rPr>
        <w:t>以</w:t>
      </w:r>
      <w:r>
        <w:rPr>
          <w:szCs w:val="21"/>
          <w:highlight w:val="none"/>
        </w:rPr>
        <w:t>及对应的检查</w:t>
      </w:r>
      <w:r>
        <w:rPr>
          <w:rFonts w:hint="eastAsia"/>
          <w:szCs w:val="21"/>
          <w:highlight w:val="none"/>
        </w:rPr>
        <w:t>周</w:t>
      </w:r>
      <w:r>
        <w:rPr>
          <w:szCs w:val="21"/>
          <w:highlight w:val="none"/>
        </w:rPr>
        <w:t>期，为孕妇检查预约提供智能的判断和预约推荐提供知识规则，如：</w:t>
      </w:r>
      <w:r>
        <w:rPr>
          <w:rFonts w:hint="eastAsia"/>
          <w:szCs w:val="21"/>
          <w:highlight w:val="none"/>
        </w:rPr>
        <w:t>（单</w:t>
      </w:r>
      <w:r>
        <w:rPr>
          <w:szCs w:val="21"/>
          <w:highlight w:val="none"/>
        </w:rPr>
        <w:t>胎）</w:t>
      </w:r>
      <w:r>
        <w:rPr>
          <w:rFonts w:hint="eastAsia"/>
          <w:szCs w:val="21"/>
          <w:highlight w:val="none"/>
        </w:rPr>
        <w:t>常</w:t>
      </w:r>
      <w:r>
        <w:rPr>
          <w:szCs w:val="21"/>
          <w:highlight w:val="none"/>
        </w:rPr>
        <w:t>规</w:t>
      </w:r>
      <w:r>
        <w:rPr>
          <w:rFonts w:hint="eastAsia"/>
          <w:szCs w:val="21"/>
          <w:highlight w:val="none"/>
        </w:rPr>
        <w:t>产</w:t>
      </w:r>
      <w:r>
        <w:rPr>
          <w:szCs w:val="21"/>
          <w:highlight w:val="none"/>
        </w:rPr>
        <w:t>前</w:t>
      </w:r>
      <w:r>
        <w:rPr>
          <w:rFonts w:hint="eastAsia"/>
          <w:szCs w:val="21"/>
          <w:highlight w:val="none"/>
        </w:rPr>
        <w:t>超声检查</w:t>
      </w:r>
      <w:r>
        <w:rPr>
          <w:szCs w:val="21"/>
          <w:highlight w:val="none"/>
        </w:rPr>
        <w:t>+</w:t>
      </w:r>
      <w:r>
        <w:rPr>
          <w:rFonts w:hint="eastAsia"/>
          <w:szCs w:val="21"/>
          <w:highlight w:val="none"/>
        </w:rPr>
        <w:t>四维彩超</w:t>
      </w:r>
      <w:r>
        <w:rPr>
          <w:szCs w:val="21"/>
          <w:highlight w:val="none"/>
        </w:rPr>
        <w:t>检查</w:t>
      </w:r>
      <w:r>
        <w:rPr>
          <w:rFonts w:hint="eastAsia"/>
          <w:szCs w:val="21"/>
          <w:highlight w:val="none"/>
        </w:rPr>
        <w:t>，</w:t>
      </w:r>
      <w:r>
        <w:rPr>
          <w:szCs w:val="21"/>
          <w:highlight w:val="none"/>
        </w:rPr>
        <w:t>周期为</w:t>
      </w:r>
      <w:r>
        <w:rPr>
          <w:rFonts w:hint="eastAsia"/>
          <w:szCs w:val="21"/>
          <w:highlight w:val="none"/>
        </w:rPr>
        <w:t>第</w:t>
      </w:r>
      <w:r>
        <w:rPr>
          <w:szCs w:val="21"/>
          <w:highlight w:val="none"/>
        </w:rPr>
        <w:t>20</w:t>
      </w:r>
      <w:r>
        <w:rPr>
          <w:rFonts w:hint="eastAsia"/>
          <w:szCs w:val="21"/>
          <w:highlight w:val="none"/>
        </w:rPr>
        <w:t>周-第</w:t>
      </w:r>
      <w:r>
        <w:rPr>
          <w:szCs w:val="21"/>
          <w:highlight w:val="none"/>
        </w:rPr>
        <w:t>28</w:t>
      </w:r>
      <w:r>
        <w:rPr>
          <w:rFonts w:hint="eastAsia"/>
          <w:szCs w:val="21"/>
          <w:highlight w:val="none"/>
        </w:rPr>
        <w:t>周之</w:t>
      </w:r>
      <w:r>
        <w:rPr>
          <w:szCs w:val="21"/>
          <w:highlight w:val="none"/>
        </w:rPr>
        <w:t>间。</w:t>
      </w:r>
      <w:r>
        <w:rPr>
          <w:rFonts w:hint="eastAsia"/>
          <w:szCs w:val="21"/>
          <w:highlight w:val="none"/>
        </w:rPr>
        <w:t>当</w:t>
      </w:r>
      <w:r>
        <w:rPr>
          <w:szCs w:val="21"/>
          <w:highlight w:val="none"/>
        </w:rPr>
        <w:t>孕妇需要该检查时，通过结合当前的诊室排班可预约号源信息，自动推荐到相应时间点预约，提高医技预约效率。</w:t>
      </w:r>
    </w:p>
    <w:p w14:paraId="1FCC5CF8">
      <w:pPr>
        <w:pStyle w:val="3"/>
        <w:rPr>
          <w:rFonts w:hint="eastAsia" w:ascii="宋体" w:hAnsi="宋体"/>
          <w:sz w:val="21"/>
          <w:szCs w:val="21"/>
          <w:highlight w:val="none"/>
        </w:rPr>
      </w:pPr>
      <w:r>
        <w:rPr>
          <w:rFonts w:hint="eastAsia" w:ascii="宋体" w:hAnsi="宋体"/>
          <w:sz w:val="21"/>
          <w:szCs w:val="21"/>
          <w:highlight w:val="none"/>
        </w:rPr>
        <w:t>院内移动诊疗系统升级改造</w:t>
      </w:r>
    </w:p>
    <w:p w14:paraId="7E1750FC">
      <w:pPr>
        <w:pStyle w:val="4"/>
        <w:rPr>
          <w:rFonts w:hint="eastAsia" w:ascii="宋体" w:hAnsi="宋体"/>
          <w:sz w:val="21"/>
          <w:szCs w:val="21"/>
          <w:highlight w:val="none"/>
        </w:rPr>
      </w:pPr>
      <w:r>
        <w:rPr>
          <w:rFonts w:hint="eastAsia" w:ascii="宋体" w:hAnsi="宋体"/>
          <w:sz w:val="21"/>
          <w:szCs w:val="21"/>
          <w:highlight w:val="none"/>
        </w:rPr>
        <w:t>掌上医护</w:t>
      </w:r>
    </w:p>
    <w:p w14:paraId="5F8ACAE8">
      <w:pPr>
        <w:rPr>
          <w:rFonts w:hint="eastAsia"/>
          <w:szCs w:val="21"/>
          <w:highlight w:val="none"/>
        </w:rPr>
      </w:pPr>
      <w:r>
        <w:rPr>
          <w:rFonts w:hint="eastAsia"/>
          <w:szCs w:val="21"/>
          <w:highlight w:val="none"/>
        </w:rPr>
        <w:t>基于信息安全交互的基础上，要求将掌上医护集成到医院的钉钉/企业微信平台上，实现医院临床业务从PC端延伸到手机端，全面提高医院医护人员的整体临床办公效率。同时掌上医护通过打破空间限制，高效实现各行政科室、业务科室间业务协作沟通，从而保障患者生命健康，提升患者就医满意度。</w:t>
      </w:r>
    </w:p>
    <w:p w14:paraId="6A970DC1">
      <w:pPr>
        <w:pStyle w:val="5"/>
        <w:rPr>
          <w:rFonts w:hint="eastAsia" w:ascii="宋体" w:hAnsi="宋体" w:eastAsia="宋体"/>
          <w:sz w:val="21"/>
          <w:szCs w:val="21"/>
          <w:highlight w:val="none"/>
        </w:rPr>
      </w:pPr>
      <w:r>
        <w:rPr>
          <w:rFonts w:hint="eastAsia" w:ascii="宋体" w:hAnsi="宋体" w:eastAsia="宋体"/>
          <w:sz w:val="21"/>
          <w:szCs w:val="21"/>
          <w:highlight w:val="none"/>
        </w:rPr>
        <w:t>临床业务审批</w:t>
      </w:r>
    </w:p>
    <w:p w14:paraId="3FF79F66">
      <w:pPr>
        <w:numPr>
          <w:ilvl w:val="0"/>
          <w:numId w:val="39"/>
        </w:numPr>
        <w:spacing w:line="240" w:lineRule="auto"/>
        <w:rPr>
          <w:rFonts w:hint="eastAsia"/>
          <w:szCs w:val="21"/>
          <w:highlight w:val="none"/>
        </w:rPr>
      </w:pPr>
      <w:r>
        <w:rPr>
          <w:rFonts w:hint="eastAsia"/>
          <w:szCs w:val="21"/>
          <w:highlight w:val="none"/>
        </w:rPr>
        <w:t>危急值处理</w:t>
      </w:r>
    </w:p>
    <w:p w14:paraId="19AAD051">
      <w:pPr>
        <w:pStyle w:val="117"/>
        <w:ind w:left="480" w:firstLine="0" w:firstLineChars="0"/>
        <w:rPr>
          <w:rFonts w:hint="eastAsia" w:ascii="宋体" w:hAnsi="宋体"/>
          <w:szCs w:val="21"/>
          <w:highlight w:val="none"/>
        </w:rPr>
      </w:pPr>
      <w:r>
        <w:rPr>
          <w:rFonts w:hint="eastAsia" w:ascii="宋体" w:hAnsi="宋体"/>
          <w:szCs w:val="21"/>
          <w:highlight w:val="none"/>
        </w:rPr>
        <w:t>▲</w:t>
      </w:r>
      <w:r>
        <w:rPr>
          <w:rFonts w:hint="eastAsia" w:ascii="宋体" w:hAnsi="宋体"/>
          <w:b/>
          <w:bCs/>
          <w:szCs w:val="21"/>
          <w:highlight w:val="none"/>
        </w:rPr>
        <w:t>危急值的处理为加强医学检验“危急值”的管理,以便临床医生及时采取有效的治疗措施,保证病人的生命安全,杜绝病人意外发生。要求通过掌上医护与医院移动办公软件的结合，医生可在移动端及时获取危急值警示信息，及时处理待办理危急值审批申请，并第一时间联系患者进行处置，有效提高患者安全，加强重症病人监管，有效降低医疗纠纷发生率。（要求提供符合以上功能说明的产品截图）</w:t>
      </w:r>
    </w:p>
    <w:p w14:paraId="4906791C">
      <w:pPr>
        <w:numPr>
          <w:ilvl w:val="0"/>
          <w:numId w:val="39"/>
        </w:numPr>
        <w:spacing w:line="240" w:lineRule="auto"/>
        <w:rPr>
          <w:rFonts w:hint="eastAsia"/>
          <w:szCs w:val="21"/>
          <w:highlight w:val="none"/>
        </w:rPr>
      </w:pPr>
      <w:r>
        <w:rPr>
          <w:rFonts w:hint="eastAsia"/>
          <w:szCs w:val="21"/>
          <w:highlight w:val="none"/>
        </w:rPr>
        <w:t>用血超限审批</w:t>
      </w:r>
    </w:p>
    <w:p w14:paraId="1860FE2B">
      <w:pPr>
        <w:rPr>
          <w:rFonts w:hint="eastAsia"/>
          <w:szCs w:val="21"/>
          <w:highlight w:val="none"/>
        </w:rPr>
      </w:pPr>
      <w:r>
        <w:rPr>
          <w:rFonts w:hint="eastAsia"/>
          <w:szCs w:val="21"/>
          <w:highlight w:val="none"/>
        </w:rPr>
        <w:t>用血超限审批目的在于加强临床用血审核制度管理，促进合理用血、安全用血。由于住院医生在移动工作中，无法依靠电脑获取病人临床用血申请的信息，所以要求掌上医护来协助医生进行移动办公，在移动端获取用血超限审批消息，并进行审批。</w:t>
      </w:r>
    </w:p>
    <w:p w14:paraId="5C0366AD">
      <w:pPr>
        <w:numPr>
          <w:ilvl w:val="0"/>
          <w:numId w:val="39"/>
        </w:numPr>
        <w:spacing w:line="240" w:lineRule="auto"/>
        <w:rPr>
          <w:rFonts w:hint="eastAsia"/>
          <w:szCs w:val="21"/>
          <w:highlight w:val="none"/>
        </w:rPr>
      </w:pPr>
      <w:r>
        <w:rPr>
          <w:rFonts w:hint="eastAsia"/>
          <w:szCs w:val="21"/>
          <w:highlight w:val="none"/>
        </w:rPr>
        <w:t>抗生素用药审批</w:t>
      </w:r>
    </w:p>
    <w:p w14:paraId="0986D763">
      <w:pPr>
        <w:rPr>
          <w:rFonts w:hint="eastAsia"/>
          <w:szCs w:val="21"/>
          <w:highlight w:val="none"/>
        </w:rPr>
      </w:pPr>
      <w:r>
        <w:rPr>
          <w:rFonts w:hint="eastAsia"/>
          <w:szCs w:val="21"/>
          <w:highlight w:val="none"/>
        </w:rPr>
        <w:t>由于上级医生工作繁忙，不能只是待在电脑前等着审批医生抗生素用药申请，抗生素用药未及时审批，延误治疗。要求掌上医护与移动办公的有效结合，帮助上级医生及时响应医嘱医生的抗生素用药申请，在审批过程中调阅当前患者的患者详情中的医技报告和患者病历，根据患者实际情况提交审核结果，合理用药，保障医疗安全。</w:t>
      </w:r>
    </w:p>
    <w:p w14:paraId="1501B0F5">
      <w:pPr>
        <w:numPr>
          <w:ilvl w:val="0"/>
          <w:numId w:val="39"/>
        </w:numPr>
        <w:spacing w:line="240" w:lineRule="auto"/>
        <w:rPr>
          <w:rFonts w:hint="eastAsia"/>
          <w:szCs w:val="21"/>
          <w:highlight w:val="none"/>
        </w:rPr>
      </w:pPr>
      <w:r>
        <w:rPr>
          <w:rFonts w:hint="eastAsia"/>
          <w:szCs w:val="21"/>
          <w:highlight w:val="none"/>
        </w:rPr>
        <w:t>靶向药品用药审批</w:t>
      </w:r>
    </w:p>
    <w:p w14:paraId="7CEE5F1F">
      <w:pPr>
        <w:rPr>
          <w:rFonts w:hint="eastAsia"/>
          <w:szCs w:val="21"/>
          <w:highlight w:val="none"/>
        </w:rPr>
      </w:pPr>
      <w:r>
        <w:rPr>
          <w:rFonts w:hint="eastAsia"/>
          <w:szCs w:val="21"/>
          <w:highlight w:val="none"/>
        </w:rPr>
        <w:t>靶向药品用药审批，让分子靶向药物的使用更加合理。要去通过掌上医护，医生可在移动端获取靶向药用药审批信息，在审批过程中随时随地调阅用药患者的医技报告和患者病历，实时了解病人病史信息。要求支持在移动端审核其他医生提交的靶向药品用药申请。</w:t>
      </w:r>
    </w:p>
    <w:p w14:paraId="5FC42A56">
      <w:pPr>
        <w:numPr>
          <w:ilvl w:val="0"/>
          <w:numId w:val="39"/>
        </w:numPr>
        <w:spacing w:line="240" w:lineRule="auto"/>
        <w:rPr>
          <w:rFonts w:hint="eastAsia"/>
          <w:szCs w:val="21"/>
          <w:highlight w:val="none"/>
        </w:rPr>
      </w:pPr>
      <w:r>
        <w:rPr>
          <w:rFonts w:hint="eastAsia"/>
          <w:szCs w:val="21"/>
          <w:highlight w:val="none"/>
        </w:rPr>
        <w:t>人免疫球白蛋白审批</w:t>
      </w:r>
    </w:p>
    <w:p w14:paraId="03990BAC">
      <w:pPr>
        <w:rPr>
          <w:rFonts w:hint="eastAsia"/>
          <w:szCs w:val="21"/>
          <w:highlight w:val="none"/>
        </w:rPr>
      </w:pPr>
      <w:r>
        <w:rPr>
          <w:rFonts w:hint="eastAsia"/>
          <w:szCs w:val="21"/>
          <w:highlight w:val="none"/>
        </w:rPr>
        <w:t>人免疫球蛋白用药审批是有效促进人血白蛋白合理应用的干预措施,为医院白蛋白的管控提供参考依据。要求支持药学部在移动端对人血白蛋白用药总量、疗程、个人用药量以及用药合理性等指标进行审核，可在审批过程中调阅当前患者的患者详情中的医技报告和患者病历，进一步缩短了响应周期，提高了审批执行效率。</w:t>
      </w:r>
    </w:p>
    <w:p w14:paraId="21618494">
      <w:pPr>
        <w:pStyle w:val="5"/>
        <w:rPr>
          <w:rFonts w:hint="eastAsia" w:ascii="宋体" w:hAnsi="宋体" w:eastAsia="宋体"/>
          <w:sz w:val="21"/>
          <w:szCs w:val="21"/>
          <w:highlight w:val="none"/>
        </w:rPr>
      </w:pPr>
      <w:r>
        <w:rPr>
          <w:rFonts w:hint="eastAsia" w:ascii="宋体" w:hAnsi="宋体" w:eastAsia="宋体"/>
          <w:sz w:val="21"/>
          <w:szCs w:val="21"/>
          <w:highlight w:val="none"/>
        </w:rPr>
        <w:t>掌上医护助手</w:t>
      </w:r>
    </w:p>
    <w:p w14:paraId="3527D2FF">
      <w:pPr>
        <w:numPr>
          <w:ilvl w:val="0"/>
          <w:numId w:val="40"/>
        </w:numPr>
        <w:spacing w:line="240" w:lineRule="auto"/>
        <w:rPr>
          <w:rFonts w:hint="eastAsia"/>
          <w:szCs w:val="21"/>
          <w:highlight w:val="none"/>
        </w:rPr>
      </w:pPr>
      <w:r>
        <w:rPr>
          <w:rFonts w:hint="eastAsia"/>
          <w:szCs w:val="21"/>
          <w:highlight w:val="none"/>
        </w:rPr>
        <w:t>门诊管理</w:t>
      </w:r>
    </w:p>
    <w:p w14:paraId="53D64113">
      <w:pPr>
        <w:rPr>
          <w:rFonts w:hint="eastAsia"/>
          <w:szCs w:val="21"/>
          <w:highlight w:val="none"/>
        </w:rPr>
      </w:pPr>
      <w:r>
        <w:rPr>
          <w:rFonts w:hint="eastAsia"/>
          <w:szCs w:val="21"/>
          <w:highlight w:val="none"/>
        </w:rPr>
        <w:t>医护人员要求支持通过掌上医护根据用户权限获取医院门诊患者信息，查询指定时间范围内门诊患者的门诊病历、处方信息、历史检查、检验报告以及基本信息等。并可查看不同科室的门诊排班情况及预约情况。</w:t>
      </w:r>
    </w:p>
    <w:p w14:paraId="5D8B57D5">
      <w:pPr>
        <w:rPr>
          <w:rFonts w:hint="eastAsia"/>
          <w:szCs w:val="21"/>
          <w:highlight w:val="none"/>
        </w:rPr>
      </w:pPr>
      <w:r>
        <w:rPr>
          <w:szCs w:val="21"/>
          <w:highlight w:val="none"/>
        </w:rPr>
        <w:t>1.</w:t>
      </w:r>
      <w:r>
        <w:rPr>
          <w:rFonts w:hint="eastAsia"/>
          <w:szCs w:val="21"/>
          <w:highlight w:val="none"/>
        </w:rPr>
        <w:t>门诊患者信息查询</w:t>
      </w:r>
    </w:p>
    <w:p w14:paraId="45B56FBA">
      <w:pPr>
        <w:rPr>
          <w:rFonts w:hint="eastAsia"/>
          <w:szCs w:val="21"/>
          <w:highlight w:val="none"/>
        </w:rPr>
      </w:pPr>
      <w:r>
        <w:rPr>
          <w:rFonts w:hint="eastAsia"/>
          <w:szCs w:val="21"/>
          <w:highlight w:val="none"/>
        </w:rPr>
        <w:t>门诊患者基本信息要求包括：患者ID、姓名、性别、身份证号、所在科室、费用类别、联系电话等信息，当存在同名同姓患者时可通过基本信息进行区分，也可通过获取患者ID，在PC端查询患者详情，获取更多信息。</w:t>
      </w:r>
    </w:p>
    <w:p w14:paraId="5C8C1B3E">
      <w:pPr>
        <w:rPr>
          <w:rFonts w:hint="eastAsia"/>
          <w:szCs w:val="21"/>
          <w:highlight w:val="none"/>
        </w:rPr>
      </w:pPr>
      <w:r>
        <w:rPr>
          <w:szCs w:val="21"/>
          <w:highlight w:val="none"/>
        </w:rPr>
        <w:t>2.</w:t>
      </w:r>
      <w:r>
        <w:rPr>
          <w:rFonts w:hint="eastAsia"/>
          <w:szCs w:val="21"/>
          <w:highlight w:val="none"/>
        </w:rPr>
        <w:t>门诊病历查询</w:t>
      </w:r>
    </w:p>
    <w:p w14:paraId="05FE1037">
      <w:pPr>
        <w:rPr>
          <w:rFonts w:hint="eastAsia"/>
          <w:szCs w:val="21"/>
          <w:highlight w:val="none"/>
        </w:rPr>
      </w:pPr>
      <w:r>
        <w:rPr>
          <w:rFonts w:hint="eastAsia"/>
          <w:szCs w:val="21"/>
          <w:highlight w:val="none"/>
        </w:rPr>
        <w:t>要求</w:t>
      </w:r>
      <w:bookmarkStart w:id="193" w:name="_Hlk117777137"/>
      <w:r>
        <w:rPr>
          <w:rFonts w:hint="eastAsia"/>
          <w:szCs w:val="21"/>
          <w:highlight w:val="none"/>
        </w:rPr>
        <w:t>通过获取EMR系统相关的电子病历记录，经过处理转化成带水印格式的图片展示门诊病历，支持对图片进行缩放操作。</w:t>
      </w:r>
      <w:bookmarkEnd w:id="193"/>
    </w:p>
    <w:p w14:paraId="7EC0B6AA">
      <w:pPr>
        <w:rPr>
          <w:rFonts w:hint="eastAsia"/>
          <w:szCs w:val="21"/>
          <w:highlight w:val="none"/>
        </w:rPr>
      </w:pPr>
      <w:r>
        <w:rPr>
          <w:szCs w:val="21"/>
          <w:highlight w:val="none"/>
        </w:rPr>
        <w:t>3.</w:t>
      </w:r>
      <w:r>
        <w:rPr>
          <w:rFonts w:hint="eastAsia"/>
          <w:szCs w:val="21"/>
          <w:highlight w:val="none"/>
        </w:rPr>
        <w:t>门诊处方查询</w:t>
      </w:r>
    </w:p>
    <w:p w14:paraId="422C89CD">
      <w:pPr>
        <w:rPr>
          <w:rFonts w:hint="eastAsia"/>
          <w:szCs w:val="21"/>
          <w:highlight w:val="none"/>
        </w:rPr>
      </w:pPr>
      <w:r>
        <w:rPr>
          <w:rFonts w:hint="eastAsia"/>
          <w:szCs w:val="21"/>
          <w:highlight w:val="none"/>
        </w:rPr>
        <w:t>要求支持查询门诊患者当次门诊的处方信息，包括药品处方、治疗处方、检查处方和检验处方等，医护人员可根据患者的处方信息查询其相应的用药情况和检查治疗情况。</w:t>
      </w:r>
    </w:p>
    <w:p w14:paraId="41AF42A2">
      <w:pPr>
        <w:rPr>
          <w:rFonts w:hint="eastAsia"/>
          <w:szCs w:val="21"/>
          <w:highlight w:val="none"/>
        </w:rPr>
      </w:pPr>
      <w:r>
        <w:rPr>
          <w:szCs w:val="21"/>
          <w:highlight w:val="none"/>
        </w:rPr>
        <w:t>4.</w:t>
      </w:r>
      <w:r>
        <w:rPr>
          <w:rFonts w:hint="eastAsia"/>
          <w:szCs w:val="21"/>
          <w:highlight w:val="none"/>
        </w:rPr>
        <w:t>门诊报告单查询</w:t>
      </w:r>
    </w:p>
    <w:p w14:paraId="7B9C0D6D">
      <w:pPr>
        <w:rPr>
          <w:rFonts w:hint="eastAsia"/>
          <w:szCs w:val="21"/>
          <w:highlight w:val="none"/>
        </w:rPr>
      </w:pPr>
      <w:r>
        <w:rPr>
          <w:rFonts w:hint="eastAsia"/>
          <w:szCs w:val="21"/>
          <w:highlight w:val="none"/>
        </w:rPr>
        <w:t>医技报告包括检查报告和检验报告两部分，要求支持查询患者指定时间范围内在本院的检查报告或检验报告。报告详情要求以PDF格式文档呈现，可执行缩放、查询、页面跳转、目录视图等操作，方便医生快速获取所需信息。</w:t>
      </w:r>
    </w:p>
    <w:p w14:paraId="2CBC00DD">
      <w:pPr>
        <w:rPr>
          <w:rFonts w:hint="eastAsia"/>
          <w:szCs w:val="21"/>
          <w:highlight w:val="none"/>
        </w:rPr>
      </w:pPr>
      <w:r>
        <w:rPr>
          <w:szCs w:val="21"/>
          <w:highlight w:val="none"/>
        </w:rPr>
        <w:t>5.</w:t>
      </w:r>
      <w:r>
        <w:rPr>
          <w:rFonts w:hint="eastAsia"/>
          <w:szCs w:val="21"/>
          <w:highlight w:val="none"/>
        </w:rPr>
        <w:t>门诊排班查询</w:t>
      </w:r>
    </w:p>
    <w:p w14:paraId="4379F846">
      <w:pPr>
        <w:rPr>
          <w:rFonts w:hint="eastAsia"/>
          <w:szCs w:val="21"/>
          <w:highlight w:val="none"/>
        </w:rPr>
      </w:pPr>
      <w:r>
        <w:rPr>
          <w:rFonts w:hint="eastAsia"/>
          <w:szCs w:val="21"/>
          <w:highlight w:val="none"/>
        </w:rPr>
        <w:t>医护人员要求支持通过掌上医护查询各科室各医生的门诊排班情况、停诊情况，从而对自己的工作进行合理的时间安排。</w:t>
      </w:r>
    </w:p>
    <w:p w14:paraId="3936750A">
      <w:pPr>
        <w:rPr>
          <w:rFonts w:hint="eastAsia"/>
          <w:szCs w:val="21"/>
          <w:highlight w:val="none"/>
        </w:rPr>
      </w:pPr>
      <w:r>
        <w:rPr>
          <w:szCs w:val="21"/>
          <w:highlight w:val="none"/>
        </w:rPr>
        <w:t>6.</w:t>
      </w:r>
      <w:r>
        <w:rPr>
          <w:rFonts w:hint="eastAsia"/>
          <w:szCs w:val="21"/>
          <w:highlight w:val="none"/>
        </w:rPr>
        <w:t>门诊预约查询</w:t>
      </w:r>
    </w:p>
    <w:p w14:paraId="7934D1C7">
      <w:pPr>
        <w:rPr>
          <w:rFonts w:hint="eastAsia"/>
          <w:szCs w:val="21"/>
          <w:highlight w:val="none"/>
        </w:rPr>
      </w:pPr>
      <w:r>
        <w:rPr>
          <w:rFonts w:hint="eastAsia"/>
          <w:szCs w:val="21"/>
          <w:highlight w:val="none"/>
        </w:rPr>
        <w:t>医护人员要求支持通过掌上医护查询门诊各班次具体的预约信息，从而对自己的工作进行合理的时间安排。</w:t>
      </w:r>
    </w:p>
    <w:p w14:paraId="7A60B4A1">
      <w:pPr>
        <w:numPr>
          <w:ilvl w:val="0"/>
          <w:numId w:val="40"/>
        </w:numPr>
        <w:spacing w:line="240" w:lineRule="auto"/>
        <w:rPr>
          <w:rFonts w:hint="eastAsia"/>
          <w:szCs w:val="21"/>
          <w:highlight w:val="none"/>
        </w:rPr>
      </w:pPr>
      <w:r>
        <w:rPr>
          <w:rFonts w:hint="eastAsia"/>
          <w:szCs w:val="21"/>
          <w:highlight w:val="none"/>
        </w:rPr>
        <w:t>住院管理</w:t>
      </w:r>
    </w:p>
    <w:p w14:paraId="6AFE6FB5">
      <w:pPr>
        <w:rPr>
          <w:rFonts w:hint="eastAsia"/>
          <w:szCs w:val="21"/>
          <w:highlight w:val="none"/>
        </w:rPr>
      </w:pPr>
      <w:r>
        <w:rPr>
          <w:rFonts w:hint="eastAsia"/>
          <w:szCs w:val="21"/>
          <w:highlight w:val="none"/>
        </w:rPr>
        <w:t>要求实现住院患者电子病历移动化，医护人员通过移动办公软件，使用掌上医护，不论是在医院还是在家里，随时随地就可以获取医院住院患者信息，查询指定时间范围内的患者病历、长期医嘱、临时医嘱、历史检查、检验报告以及基本信息。</w:t>
      </w:r>
    </w:p>
    <w:p w14:paraId="3E107042">
      <w:pPr>
        <w:rPr>
          <w:rFonts w:hint="eastAsia"/>
          <w:szCs w:val="21"/>
          <w:highlight w:val="none"/>
        </w:rPr>
      </w:pPr>
      <w:r>
        <w:rPr>
          <w:szCs w:val="21"/>
          <w:highlight w:val="none"/>
        </w:rPr>
        <w:t>1.</w:t>
      </w:r>
      <w:r>
        <w:rPr>
          <w:rFonts w:hint="eastAsia"/>
          <w:szCs w:val="21"/>
          <w:highlight w:val="none"/>
        </w:rPr>
        <w:t>住院患者信息查询</w:t>
      </w:r>
    </w:p>
    <w:p w14:paraId="17AF7769">
      <w:pPr>
        <w:rPr>
          <w:rFonts w:hint="eastAsia"/>
          <w:szCs w:val="21"/>
          <w:highlight w:val="none"/>
        </w:rPr>
      </w:pPr>
      <w:r>
        <w:rPr>
          <w:rFonts w:hint="eastAsia"/>
          <w:szCs w:val="21"/>
          <w:highlight w:val="none"/>
        </w:rPr>
        <w:t>住院患者基本信息要求包括：住院号、床位号、姓名、性别、所在科室、诊断结果、入院时间、主管医生、主管护士、联系电话等信息。</w:t>
      </w:r>
    </w:p>
    <w:p w14:paraId="4184AC0B">
      <w:pPr>
        <w:rPr>
          <w:rFonts w:hint="eastAsia"/>
          <w:szCs w:val="21"/>
          <w:highlight w:val="none"/>
        </w:rPr>
      </w:pPr>
      <w:r>
        <w:rPr>
          <w:szCs w:val="21"/>
          <w:highlight w:val="none"/>
        </w:rPr>
        <w:t>2.</w:t>
      </w:r>
      <w:r>
        <w:rPr>
          <w:rFonts w:hint="eastAsia"/>
          <w:szCs w:val="21"/>
          <w:highlight w:val="none"/>
        </w:rPr>
        <w:t>住院病历查询</w:t>
      </w:r>
    </w:p>
    <w:p w14:paraId="19C904FB">
      <w:pPr>
        <w:rPr>
          <w:rFonts w:hint="eastAsia"/>
          <w:szCs w:val="21"/>
          <w:highlight w:val="none"/>
        </w:rPr>
      </w:pPr>
      <w:r>
        <w:rPr>
          <w:rFonts w:hint="eastAsia"/>
          <w:szCs w:val="21"/>
          <w:highlight w:val="none"/>
        </w:rPr>
        <w:t>要求与EMR系统进行对接，符合电子病历数据标准集要求，有序排列展示病历列表，要求包括病案首页、入院记录、病程记录、其他记录、会诊记录单、长期医嘱、临时医嘱、护理记录、体温单、常见知情类、药物治疗知情类、穿刺术知情类、检查治疗知情类、检查记录、护理治疗记录、术后病程记录、入院通知书。</w:t>
      </w:r>
    </w:p>
    <w:p w14:paraId="4FD0C2A3">
      <w:pPr>
        <w:rPr>
          <w:rFonts w:hint="eastAsia"/>
          <w:szCs w:val="21"/>
          <w:highlight w:val="none"/>
        </w:rPr>
      </w:pPr>
      <w:r>
        <w:rPr>
          <w:szCs w:val="21"/>
          <w:highlight w:val="none"/>
        </w:rPr>
        <w:t>3.</w:t>
      </w:r>
      <w:r>
        <w:rPr>
          <w:rFonts w:hint="eastAsia"/>
          <w:szCs w:val="21"/>
          <w:highlight w:val="none"/>
        </w:rPr>
        <w:t>住院长期医嘱查询</w:t>
      </w:r>
    </w:p>
    <w:p w14:paraId="16C7BC90">
      <w:pPr>
        <w:rPr>
          <w:rFonts w:hint="eastAsia"/>
          <w:szCs w:val="21"/>
          <w:highlight w:val="none"/>
        </w:rPr>
      </w:pPr>
      <w:r>
        <w:rPr>
          <w:rFonts w:hint="eastAsia"/>
          <w:szCs w:val="21"/>
          <w:highlight w:val="none"/>
        </w:rPr>
        <w:t>要求</w:t>
      </w:r>
      <w:bookmarkStart w:id="194" w:name="_Hlk117777931"/>
      <w:r>
        <w:rPr>
          <w:rFonts w:hint="eastAsia"/>
          <w:szCs w:val="21"/>
          <w:highlight w:val="none"/>
        </w:rPr>
        <w:t>通过获取EMR系统相关的电子病历记录，经过数据处理加密转化成带水印格式的图片展示住院长期医嘱，支持对图片进行缩放操作。</w:t>
      </w:r>
      <w:bookmarkEnd w:id="194"/>
    </w:p>
    <w:p w14:paraId="07998F85">
      <w:pPr>
        <w:rPr>
          <w:rFonts w:hint="eastAsia"/>
          <w:szCs w:val="21"/>
          <w:highlight w:val="none"/>
        </w:rPr>
      </w:pPr>
      <w:r>
        <w:rPr>
          <w:szCs w:val="21"/>
          <w:highlight w:val="none"/>
        </w:rPr>
        <w:t>4.</w:t>
      </w:r>
      <w:r>
        <w:rPr>
          <w:rFonts w:hint="eastAsia"/>
          <w:szCs w:val="21"/>
          <w:highlight w:val="none"/>
        </w:rPr>
        <w:t>住院临时医嘱查询</w:t>
      </w:r>
    </w:p>
    <w:p w14:paraId="2923A56E">
      <w:pPr>
        <w:rPr>
          <w:rFonts w:hint="eastAsia"/>
          <w:szCs w:val="21"/>
          <w:highlight w:val="none"/>
        </w:rPr>
      </w:pPr>
      <w:r>
        <w:rPr>
          <w:rFonts w:hint="eastAsia"/>
          <w:szCs w:val="21"/>
          <w:highlight w:val="none"/>
        </w:rPr>
        <w:t>要求通过获取EMR相关的电子病历记录，经过数据处理加密转化成带水印格式的图片展示住院临时医嘱，支持对图片进行缩放操作。</w:t>
      </w:r>
    </w:p>
    <w:p w14:paraId="578E24B5">
      <w:pPr>
        <w:rPr>
          <w:rFonts w:hint="eastAsia"/>
          <w:szCs w:val="21"/>
          <w:highlight w:val="none"/>
        </w:rPr>
      </w:pPr>
      <w:r>
        <w:rPr>
          <w:szCs w:val="21"/>
          <w:highlight w:val="none"/>
        </w:rPr>
        <w:t>5.</w:t>
      </w:r>
      <w:r>
        <w:rPr>
          <w:rFonts w:hint="eastAsia"/>
          <w:szCs w:val="21"/>
          <w:highlight w:val="none"/>
        </w:rPr>
        <w:t>住院报告单查询</w:t>
      </w:r>
    </w:p>
    <w:p w14:paraId="032312FE">
      <w:pPr>
        <w:rPr>
          <w:rFonts w:hint="eastAsia"/>
          <w:szCs w:val="21"/>
          <w:highlight w:val="none"/>
        </w:rPr>
      </w:pPr>
      <w:r>
        <w:rPr>
          <w:rFonts w:hint="eastAsia"/>
          <w:szCs w:val="21"/>
          <w:highlight w:val="none"/>
        </w:rPr>
        <w:t>报告单包括检查报告和检验报告两部分，要求支持查询患者指定时间范围内在本院的检查报告或检验报告。可查看报告详情，报告详情通过获取EMR系统相关的电子病历记录，经过处理转化成带水印的PDF格式进行展示。</w:t>
      </w:r>
    </w:p>
    <w:p w14:paraId="739C4894">
      <w:pPr>
        <w:rPr>
          <w:rFonts w:hint="eastAsia"/>
          <w:szCs w:val="21"/>
          <w:highlight w:val="none"/>
        </w:rPr>
      </w:pPr>
      <w:r>
        <w:rPr>
          <w:szCs w:val="21"/>
          <w:highlight w:val="none"/>
        </w:rPr>
        <w:t>6.</w:t>
      </w:r>
      <w:r>
        <w:rPr>
          <w:rFonts w:hint="eastAsia"/>
          <w:szCs w:val="21"/>
          <w:highlight w:val="none"/>
        </w:rPr>
        <w:t>住院床位查询</w:t>
      </w:r>
    </w:p>
    <w:p w14:paraId="4D993959">
      <w:pPr>
        <w:rPr>
          <w:rFonts w:hint="eastAsia"/>
          <w:szCs w:val="21"/>
          <w:highlight w:val="none"/>
        </w:rPr>
      </w:pPr>
      <w:r>
        <w:rPr>
          <w:rFonts w:hint="eastAsia"/>
          <w:szCs w:val="21"/>
          <w:highlight w:val="none"/>
        </w:rPr>
        <w:t>要求系统提供住院床位查询功能，医护人员可查询各个病区床位资源的使用状况，以及各个病区床位使用情况及床位病人情况。</w:t>
      </w:r>
    </w:p>
    <w:p w14:paraId="0A39E52D">
      <w:pPr>
        <w:rPr>
          <w:rFonts w:hint="eastAsia"/>
          <w:szCs w:val="21"/>
          <w:highlight w:val="none"/>
        </w:rPr>
      </w:pPr>
      <w:r>
        <w:rPr>
          <w:szCs w:val="21"/>
          <w:highlight w:val="none"/>
        </w:rPr>
        <w:t>7.</w:t>
      </w:r>
      <w:r>
        <w:rPr>
          <w:rFonts w:hint="eastAsia"/>
          <w:szCs w:val="21"/>
          <w:highlight w:val="none"/>
        </w:rPr>
        <w:t>日间手术患者查询</w:t>
      </w:r>
    </w:p>
    <w:p w14:paraId="6A199AA7">
      <w:pPr>
        <w:rPr>
          <w:rFonts w:hint="eastAsia"/>
          <w:szCs w:val="21"/>
          <w:highlight w:val="none"/>
        </w:rPr>
      </w:pPr>
      <w:r>
        <w:rPr>
          <w:rFonts w:hint="eastAsia"/>
          <w:szCs w:val="21"/>
          <w:highlight w:val="none"/>
        </w:rPr>
        <w:t>要求支持在移动端查看已登记预约日间手术的患者情况及手术时间，便于做出合理安排或调整。</w:t>
      </w:r>
    </w:p>
    <w:p w14:paraId="734EF86B">
      <w:pPr>
        <w:rPr>
          <w:rFonts w:hint="eastAsia"/>
          <w:szCs w:val="21"/>
          <w:highlight w:val="none"/>
        </w:rPr>
      </w:pPr>
      <w:r>
        <w:rPr>
          <w:szCs w:val="21"/>
          <w:highlight w:val="none"/>
        </w:rPr>
        <w:t>8.</w:t>
      </w:r>
      <w:r>
        <w:rPr>
          <w:rFonts w:hint="eastAsia"/>
          <w:szCs w:val="21"/>
          <w:highlight w:val="none"/>
        </w:rPr>
        <w:t>择日入院患者查询</w:t>
      </w:r>
    </w:p>
    <w:p w14:paraId="379D1576">
      <w:pPr>
        <w:rPr>
          <w:rFonts w:hint="eastAsia"/>
          <w:szCs w:val="21"/>
          <w:highlight w:val="none"/>
        </w:rPr>
      </w:pPr>
      <w:r>
        <w:rPr>
          <w:rFonts w:hint="eastAsia"/>
          <w:szCs w:val="21"/>
          <w:highlight w:val="none"/>
        </w:rPr>
        <w:t>要求支持在移动端查看已登记待入院的患者情况及入院或者手术时间，便于做出合理安排或调整。</w:t>
      </w:r>
    </w:p>
    <w:p w14:paraId="204D1B9F">
      <w:pPr>
        <w:rPr>
          <w:rFonts w:hint="eastAsia"/>
          <w:szCs w:val="21"/>
          <w:highlight w:val="none"/>
        </w:rPr>
      </w:pPr>
      <w:r>
        <w:rPr>
          <w:szCs w:val="21"/>
          <w:highlight w:val="none"/>
        </w:rPr>
        <w:t>9.</w:t>
      </w:r>
      <w:r>
        <w:rPr>
          <w:rFonts w:hint="eastAsia"/>
          <w:szCs w:val="21"/>
          <w:highlight w:val="none"/>
        </w:rPr>
        <w:t>住院危急值查询</w:t>
      </w:r>
    </w:p>
    <w:p w14:paraId="49296EBD">
      <w:pPr>
        <w:rPr>
          <w:rFonts w:hint="eastAsia"/>
          <w:szCs w:val="21"/>
          <w:highlight w:val="none"/>
        </w:rPr>
      </w:pPr>
      <w:r>
        <w:rPr>
          <w:rFonts w:hint="eastAsia"/>
          <w:szCs w:val="21"/>
          <w:highlight w:val="none"/>
        </w:rPr>
        <w:t>“危急值”信息，可供临床医护人员对生命处于危险边缘状态的患者采取及时、有效的治疗。医护人员要求支持通过掌上医护查看不同科室，不同时间段的危急值发起情况，可根据处理状态和消息类型进行筛选，在线联系患者，及时获取患者最新情况。</w:t>
      </w:r>
    </w:p>
    <w:p w14:paraId="558A298B">
      <w:pPr>
        <w:rPr>
          <w:rFonts w:hint="eastAsia"/>
          <w:szCs w:val="21"/>
          <w:highlight w:val="none"/>
        </w:rPr>
      </w:pPr>
      <w:r>
        <w:rPr>
          <w:szCs w:val="21"/>
          <w:highlight w:val="none"/>
        </w:rPr>
        <w:t>10.</w:t>
      </w:r>
      <w:r>
        <w:rPr>
          <w:rFonts w:hint="eastAsia"/>
          <w:szCs w:val="21"/>
          <w:highlight w:val="none"/>
        </w:rPr>
        <w:t>住院会诊查询</w:t>
      </w:r>
    </w:p>
    <w:p w14:paraId="30688E04">
      <w:pPr>
        <w:rPr>
          <w:rFonts w:hint="eastAsia"/>
          <w:szCs w:val="21"/>
          <w:highlight w:val="none"/>
        </w:rPr>
      </w:pPr>
      <w:r>
        <w:rPr>
          <w:rFonts w:hint="eastAsia"/>
          <w:szCs w:val="21"/>
          <w:highlight w:val="none"/>
        </w:rPr>
        <w:t>医护人员要求支持通过掌上医护根据用户权限查看指定时间内医护人员个人、全科，其他科室的会诊记录，可详细了解各患者的会诊记录详情，包括会诊时间、会诊意见以及病情摘要等。</w:t>
      </w:r>
    </w:p>
    <w:p w14:paraId="361D0519">
      <w:pPr>
        <w:rPr>
          <w:rFonts w:hint="eastAsia"/>
          <w:szCs w:val="21"/>
          <w:highlight w:val="none"/>
        </w:rPr>
      </w:pPr>
      <w:r>
        <w:rPr>
          <w:szCs w:val="21"/>
          <w:highlight w:val="none"/>
        </w:rPr>
        <w:t>11.</w:t>
      </w:r>
      <w:r>
        <w:rPr>
          <w:rFonts w:hint="eastAsia"/>
          <w:szCs w:val="21"/>
          <w:highlight w:val="none"/>
        </w:rPr>
        <w:t>手术排台查询</w:t>
      </w:r>
    </w:p>
    <w:p w14:paraId="12595B2A">
      <w:pPr>
        <w:rPr>
          <w:rFonts w:hint="eastAsia"/>
          <w:szCs w:val="21"/>
          <w:highlight w:val="none"/>
        </w:rPr>
      </w:pPr>
      <w:r>
        <w:rPr>
          <w:rFonts w:hint="eastAsia"/>
          <w:szCs w:val="21"/>
          <w:highlight w:val="none"/>
        </w:rPr>
        <w:t>医护人员要求支持通过医护助手随时随地查看医院各科室的手术排台情况，对整套手术安排、手术台数情况和患者手术排台情况进行查询，了解手术排台详情。</w:t>
      </w:r>
    </w:p>
    <w:p w14:paraId="090B0DE3">
      <w:pPr>
        <w:numPr>
          <w:ilvl w:val="0"/>
          <w:numId w:val="40"/>
        </w:numPr>
        <w:spacing w:line="240" w:lineRule="auto"/>
        <w:rPr>
          <w:rFonts w:hint="eastAsia"/>
          <w:szCs w:val="21"/>
          <w:highlight w:val="none"/>
        </w:rPr>
      </w:pPr>
      <w:r>
        <w:rPr>
          <w:rFonts w:hint="eastAsia"/>
          <w:szCs w:val="21"/>
          <w:highlight w:val="none"/>
        </w:rPr>
        <w:t>停诊管理</w:t>
      </w:r>
    </w:p>
    <w:p w14:paraId="082076B7">
      <w:pPr>
        <w:rPr>
          <w:rFonts w:hint="eastAsia"/>
          <w:szCs w:val="21"/>
          <w:highlight w:val="none"/>
        </w:rPr>
      </w:pPr>
      <w:r>
        <w:rPr>
          <w:szCs w:val="21"/>
          <w:highlight w:val="none"/>
        </w:rPr>
        <w:t>1.</w:t>
      </w:r>
      <w:r>
        <w:rPr>
          <w:rFonts w:hint="eastAsia"/>
          <w:szCs w:val="21"/>
          <w:highlight w:val="none"/>
        </w:rPr>
        <w:t>门诊停诊申请</w:t>
      </w:r>
    </w:p>
    <w:p w14:paraId="6076F543">
      <w:pPr>
        <w:rPr>
          <w:rFonts w:hint="eastAsia"/>
          <w:szCs w:val="21"/>
          <w:highlight w:val="none"/>
        </w:rPr>
      </w:pPr>
      <w:r>
        <w:rPr>
          <w:rFonts w:hint="eastAsia"/>
          <w:szCs w:val="21"/>
          <w:highlight w:val="none"/>
        </w:rPr>
        <w:t>医护人员要求支持通过掌上医护在移动端进行停诊申请，医护人员间换班和停班调整最大化的进行自助操作，减少管理人员参与。要求支持单个班次停诊申请、多个班次批量停诊申请。要求支持根据用户角色定义流程，根据用户角色自定义选择审批人。支持替班选择。</w:t>
      </w:r>
    </w:p>
    <w:p w14:paraId="4EAC00AD">
      <w:pPr>
        <w:rPr>
          <w:rFonts w:hint="eastAsia"/>
          <w:szCs w:val="21"/>
          <w:highlight w:val="none"/>
        </w:rPr>
      </w:pPr>
      <w:r>
        <w:rPr>
          <w:szCs w:val="21"/>
          <w:highlight w:val="none"/>
        </w:rPr>
        <w:t>2.</w:t>
      </w:r>
      <w:r>
        <w:rPr>
          <w:rFonts w:hint="eastAsia"/>
          <w:szCs w:val="21"/>
          <w:highlight w:val="none"/>
        </w:rPr>
        <w:t>门诊停诊审批</w:t>
      </w:r>
    </w:p>
    <w:p w14:paraId="37A2D7EC">
      <w:pPr>
        <w:rPr>
          <w:rFonts w:hint="eastAsia"/>
          <w:szCs w:val="21"/>
          <w:highlight w:val="none"/>
        </w:rPr>
      </w:pPr>
      <w:r>
        <w:rPr>
          <w:rFonts w:hint="eastAsia"/>
          <w:szCs w:val="21"/>
          <w:highlight w:val="none"/>
        </w:rPr>
        <w:t>医院停诊审批越及时，网上信息更新就越及时，患者获取信息就越及时。通过掌上医护，医护人员可第一时间获取审批停诊人发起的申请消息，快速处理，避免因为因停诊审批不及时，而导致患者获取预约相关消息滞后。要求可对停诊申请进行审批，可查看已办理的停诊审批内容，对已停诊的班次可进行恢复。</w:t>
      </w:r>
    </w:p>
    <w:p w14:paraId="7D4241DC">
      <w:pPr>
        <w:rPr>
          <w:rFonts w:hint="eastAsia"/>
          <w:szCs w:val="21"/>
          <w:highlight w:val="none"/>
        </w:rPr>
      </w:pPr>
      <w:r>
        <w:rPr>
          <w:szCs w:val="21"/>
          <w:highlight w:val="none"/>
        </w:rPr>
        <w:t>3.</w:t>
      </w:r>
      <w:r>
        <w:rPr>
          <w:rFonts w:hint="eastAsia"/>
          <w:szCs w:val="21"/>
          <w:highlight w:val="none"/>
        </w:rPr>
        <w:t>停诊记录查询</w:t>
      </w:r>
    </w:p>
    <w:p w14:paraId="71E59FE9">
      <w:pPr>
        <w:rPr>
          <w:rFonts w:hint="eastAsia"/>
          <w:szCs w:val="21"/>
          <w:highlight w:val="none"/>
        </w:rPr>
      </w:pPr>
      <w:r>
        <w:rPr>
          <w:rFonts w:hint="eastAsia"/>
          <w:szCs w:val="21"/>
          <w:highlight w:val="none"/>
        </w:rPr>
        <w:t>门诊医生要求支持查询停诊记录，查询自己历史的停诊申请记录及审批状态。</w:t>
      </w:r>
    </w:p>
    <w:p w14:paraId="1134ABC1">
      <w:pPr>
        <w:numPr>
          <w:ilvl w:val="0"/>
          <w:numId w:val="40"/>
        </w:numPr>
        <w:spacing w:line="240" w:lineRule="auto"/>
        <w:rPr>
          <w:rFonts w:hint="eastAsia"/>
          <w:szCs w:val="21"/>
          <w:highlight w:val="none"/>
        </w:rPr>
      </w:pPr>
      <w:r>
        <w:rPr>
          <w:rFonts w:hint="eastAsia"/>
          <w:szCs w:val="21"/>
          <w:highlight w:val="none"/>
        </w:rPr>
        <w:t>智能消息提醒</w:t>
      </w:r>
    </w:p>
    <w:p w14:paraId="2CADB334">
      <w:pPr>
        <w:rPr>
          <w:rFonts w:hint="eastAsia"/>
          <w:szCs w:val="21"/>
          <w:highlight w:val="none"/>
        </w:rPr>
      </w:pPr>
      <w:r>
        <w:rPr>
          <w:rFonts w:hint="eastAsia"/>
          <w:szCs w:val="21"/>
          <w:highlight w:val="none"/>
        </w:rPr>
        <w:t>要求提供住院患者危急值提醒，提醒医师关注危急值信息，及时进行相关处置，保障患者生命安全。要求提供住院入科提醒，入科患者及时告知主治医师，帮助及时准备治疗计划。要求提供住院病重病危患者提醒，医师下达病危病重医嘱时，及时提醒责任护士、护士长注意患者病情变化。</w:t>
      </w:r>
    </w:p>
    <w:p w14:paraId="1EC08C30">
      <w:pPr>
        <w:rPr>
          <w:rFonts w:hint="eastAsia"/>
          <w:szCs w:val="21"/>
          <w:highlight w:val="none"/>
        </w:rPr>
      </w:pPr>
      <w:r>
        <w:rPr>
          <w:szCs w:val="21"/>
          <w:highlight w:val="none"/>
        </w:rPr>
        <w:t>1.</w:t>
      </w:r>
      <w:r>
        <w:rPr>
          <w:rFonts w:hint="eastAsia"/>
          <w:szCs w:val="21"/>
          <w:highlight w:val="none"/>
        </w:rPr>
        <w:t>住院患者危急值提醒</w:t>
      </w:r>
    </w:p>
    <w:p w14:paraId="5BCECD0D">
      <w:pPr>
        <w:rPr>
          <w:rFonts w:hint="eastAsia"/>
          <w:szCs w:val="21"/>
          <w:highlight w:val="none"/>
        </w:rPr>
      </w:pPr>
      <w:r>
        <w:rPr>
          <w:rFonts w:hint="eastAsia"/>
          <w:szCs w:val="21"/>
          <w:highlight w:val="none"/>
        </w:rPr>
        <w:t>要求提醒医师关注危急值信息，及时进行相关处置，保障患者生命安全。</w:t>
      </w:r>
    </w:p>
    <w:p w14:paraId="279D4DBB">
      <w:pPr>
        <w:rPr>
          <w:rFonts w:hint="eastAsia"/>
          <w:szCs w:val="21"/>
          <w:highlight w:val="none"/>
        </w:rPr>
      </w:pPr>
      <w:r>
        <w:rPr>
          <w:szCs w:val="21"/>
          <w:highlight w:val="none"/>
        </w:rPr>
        <w:t>2.</w:t>
      </w:r>
      <w:r>
        <w:rPr>
          <w:rFonts w:hint="eastAsia"/>
          <w:szCs w:val="21"/>
          <w:highlight w:val="none"/>
        </w:rPr>
        <w:t>住院入科提醒</w:t>
      </w:r>
    </w:p>
    <w:p w14:paraId="58BBC8E3">
      <w:pPr>
        <w:rPr>
          <w:rFonts w:hint="eastAsia"/>
          <w:szCs w:val="21"/>
          <w:highlight w:val="none"/>
        </w:rPr>
      </w:pPr>
      <w:r>
        <w:rPr>
          <w:rFonts w:hint="eastAsia"/>
          <w:szCs w:val="21"/>
          <w:highlight w:val="none"/>
        </w:rPr>
        <w:t>要求入科患者及时告知主治医师，帮助及时准备治疗计划。</w:t>
      </w:r>
    </w:p>
    <w:p w14:paraId="37169105">
      <w:pPr>
        <w:rPr>
          <w:rFonts w:hint="eastAsia"/>
          <w:szCs w:val="21"/>
          <w:highlight w:val="none"/>
        </w:rPr>
      </w:pPr>
      <w:r>
        <w:rPr>
          <w:szCs w:val="21"/>
          <w:highlight w:val="none"/>
        </w:rPr>
        <w:t>3.</w:t>
      </w:r>
      <w:r>
        <w:rPr>
          <w:rFonts w:hint="eastAsia"/>
          <w:szCs w:val="21"/>
          <w:highlight w:val="none"/>
        </w:rPr>
        <w:t>住院病重、病危患者提醒</w:t>
      </w:r>
    </w:p>
    <w:p w14:paraId="77C63D83">
      <w:pPr>
        <w:rPr>
          <w:rFonts w:hint="eastAsia"/>
          <w:szCs w:val="21"/>
          <w:highlight w:val="none"/>
        </w:rPr>
      </w:pPr>
      <w:r>
        <w:rPr>
          <w:rFonts w:hint="eastAsia"/>
          <w:szCs w:val="21"/>
          <w:highlight w:val="none"/>
        </w:rPr>
        <w:t>要求医师下达病危病重医嘱时，及时提醒责任护士、护士长注意患者病情变化。</w:t>
      </w:r>
    </w:p>
    <w:p w14:paraId="0B32BC7C">
      <w:pPr>
        <w:numPr>
          <w:ilvl w:val="0"/>
          <w:numId w:val="40"/>
        </w:numPr>
        <w:spacing w:line="240" w:lineRule="auto"/>
        <w:rPr>
          <w:rFonts w:hint="eastAsia"/>
          <w:szCs w:val="21"/>
          <w:highlight w:val="none"/>
        </w:rPr>
      </w:pPr>
      <w:r>
        <w:rPr>
          <w:rFonts w:hint="eastAsia"/>
          <w:szCs w:val="21"/>
          <w:highlight w:val="none"/>
        </w:rPr>
        <w:t>应用使用情况统计报表</w:t>
      </w:r>
    </w:p>
    <w:p w14:paraId="3475981F">
      <w:pPr>
        <w:rPr>
          <w:rFonts w:hint="eastAsia"/>
          <w:szCs w:val="21"/>
          <w:highlight w:val="none"/>
        </w:rPr>
      </w:pPr>
      <w:r>
        <w:rPr>
          <w:rFonts w:hint="eastAsia"/>
          <w:szCs w:val="21"/>
          <w:highlight w:val="none"/>
        </w:rPr>
        <w:t>要求统计各个模块使用频次，包括日统计、月统计、年统计，帮助管理员更直观的了解功能模块使用情况。</w:t>
      </w:r>
    </w:p>
    <w:p w14:paraId="1E59A425">
      <w:pPr>
        <w:numPr>
          <w:ilvl w:val="0"/>
          <w:numId w:val="40"/>
        </w:numPr>
        <w:spacing w:line="240" w:lineRule="auto"/>
        <w:rPr>
          <w:rFonts w:hint="eastAsia"/>
          <w:szCs w:val="21"/>
          <w:highlight w:val="none"/>
        </w:rPr>
      </w:pPr>
      <w:r>
        <w:rPr>
          <w:rFonts w:hint="eastAsia"/>
          <w:szCs w:val="21"/>
          <w:highlight w:val="none"/>
        </w:rPr>
        <w:t>个人中心</w:t>
      </w:r>
    </w:p>
    <w:p w14:paraId="6FFAF2D6">
      <w:pPr>
        <w:rPr>
          <w:rFonts w:hint="eastAsia"/>
          <w:szCs w:val="21"/>
          <w:highlight w:val="none"/>
        </w:rPr>
      </w:pPr>
      <w:r>
        <w:rPr>
          <w:szCs w:val="21"/>
          <w:highlight w:val="none"/>
        </w:rPr>
        <w:t>1.</w:t>
      </w:r>
      <w:r>
        <w:rPr>
          <w:rFonts w:hint="eastAsia"/>
          <w:szCs w:val="21"/>
          <w:highlight w:val="none"/>
        </w:rPr>
        <w:t>个人信息</w:t>
      </w:r>
    </w:p>
    <w:p w14:paraId="0942DBF4">
      <w:pPr>
        <w:rPr>
          <w:rFonts w:hint="eastAsia"/>
          <w:szCs w:val="21"/>
          <w:highlight w:val="none"/>
        </w:rPr>
      </w:pPr>
      <w:r>
        <w:rPr>
          <w:rFonts w:hint="eastAsia"/>
          <w:szCs w:val="21"/>
          <w:highlight w:val="none"/>
        </w:rPr>
        <w:t>用户个人信息，要求包括HIS工号、姓名、身份证号、性别、联系电话、医院、科室、职称、所在地等信息。</w:t>
      </w:r>
    </w:p>
    <w:p w14:paraId="64FCDBCE">
      <w:pPr>
        <w:rPr>
          <w:rFonts w:hint="eastAsia"/>
          <w:szCs w:val="21"/>
          <w:highlight w:val="none"/>
        </w:rPr>
      </w:pPr>
      <w:r>
        <w:rPr>
          <w:szCs w:val="21"/>
          <w:highlight w:val="none"/>
        </w:rPr>
        <w:t>2.</w:t>
      </w:r>
      <w:r>
        <w:rPr>
          <w:rFonts w:hint="eastAsia"/>
          <w:szCs w:val="21"/>
          <w:highlight w:val="none"/>
        </w:rPr>
        <w:t>意见反馈</w:t>
      </w:r>
    </w:p>
    <w:p w14:paraId="53896891">
      <w:pPr>
        <w:rPr>
          <w:rFonts w:hint="eastAsia"/>
          <w:szCs w:val="21"/>
          <w:highlight w:val="none"/>
        </w:rPr>
      </w:pPr>
      <w:r>
        <w:rPr>
          <w:rFonts w:hint="eastAsia"/>
          <w:szCs w:val="21"/>
          <w:highlight w:val="none"/>
        </w:rPr>
        <w:t>要求用户使用过程中遇见问题可进行反馈。</w:t>
      </w:r>
    </w:p>
    <w:p w14:paraId="597D70BF">
      <w:pPr>
        <w:rPr>
          <w:rFonts w:hint="eastAsia"/>
          <w:szCs w:val="21"/>
          <w:highlight w:val="none"/>
        </w:rPr>
      </w:pPr>
      <w:r>
        <w:rPr>
          <w:szCs w:val="21"/>
          <w:highlight w:val="none"/>
        </w:rPr>
        <w:t>3.</w:t>
      </w:r>
      <w:r>
        <w:rPr>
          <w:rFonts w:hint="eastAsia"/>
          <w:szCs w:val="21"/>
          <w:highlight w:val="none"/>
        </w:rPr>
        <w:t>权限管理</w:t>
      </w:r>
    </w:p>
    <w:p w14:paraId="3C5B22B5">
      <w:pPr>
        <w:rPr>
          <w:rFonts w:hint="eastAsia"/>
          <w:szCs w:val="21"/>
          <w:highlight w:val="none"/>
        </w:rPr>
      </w:pPr>
      <w:bookmarkStart w:id="195" w:name="_Hlk117779661"/>
      <w:r>
        <w:rPr>
          <w:rFonts w:hint="eastAsia"/>
          <w:szCs w:val="21"/>
          <w:highlight w:val="none"/>
        </w:rPr>
        <w:t>要求严格根据科室权限、医疗组权限、用户角色权限、控制模块使用权限、数据查看范围，禁止跨医疗组、跨科室数据查看。</w:t>
      </w:r>
      <w:bookmarkEnd w:id="195"/>
    </w:p>
    <w:p w14:paraId="0F4F52FF">
      <w:pPr>
        <w:pStyle w:val="5"/>
        <w:rPr>
          <w:rFonts w:hint="eastAsia" w:ascii="宋体" w:hAnsi="宋体" w:eastAsia="宋体"/>
          <w:sz w:val="21"/>
          <w:szCs w:val="21"/>
          <w:highlight w:val="none"/>
        </w:rPr>
      </w:pPr>
      <w:r>
        <w:rPr>
          <w:rFonts w:hint="eastAsia" w:ascii="宋体" w:hAnsi="宋体" w:eastAsia="宋体"/>
          <w:sz w:val="21"/>
          <w:szCs w:val="21"/>
          <w:highlight w:val="none"/>
        </w:rPr>
        <w:t>电子签名</w:t>
      </w:r>
    </w:p>
    <w:p w14:paraId="712FC0EC">
      <w:pPr>
        <w:rPr>
          <w:rFonts w:hint="eastAsia"/>
          <w:szCs w:val="21"/>
          <w:highlight w:val="none"/>
        </w:rPr>
      </w:pPr>
      <w:r>
        <w:rPr>
          <w:rFonts w:hint="eastAsia"/>
          <w:szCs w:val="21"/>
          <w:highlight w:val="none"/>
        </w:rPr>
        <w:t>要求</w:t>
      </w:r>
      <w:bookmarkStart w:id="196" w:name="_Hlk117775629"/>
      <w:r>
        <w:rPr>
          <w:rFonts w:hint="eastAsia"/>
          <w:szCs w:val="21"/>
          <w:highlight w:val="none"/>
        </w:rPr>
        <w:t>与CA电子签名系统对接，</w:t>
      </w:r>
      <w:bookmarkEnd w:id="196"/>
      <w:r>
        <w:rPr>
          <w:rFonts w:hint="eastAsia"/>
          <w:szCs w:val="21"/>
          <w:highlight w:val="none"/>
        </w:rPr>
        <w:t>实现对移动端的危急值处理、用血超限审批、抗生素用药审批、靶向药品用药审批、人体免疫球白蛋白用药审批、手术审批以及病历审签等进行CA签名，并要求同步至PC端，确保移动审批数据可信、身份可信，具备法律效力。</w:t>
      </w:r>
    </w:p>
    <w:p w14:paraId="50091817">
      <w:pPr>
        <w:rPr>
          <w:rFonts w:hint="eastAsia"/>
          <w:szCs w:val="21"/>
          <w:highlight w:val="none"/>
        </w:rPr>
      </w:pPr>
    </w:p>
    <w:p w14:paraId="07EE1C07">
      <w:pPr>
        <w:pStyle w:val="4"/>
        <w:rPr>
          <w:rFonts w:hint="eastAsia" w:ascii="宋体" w:hAnsi="宋体"/>
          <w:sz w:val="21"/>
          <w:szCs w:val="21"/>
          <w:highlight w:val="none"/>
        </w:rPr>
      </w:pPr>
      <w:r>
        <w:rPr>
          <w:rFonts w:hint="eastAsia" w:ascii="宋体" w:hAnsi="宋体"/>
          <w:sz w:val="21"/>
          <w:szCs w:val="21"/>
          <w:highlight w:val="none"/>
        </w:rPr>
        <w:t>移动护理</w:t>
      </w:r>
    </w:p>
    <w:p w14:paraId="54B5DAB6">
      <w:pPr>
        <w:pStyle w:val="359"/>
        <w:ind w:firstLine="420"/>
        <w:rPr>
          <w:rFonts w:hint="eastAsia" w:ascii="宋体" w:hAnsi="宋体"/>
          <w:szCs w:val="21"/>
          <w:highlight w:val="none"/>
        </w:rPr>
      </w:pPr>
      <w:r>
        <w:rPr>
          <w:rFonts w:hint="eastAsia" w:ascii="宋体" w:hAnsi="宋体"/>
          <w:szCs w:val="21"/>
          <w:highlight w:val="none"/>
        </w:rPr>
        <w:t>移动护理系统结合无线通信技术、条码识别及PDA移动终端的优势，将护士工作站延伸到患者床旁。要求提供患者身份的智能识别、体征数据的现场采集，自动生成体温单及医嘱执行过程的全程跟踪等功能，实现医嘱全流程闭环管理，保证护理质量的同时，提高了护士工作效率。同时借助移动PDA，将护士长关心的护理业务和信息移动化，提升了护理质量的管理水平和效率。</w:t>
      </w:r>
    </w:p>
    <w:p w14:paraId="5F944B5C">
      <w:pPr>
        <w:pStyle w:val="5"/>
        <w:rPr>
          <w:rFonts w:hint="eastAsia" w:ascii="宋体" w:hAnsi="宋体" w:eastAsia="宋体"/>
          <w:sz w:val="21"/>
          <w:szCs w:val="21"/>
          <w:highlight w:val="none"/>
        </w:rPr>
      </w:pPr>
      <w:r>
        <w:rPr>
          <w:rFonts w:hint="eastAsia" w:ascii="宋体" w:hAnsi="宋体" w:eastAsia="宋体"/>
          <w:sz w:val="21"/>
          <w:szCs w:val="21"/>
          <w:highlight w:val="none"/>
        </w:rPr>
        <w:t>基础管理</w:t>
      </w:r>
    </w:p>
    <w:p w14:paraId="571C010E">
      <w:pPr>
        <w:numPr>
          <w:ilvl w:val="0"/>
          <w:numId w:val="41"/>
        </w:numPr>
        <w:spacing w:line="240" w:lineRule="auto"/>
        <w:rPr>
          <w:rFonts w:hint="eastAsia"/>
          <w:szCs w:val="21"/>
          <w:highlight w:val="none"/>
        </w:rPr>
      </w:pPr>
      <w:r>
        <w:rPr>
          <w:rFonts w:hint="eastAsia"/>
          <w:szCs w:val="21"/>
          <w:highlight w:val="none"/>
        </w:rPr>
        <w:t>系统登陆</w:t>
      </w:r>
    </w:p>
    <w:p w14:paraId="686160DB">
      <w:pPr>
        <w:pStyle w:val="359"/>
        <w:ind w:firstLine="420"/>
        <w:rPr>
          <w:rFonts w:hint="eastAsia" w:ascii="宋体" w:hAnsi="宋体"/>
          <w:szCs w:val="21"/>
          <w:highlight w:val="none"/>
        </w:rPr>
      </w:pPr>
      <w:r>
        <w:rPr>
          <w:rFonts w:hint="eastAsia" w:ascii="宋体" w:hAnsi="宋体"/>
          <w:szCs w:val="21"/>
          <w:highlight w:val="none"/>
        </w:rPr>
        <w:t>登陆界面要求支持手动输入账号密码登陆，或扫描工牌二维码的方式登陆，登陆账号密码与HIS系统保持一致。</w:t>
      </w:r>
    </w:p>
    <w:p w14:paraId="7ACDAB8A">
      <w:pPr>
        <w:numPr>
          <w:ilvl w:val="0"/>
          <w:numId w:val="41"/>
        </w:numPr>
        <w:spacing w:line="240" w:lineRule="auto"/>
        <w:rPr>
          <w:rFonts w:hint="eastAsia"/>
          <w:szCs w:val="21"/>
          <w:highlight w:val="none"/>
        </w:rPr>
      </w:pPr>
      <w:r>
        <w:rPr>
          <w:rFonts w:hint="eastAsia"/>
          <w:szCs w:val="21"/>
          <w:highlight w:val="none"/>
        </w:rPr>
        <w:t>科室列表</w:t>
      </w:r>
    </w:p>
    <w:p w14:paraId="3F3AC23F">
      <w:pPr>
        <w:pStyle w:val="359"/>
        <w:ind w:firstLine="420"/>
        <w:rPr>
          <w:rFonts w:hint="eastAsia" w:ascii="宋体" w:hAnsi="宋体"/>
          <w:szCs w:val="21"/>
          <w:highlight w:val="none"/>
        </w:rPr>
      </w:pPr>
      <w:r>
        <w:rPr>
          <w:rFonts w:hint="eastAsia" w:ascii="宋体" w:hAnsi="宋体"/>
          <w:szCs w:val="21"/>
          <w:highlight w:val="none"/>
        </w:rPr>
        <w:t>用户登录后，要求支持根据his系统中分配给护士的业务科室权限展示科室列表，选择相应科室后，即可对该科室的患者进行护理相关操作。</w:t>
      </w:r>
    </w:p>
    <w:p w14:paraId="4C3AC121">
      <w:pPr>
        <w:numPr>
          <w:ilvl w:val="0"/>
          <w:numId w:val="41"/>
        </w:numPr>
        <w:spacing w:line="240" w:lineRule="auto"/>
        <w:rPr>
          <w:rFonts w:hint="eastAsia"/>
          <w:szCs w:val="21"/>
          <w:highlight w:val="none"/>
        </w:rPr>
      </w:pPr>
      <w:r>
        <w:rPr>
          <w:rFonts w:hint="eastAsia"/>
          <w:szCs w:val="21"/>
          <w:highlight w:val="none"/>
        </w:rPr>
        <w:t>功能菜单导航</w:t>
      </w:r>
    </w:p>
    <w:p w14:paraId="050FEB74">
      <w:pPr>
        <w:pStyle w:val="359"/>
        <w:ind w:firstLine="420"/>
        <w:rPr>
          <w:rFonts w:hint="eastAsia" w:ascii="宋体" w:hAnsi="宋体"/>
          <w:szCs w:val="21"/>
          <w:highlight w:val="none"/>
        </w:rPr>
      </w:pPr>
      <w:r>
        <w:rPr>
          <w:rFonts w:hint="eastAsia" w:ascii="宋体" w:hAnsi="宋体"/>
          <w:szCs w:val="21"/>
          <w:highlight w:val="none"/>
        </w:rPr>
        <w:t>要求支持分类显示菜单，护士可根据分类方便地选择相应的菜单，进入操作页面。</w:t>
      </w:r>
    </w:p>
    <w:p w14:paraId="4EC87A29">
      <w:pPr>
        <w:numPr>
          <w:ilvl w:val="0"/>
          <w:numId w:val="41"/>
        </w:numPr>
        <w:spacing w:line="240" w:lineRule="auto"/>
        <w:rPr>
          <w:rFonts w:hint="eastAsia"/>
          <w:szCs w:val="21"/>
          <w:highlight w:val="none"/>
        </w:rPr>
      </w:pPr>
      <w:r>
        <w:rPr>
          <w:rFonts w:hint="eastAsia"/>
          <w:szCs w:val="21"/>
          <w:highlight w:val="none"/>
        </w:rPr>
        <w:t>菜单权限管理</w:t>
      </w:r>
    </w:p>
    <w:p w14:paraId="7C03597F">
      <w:pPr>
        <w:pStyle w:val="359"/>
        <w:ind w:firstLine="420"/>
        <w:rPr>
          <w:rFonts w:hint="eastAsia" w:ascii="宋体" w:hAnsi="宋体"/>
          <w:szCs w:val="21"/>
          <w:highlight w:val="none"/>
        </w:rPr>
      </w:pPr>
      <w:r>
        <w:rPr>
          <w:rFonts w:hint="eastAsia" w:ascii="宋体" w:hAnsi="宋体"/>
          <w:szCs w:val="21"/>
          <w:highlight w:val="none"/>
        </w:rPr>
        <w:t>要求支持对用户的菜单权限进行统一的分配和管理，可针对不同的角色设置不同的菜单权限。</w:t>
      </w:r>
    </w:p>
    <w:p w14:paraId="278D5ED7">
      <w:pPr>
        <w:numPr>
          <w:ilvl w:val="0"/>
          <w:numId w:val="41"/>
        </w:numPr>
        <w:spacing w:line="240" w:lineRule="auto"/>
        <w:rPr>
          <w:rFonts w:hint="eastAsia"/>
          <w:szCs w:val="21"/>
          <w:highlight w:val="none"/>
        </w:rPr>
      </w:pPr>
      <w:r>
        <w:rPr>
          <w:rFonts w:hint="eastAsia"/>
          <w:szCs w:val="21"/>
          <w:highlight w:val="none"/>
        </w:rPr>
        <w:t>个人中心</w:t>
      </w:r>
    </w:p>
    <w:p w14:paraId="757C21C3">
      <w:pPr>
        <w:pStyle w:val="359"/>
        <w:ind w:firstLine="420"/>
        <w:rPr>
          <w:rFonts w:hint="eastAsia" w:ascii="宋体" w:hAnsi="宋体"/>
          <w:szCs w:val="21"/>
          <w:highlight w:val="none"/>
        </w:rPr>
      </w:pPr>
      <w:r>
        <w:rPr>
          <w:rFonts w:hint="eastAsia" w:ascii="宋体" w:hAnsi="宋体"/>
          <w:szCs w:val="21"/>
          <w:highlight w:val="none"/>
        </w:rPr>
        <w:t>用户登录后，可通过个人中心做一些通用设置，并查看登录信息、应用信息，如登录人、登录科室、系统版本号、设备型号等；还可在此界面快速切换到其他科室。</w:t>
      </w:r>
    </w:p>
    <w:p w14:paraId="362836DE">
      <w:pPr>
        <w:numPr>
          <w:ilvl w:val="0"/>
          <w:numId w:val="41"/>
        </w:numPr>
        <w:spacing w:line="240" w:lineRule="auto"/>
        <w:rPr>
          <w:rFonts w:hint="eastAsia"/>
          <w:szCs w:val="21"/>
          <w:highlight w:val="none"/>
        </w:rPr>
      </w:pPr>
      <w:r>
        <w:rPr>
          <w:rFonts w:hint="eastAsia"/>
          <w:szCs w:val="21"/>
          <w:highlight w:val="none"/>
        </w:rPr>
        <w:t>屏幕锁定</w:t>
      </w:r>
    </w:p>
    <w:p w14:paraId="3FCDB465">
      <w:pPr>
        <w:pStyle w:val="359"/>
        <w:ind w:firstLine="420"/>
        <w:rPr>
          <w:rFonts w:hint="eastAsia" w:ascii="宋体" w:hAnsi="宋体"/>
          <w:szCs w:val="21"/>
          <w:highlight w:val="none"/>
        </w:rPr>
      </w:pPr>
      <w:r>
        <w:rPr>
          <w:rFonts w:hint="eastAsia" w:ascii="宋体" w:hAnsi="宋体"/>
          <w:szCs w:val="21"/>
          <w:highlight w:val="none"/>
        </w:rPr>
        <w:t>要求支持设置锁屏密码和自动锁屏时长，超过设置的锁屏时长未操作，客户端锁定屏幕，需输入密码才可继续访问。</w:t>
      </w:r>
    </w:p>
    <w:p w14:paraId="518E670C">
      <w:pPr>
        <w:numPr>
          <w:ilvl w:val="0"/>
          <w:numId w:val="41"/>
        </w:numPr>
        <w:spacing w:line="240" w:lineRule="auto"/>
        <w:rPr>
          <w:rFonts w:hint="eastAsia"/>
          <w:szCs w:val="21"/>
          <w:highlight w:val="none"/>
        </w:rPr>
      </w:pPr>
      <w:r>
        <w:rPr>
          <w:rFonts w:hint="eastAsia"/>
          <w:szCs w:val="21"/>
          <w:highlight w:val="none"/>
        </w:rPr>
        <w:t>系统升级</w:t>
      </w:r>
    </w:p>
    <w:p w14:paraId="5F1427D3">
      <w:pPr>
        <w:pStyle w:val="359"/>
        <w:ind w:firstLine="420"/>
        <w:rPr>
          <w:rFonts w:hint="eastAsia" w:ascii="宋体" w:hAnsi="宋体"/>
          <w:szCs w:val="21"/>
          <w:highlight w:val="none"/>
        </w:rPr>
      </w:pPr>
      <w:r>
        <w:rPr>
          <w:rFonts w:hint="eastAsia" w:ascii="宋体" w:hAnsi="宋体"/>
          <w:szCs w:val="21"/>
          <w:highlight w:val="none"/>
        </w:rPr>
        <w:t>若有版本更新，登录系统后要求自动提示用户进行系统升级，并显示本次更新的主要内容。</w:t>
      </w:r>
    </w:p>
    <w:p w14:paraId="2348BC25">
      <w:pPr>
        <w:pStyle w:val="5"/>
        <w:rPr>
          <w:rFonts w:hint="eastAsia" w:ascii="宋体" w:hAnsi="宋体" w:eastAsia="宋体"/>
          <w:sz w:val="21"/>
          <w:szCs w:val="21"/>
          <w:highlight w:val="none"/>
        </w:rPr>
      </w:pPr>
      <w:r>
        <w:rPr>
          <w:rFonts w:hint="eastAsia" w:ascii="宋体" w:hAnsi="宋体" w:eastAsia="宋体"/>
          <w:sz w:val="21"/>
          <w:szCs w:val="21"/>
          <w:highlight w:val="none"/>
        </w:rPr>
        <w:t>病人管理</w:t>
      </w:r>
    </w:p>
    <w:p w14:paraId="38669FE6">
      <w:pPr>
        <w:numPr>
          <w:ilvl w:val="0"/>
          <w:numId w:val="42"/>
        </w:numPr>
        <w:spacing w:line="240" w:lineRule="auto"/>
        <w:rPr>
          <w:rFonts w:hint="eastAsia"/>
          <w:szCs w:val="21"/>
          <w:highlight w:val="none"/>
        </w:rPr>
      </w:pPr>
      <w:r>
        <w:rPr>
          <w:rFonts w:hint="eastAsia"/>
          <w:szCs w:val="21"/>
          <w:highlight w:val="none"/>
        </w:rPr>
        <w:t>病人导航</w:t>
      </w:r>
    </w:p>
    <w:p w14:paraId="541106D5">
      <w:pPr>
        <w:pStyle w:val="359"/>
        <w:ind w:firstLine="420"/>
        <w:rPr>
          <w:rFonts w:hint="eastAsia" w:ascii="宋体" w:hAnsi="宋体"/>
          <w:szCs w:val="21"/>
          <w:highlight w:val="none"/>
        </w:rPr>
      </w:pPr>
      <w:r>
        <w:rPr>
          <w:rFonts w:hint="eastAsia" w:ascii="宋体" w:hAnsi="宋体"/>
          <w:szCs w:val="21"/>
          <w:highlight w:val="none"/>
        </w:rPr>
        <w:t>要求支持显示本科室所有在院病人，在病人图标上显示病人的基本信息、主诊断、护理等级等，要求支持通过扫描腕带定位到对应患者。</w:t>
      </w:r>
    </w:p>
    <w:p w14:paraId="2C3FEFC6">
      <w:pPr>
        <w:numPr>
          <w:ilvl w:val="0"/>
          <w:numId w:val="42"/>
        </w:numPr>
        <w:spacing w:line="240" w:lineRule="auto"/>
        <w:rPr>
          <w:rFonts w:hint="eastAsia"/>
          <w:szCs w:val="21"/>
          <w:highlight w:val="none"/>
        </w:rPr>
      </w:pPr>
      <w:r>
        <w:rPr>
          <w:rFonts w:hint="eastAsia"/>
          <w:szCs w:val="21"/>
          <w:highlight w:val="none"/>
        </w:rPr>
        <w:t>责任组</w:t>
      </w:r>
    </w:p>
    <w:p w14:paraId="2BDE42F7">
      <w:pPr>
        <w:pStyle w:val="359"/>
        <w:ind w:firstLine="420"/>
        <w:rPr>
          <w:rFonts w:hint="eastAsia" w:ascii="宋体" w:hAnsi="宋体"/>
          <w:szCs w:val="21"/>
          <w:highlight w:val="none"/>
        </w:rPr>
      </w:pPr>
      <w:r>
        <w:rPr>
          <w:rFonts w:hint="eastAsia" w:ascii="宋体" w:hAnsi="宋体"/>
          <w:szCs w:val="21"/>
          <w:highlight w:val="none"/>
        </w:rPr>
        <w:t>要求支持按责任组管理病人，可只查看自己当前责任组所管理的病人，便于对病人病情的跟踪及提高相关操作的效率。</w:t>
      </w:r>
    </w:p>
    <w:p w14:paraId="08BBD4E0">
      <w:pPr>
        <w:numPr>
          <w:ilvl w:val="0"/>
          <w:numId w:val="42"/>
        </w:numPr>
        <w:spacing w:line="240" w:lineRule="auto"/>
        <w:rPr>
          <w:rFonts w:hint="eastAsia"/>
          <w:szCs w:val="21"/>
          <w:highlight w:val="none"/>
        </w:rPr>
      </w:pPr>
      <w:r>
        <w:rPr>
          <w:rFonts w:hint="eastAsia"/>
          <w:szCs w:val="21"/>
          <w:highlight w:val="none"/>
        </w:rPr>
        <w:t>自定义病人</w:t>
      </w:r>
    </w:p>
    <w:p w14:paraId="28E2525E">
      <w:pPr>
        <w:pStyle w:val="359"/>
        <w:ind w:firstLine="420"/>
        <w:rPr>
          <w:rFonts w:hint="eastAsia" w:ascii="宋体" w:hAnsi="宋体"/>
          <w:szCs w:val="21"/>
          <w:highlight w:val="none"/>
        </w:rPr>
      </w:pPr>
      <w:r>
        <w:rPr>
          <w:rFonts w:hint="eastAsia" w:ascii="宋体" w:hAnsi="宋体"/>
          <w:szCs w:val="21"/>
          <w:highlight w:val="none"/>
        </w:rPr>
        <w:t>要求支持自定义设置登录用户关注的病人，设置完成后，病人导航界面只显示自己关注的病人列表，方便护士针对关注的病人做相关的查询或护理操作。</w:t>
      </w:r>
    </w:p>
    <w:p w14:paraId="0D7EB472">
      <w:pPr>
        <w:numPr>
          <w:ilvl w:val="0"/>
          <w:numId w:val="42"/>
        </w:numPr>
        <w:spacing w:line="240" w:lineRule="auto"/>
        <w:rPr>
          <w:rFonts w:hint="eastAsia"/>
          <w:szCs w:val="21"/>
          <w:highlight w:val="none"/>
        </w:rPr>
      </w:pPr>
      <w:r>
        <w:rPr>
          <w:rFonts w:hint="eastAsia"/>
          <w:szCs w:val="21"/>
          <w:highlight w:val="none"/>
        </w:rPr>
        <w:t>基本信息</w:t>
      </w:r>
    </w:p>
    <w:p w14:paraId="50DD3A27">
      <w:pPr>
        <w:pStyle w:val="359"/>
        <w:ind w:firstLine="420"/>
        <w:rPr>
          <w:rFonts w:hint="eastAsia" w:ascii="宋体" w:hAnsi="宋体"/>
          <w:szCs w:val="21"/>
          <w:highlight w:val="none"/>
        </w:rPr>
      </w:pPr>
      <w:r>
        <w:rPr>
          <w:rFonts w:hint="eastAsia" w:ascii="宋体" w:hAnsi="宋体"/>
          <w:szCs w:val="21"/>
          <w:highlight w:val="none"/>
        </w:rPr>
        <w:t>要求支持查看患者的基本信息，如：病人姓名、性别、床号、费别、主诊断、入科时间、主治医生、主管护士等信息。</w:t>
      </w:r>
    </w:p>
    <w:p w14:paraId="520CC19C">
      <w:pPr>
        <w:numPr>
          <w:ilvl w:val="0"/>
          <w:numId w:val="42"/>
        </w:numPr>
        <w:spacing w:line="240" w:lineRule="auto"/>
        <w:rPr>
          <w:rFonts w:hint="eastAsia"/>
          <w:szCs w:val="21"/>
          <w:highlight w:val="none"/>
        </w:rPr>
      </w:pPr>
      <w:r>
        <w:rPr>
          <w:rFonts w:hint="eastAsia"/>
          <w:szCs w:val="21"/>
          <w:highlight w:val="none"/>
        </w:rPr>
        <w:t>费用情况</w:t>
      </w:r>
    </w:p>
    <w:p w14:paraId="4E6C5689">
      <w:pPr>
        <w:pStyle w:val="359"/>
        <w:ind w:firstLine="420"/>
        <w:rPr>
          <w:rFonts w:hint="eastAsia" w:ascii="宋体" w:hAnsi="宋体"/>
          <w:szCs w:val="21"/>
          <w:highlight w:val="none"/>
        </w:rPr>
      </w:pPr>
      <w:r>
        <w:rPr>
          <w:rFonts w:hint="eastAsia" w:ascii="宋体" w:hAnsi="宋体"/>
          <w:szCs w:val="21"/>
          <w:highlight w:val="none"/>
        </w:rPr>
        <w:t>要求支持查询病人的费用情况、待扣金额、每日清单等，支持查询病人待扣项目信息。</w:t>
      </w:r>
    </w:p>
    <w:p w14:paraId="2D40AFF2">
      <w:pPr>
        <w:numPr>
          <w:ilvl w:val="0"/>
          <w:numId w:val="42"/>
        </w:numPr>
        <w:spacing w:line="240" w:lineRule="auto"/>
        <w:rPr>
          <w:rFonts w:hint="eastAsia"/>
          <w:szCs w:val="21"/>
          <w:highlight w:val="none"/>
        </w:rPr>
      </w:pPr>
      <w:r>
        <w:rPr>
          <w:rFonts w:hint="eastAsia"/>
          <w:szCs w:val="21"/>
          <w:highlight w:val="none"/>
        </w:rPr>
        <w:t>余额查询</w:t>
      </w:r>
    </w:p>
    <w:p w14:paraId="25AA9927">
      <w:pPr>
        <w:pStyle w:val="359"/>
        <w:ind w:firstLine="420"/>
        <w:rPr>
          <w:rFonts w:hint="eastAsia" w:ascii="宋体" w:hAnsi="宋体"/>
          <w:szCs w:val="21"/>
          <w:highlight w:val="none"/>
        </w:rPr>
      </w:pPr>
      <w:r>
        <w:rPr>
          <w:rFonts w:hint="eastAsia" w:ascii="宋体" w:hAnsi="宋体"/>
          <w:szCs w:val="21"/>
          <w:highlight w:val="none"/>
        </w:rPr>
        <w:t>要求支持查询患者的余额情况，支持输入特定金额过滤出余额低于输入值的病人列表。</w:t>
      </w:r>
    </w:p>
    <w:p w14:paraId="1CC23686">
      <w:pPr>
        <w:numPr>
          <w:ilvl w:val="0"/>
          <w:numId w:val="42"/>
        </w:numPr>
        <w:spacing w:line="240" w:lineRule="auto"/>
        <w:rPr>
          <w:rFonts w:hint="eastAsia"/>
          <w:szCs w:val="21"/>
          <w:highlight w:val="none"/>
        </w:rPr>
      </w:pPr>
      <w:r>
        <w:rPr>
          <w:rFonts w:hint="eastAsia"/>
          <w:szCs w:val="21"/>
          <w:highlight w:val="none"/>
        </w:rPr>
        <w:t>护理巡视</w:t>
      </w:r>
    </w:p>
    <w:p w14:paraId="61B285D9">
      <w:pPr>
        <w:pStyle w:val="359"/>
        <w:ind w:firstLine="420"/>
        <w:rPr>
          <w:rFonts w:hint="eastAsia" w:ascii="宋体" w:hAnsi="宋体"/>
          <w:szCs w:val="21"/>
          <w:highlight w:val="none"/>
        </w:rPr>
      </w:pPr>
      <w:r>
        <w:rPr>
          <w:rFonts w:hint="eastAsia" w:ascii="宋体" w:hAnsi="宋体"/>
          <w:szCs w:val="21"/>
          <w:highlight w:val="none"/>
        </w:rPr>
        <w:t>当护士巡视病人时，要求支持使用PDA扫描病人腕带进行记录护理巡视操作，移动护理系统会自动记录巡视时间、巡视护士以及巡视情况。如果病人不在或者正在手术，也可以记录病人“不在”或者“手术”状态。</w:t>
      </w:r>
    </w:p>
    <w:p w14:paraId="18C5C780">
      <w:pPr>
        <w:pStyle w:val="359"/>
        <w:ind w:firstLine="420"/>
        <w:rPr>
          <w:rFonts w:hint="eastAsia" w:ascii="宋体" w:hAnsi="宋体"/>
          <w:szCs w:val="21"/>
          <w:highlight w:val="none"/>
        </w:rPr>
      </w:pPr>
      <w:r>
        <w:rPr>
          <w:rFonts w:hint="eastAsia" w:ascii="宋体" w:hAnsi="宋体"/>
          <w:szCs w:val="21"/>
          <w:highlight w:val="none"/>
        </w:rPr>
        <w:t>考虑到晚上或病人休息时不影响到病人，如果有床头二维码，要求支持刷床头二维码进行巡视；如果有房间号二维码，要求支持直接刷房间条码进行整个房间巡视。如果巡视时操作有误，要求支持滑动删除自己的巡视记录。</w:t>
      </w:r>
    </w:p>
    <w:p w14:paraId="76834207">
      <w:pPr>
        <w:numPr>
          <w:ilvl w:val="0"/>
          <w:numId w:val="42"/>
        </w:numPr>
        <w:spacing w:line="240" w:lineRule="auto"/>
        <w:rPr>
          <w:rFonts w:hint="eastAsia"/>
          <w:szCs w:val="21"/>
          <w:highlight w:val="none"/>
        </w:rPr>
      </w:pPr>
      <w:r>
        <w:rPr>
          <w:rFonts w:hint="eastAsia"/>
          <w:szCs w:val="21"/>
          <w:highlight w:val="none"/>
        </w:rPr>
        <w:t>健康宣教</w:t>
      </w:r>
    </w:p>
    <w:p w14:paraId="24890027">
      <w:pPr>
        <w:pStyle w:val="359"/>
        <w:ind w:firstLine="420"/>
        <w:rPr>
          <w:rFonts w:hint="eastAsia" w:ascii="宋体" w:hAnsi="宋体"/>
          <w:szCs w:val="21"/>
          <w:highlight w:val="none"/>
        </w:rPr>
      </w:pPr>
      <w:r>
        <w:rPr>
          <w:rFonts w:hint="eastAsia" w:ascii="宋体" w:hAnsi="宋体"/>
          <w:szCs w:val="21"/>
          <w:highlight w:val="none"/>
        </w:rPr>
        <w:t>要求支持通过后台维护好相关疾病的详细信息，在床边对病人进行疾病相关的健康宣教，系统可记录护士进行宣教的工作量。宣教内容字体大小可支持调整，若需要放大，可通过配置放大字体。</w:t>
      </w:r>
    </w:p>
    <w:p w14:paraId="36D7AA84">
      <w:pPr>
        <w:numPr>
          <w:ilvl w:val="0"/>
          <w:numId w:val="42"/>
        </w:numPr>
        <w:spacing w:line="240" w:lineRule="auto"/>
        <w:rPr>
          <w:rFonts w:hint="eastAsia"/>
          <w:szCs w:val="21"/>
          <w:highlight w:val="none"/>
        </w:rPr>
      </w:pPr>
      <w:r>
        <w:rPr>
          <w:rFonts w:hint="eastAsia"/>
          <w:szCs w:val="21"/>
          <w:highlight w:val="none"/>
        </w:rPr>
        <w:t>病人动向</w:t>
      </w:r>
    </w:p>
    <w:p w14:paraId="0AB55556">
      <w:pPr>
        <w:pStyle w:val="359"/>
        <w:ind w:firstLine="420"/>
        <w:rPr>
          <w:rFonts w:hint="eastAsia" w:ascii="宋体" w:hAnsi="宋体"/>
          <w:szCs w:val="21"/>
          <w:highlight w:val="none"/>
        </w:rPr>
      </w:pPr>
      <w:r>
        <w:rPr>
          <w:rFonts w:hint="eastAsia" w:ascii="宋体" w:hAnsi="宋体"/>
          <w:szCs w:val="21"/>
          <w:highlight w:val="none"/>
        </w:rPr>
        <w:t>记录住院病人的动向状态，要求做到全程可跟踪。病人去检查，检验，会诊等离开或回到病区时，通过扫描患者腕带方式来记录患者动向。要求支持删除病人动向记录。</w:t>
      </w:r>
    </w:p>
    <w:p w14:paraId="69976D60">
      <w:pPr>
        <w:pStyle w:val="5"/>
        <w:rPr>
          <w:rFonts w:hint="eastAsia" w:ascii="宋体" w:hAnsi="宋体" w:eastAsia="宋体"/>
          <w:sz w:val="21"/>
          <w:szCs w:val="21"/>
          <w:highlight w:val="none"/>
        </w:rPr>
      </w:pPr>
      <w:r>
        <w:rPr>
          <w:rFonts w:hint="eastAsia" w:ascii="宋体" w:hAnsi="宋体" w:eastAsia="宋体"/>
          <w:sz w:val="21"/>
          <w:szCs w:val="21"/>
          <w:highlight w:val="none"/>
        </w:rPr>
        <w:t>医嘱管理</w:t>
      </w:r>
    </w:p>
    <w:p w14:paraId="714BF15C">
      <w:pPr>
        <w:numPr>
          <w:ilvl w:val="0"/>
          <w:numId w:val="43"/>
        </w:numPr>
        <w:spacing w:line="240" w:lineRule="auto"/>
        <w:rPr>
          <w:rFonts w:hint="eastAsia"/>
          <w:szCs w:val="21"/>
          <w:highlight w:val="none"/>
        </w:rPr>
      </w:pPr>
      <w:r>
        <w:rPr>
          <w:rFonts w:hint="eastAsia"/>
          <w:szCs w:val="21"/>
          <w:highlight w:val="none"/>
        </w:rPr>
        <w:t>医嘱执行</w:t>
      </w:r>
    </w:p>
    <w:p w14:paraId="09774F6F">
      <w:pPr>
        <w:pStyle w:val="359"/>
        <w:ind w:firstLine="420"/>
        <w:rPr>
          <w:rFonts w:hint="eastAsia" w:ascii="宋体" w:hAnsi="宋体"/>
          <w:szCs w:val="21"/>
          <w:highlight w:val="none"/>
        </w:rPr>
      </w:pPr>
      <w:r>
        <w:rPr>
          <w:rFonts w:hint="eastAsia" w:ascii="宋体" w:hAnsi="宋体"/>
          <w:szCs w:val="21"/>
          <w:highlight w:val="none"/>
        </w:rPr>
        <w:t>护士在给病人执行治疗、检查、检验、护理医嘱时，要求支持扫描患者腕带，在系统界面上选择相应的项目进行执行操作，移动护理系统会记录执行人、执行时间等，便于后续数据追溯以及统计护士工作量。</w:t>
      </w:r>
    </w:p>
    <w:p w14:paraId="412F164A">
      <w:pPr>
        <w:numPr>
          <w:ilvl w:val="0"/>
          <w:numId w:val="43"/>
        </w:numPr>
        <w:spacing w:line="240" w:lineRule="auto"/>
        <w:rPr>
          <w:rFonts w:hint="eastAsia"/>
          <w:szCs w:val="21"/>
          <w:highlight w:val="none"/>
        </w:rPr>
      </w:pPr>
      <w:r>
        <w:rPr>
          <w:rFonts w:hint="eastAsia"/>
          <w:szCs w:val="21"/>
          <w:highlight w:val="none"/>
        </w:rPr>
        <w:t>医嘱执行明细查询</w:t>
      </w:r>
    </w:p>
    <w:p w14:paraId="4676DADE">
      <w:pPr>
        <w:pStyle w:val="359"/>
        <w:ind w:firstLine="420"/>
        <w:rPr>
          <w:rFonts w:hint="eastAsia" w:ascii="宋体" w:hAnsi="宋体"/>
          <w:szCs w:val="21"/>
          <w:highlight w:val="none"/>
        </w:rPr>
      </w:pPr>
      <w:r>
        <w:rPr>
          <w:rFonts w:hint="eastAsia" w:ascii="宋体" w:hAnsi="宋体"/>
          <w:szCs w:val="21"/>
          <w:highlight w:val="none"/>
        </w:rPr>
        <w:t>要求支持医嘱执行明细查询，护士在移动护理中执行医嘱后，系统将该条医嘱变更为已执行状态，长按医嘱，系统会显示医嘱执行人、执行时间等明细信息。</w:t>
      </w:r>
    </w:p>
    <w:p w14:paraId="58B74326">
      <w:pPr>
        <w:numPr>
          <w:ilvl w:val="0"/>
          <w:numId w:val="43"/>
        </w:numPr>
        <w:spacing w:line="240" w:lineRule="auto"/>
        <w:rPr>
          <w:rFonts w:hint="eastAsia"/>
          <w:szCs w:val="21"/>
          <w:highlight w:val="none"/>
        </w:rPr>
      </w:pPr>
      <w:r>
        <w:rPr>
          <w:rFonts w:hint="eastAsia"/>
          <w:szCs w:val="21"/>
          <w:highlight w:val="none"/>
        </w:rPr>
        <w:t>医嘱执行全科查询</w:t>
      </w:r>
    </w:p>
    <w:p w14:paraId="0997F41B">
      <w:pPr>
        <w:pStyle w:val="359"/>
        <w:ind w:firstLine="420"/>
        <w:rPr>
          <w:rFonts w:hint="eastAsia" w:ascii="宋体" w:hAnsi="宋体"/>
          <w:szCs w:val="21"/>
          <w:highlight w:val="none"/>
        </w:rPr>
      </w:pPr>
      <w:r>
        <w:rPr>
          <w:rFonts w:hint="eastAsia" w:ascii="宋体" w:hAnsi="宋体"/>
          <w:szCs w:val="21"/>
          <w:highlight w:val="none"/>
        </w:rPr>
        <w:t>要求支持在医嘱执行界面查询全科待执行医嘱，可根据医嘱类别、医嘱性质过滤。</w:t>
      </w:r>
    </w:p>
    <w:p w14:paraId="257C677B">
      <w:pPr>
        <w:numPr>
          <w:ilvl w:val="0"/>
          <w:numId w:val="43"/>
        </w:numPr>
        <w:spacing w:line="240" w:lineRule="auto"/>
        <w:rPr>
          <w:rFonts w:hint="eastAsia"/>
          <w:szCs w:val="21"/>
          <w:highlight w:val="none"/>
        </w:rPr>
      </w:pPr>
      <w:r>
        <w:rPr>
          <w:rFonts w:hint="eastAsia"/>
          <w:szCs w:val="21"/>
          <w:highlight w:val="none"/>
        </w:rPr>
        <w:t>医嘱查询</w:t>
      </w:r>
    </w:p>
    <w:p w14:paraId="309AB1F3">
      <w:pPr>
        <w:pStyle w:val="359"/>
        <w:ind w:firstLine="420"/>
        <w:rPr>
          <w:rFonts w:hint="eastAsia" w:ascii="宋体" w:hAnsi="宋体"/>
          <w:szCs w:val="21"/>
          <w:highlight w:val="none"/>
        </w:rPr>
      </w:pPr>
      <w:r>
        <w:rPr>
          <w:rFonts w:hint="eastAsia" w:ascii="宋体" w:hAnsi="宋体"/>
          <w:szCs w:val="21"/>
          <w:highlight w:val="none"/>
        </w:rPr>
        <w:t>要求支持护士查阅患者的医嘱信息，可根据医嘱性质（长期、临时）或医嘱状态（已校对、在执行、执行完、已停止、已作废等）过滤查询医嘱信息，显示医嘱名称、频次、用法、剂量、下嘱时间、医嘱状态等信息。若有在移动护理中执行医嘱，要求支持长按该条医嘱可查看执行明细，显示执行人、执行时间。</w:t>
      </w:r>
    </w:p>
    <w:p w14:paraId="39A99011">
      <w:pPr>
        <w:pStyle w:val="5"/>
        <w:rPr>
          <w:rFonts w:hint="eastAsia" w:ascii="宋体" w:hAnsi="宋体" w:eastAsia="宋体"/>
          <w:sz w:val="21"/>
          <w:szCs w:val="21"/>
          <w:highlight w:val="none"/>
        </w:rPr>
      </w:pPr>
      <w:r>
        <w:rPr>
          <w:rFonts w:hint="eastAsia" w:ascii="宋体" w:hAnsi="宋体" w:eastAsia="宋体"/>
          <w:sz w:val="21"/>
          <w:szCs w:val="21"/>
          <w:highlight w:val="none"/>
        </w:rPr>
        <w:t>输液管理</w:t>
      </w:r>
    </w:p>
    <w:p w14:paraId="3908BF62">
      <w:pPr>
        <w:numPr>
          <w:ilvl w:val="0"/>
          <w:numId w:val="44"/>
        </w:numPr>
        <w:spacing w:line="240" w:lineRule="auto"/>
        <w:rPr>
          <w:rFonts w:hint="eastAsia"/>
          <w:szCs w:val="21"/>
          <w:highlight w:val="none"/>
        </w:rPr>
      </w:pPr>
      <w:r>
        <w:rPr>
          <w:rFonts w:hint="eastAsia"/>
          <w:szCs w:val="21"/>
          <w:highlight w:val="none"/>
        </w:rPr>
        <w:t>用药核对</w:t>
      </w:r>
    </w:p>
    <w:p w14:paraId="1FA2D8F6">
      <w:pPr>
        <w:pStyle w:val="359"/>
        <w:ind w:firstLine="420"/>
        <w:rPr>
          <w:rFonts w:hint="eastAsia" w:ascii="宋体" w:hAnsi="宋体"/>
          <w:szCs w:val="21"/>
          <w:highlight w:val="none"/>
        </w:rPr>
      </w:pPr>
      <w:r>
        <w:rPr>
          <w:rFonts w:hint="eastAsia" w:ascii="宋体" w:hAnsi="宋体"/>
          <w:szCs w:val="21"/>
          <w:highlight w:val="none"/>
        </w:rPr>
        <w:t>要求支持护士在病区摆药完成后对每个病人要使用的药品，进行扫码核对，确认是否正确、是否遗漏，同时记录核对人、核对时间等信息，便于后续数据追溯以及统计护士工作量。要求支持查询全科剩余未摆药数据。</w:t>
      </w:r>
    </w:p>
    <w:p w14:paraId="456A1E59">
      <w:pPr>
        <w:numPr>
          <w:ilvl w:val="0"/>
          <w:numId w:val="44"/>
        </w:numPr>
        <w:spacing w:line="240" w:lineRule="auto"/>
        <w:rPr>
          <w:rFonts w:hint="eastAsia"/>
          <w:szCs w:val="21"/>
          <w:highlight w:val="none"/>
        </w:rPr>
      </w:pPr>
      <w:r>
        <w:rPr>
          <w:rFonts w:hint="eastAsia"/>
          <w:szCs w:val="21"/>
          <w:highlight w:val="none"/>
        </w:rPr>
        <w:t>配药确认</w:t>
      </w:r>
    </w:p>
    <w:p w14:paraId="131B1307">
      <w:pPr>
        <w:pStyle w:val="359"/>
        <w:ind w:firstLine="420"/>
        <w:rPr>
          <w:rFonts w:hint="eastAsia" w:ascii="宋体" w:hAnsi="宋体"/>
          <w:szCs w:val="21"/>
          <w:highlight w:val="none"/>
        </w:rPr>
      </w:pPr>
      <w:r>
        <w:rPr>
          <w:rFonts w:hint="eastAsia" w:ascii="宋体" w:hAnsi="宋体"/>
          <w:szCs w:val="21"/>
          <w:highlight w:val="none"/>
        </w:rPr>
        <w:t>要求支持在药品配药前使用PDA扫描药品上的瓶签条码进行核对，确认是否有被停嘱的药品，如果某个药品被停嘱，界面上会提示是否要继续配药。同时记录配药人，配药时间等信息，便于后续数据追溯以及统计护士工作量。已扫描的药品，若暂时不进行配药，可再次扫描瓶签条码清空配药记录。</w:t>
      </w:r>
    </w:p>
    <w:p w14:paraId="10B5AD17">
      <w:pPr>
        <w:numPr>
          <w:ilvl w:val="0"/>
          <w:numId w:val="44"/>
        </w:numPr>
        <w:spacing w:line="240" w:lineRule="auto"/>
        <w:rPr>
          <w:rFonts w:hint="eastAsia"/>
          <w:szCs w:val="21"/>
          <w:highlight w:val="none"/>
        </w:rPr>
      </w:pPr>
      <w:r>
        <w:rPr>
          <w:rFonts w:hint="eastAsia"/>
          <w:szCs w:val="21"/>
          <w:highlight w:val="none"/>
        </w:rPr>
        <w:t>用药执行</w:t>
      </w:r>
    </w:p>
    <w:p w14:paraId="24BE1204">
      <w:pPr>
        <w:pStyle w:val="359"/>
        <w:ind w:firstLine="420"/>
        <w:rPr>
          <w:rFonts w:hint="eastAsia" w:ascii="宋体" w:hAnsi="宋体"/>
          <w:szCs w:val="21"/>
          <w:highlight w:val="none"/>
        </w:rPr>
      </w:pPr>
      <w:r>
        <w:rPr>
          <w:rFonts w:hint="eastAsia" w:ascii="宋体" w:hAnsi="宋体"/>
          <w:szCs w:val="21"/>
          <w:highlight w:val="none"/>
        </w:rPr>
        <w:t>当护士给病人注射或输液时要求支持使用PDA扫描药品及病人腕带执行核对。核对该药品是否是给该病人使用，避免因给病人用错药而发生医疗事故。同时记录执行护士、执行时间、药品信息等，便于后续数据追溯以及统计护士工作量。</w:t>
      </w:r>
    </w:p>
    <w:p w14:paraId="2AC5E1F2">
      <w:pPr>
        <w:numPr>
          <w:ilvl w:val="0"/>
          <w:numId w:val="44"/>
        </w:numPr>
        <w:spacing w:line="240" w:lineRule="auto"/>
        <w:rPr>
          <w:rFonts w:hint="eastAsia"/>
          <w:szCs w:val="21"/>
          <w:highlight w:val="none"/>
        </w:rPr>
      </w:pPr>
      <w:r>
        <w:rPr>
          <w:rFonts w:hint="eastAsia"/>
          <w:szCs w:val="21"/>
          <w:highlight w:val="none"/>
        </w:rPr>
        <w:t>瓶签号手动输入</w:t>
      </w:r>
    </w:p>
    <w:p w14:paraId="0479C720">
      <w:pPr>
        <w:pStyle w:val="359"/>
        <w:ind w:firstLine="420"/>
        <w:rPr>
          <w:rFonts w:hint="eastAsia" w:ascii="宋体" w:hAnsi="宋体"/>
          <w:szCs w:val="21"/>
          <w:highlight w:val="none"/>
        </w:rPr>
      </w:pPr>
      <w:r>
        <w:rPr>
          <w:rFonts w:hint="eastAsia" w:ascii="宋体" w:hAnsi="宋体"/>
          <w:szCs w:val="21"/>
          <w:highlight w:val="none"/>
        </w:rPr>
        <w:t>输液执行时，当药品条码损坏要求支持手动输入条码号进行核对。</w:t>
      </w:r>
    </w:p>
    <w:p w14:paraId="4ED8D1AB">
      <w:pPr>
        <w:numPr>
          <w:ilvl w:val="0"/>
          <w:numId w:val="44"/>
        </w:numPr>
        <w:spacing w:line="240" w:lineRule="auto"/>
        <w:rPr>
          <w:rFonts w:hint="eastAsia"/>
          <w:szCs w:val="21"/>
          <w:highlight w:val="none"/>
        </w:rPr>
      </w:pPr>
      <w:r>
        <w:rPr>
          <w:rFonts w:hint="eastAsia"/>
          <w:szCs w:val="21"/>
          <w:highlight w:val="none"/>
        </w:rPr>
        <w:t>药品停嘱提醒</w:t>
      </w:r>
    </w:p>
    <w:p w14:paraId="6EF06C0D">
      <w:pPr>
        <w:pStyle w:val="359"/>
        <w:ind w:firstLine="420"/>
        <w:rPr>
          <w:rFonts w:hint="eastAsia" w:ascii="宋体" w:hAnsi="宋体"/>
          <w:szCs w:val="21"/>
          <w:highlight w:val="none"/>
        </w:rPr>
      </w:pPr>
      <w:r>
        <w:rPr>
          <w:rFonts w:hint="eastAsia" w:ascii="宋体" w:hAnsi="宋体"/>
          <w:szCs w:val="21"/>
          <w:highlight w:val="none"/>
        </w:rPr>
        <w:t>输液执行时，要求支持停嘱医嘱提醒，当护士扫描的药品已停嘱，系统弹窗提醒，提示护士药品已停嘱，是否继续执行。</w:t>
      </w:r>
    </w:p>
    <w:p w14:paraId="186E343F">
      <w:pPr>
        <w:numPr>
          <w:ilvl w:val="0"/>
          <w:numId w:val="44"/>
        </w:numPr>
        <w:spacing w:line="240" w:lineRule="auto"/>
        <w:rPr>
          <w:rFonts w:hint="eastAsia"/>
          <w:szCs w:val="21"/>
          <w:highlight w:val="none"/>
        </w:rPr>
      </w:pPr>
      <w:r>
        <w:rPr>
          <w:rFonts w:hint="eastAsia"/>
          <w:szCs w:val="21"/>
          <w:highlight w:val="none"/>
        </w:rPr>
        <w:t>输液流程控制</w:t>
      </w:r>
    </w:p>
    <w:p w14:paraId="56D722BC">
      <w:pPr>
        <w:pStyle w:val="359"/>
        <w:ind w:firstLine="420"/>
        <w:rPr>
          <w:rFonts w:hint="eastAsia" w:ascii="宋体" w:hAnsi="宋体"/>
          <w:szCs w:val="21"/>
          <w:highlight w:val="none"/>
        </w:rPr>
      </w:pPr>
      <w:r>
        <w:rPr>
          <w:rFonts w:hint="eastAsia" w:ascii="宋体" w:hAnsi="宋体"/>
          <w:szCs w:val="21"/>
          <w:highlight w:val="none"/>
        </w:rPr>
        <w:t>要求支持进行输液流程控制，强制护理人员必须按照摆药、配药、执行这样规范的流程来操作，若非法操作将给出相应的提醒。</w:t>
      </w:r>
    </w:p>
    <w:p w14:paraId="165C7BF0">
      <w:pPr>
        <w:numPr>
          <w:ilvl w:val="0"/>
          <w:numId w:val="44"/>
        </w:numPr>
        <w:spacing w:line="240" w:lineRule="auto"/>
        <w:rPr>
          <w:rFonts w:hint="eastAsia"/>
          <w:szCs w:val="21"/>
          <w:highlight w:val="none"/>
        </w:rPr>
      </w:pPr>
      <w:r>
        <w:rPr>
          <w:rFonts w:hint="eastAsia"/>
          <w:szCs w:val="21"/>
          <w:highlight w:val="none"/>
        </w:rPr>
        <w:t>同时输液</w:t>
      </w:r>
    </w:p>
    <w:p w14:paraId="750B6067">
      <w:pPr>
        <w:pStyle w:val="359"/>
        <w:ind w:firstLine="420"/>
        <w:rPr>
          <w:rFonts w:hint="eastAsia" w:ascii="宋体" w:hAnsi="宋体"/>
          <w:szCs w:val="21"/>
          <w:highlight w:val="none"/>
        </w:rPr>
      </w:pPr>
      <w:r>
        <w:rPr>
          <w:rFonts w:hint="eastAsia" w:ascii="宋体" w:hAnsi="宋体"/>
          <w:szCs w:val="21"/>
          <w:highlight w:val="none"/>
        </w:rPr>
        <w:t>输液执行时，要求支持多组药品同时输液，续瓶时可自行选择要结束的上一袋药品。</w:t>
      </w:r>
    </w:p>
    <w:p w14:paraId="507E54CA">
      <w:pPr>
        <w:numPr>
          <w:ilvl w:val="0"/>
          <w:numId w:val="44"/>
        </w:numPr>
        <w:spacing w:line="240" w:lineRule="auto"/>
        <w:rPr>
          <w:rFonts w:hint="eastAsia"/>
          <w:szCs w:val="21"/>
          <w:highlight w:val="none"/>
        </w:rPr>
      </w:pPr>
      <w:r>
        <w:rPr>
          <w:rFonts w:hint="eastAsia"/>
          <w:szCs w:val="21"/>
          <w:highlight w:val="none"/>
        </w:rPr>
        <w:t>用药查询</w:t>
      </w:r>
    </w:p>
    <w:p w14:paraId="1987AF83">
      <w:pPr>
        <w:pStyle w:val="359"/>
        <w:ind w:firstLine="420"/>
        <w:rPr>
          <w:rFonts w:hint="eastAsia" w:ascii="宋体" w:hAnsi="宋体"/>
          <w:szCs w:val="21"/>
          <w:highlight w:val="none"/>
        </w:rPr>
      </w:pPr>
      <w:r>
        <w:rPr>
          <w:rFonts w:hint="eastAsia" w:ascii="宋体" w:hAnsi="宋体"/>
          <w:szCs w:val="21"/>
          <w:highlight w:val="none"/>
        </w:rPr>
        <w:t>要求支持查询病人输液药品医嘱执行情况，支持单人查询、汇总查询。</w:t>
      </w:r>
    </w:p>
    <w:p w14:paraId="0564FE2C">
      <w:pPr>
        <w:pStyle w:val="5"/>
        <w:rPr>
          <w:rFonts w:hint="eastAsia" w:ascii="宋体" w:hAnsi="宋体" w:eastAsia="宋体"/>
          <w:sz w:val="21"/>
          <w:szCs w:val="21"/>
          <w:highlight w:val="none"/>
        </w:rPr>
      </w:pPr>
      <w:r>
        <w:rPr>
          <w:rFonts w:hint="eastAsia" w:ascii="宋体" w:hAnsi="宋体" w:eastAsia="宋体"/>
          <w:sz w:val="21"/>
          <w:szCs w:val="21"/>
          <w:highlight w:val="none"/>
        </w:rPr>
        <w:t>体征采集</w:t>
      </w:r>
    </w:p>
    <w:p w14:paraId="0E779FB3">
      <w:pPr>
        <w:numPr>
          <w:ilvl w:val="0"/>
          <w:numId w:val="45"/>
        </w:numPr>
        <w:spacing w:line="240" w:lineRule="auto"/>
        <w:rPr>
          <w:rFonts w:hint="eastAsia"/>
          <w:szCs w:val="21"/>
          <w:highlight w:val="none"/>
        </w:rPr>
      </w:pPr>
      <w:r>
        <w:rPr>
          <w:rFonts w:hint="eastAsia"/>
          <w:szCs w:val="21"/>
          <w:highlight w:val="none"/>
        </w:rPr>
        <w:t>体征录入</w:t>
      </w:r>
    </w:p>
    <w:p w14:paraId="1E3654F8">
      <w:pPr>
        <w:pStyle w:val="359"/>
        <w:ind w:firstLine="420"/>
        <w:rPr>
          <w:rFonts w:hint="eastAsia" w:ascii="宋体" w:hAnsi="宋体"/>
          <w:szCs w:val="21"/>
          <w:highlight w:val="none"/>
        </w:rPr>
      </w:pPr>
      <w:r>
        <w:rPr>
          <w:rFonts w:hint="eastAsia" w:ascii="宋体" w:hAnsi="宋体"/>
          <w:szCs w:val="21"/>
          <w:highlight w:val="none"/>
        </w:rPr>
        <w:t>要求支持支持对接住院电子病历系统，移动录入体征信息，记录病人体温、脉搏、呼吸、心率、血压等信息，对病人体征信息进行脱纸的电子化记录，数据与住院电子病历系统实时互通。减少了护士重复手录病人体征数据的麻烦，确保护理工作的时效性和规范性。</w:t>
      </w:r>
    </w:p>
    <w:p w14:paraId="256677C0">
      <w:pPr>
        <w:numPr>
          <w:ilvl w:val="0"/>
          <w:numId w:val="45"/>
        </w:numPr>
        <w:spacing w:line="240" w:lineRule="auto"/>
        <w:rPr>
          <w:rFonts w:hint="eastAsia"/>
          <w:szCs w:val="21"/>
          <w:highlight w:val="none"/>
        </w:rPr>
      </w:pPr>
      <w:r>
        <w:rPr>
          <w:rFonts w:hint="eastAsia"/>
          <w:szCs w:val="21"/>
          <w:highlight w:val="none"/>
        </w:rPr>
        <w:t>批量录入体征</w:t>
      </w:r>
    </w:p>
    <w:p w14:paraId="670CC96E">
      <w:pPr>
        <w:pStyle w:val="359"/>
        <w:ind w:firstLine="420"/>
        <w:rPr>
          <w:rFonts w:hint="eastAsia" w:ascii="宋体" w:hAnsi="宋体"/>
          <w:szCs w:val="21"/>
          <w:highlight w:val="none"/>
        </w:rPr>
      </w:pPr>
      <w:r>
        <w:rPr>
          <w:rFonts w:hint="eastAsia" w:ascii="宋体" w:hAnsi="宋体"/>
          <w:szCs w:val="21"/>
          <w:highlight w:val="none"/>
        </w:rPr>
        <w:t>要求支持对接住院电子病历系统，一次性批量统一录入登陆科室的病人体温、脉搏、呼吸等体征信息，数据与住院电子病历系统实时互通，提高护理工作效率。</w:t>
      </w:r>
    </w:p>
    <w:p w14:paraId="70986224">
      <w:pPr>
        <w:numPr>
          <w:ilvl w:val="0"/>
          <w:numId w:val="45"/>
        </w:numPr>
        <w:spacing w:line="240" w:lineRule="auto"/>
        <w:rPr>
          <w:rFonts w:hint="eastAsia"/>
          <w:szCs w:val="21"/>
          <w:highlight w:val="none"/>
        </w:rPr>
      </w:pPr>
      <w:r>
        <w:rPr>
          <w:rFonts w:hint="eastAsia"/>
          <w:szCs w:val="21"/>
          <w:highlight w:val="none"/>
        </w:rPr>
        <w:t>体征查询</w:t>
      </w:r>
    </w:p>
    <w:p w14:paraId="20F9EF79">
      <w:pPr>
        <w:pStyle w:val="359"/>
        <w:ind w:firstLine="420"/>
        <w:rPr>
          <w:rFonts w:hint="eastAsia" w:ascii="宋体" w:hAnsi="宋体"/>
          <w:szCs w:val="21"/>
          <w:highlight w:val="none"/>
        </w:rPr>
      </w:pPr>
      <w:r>
        <w:rPr>
          <w:rFonts w:hint="eastAsia" w:ascii="宋体" w:hAnsi="宋体"/>
          <w:szCs w:val="21"/>
          <w:highlight w:val="none"/>
        </w:rPr>
        <w:t>要求支持对接住院电子病历系统，查询病人某一天所录入的体征记录。选择体征记录，可以修改某个时间点的体征信息，数据与住院电子病历系统实时互通。</w:t>
      </w:r>
    </w:p>
    <w:p w14:paraId="2F64BA1E">
      <w:pPr>
        <w:numPr>
          <w:ilvl w:val="0"/>
          <w:numId w:val="45"/>
        </w:numPr>
        <w:spacing w:line="240" w:lineRule="auto"/>
        <w:rPr>
          <w:rFonts w:hint="eastAsia"/>
          <w:szCs w:val="21"/>
          <w:highlight w:val="none"/>
        </w:rPr>
      </w:pPr>
      <w:r>
        <w:rPr>
          <w:rFonts w:hint="eastAsia"/>
          <w:szCs w:val="21"/>
          <w:highlight w:val="none"/>
        </w:rPr>
        <w:t>体温单</w:t>
      </w:r>
    </w:p>
    <w:p w14:paraId="4644DD7A">
      <w:pPr>
        <w:pStyle w:val="359"/>
        <w:ind w:firstLine="420"/>
        <w:rPr>
          <w:rFonts w:hint="eastAsia" w:ascii="宋体" w:hAnsi="宋体"/>
          <w:szCs w:val="21"/>
          <w:highlight w:val="none"/>
        </w:rPr>
      </w:pPr>
      <w:r>
        <w:rPr>
          <w:rFonts w:hint="eastAsia" w:ascii="宋体" w:hAnsi="宋体"/>
          <w:szCs w:val="21"/>
          <w:highlight w:val="none"/>
        </w:rPr>
        <w:t>要求支持调阅住院电子病历系统中生成的患者体温单信息，按周查阅体温单。</w:t>
      </w:r>
    </w:p>
    <w:p w14:paraId="5AF15D39">
      <w:pPr>
        <w:pStyle w:val="5"/>
        <w:rPr>
          <w:rFonts w:hint="eastAsia" w:ascii="宋体" w:hAnsi="宋体" w:eastAsia="宋体"/>
          <w:sz w:val="21"/>
          <w:szCs w:val="21"/>
          <w:highlight w:val="none"/>
        </w:rPr>
      </w:pPr>
      <w:r>
        <w:rPr>
          <w:rFonts w:hint="eastAsia" w:ascii="宋体" w:hAnsi="宋体" w:eastAsia="宋体"/>
          <w:sz w:val="21"/>
          <w:szCs w:val="21"/>
          <w:highlight w:val="none"/>
        </w:rPr>
        <w:t>护理文书</w:t>
      </w:r>
    </w:p>
    <w:p w14:paraId="78922D9E">
      <w:pPr>
        <w:numPr>
          <w:ilvl w:val="0"/>
          <w:numId w:val="46"/>
        </w:numPr>
        <w:spacing w:line="240" w:lineRule="auto"/>
        <w:rPr>
          <w:rFonts w:hint="eastAsia"/>
          <w:szCs w:val="21"/>
          <w:highlight w:val="none"/>
        </w:rPr>
      </w:pPr>
      <w:r>
        <w:rPr>
          <w:rFonts w:hint="eastAsia"/>
          <w:szCs w:val="21"/>
          <w:highlight w:val="none"/>
        </w:rPr>
        <w:t>血糖录入</w:t>
      </w:r>
    </w:p>
    <w:p w14:paraId="1AED0568">
      <w:pPr>
        <w:pStyle w:val="359"/>
        <w:ind w:firstLine="420"/>
        <w:rPr>
          <w:rFonts w:hint="eastAsia" w:ascii="宋体" w:hAnsi="宋体"/>
          <w:szCs w:val="21"/>
          <w:highlight w:val="none"/>
        </w:rPr>
      </w:pPr>
      <w:r>
        <w:rPr>
          <w:rFonts w:hint="eastAsia" w:ascii="宋体" w:hAnsi="宋体"/>
          <w:szCs w:val="21"/>
          <w:highlight w:val="none"/>
        </w:rPr>
        <w:t>在给病人测血糖时要求支持使用PDA录入不同时间段血糖数据。对病人血糖信息进行脱纸的电子化记录，减少了护士重复转抄效率低、事后录入不准确等问题。</w:t>
      </w:r>
    </w:p>
    <w:p w14:paraId="11F515C4">
      <w:pPr>
        <w:numPr>
          <w:ilvl w:val="0"/>
          <w:numId w:val="46"/>
        </w:numPr>
        <w:spacing w:line="240" w:lineRule="auto"/>
        <w:rPr>
          <w:rFonts w:hint="eastAsia"/>
          <w:szCs w:val="21"/>
          <w:highlight w:val="none"/>
        </w:rPr>
      </w:pPr>
      <w:r>
        <w:rPr>
          <w:rFonts w:hint="eastAsia"/>
          <w:szCs w:val="21"/>
          <w:highlight w:val="none"/>
        </w:rPr>
        <w:t>护理记录</w:t>
      </w:r>
    </w:p>
    <w:p w14:paraId="0250AF69">
      <w:pPr>
        <w:pStyle w:val="359"/>
        <w:ind w:firstLine="420"/>
        <w:rPr>
          <w:rFonts w:hint="eastAsia" w:ascii="宋体" w:hAnsi="宋体"/>
          <w:szCs w:val="21"/>
          <w:highlight w:val="none"/>
        </w:rPr>
      </w:pPr>
      <w:r>
        <w:rPr>
          <w:rFonts w:hint="eastAsia" w:ascii="宋体" w:hAnsi="宋体"/>
          <w:szCs w:val="21"/>
          <w:highlight w:val="none"/>
        </w:rPr>
        <w:t>要求支持对接住院电子病历系统，护士可通过移动护理系统直接录入护理记录，数据与住院电子病历系统实时互通。体温、脉搏、呼吸等支持引用体征查询界面的数据，病情措施的情况支持片段引用实现快速录入，避免重复录入。</w:t>
      </w:r>
    </w:p>
    <w:p w14:paraId="6C661341">
      <w:pPr>
        <w:numPr>
          <w:ilvl w:val="0"/>
          <w:numId w:val="46"/>
        </w:numPr>
        <w:spacing w:line="240" w:lineRule="auto"/>
        <w:rPr>
          <w:rFonts w:hint="eastAsia"/>
          <w:szCs w:val="21"/>
          <w:highlight w:val="none"/>
        </w:rPr>
      </w:pPr>
      <w:r>
        <w:rPr>
          <w:rFonts w:hint="eastAsia"/>
          <w:szCs w:val="21"/>
          <w:highlight w:val="none"/>
        </w:rPr>
        <w:t>病历浏览</w:t>
      </w:r>
    </w:p>
    <w:p w14:paraId="22FD82BA">
      <w:pPr>
        <w:pStyle w:val="359"/>
        <w:ind w:firstLine="420"/>
        <w:rPr>
          <w:rFonts w:hint="eastAsia" w:ascii="宋体" w:hAnsi="宋体"/>
          <w:szCs w:val="21"/>
          <w:highlight w:val="none"/>
        </w:rPr>
      </w:pPr>
      <w:r>
        <w:rPr>
          <w:rFonts w:hint="eastAsia" w:ascii="宋体" w:hAnsi="宋体"/>
          <w:szCs w:val="21"/>
          <w:highlight w:val="none"/>
        </w:rPr>
        <w:t>要求支持统一浏览病人的护理记录、知情同意书、长期医嘱单、临时医嘱单等在院病历信息，支持放大、缩小查看。</w:t>
      </w:r>
    </w:p>
    <w:p w14:paraId="728CE984">
      <w:pPr>
        <w:pStyle w:val="5"/>
        <w:rPr>
          <w:rFonts w:hint="eastAsia" w:ascii="宋体" w:hAnsi="宋体" w:eastAsia="宋体"/>
          <w:sz w:val="21"/>
          <w:szCs w:val="21"/>
          <w:highlight w:val="none"/>
        </w:rPr>
      </w:pPr>
      <w:r>
        <w:rPr>
          <w:rFonts w:hint="eastAsia" w:ascii="宋体" w:hAnsi="宋体" w:eastAsia="宋体"/>
          <w:sz w:val="21"/>
          <w:szCs w:val="21"/>
          <w:highlight w:val="none"/>
        </w:rPr>
        <w:t>护理助手</w:t>
      </w:r>
    </w:p>
    <w:p w14:paraId="22E765E4">
      <w:pPr>
        <w:numPr>
          <w:ilvl w:val="0"/>
          <w:numId w:val="47"/>
        </w:numPr>
        <w:spacing w:line="240" w:lineRule="auto"/>
        <w:rPr>
          <w:rFonts w:hint="eastAsia"/>
          <w:szCs w:val="21"/>
          <w:highlight w:val="none"/>
        </w:rPr>
      </w:pPr>
      <w:r>
        <w:rPr>
          <w:rFonts w:hint="eastAsia"/>
          <w:szCs w:val="21"/>
          <w:highlight w:val="none"/>
        </w:rPr>
        <w:t>护理记事本</w:t>
      </w:r>
    </w:p>
    <w:p w14:paraId="223C95E6">
      <w:pPr>
        <w:pStyle w:val="359"/>
        <w:ind w:firstLine="420"/>
        <w:rPr>
          <w:rFonts w:hint="eastAsia" w:ascii="宋体" w:hAnsi="宋体"/>
          <w:szCs w:val="21"/>
          <w:highlight w:val="none"/>
        </w:rPr>
      </w:pPr>
      <w:r>
        <w:rPr>
          <w:rFonts w:hint="eastAsia" w:ascii="宋体" w:hAnsi="宋体"/>
          <w:szCs w:val="21"/>
          <w:highlight w:val="none"/>
        </w:rPr>
        <w:t>要求支持护士记录需要交接或待办的事项，可设置闹钟提醒。要求支持查看全科护士录入的待办事项，方便护士进行交接班备忘和提醒。</w:t>
      </w:r>
    </w:p>
    <w:p w14:paraId="094F69A1">
      <w:pPr>
        <w:numPr>
          <w:ilvl w:val="0"/>
          <w:numId w:val="47"/>
        </w:numPr>
        <w:spacing w:line="240" w:lineRule="auto"/>
        <w:rPr>
          <w:rFonts w:hint="eastAsia"/>
          <w:szCs w:val="21"/>
          <w:highlight w:val="none"/>
        </w:rPr>
      </w:pPr>
      <w:r>
        <w:rPr>
          <w:rFonts w:hint="eastAsia"/>
          <w:szCs w:val="21"/>
          <w:highlight w:val="none"/>
        </w:rPr>
        <w:t>定时提醒</w:t>
      </w:r>
    </w:p>
    <w:p w14:paraId="46940D7F">
      <w:pPr>
        <w:pStyle w:val="359"/>
        <w:ind w:firstLine="420"/>
        <w:rPr>
          <w:rFonts w:hint="eastAsia" w:ascii="宋体" w:hAnsi="宋体"/>
          <w:szCs w:val="21"/>
          <w:highlight w:val="none"/>
        </w:rPr>
      </w:pPr>
      <w:r>
        <w:rPr>
          <w:rFonts w:hint="eastAsia" w:ascii="宋体" w:hAnsi="宋体"/>
          <w:szCs w:val="21"/>
          <w:highlight w:val="none"/>
        </w:rPr>
        <w:t>支持自定义事件闹铃提醒，对于一些最重要事项，要求支持手动设置提醒事项和提醒时间，到点则系统启动闹钟，进行提醒。</w:t>
      </w:r>
    </w:p>
    <w:p w14:paraId="38D689F8">
      <w:pPr>
        <w:pStyle w:val="5"/>
        <w:rPr>
          <w:rFonts w:hint="eastAsia" w:ascii="宋体" w:hAnsi="宋体" w:eastAsia="宋体"/>
          <w:sz w:val="21"/>
          <w:szCs w:val="21"/>
          <w:highlight w:val="none"/>
        </w:rPr>
      </w:pPr>
      <w:r>
        <w:rPr>
          <w:rFonts w:hint="eastAsia" w:ascii="宋体" w:hAnsi="宋体" w:eastAsia="宋体"/>
          <w:sz w:val="21"/>
          <w:szCs w:val="21"/>
          <w:highlight w:val="none"/>
        </w:rPr>
        <w:t>表单管理</w:t>
      </w:r>
    </w:p>
    <w:p w14:paraId="1977B7DA">
      <w:pPr>
        <w:pStyle w:val="359"/>
        <w:ind w:firstLine="420"/>
        <w:rPr>
          <w:rFonts w:hint="eastAsia" w:ascii="宋体" w:hAnsi="宋体"/>
          <w:szCs w:val="21"/>
          <w:highlight w:val="none"/>
        </w:rPr>
      </w:pPr>
      <w:r>
        <w:rPr>
          <w:rFonts w:hint="eastAsia" w:ascii="宋体" w:hAnsi="宋体"/>
          <w:szCs w:val="21"/>
          <w:highlight w:val="none"/>
        </w:rPr>
        <w:t>要求支持对接住院电子病历表单，根据医院实际应用业务需求，针对有移动录入需求的表单进行定制，实现移动端脱纸化录入，减少护士事后转抄的工作量，提高工作效率。要求支持表单的新建、修改、保存操作，数据与住院电子病历系统实时互通。</w:t>
      </w:r>
    </w:p>
    <w:p w14:paraId="20D4E7FC">
      <w:pPr>
        <w:pStyle w:val="5"/>
        <w:rPr>
          <w:rFonts w:hint="eastAsia" w:ascii="宋体" w:hAnsi="宋体" w:eastAsia="宋体"/>
          <w:sz w:val="21"/>
          <w:szCs w:val="21"/>
          <w:highlight w:val="none"/>
        </w:rPr>
      </w:pPr>
      <w:r>
        <w:rPr>
          <w:rFonts w:hint="eastAsia" w:ascii="宋体" w:hAnsi="宋体" w:eastAsia="宋体"/>
          <w:sz w:val="21"/>
          <w:szCs w:val="21"/>
          <w:highlight w:val="none"/>
        </w:rPr>
        <w:t>口服药管理</w:t>
      </w:r>
    </w:p>
    <w:p w14:paraId="22D47475">
      <w:pPr>
        <w:numPr>
          <w:ilvl w:val="0"/>
          <w:numId w:val="48"/>
        </w:numPr>
        <w:spacing w:line="240" w:lineRule="auto"/>
        <w:rPr>
          <w:rFonts w:hint="eastAsia"/>
          <w:szCs w:val="21"/>
          <w:highlight w:val="none"/>
        </w:rPr>
      </w:pPr>
      <w:r>
        <w:rPr>
          <w:rFonts w:hint="eastAsia"/>
          <w:szCs w:val="21"/>
          <w:highlight w:val="none"/>
        </w:rPr>
        <w:t>口服药执行</w:t>
      </w:r>
    </w:p>
    <w:p w14:paraId="4B847209">
      <w:pPr>
        <w:pStyle w:val="359"/>
        <w:ind w:firstLine="420"/>
        <w:rPr>
          <w:rFonts w:hint="eastAsia" w:ascii="宋体" w:hAnsi="宋体"/>
          <w:szCs w:val="21"/>
          <w:highlight w:val="none"/>
        </w:rPr>
      </w:pPr>
      <w:r>
        <w:rPr>
          <w:rFonts w:hint="eastAsia" w:ascii="宋体" w:hAnsi="宋体"/>
          <w:szCs w:val="21"/>
          <w:highlight w:val="none"/>
        </w:rPr>
        <w:t>护士在给病人发口服药时，要求支持扫描病人腕带和口服药包条码进行床边核对并执行医嘱,记录执行人、执行时间等信息。</w:t>
      </w:r>
    </w:p>
    <w:p w14:paraId="3317B2B0">
      <w:pPr>
        <w:numPr>
          <w:ilvl w:val="0"/>
          <w:numId w:val="48"/>
        </w:numPr>
        <w:spacing w:line="240" w:lineRule="auto"/>
        <w:rPr>
          <w:rFonts w:hint="eastAsia"/>
          <w:szCs w:val="21"/>
          <w:highlight w:val="none"/>
        </w:rPr>
      </w:pPr>
      <w:r>
        <w:rPr>
          <w:rFonts w:hint="eastAsia"/>
          <w:szCs w:val="21"/>
          <w:highlight w:val="none"/>
        </w:rPr>
        <w:t>口服药执行明细查询</w:t>
      </w:r>
    </w:p>
    <w:p w14:paraId="2F2EE799">
      <w:pPr>
        <w:pStyle w:val="359"/>
        <w:ind w:firstLine="420"/>
        <w:rPr>
          <w:rFonts w:hint="eastAsia" w:ascii="宋体" w:hAnsi="宋体"/>
          <w:szCs w:val="21"/>
          <w:highlight w:val="none"/>
        </w:rPr>
      </w:pPr>
      <w:r>
        <w:rPr>
          <w:rFonts w:hint="eastAsia" w:ascii="宋体" w:hAnsi="宋体"/>
          <w:szCs w:val="21"/>
          <w:highlight w:val="none"/>
        </w:rPr>
        <w:t>要求支持口服药执行明细查询，口服药执行后，系统记录变更为已执行状态，可支持显示医嘱执行人、执行时间等明细信息。</w:t>
      </w:r>
    </w:p>
    <w:p w14:paraId="3577B45F">
      <w:pPr>
        <w:numPr>
          <w:ilvl w:val="0"/>
          <w:numId w:val="48"/>
        </w:numPr>
        <w:spacing w:line="240" w:lineRule="auto"/>
        <w:rPr>
          <w:rFonts w:hint="eastAsia"/>
          <w:szCs w:val="21"/>
          <w:highlight w:val="none"/>
        </w:rPr>
      </w:pPr>
      <w:r>
        <w:rPr>
          <w:rFonts w:hint="eastAsia"/>
          <w:szCs w:val="21"/>
          <w:highlight w:val="none"/>
        </w:rPr>
        <w:t>口服药全科病人查询</w:t>
      </w:r>
    </w:p>
    <w:p w14:paraId="4C4F678B">
      <w:pPr>
        <w:pStyle w:val="359"/>
        <w:ind w:firstLine="420"/>
        <w:rPr>
          <w:rFonts w:hint="eastAsia" w:ascii="宋体" w:hAnsi="宋体"/>
          <w:szCs w:val="21"/>
          <w:highlight w:val="none"/>
        </w:rPr>
      </w:pPr>
      <w:r>
        <w:rPr>
          <w:rFonts w:hint="eastAsia" w:ascii="宋体" w:hAnsi="宋体"/>
          <w:szCs w:val="21"/>
          <w:highlight w:val="none"/>
        </w:rPr>
        <w:t>要求支持查询全科病人口服药执行列表，方便护士统一查询并了解全科病人的口服药执行情况。</w:t>
      </w:r>
    </w:p>
    <w:p w14:paraId="1D4420D5">
      <w:pPr>
        <w:numPr>
          <w:ilvl w:val="0"/>
          <w:numId w:val="48"/>
        </w:numPr>
        <w:spacing w:line="240" w:lineRule="auto"/>
        <w:rPr>
          <w:rFonts w:hint="eastAsia"/>
          <w:szCs w:val="21"/>
          <w:highlight w:val="none"/>
        </w:rPr>
      </w:pPr>
      <w:r>
        <w:rPr>
          <w:rFonts w:hint="eastAsia"/>
          <w:szCs w:val="21"/>
          <w:highlight w:val="none"/>
        </w:rPr>
        <w:t>包药机对接</w:t>
      </w:r>
    </w:p>
    <w:p w14:paraId="59AC3CFB">
      <w:pPr>
        <w:pStyle w:val="359"/>
        <w:ind w:firstLine="420"/>
        <w:rPr>
          <w:rFonts w:hint="eastAsia" w:ascii="宋体" w:hAnsi="宋体"/>
          <w:szCs w:val="21"/>
          <w:highlight w:val="none"/>
        </w:rPr>
      </w:pPr>
      <w:r>
        <w:rPr>
          <w:rFonts w:hint="eastAsia" w:ascii="宋体" w:hAnsi="宋体"/>
          <w:szCs w:val="21"/>
          <w:highlight w:val="none"/>
        </w:rPr>
        <w:t>要求支持与包药机系统对接，在系统中扫描病人腕带和包药机口服药包条码进行发药，并记录相关执行人、执行时间等信息。</w:t>
      </w:r>
    </w:p>
    <w:p w14:paraId="3FAC4C77">
      <w:pPr>
        <w:pStyle w:val="5"/>
        <w:rPr>
          <w:rFonts w:hint="eastAsia" w:ascii="宋体" w:hAnsi="宋体" w:eastAsia="宋体"/>
          <w:sz w:val="21"/>
          <w:szCs w:val="21"/>
          <w:highlight w:val="none"/>
        </w:rPr>
      </w:pPr>
      <w:r>
        <w:rPr>
          <w:rFonts w:hint="eastAsia" w:ascii="宋体" w:hAnsi="宋体" w:eastAsia="宋体"/>
          <w:sz w:val="21"/>
          <w:szCs w:val="21"/>
          <w:highlight w:val="none"/>
        </w:rPr>
        <w:t>皮试管理</w:t>
      </w:r>
    </w:p>
    <w:p w14:paraId="4FFE3E8E">
      <w:pPr>
        <w:numPr>
          <w:ilvl w:val="0"/>
          <w:numId w:val="49"/>
        </w:numPr>
        <w:spacing w:line="240" w:lineRule="auto"/>
        <w:rPr>
          <w:rFonts w:hint="eastAsia"/>
          <w:szCs w:val="21"/>
          <w:highlight w:val="none"/>
        </w:rPr>
      </w:pPr>
      <w:r>
        <w:rPr>
          <w:rFonts w:hint="eastAsia"/>
          <w:szCs w:val="21"/>
          <w:highlight w:val="none"/>
        </w:rPr>
        <w:t>皮试登记</w:t>
      </w:r>
    </w:p>
    <w:p w14:paraId="67B2B8CE">
      <w:pPr>
        <w:pStyle w:val="359"/>
        <w:ind w:firstLine="420"/>
        <w:rPr>
          <w:rFonts w:hint="eastAsia" w:ascii="宋体" w:hAnsi="宋体"/>
          <w:szCs w:val="21"/>
          <w:highlight w:val="none"/>
        </w:rPr>
      </w:pPr>
      <w:r>
        <w:rPr>
          <w:rFonts w:hint="eastAsia" w:ascii="宋体" w:hAnsi="宋体"/>
          <w:szCs w:val="21"/>
          <w:highlight w:val="none"/>
        </w:rPr>
        <w:t>要求支持进行皮试流程操作及登记。护士给患者皮试时，先在PDA核对信息，并登记皮试开始时间，皮试一段时间后，系统进行闹钟提醒，提醒护士登记皮试结果，护士通过移动端再登记皮试结果，数据实时同步到HIS系统。</w:t>
      </w:r>
    </w:p>
    <w:p w14:paraId="4E68B444">
      <w:pPr>
        <w:numPr>
          <w:ilvl w:val="0"/>
          <w:numId w:val="49"/>
        </w:numPr>
        <w:spacing w:line="240" w:lineRule="auto"/>
        <w:rPr>
          <w:rFonts w:hint="eastAsia"/>
          <w:szCs w:val="21"/>
          <w:highlight w:val="none"/>
        </w:rPr>
      </w:pPr>
      <w:r>
        <w:rPr>
          <w:rFonts w:hint="eastAsia"/>
          <w:szCs w:val="21"/>
          <w:highlight w:val="none"/>
        </w:rPr>
        <w:t>皮试登记结果同步至EMR</w:t>
      </w:r>
    </w:p>
    <w:p w14:paraId="21D87118">
      <w:pPr>
        <w:pStyle w:val="359"/>
        <w:ind w:firstLine="420"/>
        <w:rPr>
          <w:rFonts w:hint="eastAsia" w:ascii="宋体" w:hAnsi="宋体"/>
          <w:szCs w:val="21"/>
          <w:highlight w:val="none"/>
        </w:rPr>
      </w:pPr>
      <w:r>
        <w:rPr>
          <w:rFonts w:hint="eastAsia" w:ascii="宋体" w:hAnsi="宋体"/>
          <w:szCs w:val="21"/>
          <w:highlight w:val="none"/>
        </w:rPr>
        <w:t>支持对接住院电子病历系统接口，将皮试登记的结果同步给住院电子病历系统，住院电子病历系统可直接显示在体温单上。</w:t>
      </w:r>
    </w:p>
    <w:p w14:paraId="077757C6">
      <w:pPr>
        <w:pStyle w:val="5"/>
        <w:rPr>
          <w:rFonts w:hint="eastAsia" w:ascii="宋体" w:hAnsi="宋体" w:eastAsia="宋体"/>
          <w:sz w:val="21"/>
          <w:szCs w:val="21"/>
          <w:highlight w:val="none"/>
        </w:rPr>
      </w:pPr>
      <w:r>
        <w:rPr>
          <w:rFonts w:hint="eastAsia" w:ascii="宋体" w:hAnsi="宋体" w:eastAsia="宋体"/>
          <w:sz w:val="21"/>
          <w:szCs w:val="21"/>
          <w:highlight w:val="none"/>
        </w:rPr>
        <w:t>检验管理</w:t>
      </w:r>
    </w:p>
    <w:p w14:paraId="086F074C">
      <w:pPr>
        <w:numPr>
          <w:ilvl w:val="0"/>
          <w:numId w:val="50"/>
        </w:numPr>
        <w:spacing w:line="240" w:lineRule="auto"/>
        <w:rPr>
          <w:rFonts w:hint="eastAsia"/>
          <w:szCs w:val="21"/>
          <w:highlight w:val="none"/>
        </w:rPr>
      </w:pPr>
      <w:r>
        <w:rPr>
          <w:rFonts w:hint="eastAsia"/>
          <w:szCs w:val="21"/>
          <w:highlight w:val="none"/>
        </w:rPr>
        <w:t>采血登记</w:t>
      </w:r>
    </w:p>
    <w:p w14:paraId="2677A336">
      <w:pPr>
        <w:pStyle w:val="359"/>
        <w:ind w:firstLine="420"/>
        <w:rPr>
          <w:rFonts w:hint="eastAsia" w:ascii="宋体" w:hAnsi="宋体"/>
          <w:szCs w:val="21"/>
          <w:highlight w:val="none"/>
        </w:rPr>
      </w:pPr>
      <w:r>
        <w:rPr>
          <w:rFonts w:hint="eastAsia" w:ascii="宋体" w:hAnsi="宋体"/>
          <w:szCs w:val="21"/>
          <w:highlight w:val="none"/>
        </w:rPr>
        <w:t>要求支持护士给病人采血时通过PDA扫描病人腕带与试管条码进行核对，核对病人身份以及病人要采血的项目信息，确认该试管是否是给该病人使用，避免因采错病人而发生医疗事故。同时记录执行护士、采样时间、采样项目等信息，便于后续数据追溯以及统计护士工作量。</w:t>
      </w:r>
    </w:p>
    <w:p w14:paraId="56BD15B9">
      <w:pPr>
        <w:numPr>
          <w:ilvl w:val="0"/>
          <w:numId w:val="50"/>
        </w:numPr>
        <w:spacing w:line="240" w:lineRule="auto"/>
        <w:rPr>
          <w:rFonts w:hint="eastAsia"/>
          <w:szCs w:val="21"/>
          <w:highlight w:val="none"/>
        </w:rPr>
      </w:pPr>
      <w:r>
        <w:rPr>
          <w:rFonts w:hint="eastAsia"/>
          <w:szCs w:val="21"/>
          <w:highlight w:val="none"/>
        </w:rPr>
        <w:t>采样交接</w:t>
      </w:r>
    </w:p>
    <w:p w14:paraId="2EF74282">
      <w:pPr>
        <w:pStyle w:val="359"/>
        <w:ind w:firstLine="420"/>
        <w:rPr>
          <w:rFonts w:hint="eastAsia" w:ascii="宋体" w:hAnsi="宋体"/>
          <w:szCs w:val="21"/>
          <w:highlight w:val="none"/>
        </w:rPr>
      </w:pPr>
      <w:r>
        <w:rPr>
          <w:rFonts w:hint="eastAsia" w:ascii="宋体" w:hAnsi="宋体"/>
          <w:szCs w:val="21"/>
          <w:highlight w:val="none"/>
        </w:rPr>
        <w:t>护士把标本采集之后，要求支持病区护士与护工进行采样交接功能，交接给护工时，扫描确认交接的试管，系统记录交接人、交接时间等信息，便于后续数据追溯以及统计护士工作量。当标本不符合要求，需要从列表中剔除不进行交接的时候，支持删除该条交接记录。</w:t>
      </w:r>
    </w:p>
    <w:p w14:paraId="5EBF4912">
      <w:pPr>
        <w:numPr>
          <w:ilvl w:val="0"/>
          <w:numId w:val="50"/>
        </w:numPr>
        <w:spacing w:line="240" w:lineRule="auto"/>
        <w:rPr>
          <w:rFonts w:hint="eastAsia"/>
          <w:szCs w:val="21"/>
          <w:highlight w:val="none"/>
        </w:rPr>
      </w:pPr>
      <w:r>
        <w:rPr>
          <w:rFonts w:hint="eastAsia"/>
          <w:szCs w:val="21"/>
          <w:highlight w:val="none"/>
        </w:rPr>
        <w:t>采样查询</w:t>
      </w:r>
    </w:p>
    <w:p w14:paraId="6B631B31">
      <w:pPr>
        <w:pStyle w:val="359"/>
        <w:ind w:firstLine="420"/>
        <w:rPr>
          <w:rFonts w:hint="eastAsia" w:ascii="宋体" w:hAnsi="宋体"/>
          <w:szCs w:val="21"/>
          <w:highlight w:val="none"/>
        </w:rPr>
      </w:pPr>
      <w:r>
        <w:rPr>
          <w:rFonts w:hint="eastAsia" w:ascii="宋体" w:hAnsi="宋体"/>
          <w:szCs w:val="21"/>
          <w:highlight w:val="none"/>
        </w:rPr>
        <w:t>要求支持查询全科患者的采样信息，如采样项目、采样状态，方便护士统一查询、了解科室患者的采样情况。</w:t>
      </w:r>
    </w:p>
    <w:p w14:paraId="541716F8">
      <w:pPr>
        <w:numPr>
          <w:ilvl w:val="0"/>
          <w:numId w:val="50"/>
        </w:numPr>
        <w:spacing w:line="240" w:lineRule="auto"/>
        <w:rPr>
          <w:rFonts w:hint="eastAsia"/>
          <w:szCs w:val="21"/>
          <w:highlight w:val="none"/>
        </w:rPr>
      </w:pPr>
      <w:r>
        <w:rPr>
          <w:rFonts w:hint="eastAsia"/>
          <w:szCs w:val="21"/>
          <w:highlight w:val="none"/>
        </w:rPr>
        <w:t>检验报告查阅</w:t>
      </w:r>
    </w:p>
    <w:p w14:paraId="14D8FECA">
      <w:pPr>
        <w:pStyle w:val="359"/>
        <w:ind w:firstLine="420"/>
        <w:rPr>
          <w:rFonts w:hint="eastAsia" w:ascii="宋体" w:hAnsi="宋体"/>
          <w:szCs w:val="21"/>
          <w:highlight w:val="none"/>
        </w:rPr>
      </w:pPr>
      <w:r>
        <w:rPr>
          <w:rFonts w:hint="eastAsia" w:ascii="宋体" w:hAnsi="宋体"/>
          <w:szCs w:val="21"/>
          <w:highlight w:val="none"/>
        </w:rPr>
        <w:t>要求支持查阅患者的检验报告，护士不用在电脑前，也可随时了解患者的检验报告结果。</w:t>
      </w:r>
    </w:p>
    <w:p w14:paraId="63B344ED">
      <w:pPr>
        <w:pStyle w:val="5"/>
        <w:rPr>
          <w:rFonts w:hint="eastAsia" w:ascii="宋体" w:hAnsi="宋体" w:eastAsia="宋体"/>
          <w:sz w:val="21"/>
          <w:szCs w:val="21"/>
          <w:highlight w:val="none"/>
        </w:rPr>
      </w:pPr>
      <w:r>
        <w:rPr>
          <w:rFonts w:hint="eastAsia" w:ascii="宋体" w:hAnsi="宋体" w:eastAsia="宋体"/>
          <w:sz w:val="21"/>
          <w:szCs w:val="21"/>
          <w:highlight w:val="none"/>
        </w:rPr>
        <w:t>检查管理</w:t>
      </w:r>
    </w:p>
    <w:p w14:paraId="6F68251E">
      <w:pPr>
        <w:numPr>
          <w:ilvl w:val="0"/>
          <w:numId w:val="51"/>
        </w:numPr>
        <w:spacing w:line="240" w:lineRule="auto"/>
        <w:rPr>
          <w:rFonts w:hint="eastAsia"/>
          <w:szCs w:val="21"/>
          <w:highlight w:val="none"/>
        </w:rPr>
      </w:pPr>
      <w:r>
        <w:rPr>
          <w:rFonts w:hint="eastAsia"/>
          <w:szCs w:val="21"/>
          <w:highlight w:val="none"/>
        </w:rPr>
        <w:t>医技预约</w:t>
      </w:r>
    </w:p>
    <w:p w14:paraId="0964D4C1">
      <w:pPr>
        <w:pStyle w:val="359"/>
        <w:ind w:firstLine="420"/>
        <w:rPr>
          <w:rFonts w:hint="eastAsia" w:ascii="宋体" w:hAnsi="宋体"/>
          <w:szCs w:val="21"/>
          <w:highlight w:val="none"/>
        </w:rPr>
      </w:pPr>
      <w:r>
        <w:rPr>
          <w:rFonts w:hint="eastAsia" w:ascii="宋体" w:hAnsi="宋体"/>
          <w:szCs w:val="21"/>
          <w:highlight w:val="none"/>
        </w:rPr>
        <w:t>要求支持根据时间段检索科室病人医技项目的情况；根据新开、未检查、已检查等状态查询项目，跟踪医技预约的单子是否打印、病人是否根据医技预约的单子做检查，确保患者及时准确的进行检查。</w:t>
      </w:r>
    </w:p>
    <w:p w14:paraId="7C42B678">
      <w:pPr>
        <w:numPr>
          <w:ilvl w:val="0"/>
          <w:numId w:val="51"/>
        </w:numPr>
        <w:spacing w:line="240" w:lineRule="auto"/>
        <w:rPr>
          <w:rFonts w:hint="eastAsia"/>
          <w:szCs w:val="21"/>
          <w:highlight w:val="none"/>
        </w:rPr>
      </w:pPr>
      <w:r>
        <w:rPr>
          <w:rFonts w:hint="eastAsia"/>
          <w:szCs w:val="21"/>
          <w:highlight w:val="none"/>
        </w:rPr>
        <w:t>检查报告查阅</w:t>
      </w:r>
    </w:p>
    <w:p w14:paraId="265F08F0">
      <w:pPr>
        <w:pStyle w:val="359"/>
        <w:ind w:firstLine="420"/>
        <w:rPr>
          <w:rFonts w:hint="eastAsia" w:ascii="宋体" w:hAnsi="宋体"/>
          <w:szCs w:val="21"/>
          <w:highlight w:val="none"/>
        </w:rPr>
      </w:pPr>
      <w:r>
        <w:rPr>
          <w:rFonts w:hint="eastAsia" w:ascii="宋体" w:hAnsi="宋体"/>
          <w:szCs w:val="21"/>
          <w:highlight w:val="none"/>
        </w:rPr>
        <w:t>要求支持查阅患者的检查报告，护士不用在电脑前，也可随时了解患者的检查报告结果。</w:t>
      </w:r>
    </w:p>
    <w:p w14:paraId="26E6B608">
      <w:pPr>
        <w:numPr>
          <w:ilvl w:val="0"/>
          <w:numId w:val="51"/>
        </w:numPr>
        <w:spacing w:line="240" w:lineRule="auto"/>
        <w:rPr>
          <w:rFonts w:hint="eastAsia"/>
          <w:szCs w:val="21"/>
          <w:highlight w:val="none"/>
        </w:rPr>
      </w:pPr>
      <w:r>
        <w:rPr>
          <w:rFonts w:hint="eastAsia"/>
          <w:szCs w:val="21"/>
          <w:highlight w:val="none"/>
        </w:rPr>
        <w:t>检查交接</w:t>
      </w:r>
    </w:p>
    <w:p w14:paraId="7BE21862">
      <w:pPr>
        <w:pStyle w:val="359"/>
        <w:ind w:firstLine="420"/>
        <w:rPr>
          <w:rFonts w:hint="eastAsia" w:ascii="宋体" w:hAnsi="宋体"/>
          <w:szCs w:val="21"/>
          <w:highlight w:val="none"/>
        </w:rPr>
      </w:pPr>
      <w:r>
        <w:rPr>
          <w:rFonts w:hint="eastAsia" w:ascii="宋体" w:hAnsi="宋体"/>
          <w:szCs w:val="21"/>
          <w:highlight w:val="none"/>
        </w:rPr>
        <w:t>要求支持护士根据患者检查项目，登记病人的检查动向，实现对病人检查流程中闭环跟踪管理。</w:t>
      </w:r>
    </w:p>
    <w:p w14:paraId="2BCE72BF">
      <w:pPr>
        <w:pStyle w:val="5"/>
        <w:rPr>
          <w:rFonts w:hint="eastAsia" w:ascii="宋体" w:hAnsi="宋体" w:eastAsia="宋体"/>
          <w:sz w:val="21"/>
          <w:szCs w:val="21"/>
          <w:highlight w:val="none"/>
        </w:rPr>
      </w:pPr>
      <w:r>
        <w:rPr>
          <w:rFonts w:hint="eastAsia" w:ascii="宋体" w:hAnsi="宋体" w:eastAsia="宋体"/>
          <w:sz w:val="21"/>
          <w:szCs w:val="21"/>
          <w:highlight w:val="none"/>
        </w:rPr>
        <w:t>手术管理</w:t>
      </w:r>
    </w:p>
    <w:p w14:paraId="2A14C8B4">
      <w:pPr>
        <w:numPr>
          <w:ilvl w:val="0"/>
          <w:numId w:val="52"/>
        </w:numPr>
        <w:spacing w:line="240" w:lineRule="auto"/>
        <w:rPr>
          <w:rFonts w:hint="eastAsia"/>
          <w:szCs w:val="21"/>
          <w:highlight w:val="none"/>
        </w:rPr>
      </w:pPr>
      <w:r>
        <w:rPr>
          <w:rFonts w:hint="eastAsia"/>
          <w:szCs w:val="21"/>
          <w:highlight w:val="none"/>
        </w:rPr>
        <w:t>出入院手术</w:t>
      </w:r>
    </w:p>
    <w:p w14:paraId="7A646785">
      <w:pPr>
        <w:pStyle w:val="359"/>
        <w:ind w:firstLine="420"/>
        <w:rPr>
          <w:rFonts w:hint="eastAsia" w:ascii="宋体" w:hAnsi="宋体"/>
          <w:szCs w:val="21"/>
          <w:highlight w:val="none"/>
        </w:rPr>
      </w:pPr>
      <w:r>
        <w:rPr>
          <w:rFonts w:hint="eastAsia" w:ascii="宋体" w:hAnsi="宋体"/>
          <w:szCs w:val="21"/>
          <w:highlight w:val="none"/>
        </w:rPr>
        <w:t>要求支持查看当日出入转、术前、术后患者列表，可记录护士协助病人出入转、手术的执行工作量。</w:t>
      </w:r>
    </w:p>
    <w:p w14:paraId="78E45A1D">
      <w:pPr>
        <w:numPr>
          <w:ilvl w:val="0"/>
          <w:numId w:val="52"/>
        </w:numPr>
        <w:spacing w:line="240" w:lineRule="auto"/>
        <w:rPr>
          <w:rFonts w:hint="eastAsia"/>
          <w:szCs w:val="21"/>
          <w:highlight w:val="none"/>
        </w:rPr>
      </w:pPr>
      <w:r>
        <w:rPr>
          <w:rFonts w:hint="eastAsia"/>
          <w:szCs w:val="21"/>
          <w:highlight w:val="none"/>
        </w:rPr>
        <w:t>手术排台查询</w:t>
      </w:r>
    </w:p>
    <w:p w14:paraId="6B621407">
      <w:pPr>
        <w:pStyle w:val="359"/>
        <w:ind w:firstLine="420"/>
        <w:rPr>
          <w:rFonts w:hint="eastAsia" w:ascii="宋体" w:hAnsi="宋体"/>
          <w:szCs w:val="21"/>
          <w:highlight w:val="none"/>
        </w:rPr>
      </w:pPr>
      <w:r>
        <w:rPr>
          <w:rFonts w:hint="eastAsia" w:ascii="宋体" w:hAnsi="宋体"/>
          <w:szCs w:val="21"/>
          <w:highlight w:val="none"/>
        </w:rPr>
        <w:t>因为提供手术排台查询功能，可查看当前登录科室患者的手术排台情况，方便护士做相关的术前或术后准备工作。</w:t>
      </w:r>
    </w:p>
    <w:p w14:paraId="2CA7365F">
      <w:pPr>
        <w:numPr>
          <w:ilvl w:val="0"/>
          <w:numId w:val="52"/>
        </w:numPr>
        <w:spacing w:line="240" w:lineRule="auto"/>
        <w:rPr>
          <w:rFonts w:hint="eastAsia"/>
          <w:szCs w:val="21"/>
          <w:highlight w:val="none"/>
        </w:rPr>
      </w:pPr>
      <w:r>
        <w:rPr>
          <w:rFonts w:hint="eastAsia"/>
          <w:szCs w:val="21"/>
          <w:highlight w:val="none"/>
        </w:rPr>
        <w:t>手术动向</w:t>
      </w:r>
    </w:p>
    <w:p w14:paraId="25DDAEA8">
      <w:pPr>
        <w:pStyle w:val="359"/>
        <w:ind w:firstLine="420"/>
        <w:rPr>
          <w:rFonts w:hint="eastAsia" w:ascii="宋体" w:hAnsi="宋体"/>
          <w:szCs w:val="21"/>
          <w:highlight w:val="none"/>
        </w:rPr>
      </w:pPr>
      <w:r>
        <w:rPr>
          <w:rFonts w:hint="eastAsia" w:ascii="宋体" w:hAnsi="宋体"/>
          <w:szCs w:val="21"/>
          <w:highlight w:val="none"/>
        </w:rPr>
        <w:t>要求支持护士根据病人手术项目，登记病人术前术后的动向，实现对病人手术流程的闭环跟踪管理。</w:t>
      </w:r>
    </w:p>
    <w:p w14:paraId="44823C32">
      <w:pPr>
        <w:numPr>
          <w:ilvl w:val="0"/>
          <w:numId w:val="52"/>
        </w:numPr>
        <w:spacing w:line="240" w:lineRule="auto"/>
        <w:rPr>
          <w:rFonts w:hint="eastAsia"/>
          <w:szCs w:val="21"/>
          <w:highlight w:val="none"/>
        </w:rPr>
      </w:pPr>
      <w:r>
        <w:rPr>
          <w:rFonts w:hint="eastAsia"/>
          <w:szCs w:val="21"/>
          <w:highlight w:val="none"/>
        </w:rPr>
        <w:t>手术交接表</w:t>
      </w:r>
    </w:p>
    <w:p w14:paraId="534C29D9">
      <w:pPr>
        <w:pStyle w:val="359"/>
        <w:ind w:firstLine="420"/>
        <w:rPr>
          <w:rFonts w:hint="eastAsia" w:ascii="宋体" w:hAnsi="宋体"/>
          <w:szCs w:val="21"/>
          <w:highlight w:val="none"/>
        </w:rPr>
      </w:pPr>
      <w:r>
        <w:rPr>
          <w:rFonts w:hint="eastAsia" w:ascii="宋体" w:hAnsi="宋体"/>
          <w:szCs w:val="21"/>
          <w:highlight w:val="none"/>
        </w:rPr>
        <w:t>要求支持对接住院电子病历系统接口，实现手术交接表信息移动录入，实时与住院电子病历表单同步。</w:t>
      </w:r>
    </w:p>
    <w:p w14:paraId="2BEE41F3">
      <w:pPr>
        <w:pStyle w:val="5"/>
        <w:rPr>
          <w:rFonts w:hint="eastAsia" w:ascii="宋体" w:hAnsi="宋体" w:eastAsia="宋体"/>
          <w:sz w:val="21"/>
          <w:szCs w:val="21"/>
          <w:highlight w:val="none"/>
        </w:rPr>
      </w:pPr>
      <w:r>
        <w:rPr>
          <w:rFonts w:hint="eastAsia" w:ascii="宋体" w:hAnsi="宋体" w:eastAsia="宋体"/>
          <w:sz w:val="21"/>
          <w:szCs w:val="21"/>
          <w:highlight w:val="none"/>
        </w:rPr>
        <w:t>输血管理</w:t>
      </w:r>
    </w:p>
    <w:p w14:paraId="6E64D221">
      <w:pPr>
        <w:pStyle w:val="359"/>
        <w:ind w:firstLine="420"/>
        <w:rPr>
          <w:rFonts w:hint="eastAsia" w:ascii="宋体" w:hAnsi="宋体"/>
          <w:szCs w:val="21"/>
          <w:highlight w:val="none"/>
        </w:rPr>
      </w:pPr>
      <w:r>
        <w:rPr>
          <w:rFonts w:hint="eastAsia" w:ascii="宋体" w:hAnsi="宋体"/>
          <w:szCs w:val="21"/>
          <w:highlight w:val="none"/>
        </w:rPr>
        <w:t>血袋执行全过程记录，可供后续的工作量统计及查询功能。通过扫描血袋号和工牌号可完成相关操作。要求按步骤完成，不可跳跃执行。</w:t>
      </w:r>
    </w:p>
    <w:p w14:paraId="2CDE2770">
      <w:pPr>
        <w:numPr>
          <w:ilvl w:val="0"/>
          <w:numId w:val="53"/>
        </w:numPr>
        <w:spacing w:line="240" w:lineRule="auto"/>
        <w:rPr>
          <w:rFonts w:hint="eastAsia"/>
          <w:szCs w:val="21"/>
          <w:highlight w:val="none"/>
        </w:rPr>
      </w:pPr>
      <w:r>
        <w:rPr>
          <w:rFonts w:hint="eastAsia"/>
          <w:szCs w:val="21"/>
          <w:highlight w:val="none"/>
        </w:rPr>
        <w:t>血袋接收</w:t>
      </w:r>
    </w:p>
    <w:p w14:paraId="619BB972">
      <w:pPr>
        <w:pStyle w:val="359"/>
        <w:ind w:firstLine="420"/>
        <w:rPr>
          <w:rFonts w:hint="eastAsia" w:ascii="宋体" w:hAnsi="宋体"/>
          <w:szCs w:val="21"/>
          <w:highlight w:val="none"/>
        </w:rPr>
      </w:pPr>
      <w:r>
        <w:rPr>
          <w:rFonts w:hint="eastAsia" w:ascii="宋体" w:hAnsi="宋体"/>
          <w:szCs w:val="21"/>
          <w:highlight w:val="none"/>
        </w:rPr>
        <w:t>要求支持病区护士接收血袋。病人手术前，护工从血库把血袋送到病区，和病区护士进行双人交接。通过扫描血袋条码、送血者工牌号、接收者工牌号等进行信息核对，核对无误则接收成功，系统记录相关的执行信息。要求支持单个血袋接收，也支持多个血袋批量接收。</w:t>
      </w:r>
    </w:p>
    <w:p w14:paraId="2E262860">
      <w:pPr>
        <w:numPr>
          <w:ilvl w:val="0"/>
          <w:numId w:val="53"/>
        </w:numPr>
        <w:spacing w:line="240" w:lineRule="auto"/>
        <w:rPr>
          <w:rFonts w:hint="eastAsia"/>
          <w:szCs w:val="21"/>
          <w:highlight w:val="none"/>
        </w:rPr>
      </w:pPr>
      <w:r>
        <w:rPr>
          <w:rFonts w:hint="eastAsia"/>
          <w:szCs w:val="21"/>
          <w:highlight w:val="none"/>
        </w:rPr>
        <w:t>输血执行</w:t>
      </w:r>
    </w:p>
    <w:p w14:paraId="08E7BC2D">
      <w:pPr>
        <w:pStyle w:val="359"/>
        <w:ind w:firstLine="420"/>
        <w:rPr>
          <w:rFonts w:hint="eastAsia" w:ascii="宋体" w:hAnsi="宋体"/>
          <w:szCs w:val="21"/>
          <w:highlight w:val="none"/>
        </w:rPr>
      </w:pPr>
      <w:r>
        <w:rPr>
          <w:rFonts w:hint="eastAsia" w:ascii="宋体" w:hAnsi="宋体"/>
          <w:szCs w:val="21"/>
          <w:highlight w:val="none"/>
        </w:rPr>
        <w:t>在血液输注开始前，进行输血前患者身份及血袋的核对，要求支持通过扫描血袋条码、患者腕带等进行信息核对，核对无误则扫描或输入执行人、复核人工牌进行双人核对，否则系统给出相应提醒，以此避免因给病人用错血袋而发生医疗事故。</w:t>
      </w:r>
    </w:p>
    <w:p w14:paraId="3D2AC0E5">
      <w:pPr>
        <w:numPr>
          <w:ilvl w:val="0"/>
          <w:numId w:val="53"/>
        </w:numPr>
        <w:spacing w:line="240" w:lineRule="auto"/>
        <w:rPr>
          <w:rFonts w:hint="eastAsia"/>
          <w:szCs w:val="21"/>
          <w:highlight w:val="none"/>
        </w:rPr>
      </w:pPr>
      <w:r>
        <w:rPr>
          <w:rFonts w:hint="eastAsia"/>
          <w:szCs w:val="21"/>
          <w:highlight w:val="none"/>
        </w:rPr>
        <w:t>输血执行强化</w:t>
      </w:r>
    </w:p>
    <w:p w14:paraId="2C36F406">
      <w:pPr>
        <w:pStyle w:val="359"/>
        <w:ind w:firstLine="420"/>
        <w:rPr>
          <w:rFonts w:hint="eastAsia" w:ascii="宋体" w:hAnsi="宋体"/>
          <w:szCs w:val="21"/>
          <w:highlight w:val="none"/>
        </w:rPr>
      </w:pPr>
      <w:r>
        <w:rPr>
          <w:rFonts w:hint="eastAsia" w:ascii="宋体" w:hAnsi="宋体"/>
          <w:szCs w:val="21"/>
          <w:highlight w:val="none"/>
        </w:rPr>
        <w:t>对于因特殊原因需要中断输血的情况，系统要求支持血袋中断、恢复等操作。输血执行的双人核对，要求支持两种双核模式，方式一是一台PDA扫描两名护士工号的模式，方式二是两名护士分别登录两台PDA各自核对模式，医院可根据实际需要选择相应的双核模式。</w:t>
      </w:r>
    </w:p>
    <w:p w14:paraId="533C540F">
      <w:pPr>
        <w:numPr>
          <w:ilvl w:val="0"/>
          <w:numId w:val="53"/>
        </w:numPr>
        <w:spacing w:line="240" w:lineRule="auto"/>
        <w:rPr>
          <w:rFonts w:hint="eastAsia"/>
          <w:szCs w:val="21"/>
          <w:highlight w:val="none"/>
        </w:rPr>
      </w:pPr>
      <w:r>
        <w:rPr>
          <w:rFonts w:hint="eastAsia"/>
          <w:szCs w:val="21"/>
          <w:highlight w:val="none"/>
        </w:rPr>
        <w:t>输血巡视</w:t>
      </w:r>
    </w:p>
    <w:p w14:paraId="4C71A109">
      <w:pPr>
        <w:pStyle w:val="359"/>
        <w:ind w:firstLine="420"/>
        <w:rPr>
          <w:rFonts w:hint="eastAsia" w:ascii="宋体" w:hAnsi="宋体"/>
          <w:szCs w:val="21"/>
          <w:highlight w:val="none"/>
        </w:rPr>
      </w:pPr>
      <w:r>
        <w:rPr>
          <w:rFonts w:hint="eastAsia" w:ascii="宋体" w:hAnsi="宋体"/>
          <w:szCs w:val="21"/>
          <w:highlight w:val="none"/>
        </w:rPr>
        <w:t>在输血过程中，要求支持护士进行巡视。护士在对输血中的患者进行巡视时，可录入患者的体征信息和不良反应症状等信息，床旁实时记录患者情况，提高效率，保障患者输血安全。</w:t>
      </w:r>
    </w:p>
    <w:p w14:paraId="3E3BAB17">
      <w:pPr>
        <w:numPr>
          <w:ilvl w:val="0"/>
          <w:numId w:val="53"/>
        </w:numPr>
        <w:spacing w:line="240" w:lineRule="auto"/>
        <w:rPr>
          <w:rFonts w:hint="eastAsia"/>
          <w:szCs w:val="21"/>
          <w:highlight w:val="none"/>
        </w:rPr>
      </w:pPr>
      <w:r>
        <w:rPr>
          <w:rFonts w:hint="eastAsia"/>
          <w:szCs w:val="21"/>
          <w:highlight w:val="none"/>
        </w:rPr>
        <w:t>输血结束</w:t>
      </w:r>
    </w:p>
    <w:p w14:paraId="121F5C83">
      <w:pPr>
        <w:pStyle w:val="359"/>
        <w:ind w:firstLine="420"/>
        <w:rPr>
          <w:rFonts w:hint="eastAsia" w:ascii="宋体" w:hAnsi="宋体"/>
          <w:szCs w:val="21"/>
          <w:highlight w:val="none"/>
        </w:rPr>
      </w:pPr>
      <w:r>
        <w:rPr>
          <w:rFonts w:hint="eastAsia" w:ascii="宋体" w:hAnsi="宋体"/>
          <w:szCs w:val="21"/>
          <w:highlight w:val="none"/>
        </w:rPr>
        <w:t>输血完成后，要求支持进行血袋结束操作，系统记录操作信息，方便数据追溯和闭环管理。</w:t>
      </w:r>
    </w:p>
    <w:p w14:paraId="582CC82F">
      <w:pPr>
        <w:numPr>
          <w:ilvl w:val="0"/>
          <w:numId w:val="53"/>
        </w:numPr>
        <w:spacing w:line="240" w:lineRule="auto"/>
        <w:rPr>
          <w:rFonts w:hint="eastAsia"/>
          <w:szCs w:val="21"/>
          <w:highlight w:val="none"/>
        </w:rPr>
      </w:pPr>
      <w:r>
        <w:rPr>
          <w:rFonts w:hint="eastAsia"/>
          <w:szCs w:val="21"/>
          <w:highlight w:val="none"/>
        </w:rPr>
        <w:t>输血过程插入护理记录</w:t>
      </w:r>
    </w:p>
    <w:p w14:paraId="49088E90">
      <w:pPr>
        <w:pStyle w:val="359"/>
        <w:ind w:firstLine="420"/>
        <w:rPr>
          <w:rFonts w:hint="eastAsia" w:ascii="宋体" w:hAnsi="宋体"/>
          <w:szCs w:val="21"/>
          <w:highlight w:val="none"/>
        </w:rPr>
      </w:pPr>
      <w:r>
        <w:rPr>
          <w:rFonts w:hint="eastAsia" w:ascii="宋体" w:hAnsi="宋体"/>
          <w:szCs w:val="21"/>
          <w:highlight w:val="none"/>
        </w:rPr>
        <w:t>要求支持对接住院电子病历系统，输血执行过程中自动插入护理记录到住院电子病历系统。</w:t>
      </w:r>
    </w:p>
    <w:p w14:paraId="6851FBD5">
      <w:pPr>
        <w:numPr>
          <w:ilvl w:val="0"/>
          <w:numId w:val="53"/>
        </w:numPr>
        <w:spacing w:line="240" w:lineRule="auto"/>
        <w:rPr>
          <w:rFonts w:hint="eastAsia"/>
          <w:szCs w:val="21"/>
          <w:highlight w:val="none"/>
        </w:rPr>
      </w:pPr>
      <w:r>
        <w:rPr>
          <w:rFonts w:hint="eastAsia"/>
          <w:szCs w:val="21"/>
          <w:highlight w:val="none"/>
        </w:rPr>
        <w:t>血袋回收</w:t>
      </w:r>
    </w:p>
    <w:p w14:paraId="2C370C32">
      <w:pPr>
        <w:pStyle w:val="359"/>
        <w:ind w:firstLine="420"/>
        <w:rPr>
          <w:rFonts w:hint="eastAsia" w:ascii="宋体" w:hAnsi="宋体"/>
          <w:szCs w:val="21"/>
          <w:highlight w:val="none"/>
        </w:rPr>
      </w:pPr>
      <w:r>
        <w:rPr>
          <w:rFonts w:hint="eastAsia" w:ascii="宋体" w:hAnsi="宋体"/>
          <w:szCs w:val="21"/>
          <w:highlight w:val="none"/>
        </w:rPr>
        <w:t>要求支持血袋回收功能，病人输血完毕后需要对用过的血袋进行科室预回收，通过扫描废弃血袋和垃圾桶二维码来进行血袋回收，系统记录相关的执行信息，方便数据追溯及闭环管理。</w:t>
      </w:r>
    </w:p>
    <w:p w14:paraId="56DBB0A1">
      <w:pPr>
        <w:pStyle w:val="5"/>
        <w:rPr>
          <w:rFonts w:hint="eastAsia" w:ascii="宋体" w:hAnsi="宋体" w:eastAsia="宋体"/>
          <w:sz w:val="21"/>
          <w:szCs w:val="21"/>
          <w:highlight w:val="none"/>
        </w:rPr>
      </w:pPr>
      <w:r>
        <w:rPr>
          <w:rFonts w:hint="eastAsia" w:ascii="宋体" w:hAnsi="宋体" w:eastAsia="宋体"/>
          <w:sz w:val="21"/>
          <w:szCs w:val="21"/>
          <w:highlight w:val="none"/>
        </w:rPr>
        <w:t>质控提醒</w:t>
      </w:r>
    </w:p>
    <w:p w14:paraId="451401DB">
      <w:pPr>
        <w:numPr>
          <w:ilvl w:val="0"/>
          <w:numId w:val="54"/>
        </w:numPr>
        <w:spacing w:line="240" w:lineRule="auto"/>
        <w:rPr>
          <w:rFonts w:hint="eastAsia"/>
          <w:szCs w:val="21"/>
          <w:highlight w:val="none"/>
        </w:rPr>
      </w:pPr>
      <w:r>
        <w:rPr>
          <w:rFonts w:hint="eastAsia"/>
          <w:szCs w:val="21"/>
          <w:highlight w:val="none"/>
        </w:rPr>
        <w:t>静配药品接收提醒</w:t>
      </w:r>
    </w:p>
    <w:p w14:paraId="2B980195">
      <w:pPr>
        <w:pStyle w:val="359"/>
        <w:ind w:firstLine="420"/>
        <w:rPr>
          <w:rFonts w:hint="eastAsia" w:ascii="宋体" w:hAnsi="宋体"/>
          <w:szCs w:val="21"/>
          <w:highlight w:val="none"/>
        </w:rPr>
      </w:pPr>
      <w:r>
        <w:rPr>
          <w:rFonts w:hint="eastAsia" w:ascii="宋体" w:hAnsi="宋体"/>
          <w:szCs w:val="21"/>
          <w:highlight w:val="none"/>
        </w:rPr>
        <w:t>要求</w:t>
      </w:r>
      <w:bookmarkStart w:id="197" w:name="_Hlk117757442"/>
      <w:r>
        <w:rPr>
          <w:rFonts w:hint="eastAsia" w:ascii="宋体" w:hAnsi="宋体"/>
          <w:szCs w:val="21"/>
          <w:highlight w:val="none"/>
        </w:rPr>
        <w:t>支持对接静配系统，通过扫描外箱条码或药品二维码信息，实现对整个药箱的药品接收或单个药品接收，预防药品接收过程的遗漏问题。要求支持根据批次查询接收的药品信息。</w:t>
      </w:r>
      <w:bookmarkEnd w:id="197"/>
    </w:p>
    <w:p w14:paraId="01816E80">
      <w:pPr>
        <w:numPr>
          <w:ilvl w:val="0"/>
          <w:numId w:val="54"/>
        </w:numPr>
        <w:spacing w:line="240" w:lineRule="auto"/>
        <w:rPr>
          <w:rFonts w:hint="eastAsia"/>
          <w:szCs w:val="21"/>
          <w:highlight w:val="none"/>
        </w:rPr>
      </w:pPr>
      <w:r>
        <w:rPr>
          <w:rFonts w:hint="eastAsia"/>
          <w:szCs w:val="21"/>
          <w:highlight w:val="none"/>
        </w:rPr>
        <w:t>药品有效期提醒</w:t>
      </w:r>
    </w:p>
    <w:p w14:paraId="5D78CEE8">
      <w:pPr>
        <w:pStyle w:val="359"/>
        <w:ind w:firstLine="420"/>
        <w:rPr>
          <w:rFonts w:hint="eastAsia" w:ascii="宋体" w:hAnsi="宋体"/>
          <w:szCs w:val="21"/>
          <w:highlight w:val="none"/>
        </w:rPr>
      </w:pPr>
      <w:r>
        <w:rPr>
          <w:rFonts w:hint="eastAsia" w:ascii="宋体" w:hAnsi="宋体"/>
          <w:szCs w:val="21"/>
          <w:highlight w:val="none"/>
        </w:rPr>
        <w:t>要求</w:t>
      </w:r>
      <w:bookmarkStart w:id="198" w:name="_Hlk117757452"/>
      <w:r>
        <w:rPr>
          <w:rFonts w:hint="eastAsia" w:ascii="宋体" w:hAnsi="宋体"/>
          <w:szCs w:val="21"/>
          <w:highlight w:val="none"/>
        </w:rPr>
        <w:t>支持对接静配系统，针对静配中心配置的液体，若有有效期限制，当药品已过期，则在扫描瓶签时，要求弹出药品过期提示界面，并指导下一步处理工作。</w:t>
      </w:r>
      <w:bookmarkEnd w:id="198"/>
    </w:p>
    <w:p w14:paraId="7EA69323">
      <w:pPr>
        <w:numPr>
          <w:ilvl w:val="0"/>
          <w:numId w:val="54"/>
        </w:numPr>
        <w:spacing w:line="240" w:lineRule="auto"/>
        <w:rPr>
          <w:rFonts w:hint="eastAsia"/>
          <w:szCs w:val="21"/>
          <w:highlight w:val="none"/>
        </w:rPr>
      </w:pPr>
      <w:r>
        <w:rPr>
          <w:rFonts w:hint="eastAsia"/>
          <w:szCs w:val="21"/>
          <w:highlight w:val="none"/>
        </w:rPr>
        <w:t>用药非当天提醒</w:t>
      </w:r>
    </w:p>
    <w:p w14:paraId="5767B0DB">
      <w:pPr>
        <w:pStyle w:val="359"/>
        <w:ind w:firstLine="420"/>
        <w:rPr>
          <w:rFonts w:hint="eastAsia" w:ascii="宋体" w:hAnsi="宋体"/>
          <w:szCs w:val="21"/>
          <w:highlight w:val="none"/>
        </w:rPr>
      </w:pPr>
      <w:bookmarkStart w:id="199" w:name="_Hlk117757569"/>
      <w:r>
        <w:rPr>
          <w:rFonts w:hint="eastAsia" w:ascii="宋体" w:hAnsi="宋体"/>
          <w:szCs w:val="21"/>
          <w:highlight w:val="none"/>
        </w:rPr>
        <w:t>若药品用药时间非当天，则扫描药品瓶签后，要求弹出药品用药时间非当天提示界面，并指导下一步处理工作。</w:t>
      </w:r>
      <w:bookmarkEnd w:id="199"/>
    </w:p>
    <w:p w14:paraId="3FF8A73D">
      <w:pPr>
        <w:numPr>
          <w:ilvl w:val="0"/>
          <w:numId w:val="54"/>
        </w:numPr>
        <w:spacing w:line="240" w:lineRule="auto"/>
        <w:rPr>
          <w:rFonts w:hint="eastAsia"/>
          <w:szCs w:val="21"/>
          <w:highlight w:val="none"/>
        </w:rPr>
      </w:pPr>
      <w:r>
        <w:rPr>
          <w:rFonts w:hint="eastAsia"/>
          <w:szCs w:val="21"/>
          <w:highlight w:val="none"/>
        </w:rPr>
        <w:t>高危药品提醒</w:t>
      </w:r>
    </w:p>
    <w:p w14:paraId="4134954B">
      <w:pPr>
        <w:pStyle w:val="359"/>
        <w:ind w:firstLine="420"/>
        <w:rPr>
          <w:rFonts w:hint="eastAsia" w:ascii="宋体" w:hAnsi="宋体"/>
          <w:szCs w:val="21"/>
          <w:highlight w:val="none"/>
        </w:rPr>
      </w:pPr>
      <w:bookmarkStart w:id="200" w:name="_Hlk117757581"/>
      <w:r>
        <w:rPr>
          <w:rFonts w:hint="eastAsia" w:ascii="宋体" w:hAnsi="宋体"/>
          <w:szCs w:val="21"/>
          <w:highlight w:val="none"/>
        </w:rPr>
        <w:t>输液执行时，若护理人员执行的药品包含高危药品，要求系统支持智能提醒，弹出护士所执行的药品包含高危药品提示界面，提醒护士注意控制滴数保护血管。</w:t>
      </w:r>
      <w:bookmarkEnd w:id="200"/>
    </w:p>
    <w:p w14:paraId="195038B0">
      <w:pPr>
        <w:numPr>
          <w:ilvl w:val="0"/>
          <w:numId w:val="54"/>
        </w:numPr>
        <w:spacing w:line="240" w:lineRule="auto"/>
        <w:rPr>
          <w:rFonts w:hint="eastAsia"/>
          <w:szCs w:val="21"/>
          <w:highlight w:val="none"/>
        </w:rPr>
      </w:pPr>
      <w:r>
        <w:rPr>
          <w:rFonts w:hint="eastAsia"/>
          <w:szCs w:val="21"/>
          <w:highlight w:val="none"/>
        </w:rPr>
        <w:t>皮试提醒</w:t>
      </w:r>
    </w:p>
    <w:p w14:paraId="359B74A1">
      <w:pPr>
        <w:pStyle w:val="359"/>
        <w:ind w:firstLine="420"/>
        <w:rPr>
          <w:rFonts w:hint="eastAsia" w:ascii="宋体" w:hAnsi="宋体"/>
          <w:szCs w:val="21"/>
          <w:highlight w:val="none"/>
        </w:rPr>
      </w:pPr>
      <w:bookmarkStart w:id="201" w:name="_Hlk117757602"/>
      <w:r>
        <w:rPr>
          <w:rFonts w:hint="eastAsia" w:ascii="宋体" w:hAnsi="宋体"/>
          <w:szCs w:val="21"/>
          <w:highlight w:val="none"/>
        </w:rPr>
        <w:t>用药执行时，如果当前药品需要皮试但患者未登记皮试结果，要求在输液前提示护士进行皮试；若患者皮试结果为阳性，则要求系统提示患者皮试结果呈【阳性】，请谨慎用药。</w:t>
      </w:r>
      <w:bookmarkEnd w:id="201"/>
    </w:p>
    <w:p w14:paraId="27D62346">
      <w:pPr>
        <w:numPr>
          <w:ilvl w:val="0"/>
          <w:numId w:val="54"/>
        </w:numPr>
        <w:spacing w:line="240" w:lineRule="auto"/>
        <w:rPr>
          <w:rFonts w:hint="eastAsia"/>
          <w:szCs w:val="21"/>
          <w:highlight w:val="none"/>
        </w:rPr>
      </w:pPr>
      <w:r>
        <w:rPr>
          <w:rFonts w:hint="eastAsia"/>
          <w:szCs w:val="21"/>
          <w:highlight w:val="none"/>
        </w:rPr>
        <w:t>消息提醒</w:t>
      </w:r>
    </w:p>
    <w:p w14:paraId="5D1405A7">
      <w:pPr>
        <w:pStyle w:val="359"/>
        <w:ind w:firstLine="420"/>
        <w:rPr>
          <w:rFonts w:hint="eastAsia" w:ascii="宋体" w:hAnsi="宋体"/>
          <w:szCs w:val="21"/>
          <w:highlight w:val="none"/>
        </w:rPr>
      </w:pPr>
      <w:bookmarkStart w:id="202" w:name="_Hlk117757614"/>
      <w:r>
        <w:rPr>
          <w:rFonts w:hint="eastAsia" w:ascii="宋体" w:hAnsi="宋体"/>
          <w:szCs w:val="21"/>
          <w:highlight w:val="none"/>
        </w:rPr>
        <w:t>要求支持根据消息提醒的接口规范，与HIS、EMR等相关系统进行对接改造，实现包含医嘱变更、体温异常、文书等消息提醒查询。</w:t>
      </w:r>
      <w:bookmarkEnd w:id="202"/>
    </w:p>
    <w:p w14:paraId="6429AD9C">
      <w:pPr>
        <w:numPr>
          <w:ilvl w:val="0"/>
          <w:numId w:val="54"/>
        </w:numPr>
        <w:spacing w:line="240" w:lineRule="auto"/>
        <w:rPr>
          <w:rFonts w:hint="eastAsia"/>
          <w:szCs w:val="21"/>
          <w:highlight w:val="none"/>
        </w:rPr>
      </w:pPr>
      <w:r>
        <w:rPr>
          <w:rFonts w:hint="eastAsia"/>
          <w:szCs w:val="21"/>
          <w:highlight w:val="none"/>
        </w:rPr>
        <w:t>危急值提醒</w:t>
      </w:r>
    </w:p>
    <w:p w14:paraId="2DF620A0">
      <w:pPr>
        <w:pStyle w:val="359"/>
        <w:ind w:firstLine="420"/>
        <w:rPr>
          <w:rFonts w:hint="eastAsia" w:ascii="宋体" w:hAnsi="宋体"/>
          <w:szCs w:val="21"/>
          <w:highlight w:val="none"/>
        </w:rPr>
      </w:pPr>
      <w:r>
        <w:rPr>
          <w:rFonts w:hint="eastAsia" w:ascii="宋体" w:hAnsi="宋体"/>
          <w:szCs w:val="21"/>
          <w:highlight w:val="none"/>
        </w:rPr>
        <w:t>要求</w:t>
      </w:r>
      <w:bookmarkStart w:id="203" w:name="_Hlk117757627"/>
      <w:r>
        <w:rPr>
          <w:rFonts w:hint="eastAsia" w:ascii="宋体" w:hAnsi="宋体"/>
          <w:szCs w:val="21"/>
          <w:highlight w:val="none"/>
        </w:rPr>
        <w:t>支持对接检验系统，当患者检验结果出现危急值时，会推送消息到PDA界面，弹出提示框，提醒护士通知医生并且进行相应护理措施处理。</w:t>
      </w:r>
      <w:bookmarkEnd w:id="203"/>
    </w:p>
    <w:p w14:paraId="564E63A1">
      <w:pPr>
        <w:pStyle w:val="5"/>
        <w:rPr>
          <w:rFonts w:hint="eastAsia" w:ascii="宋体" w:hAnsi="宋体" w:eastAsia="宋体"/>
          <w:sz w:val="21"/>
          <w:szCs w:val="21"/>
          <w:highlight w:val="none"/>
        </w:rPr>
      </w:pPr>
      <w:r>
        <w:rPr>
          <w:rFonts w:hint="eastAsia" w:ascii="宋体" w:hAnsi="宋体" w:eastAsia="宋体"/>
          <w:sz w:val="21"/>
          <w:szCs w:val="21"/>
          <w:highlight w:val="none"/>
        </w:rPr>
        <w:t>护理决策支持</w:t>
      </w:r>
    </w:p>
    <w:p w14:paraId="1850F899">
      <w:pPr>
        <w:numPr>
          <w:ilvl w:val="0"/>
          <w:numId w:val="55"/>
        </w:numPr>
        <w:spacing w:line="240" w:lineRule="auto"/>
        <w:rPr>
          <w:rFonts w:hint="eastAsia"/>
          <w:szCs w:val="21"/>
          <w:highlight w:val="none"/>
        </w:rPr>
      </w:pPr>
      <w:r>
        <w:rPr>
          <w:rFonts w:hint="eastAsia"/>
          <w:szCs w:val="21"/>
          <w:highlight w:val="none"/>
        </w:rPr>
        <w:t>任务清单</w:t>
      </w:r>
    </w:p>
    <w:p w14:paraId="755DC8A4">
      <w:pPr>
        <w:pStyle w:val="359"/>
        <w:ind w:firstLine="420"/>
        <w:rPr>
          <w:rFonts w:hint="eastAsia" w:ascii="宋体" w:hAnsi="宋体"/>
          <w:szCs w:val="21"/>
          <w:highlight w:val="none"/>
        </w:rPr>
      </w:pPr>
      <w:r>
        <w:rPr>
          <w:rFonts w:hint="eastAsia" w:ascii="宋体" w:hAnsi="宋体"/>
          <w:szCs w:val="21"/>
          <w:highlight w:val="none"/>
        </w:rPr>
        <w:t>要求支持将医嘱分解成护士日常工作列表，按工作项目汇总信息，护士可以根据医嘱类别、医嘱频次等多条件过滤查询当日需要执行的工作清单，明确执行任务。页面提供快捷操作，要求可直接针对某个项目进入相应的执行界面，方便护士快速执行相关任务。</w:t>
      </w:r>
    </w:p>
    <w:p w14:paraId="29E72B39">
      <w:pPr>
        <w:numPr>
          <w:ilvl w:val="0"/>
          <w:numId w:val="55"/>
        </w:numPr>
        <w:spacing w:line="240" w:lineRule="auto"/>
        <w:rPr>
          <w:rFonts w:hint="eastAsia"/>
          <w:szCs w:val="21"/>
          <w:highlight w:val="none"/>
        </w:rPr>
      </w:pPr>
      <w:r>
        <w:rPr>
          <w:rFonts w:hint="eastAsia"/>
          <w:szCs w:val="21"/>
          <w:highlight w:val="none"/>
        </w:rPr>
        <w:t>高温智能联动</w:t>
      </w:r>
    </w:p>
    <w:p w14:paraId="2471F610">
      <w:pPr>
        <w:pStyle w:val="359"/>
        <w:ind w:firstLine="420"/>
        <w:rPr>
          <w:rFonts w:hint="eastAsia" w:ascii="宋体" w:hAnsi="宋体"/>
          <w:szCs w:val="21"/>
          <w:highlight w:val="none"/>
        </w:rPr>
      </w:pPr>
      <w:r>
        <w:rPr>
          <w:rFonts w:hint="eastAsia" w:ascii="宋体" w:hAnsi="宋体"/>
          <w:szCs w:val="21"/>
          <w:highlight w:val="none"/>
        </w:rPr>
        <w:t>要求支持对接护理决策系统，护士录入体温信息时，当患者温度过高，系统调用护理决策系统接口，提供护理措施供护士选择，同时生成相应的护理计划或护理记录。</w:t>
      </w:r>
    </w:p>
    <w:p w14:paraId="42F97ACF">
      <w:pPr>
        <w:numPr>
          <w:ilvl w:val="0"/>
          <w:numId w:val="55"/>
        </w:numPr>
        <w:spacing w:line="240" w:lineRule="auto"/>
        <w:rPr>
          <w:rFonts w:hint="eastAsia"/>
          <w:szCs w:val="21"/>
          <w:highlight w:val="none"/>
        </w:rPr>
      </w:pPr>
      <w:r>
        <w:rPr>
          <w:rFonts w:hint="eastAsia"/>
          <w:szCs w:val="21"/>
          <w:highlight w:val="none"/>
        </w:rPr>
        <w:t>压疮智能联动</w:t>
      </w:r>
    </w:p>
    <w:p w14:paraId="77E93D79">
      <w:pPr>
        <w:pStyle w:val="359"/>
        <w:ind w:firstLine="420"/>
        <w:rPr>
          <w:rFonts w:hint="eastAsia" w:ascii="宋体" w:hAnsi="宋体"/>
          <w:szCs w:val="21"/>
          <w:highlight w:val="none"/>
        </w:rPr>
      </w:pPr>
      <w:r>
        <w:rPr>
          <w:rFonts w:hint="eastAsia" w:ascii="宋体" w:hAnsi="宋体"/>
          <w:szCs w:val="21"/>
          <w:highlight w:val="none"/>
        </w:rPr>
        <w:t>要求支持对接护理决策系统，护士进行压疮评分时，当患者评分结果达到压疮高危风险，系统调用护理决策系统接口，提供护理措施供护士选择，同时生成相应的护理计划或护理记录。</w:t>
      </w:r>
    </w:p>
    <w:p w14:paraId="49E848D6">
      <w:pPr>
        <w:numPr>
          <w:ilvl w:val="0"/>
          <w:numId w:val="55"/>
        </w:numPr>
        <w:spacing w:line="240" w:lineRule="auto"/>
        <w:rPr>
          <w:rFonts w:hint="eastAsia"/>
          <w:szCs w:val="21"/>
          <w:highlight w:val="none"/>
        </w:rPr>
      </w:pPr>
      <w:r>
        <w:rPr>
          <w:rFonts w:hint="eastAsia"/>
          <w:szCs w:val="21"/>
          <w:highlight w:val="none"/>
        </w:rPr>
        <w:t>跌倒智能联动</w:t>
      </w:r>
    </w:p>
    <w:p w14:paraId="6F3F1993">
      <w:pPr>
        <w:pStyle w:val="359"/>
        <w:ind w:firstLine="420"/>
        <w:rPr>
          <w:rFonts w:hint="eastAsia" w:ascii="宋体" w:hAnsi="宋体"/>
          <w:szCs w:val="21"/>
          <w:highlight w:val="none"/>
        </w:rPr>
      </w:pPr>
      <w:r>
        <w:rPr>
          <w:rFonts w:hint="eastAsia" w:ascii="宋体" w:hAnsi="宋体"/>
          <w:szCs w:val="21"/>
          <w:highlight w:val="none"/>
        </w:rPr>
        <w:t>要求支持对接护理决策系统，护士进行跌倒评分时，当患者评分结果达到跌倒高危风险，系统调用护理决策系统接口，提供护理措施供护士选择，同时生成相应的护理计划或护理记录。</w:t>
      </w:r>
    </w:p>
    <w:p w14:paraId="62C50274">
      <w:pPr>
        <w:numPr>
          <w:ilvl w:val="0"/>
          <w:numId w:val="55"/>
        </w:numPr>
        <w:spacing w:line="240" w:lineRule="auto"/>
        <w:rPr>
          <w:rFonts w:hint="eastAsia"/>
          <w:szCs w:val="21"/>
          <w:highlight w:val="none"/>
        </w:rPr>
      </w:pPr>
      <w:r>
        <w:rPr>
          <w:rFonts w:hint="eastAsia"/>
          <w:szCs w:val="21"/>
          <w:highlight w:val="none"/>
        </w:rPr>
        <w:t>ADL智能联动</w:t>
      </w:r>
    </w:p>
    <w:p w14:paraId="3AFC0544">
      <w:pPr>
        <w:pStyle w:val="359"/>
        <w:ind w:firstLine="420"/>
        <w:rPr>
          <w:rFonts w:hint="eastAsia" w:ascii="宋体" w:hAnsi="宋体"/>
          <w:szCs w:val="21"/>
          <w:highlight w:val="none"/>
        </w:rPr>
      </w:pPr>
      <w:r>
        <w:rPr>
          <w:rFonts w:hint="eastAsia" w:ascii="宋体" w:hAnsi="宋体"/>
          <w:szCs w:val="21"/>
          <w:highlight w:val="none"/>
        </w:rPr>
        <w:t>要求支持对接护理决策系统，护士进行ADL评分时，当患者评分结果达到高危风险，系统调用护理决策系统接口，提供护理措施供护士选择，同时生成相应的护理计划或护理记录。</w:t>
      </w:r>
    </w:p>
    <w:p w14:paraId="7162D578">
      <w:pPr>
        <w:numPr>
          <w:ilvl w:val="0"/>
          <w:numId w:val="55"/>
        </w:numPr>
        <w:spacing w:line="240" w:lineRule="auto"/>
        <w:rPr>
          <w:rFonts w:hint="eastAsia"/>
          <w:szCs w:val="21"/>
          <w:highlight w:val="none"/>
        </w:rPr>
      </w:pPr>
      <w:r>
        <w:rPr>
          <w:rFonts w:hint="eastAsia"/>
          <w:szCs w:val="21"/>
          <w:highlight w:val="none"/>
        </w:rPr>
        <w:t>事务提醒</w:t>
      </w:r>
    </w:p>
    <w:p w14:paraId="77A45FA4">
      <w:pPr>
        <w:pStyle w:val="359"/>
        <w:ind w:firstLine="420"/>
        <w:rPr>
          <w:rFonts w:hint="eastAsia" w:ascii="宋体" w:hAnsi="宋体"/>
          <w:szCs w:val="21"/>
          <w:highlight w:val="none"/>
        </w:rPr>
      </w:pPr>
      <w:r>
        <w:rPr>
          <w:rFonts w:hint="eastAsia" w:ascii="宋体" w:hAnsi="宋体"/>
          <w:szCs w:val="21"/>
          <w:highlight w:val="none"/>
        </w:rPr>
        <w:t>要求支持根据病人的护理等级、危重状态、发烧及手术等具体情况，结合医院规定，由系统自动动态计算病人需要测量体征的时间点，列出待测量体征的病人列表，可供体征录入、批量体征录入处直接获取并引用。</w:t>
      </w:r>
    </w:p>
    <w:p w14:paraId="77F60AF0">
      <w:pPr>
        <w:pStyle w:val="5"/>
        <w:rPr>
          <w:rFonts w:hint="eastAsia" w:ascii="宋体" w:hAnsi="宋体" w:eastAsia="宋体"/>
          <w:sz w:val="21"/>
          <w:szCs w:val="21"/>
          <w:highlight w:val="none"/>
        </w:rPr>
      </w:pPr>
      <w:bookmarkStart w:id="204" w:name="_Toc190796308"/>
      <w:r>
        <w:rPr>
          <w:rFonts w:hint="eastAsia" w:ascii="宋体" w:hAnsi="宋体" w:eastAsia="宋体"/>
          <w:sz w:val="21"/>
          <w:szCs w:val="21"/>
          <w:highlight w:val="none"/>
        </w:rPr>
        <w:t>麻醉用药管理</w:t>
      </w:r>
      <w:bookmarkEnd w:id="204"/>
    </w:p>
    <w:p w14:paraId="350E9CD6">
      <w:pPr>
        <w:rPr>
          <w:rFonts w:hint="eastAsia"/>
          <w:szCs w:val="21"/>
          <w:highlight w:val="none"/>
        </w:rPr>
      </w:pPr>
      <w:r>
        <w:rPr>
          <w:rFonts w:hint="eastAsia"/>
          <w:szCs w:val="21"/>
          <w:highlight w:val="none"/>
        </w:rPr>
        <w:t>（1）麻醉执行</w:t>
      </w:r>
    </w:p>
    <w:p w14:paraId="0CA39D21">
      <w:pPr>
        <w:pStyle w:val="359"/>
        <w:ind w:firstLine="420"/>
        <w:rPr>
          <w:rFonts w:hint="eastAsia" w:ascii="宋体" w:hAnsi="宋体"/>
          <w:szCs w:val="21"/>
          <w:highlight w:val="none"/>
        </w:rPr>
      </w:pPr>
      <w:r>
        <w:rPr>
          <w:rFonts w:hint="eastAsia" w:ascii="宋体" w:hAnsi="宋体"/>
          <w:szCs w:val="21"/>
          <w:highlight w:val="none"/>
        </w:rPr>
        <w:t>支持麻醉药品执行，包括口服药及输液类的麻醉药品，执行时需要进行双人核对，系统记录执行信息，方便后续数据追溯和护士工作量统计。</w:t>
      </w:r>
    </w:p>
    <w:p w14:paraId="7BCFB73A">
      <w:pPr>
        <w:rPr>
          <w:rFonts w:hint="eastAsia"/>
          <w:szCs w:val="21"/>
          <w:highlight w:val="none"/>
        </w:rPr>
      </w:pPr>
      <w:r>
        <w:rPr>
          <w:rFonts w:hint="eastAsia"/>
          <w:szCs w:val="21"/>
          <w:highlight w:val="none"/>
        </w:rPr>
        <w:t>（2）麻醉登记</w:t>
      </w:r>
    </w:p>
    <w:p w14:paraId="6AB52DC5">
      <w:pPr>
        <w:pStyle w:val="359"/>
        <w:ind w:firstLine="420"/>
        <w:rPr>
          <w:rFonts w:hint="eastAsia" w:ascii="宋体" w:hAnsi="宋体"/>
          <w:szCs w:val="21"/>
          <w:highlight w:val="none"/>
        </w:rPr>
      </w:pPr>
      <w:r>
        <w:rPr>
          <w:rFonts w:hint="eastAsia" w:ascii="宋体" w:hAnsi="宋体"/>
          <w:szCs w:val="21"/>
          <w:highlight w:val="none"/>
        </w:rPr>
        <w:t>支持麻醉登记功能，可登记麻醉药品的使用情况，如药品的批次，使用量，残余量，残余量的处理方式等信息。</w:t>
      </w:r>
    </w:p>
    <w:p w14:paraId="43A9C897">
      <w:pPr>
        <w:rPr>
          <w:rFonts w:hint="eastAsia"/>
          <w:szCs w:val="21"/>
          <w:highlight w:val="none"/>
        </w:rPr>
      </w:pPr>
      <w:r>
        <w:rPr>
          <w:rFonts w:hint="eastAsia"/>
          <w:szCs w:val="21"/>
          <w:highlight w:val="none"/>
        </w:rPr>
        <w:t>（3）麻醉查询</w:t>
      </w:r>
    </w:p>
    <w:p w14:paraId="63812384">
      <w:pPr>
        <w:pStyle w:val="359"/>
        <w:ind w:firstLine="420"/>
        <w:rPr>
          <w:rFonts w:hint="eastAsia" w:ascii="宋体" w:hAnsi="宋体"/>
          <w:szCs w:val="21"/>
          <w:highlight w:val="none"/>
        </w:rPr>
      </w:pPr>
      <w:r>
        <w:rPr>
          <w:rFonts w:hint="eastAsia" w:ascii="宋体" w:hAnsi="宋体"/>
          <w:szCs w:val="21"/>
          <w:highlight w:val="none"/>
        </w:rPr>
        <w:t>支持麻醉执行记录查询，可根据时间段查询本科室的麻醉执行记录。</w:t>
      </w:r>
    </w:p>
    <w:p w14:paraId="6C3C76E9">
      <w:pPr>
        <w:rPr>
          <w:rFonts w:hint="eastAsia"/>
          <w:szCs w:val="21"/>
          <w:highlight w:val="none"/>
        </w:rPr>
      </w:pPr>
      <w:r>
        <w:rPr>
          <w:rFonts w:hint="eastAsia"/>
          <w:szCs w:val="21"/>
          <w:highlight w:val="none"/>
        </w:rPr>
        <w:t>（4）麻醉回收</w:t>
      </w:r>
    </w:p>
    <w:p w14:paraId="66AAC16D">
      <w:pPr>
        <w:pStyle w:val="359"/>
        <w:ind w:firstLine="420"/>
        <w:rPr>
          <w:rFonts w:hint="eastAsia" w:ascii="宋体" w:hAnsi="宋体"/>
          <w:szCs w:val="21"/>
          <w:highlight w:val="none"/>
        </w:rPr>
      </w:pPr>
      <w:r>
        <w:rPr>
          <w:rFonts w:hint="eastAsia" w:ascii="宋体" w:hAnsi="宋体"/>
          <w:szCs w:val="21"/>
          <w:highlight w:val="none"/>
        </w:rPr>
        <w:t>支持麻醉药品空瓶回收，记录回收人、回收时间等信息。确保麻醉空瓶回收环节的记录准确性。</w:t>
      </w:r>
    </w:p>
    <w:p w14:paraId="3FCB6B4F">
      <w:pPr>
        <w:pStyle w:val="5"/>
        <w:rPr>
          <w:rFonts w:hint="eastAsia" w:ascii="宋体" w:hAnsi="宋体" w:eastAsia="宋体"/>
          <w:sz w:val="21"/>
          <w:szCs w:val="21"/>
          <w:highlight w:val="none"/>
        </w:rPr>
      </w:pPr>
      <w:bookmarkStart w:id="205" w:name="_Toc190796309"/>
      <w:r>
        <w:rPr>
          <w:rFonts w:hint="eastAsia" w:ascii="宋体" w:hAnsi="宋体" w:eastAsia="宋体"/>
          <w:sz w:val="21"/>
          <w:szCs w:val="21"/>
          <w:highlight w:val="none"/>
        </w:rPr>
        <w:t>母乳管理</w:t>
      </w:r>
      <w:bookmarkEnd w:id="205"/>
    </w:p>
    <w:p w14:paraId="79E08113">
      <w:pPr>
        <w:rPr>
          <w:rFonts w:hint="eastAsia"/>
          <w:szCs w:val="21"/>
          <w:highlight w:val="none"/>
        </w:rPr>
      </w:pPr>
      <w:r>
        <w:rPr>
          <w:rFonts w:hint="eastAsia"/>
          <w:szCs w:val="21"/>
          <w:highlight w:val="none"/>
        </w:rPr>
        <w:t>（1）母乳提取</w:t>
      </w:r>
    </w:p>
    <w:p w14:paraId="34C4ABC4">
      <w:pPr>
        <w:pStyle w:val="359"/>
        <w:ind w:firstLine="420"/>
        <w:rPr>
          <w:rFonts w:hint="eastAsia" w:ascii="宋体" w:hAnsi="宋体"/>
          <w:szCs w:val="21"/>
          <w:highlight w:val="none"/>
        </w:rPr>
      </w:pPr>
      <w:r>
        <w:rPr>
          <w:rFonts w:hint="eastAsia" w:ascii="宋体" w:hAnsi="宋体"/>
          <w:szCs w:val="21"/>
          <w:highlight w:val="none"/>
        </w:rPr>
        <w:t>支持从奶袋中提取母乳，同时记录护士工作量。从冰箱中提取的奶袋，需要解冻置入奶瓶中，若奶袋过期，系统会提示是否作废，奶袋正常，则可成功提取并解冻。</w:t>
      </w:r>
    </w:p>
    <w:p w14:paraId="77FE4D66">
      <w:pPr>
        <w:rPr>
          <w:rFonts w:hint="eastAsia"/>
          <w:szCs w:val="21"/>
          <w:highlight w:val="none"/>
        </w:rPr>
      </w:pPr>
      <w:r>
        <w:rPr>
          <w:rFonts w:hint="eastAsia"/>
          <w:szCs w:val="21"/>
          <w:highlight w:val="none"/>
        </w:rPr>
        <w:t>（2）母乳执行</w:t>
      </w:r>
    </w:p>
    <w:p w14:paraId="71EC4208">
      <w:pPr>
        <w:pStyle w:val="359"/>
        <w:ind w:firstLine="420"/>
        <w:rPr>
          <w:rFonts w:hint="eastAsia" w:ascii="宋体" w:hAnsi="宋体"/>
          <w:szCs w:val="21"/>
          <w:highlight w:val="none"/>
        </w:rPr>
      </w:pPr>
      <w:r>
        <w:rPr>
          <w:rFonts w:hint="eastAsia" w:ascii="宋体" w:hAnsi="宋体"/>
          <w:szCs w:val="21"/>
          <w:highlight w:val="none"/>
        </w:rPr>
        <w:t>支持母乳执行功能，在喂养母乳时，通过系统核对所要执行的奶瓶标签和婴儿是否对应，核对正确，则执行母乳喂养。</w:t>
      </w:r>
    </w:p>
    <w:p w14:paraId="0FAE100A">
      <w:pPr>
        <w:pStyle w:val="5"/>
        <w:rPr>
          <w:rFonts w:hint="eastAsia" w:ascii="宋体" w:hAnsi="宋体" w:eastAsia="宋体"/>
          <w:sz w:val="21"/>
          <w:szCs w:val="21"/>
          <w:highlight w:val="none"/>
        </w:rPr>
      </w:pPr>
      <w:bookmarkStart w:id="206" w:name="_Toc114760543"/>
      <w:bookmarkEnd w:id="206"/>
      <w:bookmarkStart w:id="207" w:name="_Toc190796310"/>
      <w:r>
        <w:rPr>
          <w:rFonts w:hint="eastAsia" w:ascii="宋体" w:hAnsi="宋体" w:eastAsia="宋体"/>
          <w:sz w:val="21"/>
          <w:szCs w:val="21"/>
          <w:highlight w:val="none"/>
        </w:rPr>
        <w:t>病理标本管理</w:t>
      </w:r>
      <w:bookmarkEnd w:id="207"/>
    </w:p>
    <w:p w14:paraId="23AA0F19">
      <w:pPr>
        <w:rPr>
          <w:rFonts w:hint="eastAsia"/>
          <w:szCs w:val="21"/>
          <w:highlight w:val="none"/>
        </w:rPr>
      </w:pPr>
      <w:r>
        <w:rPr>
          <w:rFonts w:hint="eastAsia"/>
          <w:szCs w:val="21"/>
          <w:highlight w:val="none"/>
        </w:rPr>
        <w:t>（1）标本采集</w:t>
      </w:r>
    </w:p>
    <w:p w14:paraId="4E120627">
      <w:pPr>
        <w:pStyle w:val="359"/>
        <w:ind w:firstLine="420"/>
        <w:rPr>
          <w:rFonts w:hint="eastAsia" w:ascii="宋体" w:hAnsi="宋体"/>
          <w:szCs w:val="21"/>
          <w:highlight w:val="none"/>
        </w:rPr>
      </w:pPr>
      <w:r>
        <w:rPr>
          <w:rFonts w:hint="eastAsia" w:ascii="宋体" w:hAnsi="宋体"/>
          <w:szCs w:val="21"/>
          <w:highlight w:val="none"/>
        </w:rPr>
        <w:t>支持对病区采集的病理标本进行采集记录，核对患者身份信息，记录采集人员、采集时间等信息，方便后续数据追溯和闭环管理。</w:t>
      </w:r>
    </w:p>
    <w:p w14:paraId="2482D85E">
      <w:pPr>
        <w:rPr>
          <w:rFonts w:hint="eastAsia"/>
          <w:szCs w:val="21"/>
          <w:highlight w:val="none"/>
        </w:rPr>
      </w:pPr>
      <w:r>
        <w:rPr>
          <w:rFonts w:hint="eastAsia"/>
          <w:szCs w:val="21"/>
          <w:highlight w:val="none"/>
        </w:rPr>
        <w:t>（2）标本固定</w:t>
      </w:r>
    </w:p>
    <w:p w14:paraId="4AB34B97">
      <w:pPr>
        <w:pStyle w:val="359"/>
        <w:ind w:firstLine="420"/>
        <w:rPr>
          <w:rFonts w:hint="eastAsia" w:ascii="宋体" w:hAnsi="宋体"/>
          <w:szCs w:val="21"/>
          <w:highlight w:val="none"/>
        </w:rPr>
      </w:pPr>
      <w:r>
        <w:rPr>
          <w:rFonts w:hint="eastAsia" w:ascii="宋体" w:hAnsi="宋体"/>
          <w:szCs w:val="21"/>
          <w:highlight w:val="none"/>
        </w:rPr>
        <w:t>支持对病区采集的病理标本进行固定，核对标本条码，可记录固定人、固定时间等信息，方便后续数据追溯和闭环管理。</w:t>
      </w:r>
    </w:p>
    <w:p w14:paraId="5B67B798">
      <w:pPr>
        <w:rPr>
          <w:rFonts w:hint="eastAsia"/>
          <w:szCs w:val="21"/>
          <w:highlight w:val="none"/>
        </w:rPr>
      </w:pPr>
      <w:r>
        <w:rPr>
          <w:rFonts w:hint="eastAsia"/>
          <w:szCs w:val="21"/>
          <w:highlight w:val="none"/>
        </w:rPr>
        <w:t>（3）标本运输</w:t>
      </w:r>
    </w:p>
    <w:p w14:paraId="34FB36F5">
      <w:pPr>
        <w:pStyle w:val="359"/>
        <w:ind w:firstLine="420"/>
        <w:rPr>
          <w:rFonts w:hint="eastAsia" w:ascii="宋体" w:hAnsi="宋体"/>
          <w:szCs w:val="21"/>
          <w:highlight w:val="none"/>
        </w:rPr>
      </w:pPr>
      <w:r>
        <w:rPr>
          <w:rFonts w:hint="eastAsia" w:ascii="宋体" w:hAnsi="宋体"/>
          <w:szCs w:val="21"/>
          <w:highlight w:val="none"/>
        </w:rPr>
        <w:t>支持对病区采集的病理标本运输环节记录，核对标本信息，记录病理标本送出人，送出时间，方便后续数据追溯和闭环管理。</w:t>
      </w:r>
    </w:p>
    <w:p w14:paraId="24782EB2">
      <w:pPr>
        <w:rPr>
          <w:rFonts w:hint="eastAsia"/>
          <w:szCs w:val="21"/>
          <w:highlight w:val="none"/>
        </w:rPr>
      </w:pPr>
      <w:r>
        <w:rPr>
          <w:rFonts w:hint="eastAsia"/>
          <w:szCs w:val="21"/>
          <w:highlight w:val="none"/>
        </w:rPr>
        <w:t>（4）病理接收</w:t>
      </w:r>
    </w:p>
    <w:p w14:paraId="31A42667">
      <w:pPr>
        <w:pStyle w:val="359"/>
        <w:ind w:firstLine="420"/>
        <w:rPr>
          <w:rFonts w:hint="eastAsia" w:ascii="宋体" w:hAnsi="宋体"/>
          <w:szCs w:val="21"/>
          <w:highlight w:val="none"/>
        </w:rPr>
      </w:pPr>
      <w:r>
        <w:rPr>
          <w:rFonts w:hint="eastAsia" w:ascii="宋体" w:hAnsi="宋体"/>
          <w:szCs w:val="21"/>
          <w:highlight w:val="none"/>
        </w:rPr>
        <w:t>支持对病区采集的病理标本进行接收环节记录，核对标本信息，记录病理标本接收人，接收时间，方便后续数据追溯和闭环管理。</w:t>
      </w:r>
    </w:p>
    <w:p w14:paraId="0161F8B1">
      <w:pPr>
        <w:rPr>
          <w:rFonts w:hint="eastAsia"/>
          <w:szCs w:val="21"/>
          <w:highlight w:val="none"/>
        </w:rPr>
      </w:pPr>
      <w:r>
        <w:rPr>
          <w:rFonts w:hint="eastAsia"/>
          <w:szCs w:val="21"/>
          <w:highlight w:val="none"/>
        </w:rPr>
        <w:t>（5）病理查询</w:t>
      </w:r>
    </w:p>
    <w:p w14:paraId="268E456A">
      <w:pPr>
        <w:pStyle w:val="359"/>
        <w:ind w:firstLine="420"/>
        <w:rPr>
          <w:rFonts w:hint="eastAsia" w:ascii="宋体" w:hAnsi="宋体"/>
          <w:szCs w:val="21"/>
          <w:highlight w:val="none"/>
        </w:rPr>
      </w:pPr>
      <w:r>
        <w:rPr>
          <w:rFonts w:hint="eastAsia" w:ascii="宋体" w:hAnsi="宋体"/>
          <w:szCs w:val="21"/>
          <w:highlight w:val="none"/>
        </w:rPr>
        <w:t>支持汇总查询科室内患者病理标本的采集记录，展示标本各采集环节的操作信息，可根据需要选择个人汇总或全科查询。</w:t>
      </w:r>
    </w:p>
    <w:p w14:paraId="3B09C64E">
      <w:pPr>
        <w:pStyle w:val="5"/>
        <w:rPr>
          <w:rFonts w:hint="eastAsia" w:ascii="宋体" w:hAnsi="宋体" w:eastAsia="宋体"/>
          <w:sz w:val="21"/>
          <w:szCs w:val="21"/>
          <w:highlight w:val="none"/>
        </w:rPr>
      </w:pPr>
      <w:bookmarkStart w:id="208" w:name="_Toc114760548"/>
      <w:bookmarkEnd w:id="208"/>
      <w:bookmarkStart w:id="209" w:name="_Toc114760545"/>
      <w:bookmarkEnd w:id="209"/>
      <w:bookmarkStart w:id="210" w:name="_Toc114760550"/>
      <w:bookmarkEnd w:id="210"/>
      <w:bookmarkStart w:id="211" w:name="_Toc114760553"/>
      <w:bookmarkEnd w:id="211"/>
      <w:bookmarkStart w:id="212" w:name="_Toc190796311"/>
      <w:r>
        <w:rPr>
          <w:rFonts w:hint="eastAsia" w:ascii="宋体" w:hAnsi="宋体" w:eastAsia="宋体"/>
          <w:sz w:val="21"/>
          <w:szCs w:val="21"/>
          <w:highlight w:val="none"/>
        </w:rPr>
        <w:t>电子签名</w:t>
      </w:r>
      <w:bookmarkEnd w:id="212"/>
    </w:p>
    <w:p w14:paraId="010978AB">
      <w:pPr>
        <w:pStyle w:val="359"/>
        <w:ind w:firstLine="420"/>
        <w:rPr>
          <w:rFonts w:hint="eastAsia" w:ascii="宋体" w:hAnsi="宋体"/>
          <w:szCs w:val="21"/>
          <w:highlight w:val="none"/>
        </w:rPr>
      </w:pPr>
      <w:r>
        <w:rPr>
          <w:rFonts w:hint="eastAsia" w:ascii="宋体" w:hAnsi="宋体"/>
          <w:szCs w:val="21"/>
          <w:highlight w:val="none"/>
        </w:rPr>
        <w:t>要求支持与医院数字签名系统对接，实现登录CA认证。</w:t>
      </w:r>
    </w:p>
    <w:p w14:paraId="6366D724">
      <w:pPr>
        <w:pStyle w:val="359"/>
        <w:ind w:firstLine="420" w:firstLineChars="0"/>
        <w:rPr>
          <w:rFonts w:hint="eastAsia" w:ascii="宋体" w:hAnsi="宋体"/>
          <w:szCs w:val="21"/>
          <w:highlight w:val="none"/>
        </w:rPr>
      </w:pPr>
      <w:r>
        <w:rPr>
          <w:rFonts w:hint="eastAsia" w:ascii="宋体" w:hAnsi="宋体"/>
          <w:szCs w:val="21"/>
          <w:highlight w:val="none"/>
        </w:rPr>
        <w:t>重要业务数据（如医嘱执行、输血执行等）可与医院数字签名系统对接，进行CA认证与签名、加盖时间戳，实现无纸化的电子签名功能，确保移动执行数据可信、身份可信，具备法律效力。</w:t>
      </w:r>
    </w:p>
    <w:p w14:paraId="7B58618F">
      <w:pPr>
        <w:pStyle w:val="3"/>
        <w:rPr>
          <w:rFonts w:hint="eastAsia" w:ascii="宋体" w:hAnsi="宋体"/>
          <w:sz w:val="21"/>
          <w:szCs w:val="21"/>
          <w:highlight w:val="none"/>
        </w:rPr>
      </w:pPr>
      <w:r>
        <w:rPr>
          <w:rFonts w:hint="eastAsia" w:ascii="宋体" w:hAnsi="宋体"/>
          <w:sz w:val="21"/>
          <w:szCs w:val="21"/>
          <w:highlight w:val="none"/>
        </w:rPr>
        <w:t>临床决策支持系统（</w:t>
      </w:r>
      <w:r>
        <w:rPr>
          <w:rFonts w:ascii="宋体" w:hAnsi="宋体"/>
          <w:sz w:val="21"/>
          <w:szCs w:val="21"/>
          <w:highlight w:val="none"/>
        </w:rPr>
        <w:t>CDSS）</w:t>
      </w:r>
    </w:p>
    <w:tbl>
      <w:tblPr>
        <w:tblStyle w:val="44"/>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672"/>
        <w:gridCol w:w="5887"/>
      </w:tblGrid>
      <w:tr w14:paraId="257B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Align w:val="center"/>
          </w:tcPr>
          <w:p w14:paraId="08A39C52">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系统名称</w:t>
            </w:r>
          </w:p>
        </w:tc>
        <w:tc>
          <w:tcPr>
            <w:tcW w:w="982" w:type="pct"/>
            <w:vAlign w:val="center"/>
          </w:tcPr>
          <w:p w14:paraId="07B0A286">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系统功能</w:t>
            </w:r>
          </w:p>
        </w:tc>
        <w:tc>
          <w:tcPr>
            <w:tcW w:w="3457" w:type="pct"/>
            <w:vAlign w:val="center"/>
          </w:tcPr>
          <w:p w14:paraId="1E57B304">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功能描述及要求</w:t>
            </w:r>
          </w:p>
        </w:tc>
      </w:tr>
      <w:tr w14:paraId="50A3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restart"/>
            <w:vAlign w:val="center"/>
          </w:tcPr>
          <w:p w14:paraId="0B1577AF">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知识库内容升级</w:t>
            </w:r>
          </w:p>
        </w:tc>
        <w:tc>
          <w:tcPr>
            <w:tcW w:w="982" w:type="pct"/>
            <w:vAlign w:val="center"/>
          </w:tcPr>
          <w:p w14:paraId="519D2401">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疾病详情知识库升级</w:t>
            </w:r>
          </w:p>
        </w:tc>
        <w:tc>
          <w:tcPr>
            <w:tcW w:w="3457" w:type="pct"/>
            <w:vAlign w:val="center"/>
          </w:tcPr>
          <w:p w14:paraId="147B1362">
            <w:pPr>
              <w:rPr>
                <w:rFonts w:hint="eastAsia" w:cs="宋体"/>
                <w:color w:val="000000"/>
                <w:szCs w:val="21"/>
                <w:highlight w:val="none"/>
              </w:rPr>
            </w:pPr>
            <w:r>
              <w:rPr>
                <w:rFonts w:hint="eastAsia" w:cs="宋体"/>
                <w:color w:val="000000"/>
                <w:szCs w:val="21"/>
                <w:highlight w:val="none"/>
              </w:rPr>
              <w:t>扩充疾病知识库</w:t>
            </w:r>
            <w:r>
              <w:rPr>
                <w:rFonts w:cs="宋体"/>
                <w:color w:val="000000"/>
                <w:szCs w:val="21"/>
                <w:highlight w:val="none"/>
              </w:rPr>
              <w:t>，</w:t>
            </w:r>
            <w:r>
              <w:rPr>
                <w:rFonts w:hint="eastAsia" w:cs="宋体"/>
                <w:color w:val="000000"/>
                <w:szCs w:val="21"/>
                <w:highlight w:val="none"/>
              </w:rPr>
              <w:t>总计能够提供3500+疾病的详细知识内容，应包含疾病定义、病因、病理、临床表现、检查、并发症、诊断、鉴别诊断、治疗、预防等疾病知识。</w:t>
            </w:r>
          </w:p>
        </w:tc>
      </w:tr>
      <w:tr w14:paraId="0916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560" w:type="pct"/>
            <w:vMerge w:val="continue"/>
            <w:vAlign w:val="center"/>
          </w:tcPr>
          <w:p w14:paraId="222740E8">
            <w:pPr>
              <w:pStyle w:val="362"/>
              <w:jc w:val="both"/>
              <w:rPr>
                <w:rFonts w:hint="eastAsia" w:ascii="宋体" w:hAnsi="宋体" w:cs="宋体"/>
                <w:color w:val="000000"/>
                <w:szCs w:val="21"/>
                <w:highlight w:val="none"/>
              </w:rPr>
            </w:pPr>
          </w:p>
        </w:tc>
        <w:tc>
          <w:tcPr>
            <w:tcW w:w="982" w:type="pct"/>
            <w:vMerge w:val="restart"/>
            <w:vAlign w:val="center"/>
          </w:tcPr>
          <w:p w14:paraId="56F1CE62">
            <w:pPr>
              <w:rPr>
                <w:rFonts w:hint="eastAsia" w:cs="宋体"/>
                <w:color w:val="000000"/>
                <w:szCs w:val="21"/>
                <w:highlight w:val="none"/>
              </w:rPr>
            </w:pPr>
            <w:r>
              <w:rPr>
                <w:rFonts w:hint="eastAsia" w:cs="宋体"/>
                <w:color w:val="000000"/>
                <w:szCs w:val="21"/>
                <w:highlight w:val="none"/>
              </w:rPr>
              <w:t>检验检查知识库升级</w:t>
            </w:r>
          </w:p>
        </w:tc>
        <w:tc>
          <w:tcPr>
            <w:tcW w:w="3457" w:type="pct"/>
            <w:vAlign w:val="center"/>
          </w:tcPr>
          <w:p w14:paraId="15877818">
            <w:pPr>
              <w:spacing w:line="300" w:lineRule="auto"/>
              <w:rPr>
                <w:rFonts w:hint="eastAsia" w:cs="宋体"/>
                <w:color w:val="000000"/>
                <w:szCs w:val="21"/>
                <w:highlight w:val="none"/>
              </w:rPr>
            </w:pPr>
            <w:r>
              <w:rPr>
                <w:rFonts w:hint="eastAsia" w:cs="宋体"/>
                <w:spacing w:val="-2"/>
                <w:szCs w:val="21"/>
                <w:highlight w:val="none"/>
              </w:rPr>
              <w:t>检验质控点：可提供涵盖性别禁忌、年龄禁忌、临床表现禁忌、诊断禁忌、检验结果禁忌等不少于1700个检验合理性质控点，对检验申请禁忌进行提醒。</w:t>
            </w:r>
          </w:p>
        </w:tc>
      </w:tr>
      <w:tr w14:paraId="5100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560" w:type="pct"/>
            <w:vMerge w:val="continue"/>
            <w:vAlign w:val="center"/>
          </w:tcPr>
          <w:p w14:paraId="5161FFA0">
            <w:pPr>
              <w:pStyle w:val="362"/>
              <w:jc w:val="both"/>
              <w:rPr>
                <w:rFonts w:hint="eastAsia" w:ascii="宋体" w:hAnsi="宋体" w:cs="宋体"/>
                <w:color w:val="000000"/>
                <w:szCs w:val="21"/>
                <w:highlight w:val="none"/>
              </w:rPr>
            </w:pPr>
          </w:p>
        </w:tc>
        <w:tc>
          <w:tcPr>
            <w:tcW w:w="982" w:type="pct"/>
            <w:vMerge w:val="continue"/>
            <w:vAlign w:val="center"/>
          </w:tcPr>
          <w:p w14:paraId="37987385">
            <w:pPr>
              <w:pStyle w:val="362"/>
              <w:jc w:val="both"/>
              <w:rPr>
                <w:rFonts w:hint="eastAsia" w:ascii="宋体" w:hAnsi="宋体" w:cs="宋体"/>
                <w:color w:val="000000"/>
                <w:szCs w:val="21"/>
                <w:highlight w:val="none"/>
              </w:rPr>
            </w:pPr>
          </w:p>
        </w:tc>
        <w:tc>
          <w:tcPr>
            <w:tcW w:w="3457" w:type="pct"/>
            <w:vAlign w:val="center"/>
          </w:tcPr>
          <w:p w14:paraId="6E947959">
            <w:pPr>
              <w:rPr>
                <w:rFonts w:hint="eastAsia" w:cs="宋体"/>
                <w:color w:val="000000"/>
                <w:szCs w:val="21"/>
                <w:highlight w:val="none"/>
              </w:rPr>
            </w:pPr>
            <w:r>
              <w:rPr>
                <w:rFonts w:hint="eastAsia" w:cs="宋体"/>
                <w:spacing w:val="-2"/>
                <w:szCs w:val="21"/>
                <w:highlight w:val="none"/>
              </w:rPr>
              <w:t>可提供涵盖性别禁忌、年龄禁忌、临床表现禁忌、诊断禁忌、检验结果禁忌、用药禁忌等不少于2000个检查合理性质控点，对检查申请禁忌进行提醒。</w:t>
            </w:r>
          </w:p>
        </w:tc>
      </w:tr>
      <w:tr w14:paraId="02441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12F71D2D">
            <w:pPr>
              <w:pStyle w:val="362"/>
              <w:jc w:val="both"/>
              <w:rPr>
                <w:rFonts w:hint="eastAsia" w:ascii="宋体" w:hAnsi="宋体" w:cs="宋体"/>
                <w:color w:val="000000"/>
                <w:szCs w:val="21"/>
                <w:highlight w:val="none"/>
              </w:rPr>
            </w:pPr>
          </w:p>
        </w:tc>
        <w:tc>
          <w:tcPr>
            <w:tcW w:w="982" w:type="pct"/>
            <w:vMerge w:val="continue"/>
            <w:vAlign w:val="center"/>
          </w:tcPr>
          <w:p w14:paraId="2D26FC40">
            <w:pPr>
              <w:rPr>
                <w:rFonts w:hint="eastAsia" w:cs="宋体"/>
                <w:color w:val="000000"/>
                <w:szCs w:val="21"/>
                <w:highlight w:val="none"/>
              </w:rPr>
            </w:pPr>
          </w:p>
        </w:tc>
        <w:tc>
          <w:tcPr>
            <w:tcW w:w="3457" w:type="pct"/>
            <w:vAlign w:val="center"/>
          </w:tcPr>
          <w:p w14:paraId="4BA7DFDE">
            <w:pPr>
              <w:rPr>
                <w:rFonts w:hint="eastAsia" w:cs="宋体"/>
                <w:color w:val="000000"/>
                <w:szCs w:val="21"/>
                <w:highlight w:val="none"/>
              </w:rPr>
            </w:pPr>
            <w:r>
              <w:rPr>
                <w:rFonts w:hint="eastAsia" w:cs="宋体"/>
                <w:color w:val="000000"/>
                <w:szCs w:val="21"/>
                <w:highlight w:val="none"/>
              </w:rPr>
              <w:t>扩充检验检查知识库，总计能够提供1700多条检验/检查项目说明。检验项目说明涵盖检验项目定义、合理参考范围和临床意义等内容；检查项目说明涵盖检查项目定义、检查适用范围以及影像学结果说明等内容。</w:t>
            </w:r>
          </w:p>
        </w:tc>
      </w:tr>
      <w:tr w14:paraId="5A085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0A77ED94">
            <w:pPr>
              <w:pStyle w:val="362"/>
              <w:jc w:val="both"/>
              <w:rPr>
                <w:rFonts w:hint="eastAsia" w:ascii="宋体" w:hAnsi="宋体" w:cs="宋体"/>
                <w:color w:val="000000"/>
                <w:szCs w:val="21"/>
                <w:highlight w:val="none"/>
              </w:rPr>
            </w:pPr>
          </w:p>
        </w:tc>
        <w:tc>
          <w:tcPr>
            <w:tcW w:w="982" w:type="pct"/>
            <w:vAlign w:val="center"/>
          </w:tcPr>
          <w:p w14:paraId="35E1F5F9">
            <w:pPr>
              <w:rPr>
                <w:rFonts w:hint="eastAsia" w:cs="宋体"/>
                <w:color w:val="000000"/>
                <w:szCs w:val="21"/>
                <w:highlight w:val="none"/>
              </w:rPr>
            </w:pPr>
            <w:r>
              <w:rPr>
                <w:rFonts w:hint="eastAsia" w:cs="宋体"/>
                <w:color w:val="000000"/>
                <w:szCs w:val="21"/>
                <w:highlight w:val="none"/>
              </w:rPr>
              <w:t>手术申请质控知识库</w:t>
            </w:r>
          </w:p>
        </w:tc>
        <w:tc>
          <w:tcPr>
            <w:tcW w:w="3457" w:type="pct"/>
            <w:vAlign w:val="center"/>
          </w:tcPr>
          <w:p w14:paraId="38A62C90">
            <w:pPr>
              <w:rPr>
                <w:rFonts w:hint="eastAsia" w:cs="宋体"/>
                <w:color w:val="000000"/>
                <w:szCs w:val="21"/>
                <w:highlight w:val="none"/>
              </w:rPr>
            </w:pPr>
            <w:r>
              <w:rPr>
                <w:rFonts w:hint="eastAsia" w:cs="宋体"/>
                <w:spacing w:val="-2"/>
                <w:szCs w:val="21"/>
                <w:highlight w:val="none"/>
              </w:rPr>
              <w:t>提供不少于10000个手术合理性质控点，对手术申请是否存在禁忌进行实时提醒，支持用户本地自行新增质控点或修改已有质控点，更新或修改后即刻可发布上线使用。</w:t>
            </w:r>
          </w:p>
        </w:tc>
      </w:tr>
      <w:tr w14:paraId="13E7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0" w:type="pct"/>
            <w:vMerge w:val="continue"/>
            <w:vAlign w:val="center"/>
          </w:tcPr>
          <w:p w14:paraId="0CDACE81">
            <w:pPr>
              <w:pStyle w:val="362"/>
              <w:jc w:val="both"/>
              <w:rPr>
                <w:rFonts w:hint="eastAsia" w:ascii="宋体" w:hAnsi="宋体" w:cs="宋体"/>
                <w:color w:val="000000"/>
                <w:szCs w:val="21"/>
                <w:highlight w:val="none"/>
              </w:rPr>
            </w:pPr>
          </w:p>
        </w:tc>
        <w:tc>
          <w:tcPr>
            <w:tcW w:w="982" w:type="pct"/>
            <w:vAlign w:val="center"/>
          </w:tcPr>
          <w:p w14:paraId="4130D5CC">
            <w:pPr>
              <w:rPr>
                <w:rFonts w:hint="eastAsia" w:cs="宋体"/>
                <w:color w:val="000000"/>
                <w:szCs w:val="21"/>
                <w:highlight w:val="none"/>
              </w:rPr>
            </w:pPr>
            <w:r>
              <w:rPr>
                <w:rFonts w:hint="eastAsia" w:cs="宋体"/>
                <w:color w:val="000000"/>
                <w:szCs w:val="21"/>
                <w:highlight w:val="none"/>
              </w:rPr>
              <w:t>中药方剂知识库升级</w:t>
            </w:r>
          </w:p>
        </w:tc>
        <w:tc>
          <w:tcPr>
            <w:tcW w:w="3457" w:type="pct"/>
            <w:vAlign w:val="center"/>
          </w:tcPr>
          <w:p w14:paraId="0986D006">
            <w:pPr>
              <w:rPr>
                <w:rFonts w:hint="eastAsia" w:cs="宋体"/>
                <w:color w:val="000000"/>
                <w:szCs w:val="21"/>
                <w:highlight w:val="none"/>
              </w:rPr>
            </w:pPr>
            <w:r>
              <w:rPr>
                <w:rFonts w:hint="eastAsia" w:cs="宋体"/>
                <w:color w:val="000000"/>
                <w:szCs w:val="21"/>
                <w:highlight w:val="none"/>
              </w:rPr>
              <w:t>扩充中药方剂知识，提供不少于</w:t>
            </w:r>
            <w:r>
              <w:rPr>
                <w:rFonts w:cs="宋体"/>
                <w:color w:val="000000"/>
                <w:szCs w:val="21"/>
                <w:highlight w:val="none"/>
              </w:rPr>
              <w:t>8</w:t>
            </w:r>
            <w:r>
              <w:rPr>
                <w:rFonts w:hint="eastAsia" w:cs="宋体"/>
                <w:color w:val="000000"/>
                <w:szCs w:val="21"/>
                <w:highlight w:val="none"/>
              </w:rPr>
              <w:t>0000个中药方剂，中药方剂来源经典中医典籍，医生可在临床端通过关键字、首字母等多种方式自主检索中药方剂知识，可查看每个中药方剂的来源、方剂名称、来源、组成、用法、主治等内容。</w:t>
            </w:r>
          </w:p>
        </w:tc>
      </w:tr>
      <w:tr w14:paraId="4634D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560" w:type="pct"/>
            <w:vMerge w:val="continue"/>
            <w:vAlign w:val="center"/>
          </w:tcPr>
          <w:p w14:paraId="278ED430">
            <w:pPr>
              <w:pStyle w:val="362"/>
              <w:jc w:val="both"/>
              <w:rPr>
                <w:rFonts w:hint="eastAsia" w:ascii="宋体" w:hAnsi="宋体" w:cs="宋体"/>
                <w:color w:val="000000"/>
                <w:szCs w:val="21"/>
                <w:highlight w:val="none"/>
              </w:rPr>
            </w:pPr>
          </w:p>
        </w:tc>
        <w:tc>
          <w:tcPr>
            <w:tcW w:w="982" w:type="pct"/>
            <w:vAlign w:val="center"/>
          </w:tcPr>
          <w:p w14:paraId="2D6EECA9">
            <w:pPr>
              <w:rPr>
                <w:rFonts w:hint="eastAsia" w:cs="宋体"/>
                <w:szCs w:val="21"/>
                <w:highlight w:val="none"/>
              </w:rPr>
            </w:pPr>
            <w:r>
              <w:rPr>
                <w:rFonts w:hint="eastAsia" w:cs="宋体"/>
                <w:szCs w:val="21"/>
                <w:highlight w:val="none"/>
              </w:rPr>
              <w:t>文献库</w:t>
            </w:r>
          </w:p>
        </w:tc>
        <w:tc>
          <w:tcPr>
            <w:tcW w:w="3457" w:type="pct"/>
            <w:vAlign w:val="center"/>
          </w:tcPr>
          <w:p w14:paraId="1379E437">
            <w:pPr>
              <w:rPr>
                <w:rFonts w:hint="eastAsia" w:cs="宋体"/>
                <w:color w:val="000000"/>
                <w:szCs w:val="21"/>
                <w:highlight w:val="none"/>
              </w:rPr>
            </w:pPr>
            <w:r>
              <w:rPr>
                <w:rFonts w:hint="eastAsia" w:cs="宋体"/>
                <w:color w:val="000000"/>
                <w:szCs w:val="21"/>
                <w:highlight w:val="none"/>
              </w:rPr>
              <w:t>升级文献知识库。该知识库跟踪专业领域重要国际性期刊，遴选高质量文献，供医生在诊疗过程中查阅，数量不少于20000篇。临床医师可以在本地上传更多文献资料以丰富文献库内容。</w:t>
            </w:r>
          </w:p>
        </w:tc>
      </w:tr>
      <w:tr w14:paraId="3C884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60" w:type="pct"/>
            <w:vMerge w:val="continue"/>
            <w:vAlign w:val="center"/>
          </w:tcPr>
          <w:p w14:paraId="7514424E">
            <w:pPr>
              <w:rPr>
                <w:rFonts w:hint="eastAsia" w:cs="宋体"/>
                <w:szCs w:val="21"/>
                <w:highlight w:val="none"/>
              </w:rPr>
            </w:pPr>
          </w:p>
        </w:tc>
        <w:tc>
          <w:tcPr>
            <w:tcW w:w="982" w:type="pct"/>
            <w:vAlign w:val="center"/>
          </w:tcPr>
          <w:p w14:paraId="2540AC30">
            <w:pPr>
              <w:rPr>
                <w:rFonts w:hint="eastAsia" w:cs="宋体"/>
                <w:color w:val="000000"/>
                <w:szCs w:val="21"/>
                <w:highlight w:val="none"/>
              </w:rPr>
            </w:pPr>
            <w:r>
              <w:rPr>
                <w:rFonts w:hint="eastAsia" w:cs="宋体"/>
                <w:szCs w:val="21"/>
                <w:highlight w:val="none"/>
              </w:rPr>
              <w:t>药品医嘱合理性质控点</w:t>
            </w:r>
          </w:p>
        </w:tc>
        <w:tc>
          <w:tcPr>
            <w:tcW w:w="3457" w:type="pct"/>
            <w:vAlign w:val="center"/>
          </w:tcPr>
          <w:p w14:paraId="3D1A7F09">
            <w:pPr>
              <w:rPr>
                <w:rFonts w:hint="eastAsia" w:cs="宋体"/>
                <w:color w:val="000000"/>
                <w:szCs w:val="21"/>
                <w:highlight w:val="none"/>
              </w:rPr>
            </w:pPr>
            <w:r>
              <w:rPr>
                <w:rFonts w:hint="eastAsia" w:cs="宋体"/>
                <w:spacing w:val="-2"/>
                <w:szCs w:val="21"/>
                <w:highlight w:val="none"/>
              </w:rPr>
              <w:t>可提供涵盖性别禁忌、年龄禁忌、临床表现禁忌、诊断禁忌、检验结果禁忌、用药禁忌等不少于6000个药品合理性质控点，对药品申请禁忌进行提醒。</w:t>
            </w:r>
          </w:p>
        </w:tc>
      </w:tr>
      <w:tr w14:paraId="4794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60" w:type="pct"/>
            <w:vMerge w:val="continue"/>
            <w:vAlign w:val="center"/>
          </w:tcPr>
          <w:p w14:paraId="543FAEA5">
            <w:pPr>
              <w:rPr>
                <w:rFonts w:hint="eastAsia" w:cs="宋体"/>
                <w:szCs w:val="21"/>
                <w:highlight w:val="none"/>
              </w:rPr>
            </w:pPr>
          </w:p>
        </w:tc>
        <w:tc>
          <w:tcPr>
            <w:tcW w:w="982" w:type="pct"/>
            <w:vAlign w:val="center"/>
          </w:tcPr>
          <w:p w14:paraId="2A1BE1AF">
            <w:pPr>
              <w:rPr>
                <w:rFonts w:hint="eastAsia" w:cs="宋体"/>
                <w:color w:val="000000"/>
                <w:szCs w:val="21"/>
                <w:highlight w:val="none"/>
              </w:rPr>
            </w:pPr>
            <w:r>
              <w:rPr>
                <w:rFonts w:hint="eastAsia" w:cs="宋体"/>
                <w:color w:val="000000"/>
                <w:szCs w:val="21"/>
                <w:highlight w:val="none"/>
              </w:rPr>
              <w:t>医管视频知识库升级</w:t>
            </w:r>
          </w:p>
        </w:tc>
        <w:tc>
          <w:tcPr>
            <w:tcW w:w="3457" w:type="pct"/>
            <w:vAlign w:val="center"/>
          </w:tcPr>
          <w:p w14:paraId="0AADC614">
            <w:pPr>
              <w:rPr>
                <w:rFonts w:hint="eastAsia" w:cs="宋体"/>
                <w:color w:val="000000"/>
                <w:szCs w:val="21"/>
                <w:highlight w:val="none"/>
              </w:rPr>
            </w:pPr>
            <w:r>
              <w:rPr>
                <w:rFonts w:cs="宋体"/>
                <w:color w:val="000000"/>
                <w:szCs w:val="21"/>
                <w:highlight w:val="none"/>
              </w:rPr>
              <w:t>提供不少于20个</w:t>
            </w:r>
            <w:r>
              <w:rPr>
                <w:rFonts w:hint="eastAsia" w:cs="宋体"/>
                <w:color w:val="000000"/>
                <w:szCs w:val="21"/>
                <w:highlight w:val="none"/>
              </w:rPr>
              <w:t>医管视频课程资源，</w:t>
            </w:r>
            <w:r>
              <w:rPr>
                <w:rFonts w:cs="宋体"/>
                <w:color w:val="000000"/>
                <w:szCs w:val="21"/>
                <w:highlight w:val="none"/>
              </w:rPr>
              <w:t>支持移动端</w:t>
            </w:r>
            <w:r>
              <w:rPr>
                <w:rFonts w:hint="eastAsia" w:cs="宋体"/>
                <w:color w:val="000000"/>
                <w:szCs w:val="21"/>
                <w:highlight w:val="none"/>
              </w:rPr>
              <w:t>观看国内知名医院专家讲授的视频课程，内容至少应包括高质量发展、医院评审准备、临床路径实践与智能化、三级公立医院绩效考核指标解读、DRG支付下的精益管理等。</w:t>
            </w:r>
          </w:p>
        </w:tc>
      </w:tr>
      <w:tr w14:paraId="5604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0" w:type="pct"/>
            <w:vMerge w:val="restart"/>
            <w:vAlign w:val="center"/>
          </w:tcPr>
          <w:p w14:paraId="2A4C5D31">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功能升级</w:t>
            </w:r>
          </w:p>
        </w:tc>
        <w:tc>
          <w:tcPr>
            <w:tcW w:w="982" w:type="pct"/>
            <w:vAlign w:val="center"/>
          </w:tcPr>
          <w:p w14:paraId="4E9FE1B0">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知识应用</w:t>
            </w:r>
          </w:p>
        </w:tc>
        <w:tc>
          <w:tcPr>
            <w:tcW w:w="3457" w:type="pct"/>
            <w:vAlign w:val="center"/>
          </w:tcPr>
          <w:p w14:paraId="66A20250">
            <w:pPr>
              <w:rPr>
                <w:rFonts w:hint="eastAsia" w:cs="宋体"/>
                <w:color w:val="000000"/>
                <w:szCs w:val="21"/>
                <w:highlight w:val="none"/>
              </w:rPr>
            </w:pPr>
            <w:r>
              <w:rPr>
                <w:rFonts w:hint="eastAsia" w:cs="宋体"/>
                <w:color w:val="000000"/>
                <w:szCs w:val="21"/>
                <w:highlight w:val="none"/>
              </w:rPr>
              <w:t>支持医院自行对知识内容进行配置，提供与His、电子病历等应用系统对接，并支持提醒与警示功能。</w:t>
            </w:r>
          </w:p>
          <w:p w14:paraId="703FAE0C">
            <w:pPr>
              <w:rPr>
                <w:rFonts w:hint="eastAsia" w:cs="宋体"/>
                <w:color w:val="000000"/>
                <w:szCs w:val="21"/>
                <w:highlight w:val="none"/>
              </w:rPr>
            </w:pPr>
            <w:r>
              <w:rPr>
                <w:rFonts w:hint="eastAsia" w:cs="宋体"/>
                <w:color w:val="000000"/>
                <w:szCs w:val="21"/>
                <w:highlight w:val="none"/>
              </w:rPr>
              <w:t>支持决策类知识的维护，可根据医院自身、临床专科的特点对知识库进行补充、完善。</w:t>
            </w:r>
          </w:p>
        </w:tc>
      </w:tr>
      <w:tr w14:paraId="2150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60" w:type="pct"/>
            <w:vMerge w:val="continue"/>
            <w:vAlign w:val="center"/>
          </w:tcPr>
          <w:p w14:paraId="160FC4CA">
            <w:pPr>
              <w:pStyle w:val="362"/>
              <w:jc w:val="both"/>
              <w:rPr>
                <w:rFonts w:hint="eastAsia" w:ascii="宋体" w:hAnsi="宋体" w:cs="宋体"/>
                <w:color w:val="000000"/>
                <w:szCs w:val="21"/>
                <w:highlight w:val="none"/>
              </w:rPr>
            </w:pPr>
          </w:p>
        </w:tc>
        <w:tc>
          <w:tcPr>
            <w:tcW w:w="982" w:type="pct"/>
            <w:vAlign w:val="center"/>
          </w:tcPr>
          <w:p w14:paraId="75FD46DB">
            <w:pPr>
              <w:widowControl/>
              <w:rPr>
                <w:rFonts w:hint="eastAsia" w:cs="宋体"/>
                <w:color w:val="000000"/>
                <w:szCs w:val="21"/>
                <w:highlight w:val="none"/>
              </w:rPr>
            </w:pPr>
            <w:r>
              <w:rPr>
                <w:rFonts w:hint="eastAsia" w:cs="宋体"/>
                <w:color w:val="000000"/>
                <w:szCs w:val="21"/>
                <w:highlight w:val="none"/>
              </w:rPr>
              <w:t>中医知识库自建管理</w:t>
            </w:r>
          </w:p>
        </w:tc>
        <w:tc>
          <w:tcPr>
            <w:tcW w:w="3457" w:type="pct"/>
            <w:vAlign w:val="center"/>
          </w:tcPr>
          <w:p w14:paraId="109438B9">
            <w:pPr>
              <w:rPr>
                <w:rFonts w:hint="eastAsia" w:cs="宋体"/>
                <w:color w:val="000000"/>
                <w:szCs w:val="21"/>
                <w:highlight w:val="none"/>
              </w:rPr>
            </w:pPr>
            <w:r>
              <w:rPr>
                <w:rFonts w:hint="eastAsia" w:cs="宋体"/>
                <w:color w:val="000000"/>
                <w:szCs w:val="21"/>
                <w:highlight w:val="none"/>
              </w:rPr>
              <w:t>支持下线、上线、审核、删除、编辑、新增中医知识和质控点。</w:t>
            </w:r>
          </w:p>
        </w:tc>
      </w:tr>
      <w:tr w14:paraId="600C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30F29221">
            <w:pPr>
              <w:pStyle w:val="362"/>
              <w:jc w:val="both"/>
              <w:rPr>
                <w:rFonts w:hint="eastAsia" w:ascii="宋体" w:hAnsi="宋体" w:cs="宋体"/>
                <w:color w:val="000000"/>
                <w:szCs w:val="21"/>
                <w:highlight w:val="none"/>
              </w:rPr>
            </w:pPr>
          </w:p>
        </w:tc>
        <w:tc>
          <w:tcPr>
            <w:tcW w:w="982" w:type="pct"/>
            <w:vAlign w:val="center"/>
          </w:tcPr>
          <w:p w14:paraId="64DCC93D">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检验申请合理性质控点自定义</w:t>
            </w:r>
          </w:p>
        </w:tc>
        <w:tc>
          <w:tcPr>
            <w:tcW w:w="3457" w:type="pct"/>
            <w:vAlign w:val="center"/>
          </w:tcPr>
          <w:p w14:paraId="05210D6B">
            <w:pPr>
              <w:rPr>
                <w:rFonts w:hint="eastAsia" w:cs="宋体"/>
                <w:color w:val="000000"/>
                <w:szCs w:val="21"/>
                <w:highlight w:val="none"/>
              </w:rPr>
            </w:pPr>
            <w:r>
              <w:rPr>
                <w:rFonts w:hint="eastAsia" w:cs="宋体"/>
                <w:color w:val="000000"/>
                <w:szCs w:val="21"/>
                <w:highlight w:val="none"/>
              </w:rPr>
              <w:t>升级检验合理性质控点自定义功能。支持用户维护基于多种类型参数的检验合理性质控点，参数类型包括症状、体征、诊断、检查结果、检验结果、手术、性别、年龄等。下达申请医嘱时，能够针对病人性别、诊断、以往检验申请与结果等进行申请合理性自动审核并针对问题申请给出提示。例如：育龄期女性患者，如既往史中描述曾行双侧卵巢切除术或诊断为双侧卵巢切除术后状态，则当医生申请行性激素检验时，系统自动提醒卵巢切除术对检验结果有影响。</w:t>
            </w:r>
          </w:p>
        </w:tc>
      </w:tr>
      <w:tr w14:paraId="34A61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593266AD">
            <w:pPr>
              <w:pStyle w:val="362"/>
              <w:jc w:val="both"/>
              <w:rPr>
                <w:rFonts w:hint="eastAsia" w:ascii="宋体" w:hAnsi="宋体" w:cs="宋体"/>
                <w:color w:val="000000"/>
                <w:szCs w:val="21"/>
                <w:highlight w:val="none"/>
              </w:rPr>
            </w:pPr>
          </w:p>
        </w:tc>
        <w:tc>
          <w:tcPr>
            <w:tcW w:w="982" w:type="pct"/>
            <w:vAlign w:val="center"/>
          </w:tcPr>
          <w:p w14:paraId="7D99D6C8">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检查申请合理性质控点自定义</w:t>
            </w:r>
          </w:p>
        </w:tc>
        <w:tc>
          <w:tcPr>
            <w:tcW w:w="3457" w:type="pct"/>
            <w:vAlign w:val="center"/>
          </w:tcPr>
          <w:p w14:paraId="11D1B1FE">
            <w:pPr>
              <w:rPr>
                <w:rFonts w:hint="eastAsia" w:cs="宋体"/>
                <w:color w:val="000000"/>
                <w:szCs w:val="21"/>
                <w:highlight w:val="none"/>
              </w:rPr>
            </w:pPr>
            <w:r>
              <w:rPr>
                <w:rFonts w:hint="eastAsia" w:cs="宋体"/>
                <w:color w:val="000000"/>
                <w:szCs w:val="21"/>
                <w:highlight w:val="none"/>
              </w:rPr>
              <w:t>升级检查合理性质控点自定义功能。</w:t>
            </w:r>
            <w:r>
              <w:rPr>
                <w:rFonts w:hint="eastAsia" w:cs="宋体"/>
                <w:iCs/>
                <w:color w:val="000000"/>
                <w:szCs w:val="21"/>
                <w:highlight w:val="none"/>
              </w:rPr>
              <w:t>支持用户维护基于多种类型参数的检查合理性质控点，参数类型包括症状、体征、诊断、检查结果、检验结果、手术、性别、年龄等。例如：肥厚型梗阻性心肌病患者（诊断参数），患者心率&gt;100次/分（体征参数），当医生开具心电图运动负荷试验申请时，系统智能提醒：心电图运动负荷试验用于快速性心律失常者属于相对禁忌。</w:t>
            </w:r>
          </w:p>
        </w:tc>
      </w:tr>
      <w:tr w14:paraId="6EB45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560" w:type="pct"/>
            <w:vMerge w:val="continue"/>
            <w:vAlign w:val="center"/>
          </w:tcPr>
          <w:p w14:paraId="61C66874">
            <w:pPr>
              <w:pStyle w:val="362"/>
              <w:jc w:val="both"/>
              <w:rPr>
                <w:rFonts w:hint="eastAsia" w:ascii="宋体" w:hAnsi="宋体" w:cs="宋体"/>
                <w:color w:val="000000"/>
                <w:szCs w:val="21"/>
                <w:highlight w:val="none"/>
              </w:rPr>
            </w:pPr>
          </w:p>
        </w:tc>
        <w:tc>
          <w:tcPr>
            <w:tcW w:w="982" w:type="pct"/>
            <w:vAlign w:val="center"/>
          </w:tcPr>
          <w:p w14:paraId="13A22480">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手术申请合理性质控点自定义</w:t>
            </w:r>
          </w:p>
        </w:tc>
        <w:tc>
          <w:tcPr>
            <w:tcW w:w="3457" w:type="pct"/>
            <w:vAlign w:val="center"/>
          </w:tcPr>
          <w:p w14:paraId="4E5F0DBA">
            <w:pPr>
              <w:rPr>
                <w:rFonts w:hint="eastAsia" w:cs="宋体"/>
                <w:iCs/>
                <w:color w:val="000000"/>
                <w:szCs w:val="21"/>
                <w:highlight w:val="none"/>
              </w:rPr>
            </w:pPr>
            <w:r>
              <w:rPr>
                <w:rFonts w:hint="eastAsia" w:cs="宋体"/>
                <w:color w:val="000000"/>
                <w:szCs w:val="21"/>
                <w:highlight w:val="none"/>
              </w:rPr>
              <w:t>1.升级手</w:t>
            </w:r>
            <w:r>
              <w:rPr>
                <w:rFonts w:hint="eastAsia" w:cs="宋体"/>
                <w:iCs/>
                <w:color w:val="000000"/>
                <w:szCs w:val="21"/>
                <w:highlight w:val="none"/>
              </w:rPr>
              <w:t>术申请合理性质控点自定义功能。系统可根据检查、检验结果、病人评估信息和知识库，对高风险手术能给出警示。</w:t>
            </w:r>
          </w:p>
          <w:p w14:paraId="2F9E807F">
            <w:pPr>
              <w:rPr>
                <w:rFonts w:hint="eastAsia"/>
                <w:szCs w:val="21"/>
                <w:highlight w:val="none"/>
              </w:rPr>
            </w:pPr>
            <w:r>
              <w:rPr>
                <w:rFonts w:hint="eastAsia" w:cs="宋体"/>
                <w:iCs/>
                <w:color w:val="000000"/>
                <w:szCs w:val="21"/>
                <w:highlight w:val="none"/>
              </w:rPr>
              <w:t>2.支持用户维护基于多种类型参数的手术合理性质控点，参数类型包括症状、体征、诊断、检查结果、检验结果、手术、性别、年龄等。</w:t>
            </w:r>
          </w:p>
        </w:tc>
      </w:tr>
      <w:tr w14:paraId="299FB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18C0A9C3">
            <w:pPr>
              <w:pStyle w:val="362"/>
              <w:jc w:val="both"/>
              <w:rPr>
                <w:rFonts w:hint="eastAsia" w:ascii="宋体" w:hAnsi="宋体" w:cs="宋体"/>
                <w:color w:val="000000"/>
                <w:szCs w:val="21"/>
                <w:highlight w:val="none"/>
              </w:rPr>
            </w:pPr>
          </w:p>
        </w:tc>
        <w:tc>
          <w:tcPr>
            <w:tcW w:w="982" w:type="pct"/>
            <w:vAlign w:val="center"/>
          </w:tcPr>
          <w:p w14:paraId="323D65D9">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用药合理性质控点自定义</w:t>
            </w:r>
          </w:p>
        </w:tc>
        <w:tc>
          <w:tcPr>
            <w:tcW w:w="3457" w:type="pct"/>
            <w:vAlign w:val="center"/>
          </w:tcPr>
          <w:p w14:paraId="7878FEA9">
            <w:pPr>
              <w:numPr>
                <w:ilvl w:val="255"/>
                <w:numId w:val="0"/>
              </w:numPr>
              <w:rPr>
                <w:rFonts w:hint="eastAsia" w:cs="宋体"/>
                <w:iCs/>
                <w:color w:val="000000"/>
                <w:szCs w:val="21"/>
                <w:highlight w:val="none"/>
              </w:rPr>
            </w:pPr>
            <w:r>
              <w:rPr>
                <w:rFonts w:hint="eastAsia" w:cs="宋体"/>
                <w:color w:val="000000"/>
                <w:szCs w:val="21"/>
                <w:highlight w:val="none"/>
              </w:rPr>
              <w:t>1.升级自定</w:t>
            </w:r>
            <w:r>
              <w:rPr>
                <w:rFonts w:hint="eastAsia" w:cs="宋体"/>
                <w:iCs/>
                <w:color w:val="000000"/>
                <w:szCs w:val="21"/>
                <w:highlight w:val="none"/>
              </w:rPr>
              <w:t>义用药合理性质控点自定义功能。支持用户维护基于多种类型参数的用药合理性质控点，参数类型包括症状、体征、诊断、检查结果、检验结果、手术、性别、年龄等。</w:t>
            </w:r>
          </w:p>
          <w:p w14:paraId="54CE8883">
            <w:pPr>
              <w:numPr>
                <w:ilvl w:val="255"/>
                <w:numId w:val="0"/>
              </w:numPr>
              <w:rPr>
                <w:rFonts w:hint="eastAsia" w:cs="宋体"/>
                <w:color w:val="000000"/>
                <w:szCs w:val="21"/>
                <w:highlight w:val="none"/>
              </w:rPr>
            </w:pPr>
            <w:r>
              <w:rPr>
                <w:rFonts w:hint="eastAsia" w:cs="宋体"/>
                <w:iCs/>
                <w:color w:val="000000"/>
                <w:szCs w:val="21"/>
                <w:highlight w:val="none"/>
              </w:rPr>
              <w:t>2.下达医嘱时能够参考药品、检查、检验、药物过敏、诊断、性别等相关内容知识库至少4项内容进行自动检查并给出提示。</w:t>
            </w:r>
          </w:p>
          <w:p w14:paraId="1257F1D1">
            <w:pPr>
              <w:numPr>
                <w:ilvl w:val="0"/>
                <w:numId w:val="56"/>
              </w:numPr>
              <w:spacing w:line="240" w:lineRule="auto"/>
              <w:rPr>
                <w:rFonts w:hint="eastAsia" w:cs="宋体"/>
                <w:color w:val="000000"/>
                <w:szCs w:val="21"/>
                <w:highlight w:val="none"/>
              </w:rPr>
            </w:pPr>
            <w:r>
              <w:rPr>
                <w:rFonts w:hint="eastAsia" w:cs="宋体"/>
                <w:color w:val="000000"/>
                <w:szCs w:val="21"/>
                <w:highlight w:val="none"/>
              </w:rPr>
              <w:t>支持对高危药品开立给与警示。支持按照分钟、小时、天配置高危药品提示的时效，例如，可高危药品提醒2天后消失，长期医嘱和临时医嘱可分别单独配置。</w:t>
            </w:r>
          </w:p>
          <w:p w14:paraId="52E4ABCD">
            <w:pPr>
              <w:numPr>
                <w:ilvl w:val="255"/>
                <w:numId w:val="0"/>
              </w:numPr>
              <w:rPr>
                <w:rFonts w:hint="eastAsia"/>
                <w:szCs w:val="21"/>
                <w:highlight w:val="none"/>
              </w:rPr>
            </w:pPr>
            <w:r>
              <w:rPr>
                <w:rFonts w:hint="eastAsia" w:cs="宋体"/>
                <w:color w:val="000000"/>
                <w:szCs w:val="21"/>
                <w:highlight w:val="none"/>
              </w:rPr>
              <w:t>4.支持从药品预警提示信息，一键关联查看不合理药品的药品说明书</w:t>
            </w:r>
          </w:p>
        </w:tc>
      </w:tr>
      <w:tr w14:paraId="13C8C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trPr>
        <w:tc>
          <w:tcPr>
            <w:tcW w:w="560" w:type="pct"/>
            <w:vMerge w:val="continue"/>
            <w:vAlign w:val="center"/>
          </w:tcPr>
          <w:p w14:paraId="7078C3AD">
            <w:pPr>
              <w:pStyle w:val="362"/>
              <w:jc w:val="both"/>
              <w:rPr>
                <w:rFonts w:hint="eastAsia" w:ascii="宋体" w:hAnsi="宋体" w:cs="宋体"/>
                <w:color w:val="000000"/>
                <w:szCs w:val="21"/>
                <w:highlight w:val="none"/>
              </w:rPr>
            </w:pPr>
          </w:p>
        </w:tc>
        <w:tc>
          <w:tcPr>
            <w:tcW w:w="982" w:type="pct"/>
            <w:vAlign w:val="center"/>
          </w:tcPr>
          <w:p w14:paraId="63F7C459">
            <w:pPr>
              <w:widowControl/>
              <w:rPr>
                <w:rFonts w:hint="eastAsia" w:cs="宋体"/>
                <w:color w:val="000000"/>
                <w:szCs w:val="21"/>
                <w:highlight w:val="none"/>
              </w:rPr>
            </w:pPr>
            <w:r>
              <w:rPr>
                <w:rFonts w:hint="eastAsia" w:cs="宋体"/>
                <w:iCs/>
                <w:color w:val="000000"/>
                <w:kern w:val="0"/>
                <w:szCs w:val="21"/>
                <w:highlight w:val="none"/>
              </w:rPr>
              <w:t>高风险治疗预警质控点自定义</w:t>
            </w:r>
          </w:p>
        </w:tc>
        <w:tc>
          <w:tcPr>
            <w:tcW w:w="3457" w:type="pct"/>
            <w:vAlign w:val="center"/>
          </w:tcPr>
          <w:p w14:paraId="333477F4">
            <w:pPr>
              <w:widowControl/>
              <w:rPr>
                <w:rFonts w:hint="eastAsia" w:cs="宋体"/>
                <w:iCs/>
                <w:color w:val="000000"/>
                <w:szCs w:val="21"/>
                <w:highlight w:val="none"/>
              </w:rPr>
            </w:pPr>
            <w:r>
              <w:rPr>
                <w:rFonts w:hint="eastAsia" w:cs="宋体"/>
                <w:color w:val="000000"/>
                <w:szCs w:val="21"/>
                <w:highlight w:val="none"/>
              </w:rPr>
              <w:t>1.</w:t>
            </w:r>
            <w:r>
              <w:rPr>
                <w:rFonts w:hint="eastAsia" w:cs="宋体"/>
                <w:iCs/>
                <w:color w:val="000000"/>
                <w:kern w:val="0"/>
                <w:szCs w:val="21"/>
                <w:highlight w:val="none"/>
              </w:rPr>
              <w:t>支持医院自定义高风险治疗(透析、放疗)合</w:t>
            </w:r>
            <w:r>
              <w:rPr>
                <w:rFonts w:hint="eastAsia" w:cs="宋体"/>
                <w:iCs/>
                <w:color w:val="000000"/>
                <w:szCs w:val="21"/>
                <w:highlight w:val="none"/>
              </w:rPr>
              <w:t>理性质控点自定义功能，对于高风险治疗有预警和必要的核查。</w:t>
            </w:r>
          </w:p>
          <w:p w14:paraId="7EEA9B83">
            <w:pPr>
              <w:widowControl/>
              <w:rPr>
                <w:rFonts w:hint="eastAsia" w:cs="宋体"/>
                <w:iCs/>
                <w:color w:val="000000"/>
                <w:kern w:val="0"/>
                <w:szCs w:val="21"/>
                <w:highlight w:val="none"/>
              </w:rPr>
            </w:pPr>
            <w:r>
              <w:rPr>
                <w:rFonts w:hint="eastAsia" w:cs="宋体"/>
                <w:iCs/>
                <w:color w:val="000000"/>
                <w:szCs w:val="21"/>
                <w:highlight w:val="none"/>
              </w:rPr>
              <w:t>2.质控点的触发条件包括：性别、年龄（可设置区间）、诊断条件、主要条件（可设置症状</w:t>
            </w:r>
            <w:r>
              <w:rPr>
                <w:rFonts w:hint="eastAsia" w:cs="宋体"/>
                <w:iCs/>
                <w:color w:val="000000"/>
                <w:kern w:val="0"/>
                <w:szCs w:val="21"/>
                <w:highlight w:val="none"/>
              </w:rPr>
              <w:t>、体征、检验结果、检查结果、评估表结果）。</w:t>
            </w:r>
          </w:p>
          <w:p w14:paraId="095CE28F">
            <w:pPr>
              <w:widowControl/>
              <w:rPr>
                <w:rFonts w:hint="eastAsia" w:cs="宋体"/>
                <w:iCs/>
                <w:color w:val="000000"/>
                <w:kern w:val="0"/>
                <w:szCs w:val="21"/>
                <w:highlight w:val="none"/>
              </w:rPr>
            </w:pPr>
            <w:r>
              <w:rPr>
                <w:rFonts w:hint="eastAsia" w:cs="宋体"/>
                <w:iCs/>
                <w:color w:val="000000"/>
                <w:kern w:val="0"/>
                <w:szCs w:val="21"/>
                <w:highlight w:val="none"/>
              </w:rPr>
              <w:t>3.病房医师在医嘱系统下达治疗医嘱时，系统可以自动根据患者信息进行合理性审核，如满足质控点设置条件，则做出预警。</w:t>
            </w:r>
          </w:p>
          <w:p w14:paraId="4B6C4610">
            <w:pPr>
              <w:widowControl/>
              <w:rPr>
                <w:rFonts w:hint="eastAsia" w:cs="宋体"/>
                <w:color w:val="000000"/>
                <w:szCs w:val="21"/>
                <w:highlight w:val="none"/>
              </w:rPr>
            </w:pPr>
            <w:r>
              <w:rPr>
                <w:rFonts w:hint="eastAsia" w:cs="宋体"/>
                <w:iCs/>
                <w:color w:val="000000"/>
                <w:kern w:val="0"/>
                <w:szCs w:val="21"/>
                <w:highlight w:val="none"/>
              </w:rPr>
              <w:t>4.预警免除：如对于符合触发条件的病例，允许特殊情况下不做提醒，可通过将这些特殊情况设置为否定条件实现该功能。</w:t>
            </w:r>
          </w:p>
        </w:tc>
      </w:tr>
      <w:tr w14:paraId="66022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0" w:type="pct"/>
            <w:vMerge w:val="continue"/>
            <w:vAlign w:val="center"/>
          </w:tcPr>
          <w:p w14:paraId="18106AEF">
            <w:pPr>
              <w:pStyle w:val="362"/>
              <w:jc w:val="both"/>
              <w:rPr>
                <w:rFonts w:hint="eastAsia" w:ascii="宋体" w:hAnsi="宋体" w:cs="宋体"/>
                <w:color w:val="000000"/>
                <w:szCs w:val="21"/>
                <w:highlight w:val="none"/>
              </w:rPr>
            </w:pPr>
          </w:p>
        </w:tc>
        <w:tc>
          <w:tcPr>
            <w:tcW w:w="982" w:type="pct"/>
            <w:vAlign w:val="center"/>
          </w:tcPr>
          <w:p w14:paraId="48E30986">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诊断合理性质控点自定义</w:t>
            </w:r>
          </w:p>
        </w:tc>
        <w:tc>
          <w:tcPr>
            <w:tcW w:w="3457" w:type="pct"/>
            <w:vAlign w:val="center"/>
          </w:tcPr>
          <w:p w14:paraId="48F12415">
            <w:pPr>
              <w:rPr>
                <w:rFonts w:hint="eastAsia" w:cs="宋体"/>
                <w:iCs/>
                <w:color w:val="000000"/>
                <w:szCs w:val="21"/>
                <w:highlight w:val="none"/>
              </w:rPr>
            </w:pPr>
            <w:r>
              <w:rPr>
                <w:rFonts w:hint="eastAsia" w:cs="宋体"/>
                <w:color w:val="000000"/>
                <w:szCs w:val="21"/>
                <w:highlight w:val="none"/>
              </w:rPr>
              <w:t>诊断合理性质控点自定义功能升级。</w:t>
            </w:r>
            <w:r>
              <w:rPr>
                <w:rFonts w:hint="eastAsia" w:cs="宋体"/>
                <w:iCs/>
                <w:color w:val="000000"/>
                <w:szCs w:val="21"/>
                <w:highlight w:val="none"/>
              </w:rPr>
              <w:t>支持用户维护基于多种类型参数的诊断合理性质控点，参数类型包括症状、体征、诊断、检查结果、检验结果、手术、性别、年龄等。</w:t>
            </w:r>
          </w:p>
        </w:tc>
      </w:tr>
      <w:tr w14:paraId="0DA0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7AD0FBD2">
            <w:pPr>
              <w:pStyle w:val="362"/>
              <w:jc w:val="both"/>
              <w:rPr>
                <w:rFonts w:hint="eastAsia" w:ascii="宋体" w:hAnsi="宋体" w:cs="宋体"/>
                <w:color w:val="000000"/>
                <w:szCs w:val="21"/>
                <w:highlight w:val="none"/>
              </w:rPr>
            </w:pPr>
          </w:p>
        </w:tc>
        <w:tc>
          <w:tcPr>
            <w:tcW w:w="982" w:type="pct"/>
            <w:vAlign w:val="center"/>
          </w:tcPr>
          <w:p w14:paraId="3E599B6E">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用血合理性质控点自定义</w:t>
            </w:r>
          </w:p>
        </w:tc>
        <w:tc>
          <w:tcPr>
            <w:tcW w:w="3457" w:type="pct"/>
            <w:vAlign w:val="center"/>
          </w:tcPr>
          <w:p w14:paraId="0EAC936C">
            <w:pPr>
              <w:rPr>
                <w:rFonts w:hint="eastAsia" w:cs="宋体"/>
                <w:iCs/>
                <w:color w:val="000000"/>
                <w:szCs w:val="21"/>
                <w:highlight w:val="none"/>
              </w:rPr>
            </w:pPr>
            <w:r>
              <w:rPr>
                <w:rFonts w:hint="eastAsia" w:cs="宋体"/>
                <w:iCs/>
                <w:color w:val="000000"/>
                <w:kern w:val="0"/>
                <w:szCs w:val="21"/>
                <w:highlight w:val="none"/>
              </w:rPr>
              <w:t>新增自定义</w:t>
            </w:r>
            <w:r>
              <w:rPr>
                <w:rFonts w:hint="eastAsia" w:cs="宋体"/>
                <w:color w:val="000000"/>
                <w:szCs w:val="21"/>
                <w:highlight w:val="none"/>
              </w:rPr>
              <w:t>用血合理性质控点功能。</w:t>
            </w:r>
            <w:r>
              <w:rPr>
                <w:rFonts w:hint="eastAsia" w:cs="宋体"/>
                <w:iCs/>
                <w:color w:val="000000"/>
                <w:kern w:val="0"/>
                <w:szCs w:val="21"/>
                <w:highlight w:val="none"/>
              </w:rPr>
              <w:t>支持医院自定义用血合理性质控点，病房医师在输血申请下达输血医嘱时，可以根据患者病情进行合理性审核，并给出预警提示。</w:t>
            </w:r>
          </w:p>
        </w:tc>
      </w:tr>
      <w:tr w14:paraId="504B6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57305432">
            <w:pPr>
              <w:pStyle w:val="362"/>
              <w:jc w:val="both"/>
              <w:rPr>
                <w:rFonts w:hint="eastAsia" w:ascii="宋体" w:hAnsi="宋体" w:cs="宋体"/>
                <w:color w:val="000000"/>
                <w:szCs w:val="21"/>
                <w:highlight w:val="none"/>
              </w:rPr>
            </w:pPr>
          </w:p>
        </w:tc>
        <w:tc>
          <w:tcPr>
            <w:tcW w:w="982" w:type="pct"/>
            <w:vAlign w:val="center"/>
          </w:tcPr>
          <w:p w14:paraId="741AEC8F">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标本合理性质控点自定义</w:t>
            </w:r>
          </w:p>
        </w:tc>
        <w:tc>
          <w:tcPr>
            <w:tcW w:w="3457" w:type="pct"/>
            <w:vAlign w:val="center"/>
          </w:tcPr>
          <w:p w14:paraId="47F22774">
            <w:pPr>
              <w:rPr>
                <w:rFonts w:hint="eastAsia" w:cs="宋体"/>
                <w:iCs/>
                <w:color w:val="000000"/>
                <w:kern w:val="0"/>
                <w:szCs w:val="21"/>
                <w:highlight w:val="none"/>
              </w:rPr>
            </w:pPr>
            <w:r>
              <w:rPr>
                <w:rFonts w:hint="eastAsia" w:cs="宋体"/>
                <w:color w:val="000000"/>
                <w:szCs w:val="21"/>
                <w:highlight w:val="none"/>
              </w:rPr>
              <w:t>1.新增自定义标本合理性质控点功能。</w:t>
            </w:r>
            <w:r>
              <w:rPr>
                <w:rFonts w:hint="eastAsia" w:cs="宋体"/>
                <w:iCs/>
                <w:color w:val="000000"/>
                <w:kern w:val="0"/>
                <w:szCs w:val="21"/>
                <w:highlight w:val="none"/>
              </w:rPr>
              <w:t>支持医院基于多种参数自定义标本合理性质控点。病房医师在医嘱系统下达检验医嘱时，系统基于质控点对标本进行合理性审核。</w:t>
            </w:r>
          </w:p>
          <w:p w14:paraId="2FE07092">
            <w:pPr>
              <w:rPr>
                <w:rFonts w:hint="eastAsia" w:cs="宋体"/>
                <w:iCs/>
                <w:color w:val="000000"/>
                <w:szCs w:val="21"/>
                <w:highlight w:val="none"/>
              </w:rPr>
            </w:pPr>
            <w:r>
              <w:rPr>
                <w:rFonts w:hint="eastAsia" w:cs="宋体"/>
                <w:iCs/>
                <w:color w:val="000000"/>
                <w:kern w:val="0"/>
                <w:szCs w:val="21"/>
                <w:highlight w:val="none"/>
              </w:rPr>
              <w:t>2.支持在标本签收场景时，系统根据标本与检验项目信息进行标本合理性审核，为检验医生提供预警提示。</w:t>
            </w:r>
          </w:p>
        </w:tc>
      </w:tr>
      <w:tr w14:paraId="6877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vAlign w:val="center"/>
          </w:tcPr>
          <w:p w14:paraId="7886A8F3">
            <w:pPr>
              <w:pStyle w:val="362"/>
              <w:jc w:val="both"/>
              <w:rPr>
                <w:rFonts w:hint="eastAsia" w:ascii="宋体" w:hAnsi="宋体" w:cs="宋体"/>
                <w:color w:val="000000"/>
                <w:szCs w:val="21"/>
                <w:highlight w:val="none"/>
              </w:rPr>
            </w:pPr>
          </w:p>
        </w:tc>
        <w:tc>
          <w:tcPr>
            <w:tcW w:w="982" w:type="pct"/>
            <w:vAlign w:val="center"/>
          </w:tcPr>
          <w:p w14:paraId="610C7074">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检验检查重复性质控点自定义</w:t>
            </w:r>
          </w:p>
        </w:tc>
        <w:tc>
          <w:tcPr>
            <w:tcW w:w="3457" w:type="pct"/>
            <w:vAlign w:val="center"/>
          </w:tcPr>
          <w:p w14:paraId="35430DD9">
            <w:pPr>
              <w:rPr>
                <w:rFonts w:hint="eastAsia" w:cs="宋体"/>
                <w:iCs/>
                <w:color w:val="000000"/>
                <w:szCs w:val="21"/>
                <w:highlight w:val="none"/>
              </w:rPr>
            </w:pPr>
            <w:r>
              <w:rPr>
                <w:rFonts w:hint="eastAsia" w:cs="宋体"/>
                <w:iCs/>
                <w:color w:val="000000"/>
                <w:szCs w:val="21"/>
                <w:highlight w:val="none"/>
              </w:rPr>
              <w:t>支持医院自定义检验/检查重复性质控点，病房医师在医嘱系统下达检验/检查医嘱时，可以根据检验/检查医嘱在自定义时间内是否重复开具审核，并给出预警提示。</w:t>
            </w:r>
          </w:p>
        </w:tc>
      </w:tr>
      <w:tr w14:paraId="45C4E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560" w:type="pct"/>
            <w:vMerge w:val="continue"/>
            <w:vAlign w:val="center"/>
          </w:tcPr>
          <w:p w14:paraId="3B301A87">
            <w:pPr>
              <w:pStyle w:val="362"/>
              <w:jc w:val="both"/>
              <w:rPr>
                <w:rFonts w:hint="eastAsia" w:ascii="宋体" w:hAnsi="宋体" w:cs="宋体"/>
                <w:color w:val="000000"/>
                <w:szCs w:val="21"/>
                <w:highlight w:val="none"/>
              </w:rPr>
            </w:pPr>
          </w:p>
        </w:tc>
        <w:tc>
          <w:tcPr>
            <w:tcW w:w="982" w:type="pct"/>
            <w:vAlign w:val="center"/>
          </w:tcPr>
          <w:p w14:paraId="3F768B27">
            <w:pPr>
              <w:rPr>
                <w:rFonts w:hint="eastAsia" w:cs="宋体"/>
                <w:iCs/>
                <w:color w:val="000000"/>
                <w:szCs w:val="21"/>
                <w:highlight w:val="none"/>
              </w:rPr>
            </w:pPr>
            <w:r>
              <w:rPr>
                <w:rFonts w:hint="eastAsia" w:cs="宋体"/>
                <w:iCs/>
                <w:color w:val="000000"/>
                <w:szCs w:val="21"/>
                <w:highlight w:val="none"/>
              </w:rPr>
              <w:t>用药不良反应预警质控点自定义</w:t>
            </w:r>
          </w:p>
        </w:tc>
        <w:tc>
          <w:tcPr>
            <w:tcW w:w="3457" w:type="pct"/>
            <w:vAlign w:val="center"/>
          </w:tcPr>
          <w:p w14:paraId="41C53667">
            <w:pPr>
              <w:rPr>
                <w:rFonts w:hint="eastAsia" w:cs="宋体"/>
                <w:iCs/>
                <w:color w:val="000000"/>
                <w:szCs w:val="21"/>
                <w:highlight w:val="none"/>
              </w:rPr>
            </w:pPr>
            <w:r>
              <w:rPr>
                <w:rFonts w:hint="eastAsia" w:cs="宋体"/>
                <w:iCs/>
                <w:color w:val="000000"/>
                <w:szCs w:val="21"/>
                <w:highlight w:val="none"/>
              </w:rPr>
              <w:t>可设置质控点对用药后的不良反应进行监测。开立药品医嘱后，系统自动监测患者临床表现、检验检查结果等信息，对存在的用药不良反应进行提示。例如，医生开立莫诺拉韦胶囊后，系统自动识别患者病历内容中出现“腹泻”或“恶心”或“头晕”时，系统推送用药不良反应提醒。</w:t>
            </w:r>
          </w:p>
        </w:tc>
      </w:tr>
      <w:tr w14:paraId="3F06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0" w:type="pct"/>
            <w:vMerge w:val="continue"/>
            <w:vAlign w:val="center"/>
          </w:tcPr>
          <w:p w14:paraId="2D224993">
            <w:pPr>
              <w:pStyle w:val="362"/>
              <w:jc w:val="both"/>
              <w:rPr>
                <w:rFonts w:hint="eastAsia" w:ascii="宋体" w:hAnsi="宋体" w:cs="宋体"/>
                <w:color w:val="000000"/>
                <w:szCs w:val="21"/>
                <w:highlight w:val="none"/>
              </w:rPr>
            </w:pPr>
          </w:p>
        </w:tc>
        <w:tc>
          <w:tcPr>
            <w:tcW w:w="982" w:type="pct"/>
            <w:vAlign w:val="center"/>
          </w:tcPr>
          <w:p w14:paraId="176D4F3E">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智能推荐护理评估表</w:t>
            </w:r>
          </w:p>
        </w:tc>
        <w:tc>
          <w:tcPr>
            <w:tcW w:w="3457" w:type="pct"/>
            <w:vAlign w:val="center"/>
          </w:tcPr>
          <w:p w14:paraId="5785B1E6">
            <w:pPr>
              <w:pStyle w:val="362"/>
              <w:jc w:val="both"/>
              <w:rPr>
                <w:rFonts w:hint="eastAsia" w:ascii="宋体" w:hAnsi="宋体" w:cs="宋体"/>
                <w:color w:val="000000"/>
                <w:spacing w:val="2"/>
                <w:szCs w:val="21"/>
                <w:highlight w:val="none"/>
              </w:rPr>
            </w:pPr>
            <w:r>
              <w:rPr>
                <w:rFonts w:hint="eastAsia" w:ascii="宋体" w:hAnsi="宋体" w:cs="宋体"/>
                <w:color w:val="000000"/>
                <w:spacing w:val="2"/>
                <w:szCs w:val="21"/>
                <w:highlight w:val="none"/>
              </w:rPr>
              <w:t>系统可根据患者病情，自动推送护理评估表，评估表支持预览、打印，能够根据勾选的评估细项或填写的体征数据生成评估结论</w:t>
            </w:r>
            <w:r>
              <w:rPr>
                <w:rFonts w:hint="eastAsia" w:ascii="宋体" w:hAnsi="宋体" w:cs="宋体"/>
                <w:color w:val="000000"/>
                <w:szCs w:val="21"/>
                <w:highlight w:val="none"/>
              </w:rPr>
              <w:t>。评估结论支持与第三方厂家对接后实现回填。</w:t>
            </w:r>
          </w:p>
        </w:tc>
      </w:tr>
      <w:tr w14:paraId="44E7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560" w:type="pct"/>
            <w:vMerge w:val="continue"/>
            <w:vAlign w:val="center"/>
          </w:tcPr>
          <w:p w14:paraId="7BC67C8F">
            <w:pPr>
              <w:pStyle w:val="362"/>
              <w:jc w:val="both"/>
              <w:rPr>
                <w:rFonts w:hint="eastAsia" w:ascii="宋体" w:hAnsi="宋体" w:cs="宋体"/>
                <w:color w:val="000000"/>
                <w:szCs w:val="21"/>
                <w:highlight w:val="none"/>
              </w:rPr>
            </w:pPr>
          </w:p>
        </w:tc>
        <w:tc>
          <w:tcPr>
            <w:tcW w:w="982" w:type="pct"/>
            <w:vAlign w:val="center"/>
          </w:tcPr>
          <w:p w14:paraId="08A57309">
            <w:pPr>
              <w:pStyle w:val="362"/>
              <w:jc w:val="both"/>
              <w:rPr>
                <w:rFonts w:hint="eastAsia" w:ascii="宋体" w:hAnsi="宋体" w:cs="宋体"/>
                <w:color w:val="000000"/>
                <w:szCs w:val="21"/>
                <w:highlight w:val="none"/>
              </w:rPr>
            </w:pPr>
            <w:r>
              <w:rPr>
                <w:rFonts w:hint="eastAsia" w:ascii="宋体" w:hAnsi="宋体" w:cs="宋体"/>
                <w:color w:val="000000"/>
                <w:szCs w:val="21"/>
                <w:highlight w:val="none"/>
              </w:rPr>
              <w:t>智能推荐护理措施</w:t>
            </w:r>
          </w:p>
        </w:tc>
        <w:tc>
          <w:tcPr>
            <w:tcW w:w="3457" w:type="pct"/>
            <w:vAlign w:val="center"/>
          </w:tcPr>
          <w:p w14:paraId="4E3AE820">
            <w:pPr>
              <w:pStyle w:val="362"/>
              <w:jc w:val="both"/>
              <w:rPr>
                <w:rFonts w:hint="eastAsia" w:ascii="宋体" w:hAnsi="宋体" w:cs="宋体"/>
                <w:color w:val="000000"/>
                <w:spacing w:val="2"/>
                <w:szCs w:val="21"/>
                <w:highlight w:val="none"/>
              </w:rPr>
            </w:pPr>
            <w:r>
              <w:rPr>
                <w:rFonts w:hint="eastAsia" w:ascii="宋体" w:hAnsi="宋体" w:cs="宋体"/>
                <w:color w:val="000000"/>
                <w:spacing w:val="2"/>
                <w:szCs w:val="21"/>
                <w:highlight w:val="none"/>
              </w:rPr>
              <w:t>根据护理记录（如病人体征等）可自动推送护理处置措施建议</w:t>
            </w:r>
            <w:r>
              <w:rPr>
                <w:rFonts w:hint="eastAsia" w:ascii="宋体" w:hAnsi="宋体" w:cs="宋体"/>
                <w:color w:val="000000"/>
                <w:szCs w:val="21"/>
                <w:highlight w:val="none"/>
              </w:rPr>
              <w:t>；系统可自动识别危急值，为护理人员推送护理处置策略，通知医生患者当前的危急值；能够根据病人生命体征、评估结果等，</w:t>
            </w:r>
            <w:r>
              <w:rPr>
                <w:rFonts w:hint="eastAsia" w:ascii="宋体" w:hAnsi="宋体" w:cs="宋体"/>
                <w:color w:val="000000"/>
                <w:spacing w:val="2"/>
                <w:szCs w:val="21"/>
                <w:highlight w:val="none"/>
              </w:rPr>
              <w:t>智能推荐护理处置建</w:t>
            </w:r>
            <w:r>
              <w:rPr>
                <w:rFonts w:hint="eastAsia" w:ascii="宋体" w:hAnsi="宋体" w:cs="宋体"/>
                <w:color w:val="000000"/>
                <w:szCs w:val="21"/>
                <w:highlight w:val="none"/>
              </w:rPr>
              <w:t>议。</w:t>
            </w:r>
          </w:p>
        </w:tc>
      </w:tr>
      <w:tr w14:paraId="54CB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restart"/>
            <w:tcBorders>
              <w:top w:val="single" w:color="auto" w:sz="4" w:space="0"/>
            </w:tcBorders>
            <w:vAlign w:val="center"/>
          </w:tcPr>
          <w:p w14:paraId="11AA531A">
            <w:pPr>
              <w:rPr>
                <w:rFonts w:hint="eastAsia" w:cs="宋体"/>
                <w:szCs w:val="21"/>
                <w:highlight w:val="none"/>
              </w:rPr>
            </w:pPr>
            <w:r>
              <w:rPr>
                <w:rFonts w:hint="eastAsia" w:cs="宋体"/>
                <w:szCs w:val="21"/>
                <w:highlight w:val="none"/>
              </w:rPr>
              <w:t>系统设置升级</w:t>
            </w:r>
          </w:p>
        </w:tc>
        <w:tc>
          <w:tcPr>
            <w:tcW w:w="982" w:type="pct"/>
            <w:vMerge w:val="restart"/>
            <w:vAlign w:val="center"/>
          </w:tcPr>
          <w:p w14:paraId="4E42CD7C">
            <w:pPr>
              <w:rPr>
                <w:rFonts w:hint="eastAsia" w:cs="宋体"/>
                <w:szCs w:val="21"/>
                <w:highlight w:val="none"/>
              </w:rPr>
            </w:pPr>
            <w:r>
              <w:rPr>
                <w:rFonts w:hint="eastAsia" w:cs="宋体"/>
                <w:szCs w:val="21"/>
                <w:highlight w:val="none"/>
              </w:rPr>
              <w:t>合理性提醒强度设置</w:t>
            </w:r>
          </w:p>
        </w:tc>
        <w:tc>
          <w:tcPr>
            <w:tcW w:w="3457" w:type="pct"/>
            <w:vAlign w:val="center"/>
          </w:tcPr>
          <w:p w14:paraId="73D1DAFF">
            <w:pPr>
              <w:rPr>
                <w:rFonts w:hint="eastAsia" w:cs="宋体"/>
                <w:szCs w:val="21"/>
                <w:highlight w:val="none"/>
              </w:rPr>
            </w:pPr>
            <w:r>
              <w:rPr>
                <w:rFonts w:hint="eastAsia" w:cs="宋体"/>
                <w:szCs w:val="21"/>
                <w:highlight w:val="none"/>
              </w:rPr>
              <w:t>支持对检验、手术、检验/检查重复性、用血、检查、用药、诊断、处置等医嘱的合理性提醒强度进行三级提醒自定义（强/中/弱）</w:t>
            </w:r>
          </w:p>
        </w:tc>
      </w:tr>
      <w:tr w14:paraId="5E28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17E41010">
            <w:pPr>
              <w:rPr>
                <w:rFonts w:hint="eastAsia" w:cs="宋体"/>
                <w:szCs w:val="21"/>
                <w:highlight w:val="none"/>
              </w:rPr>
            </w:pPr>
          </w:p>
        </w:tc>
        <w:tc>
          <w:tcPr>
            <w:tcW w:w="982" w:type="pct"/>
            <w:vMerge w:val="continue"/>
            <w:vAlign w:val="center"/>
          </w:tcPr>
          <w:p w14:paraId="2348F7E7">
            <w:pPr>
              <w:rPr>
                <w:rFonts w:hint="eastAsia" w:cs="宋体"/>
                <w:szCs w:val="21"/>
                <w:highlight w:val="none"/>
              </w:rPr>
            </w:pPr>
          </w:p>
        </w:tc>
        <w:tc>
          <w:tcPr>
            <w:tcW w:w="3457" w:type="pct"/>
            <w:vAlign w:val="center"/>
          </w:tcPr>
          <w:p w14:paraId="415B1456">
            <w:pPr>
              <w:rPr>
                <w:rFonts w:hint="eastAsia" w:cs="宋体"/>
                <w:szCs w:val="21"/>
                <w:highlight w:val="none"/>
              </w:rPr>
            </w:pPr>
            <w:r>
              <w:rPr>
                <w:rFonts w:hint="eastAsia" w:cs="宋体"/>
                <w:szCs w:val="21"/>
                <w:highlight w:val="none"/>
              </w:rPr>
              <w:t>支持按照科室分别配置每个科室的检验合理性提醒强度。</w:t>
            </w:r>
          </w:p>
        </w:tc>
      </w:tr>
      <w:tr w14:paraId="47BE4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560" w:type="pct"/>
            <w:vMerge w:val="continue"/>
            <w:tcBorders>
              <w:top w:val="single" w:color="auto" w:sz="4" w:space="0"/>
              <w:bottom w:val="single" w:color="auto" w:sz="4" w:space="0"/>
            </w:tcBorders>
            <w:vAlign w:val="center"/>
          </w:tcPr>
          <w:p w14:paraId="3FFAB196">
            <w:pPr>
              <w:rPr>
                <w:rFonts w:hint="eastAsia" w:cs="宋体"/>
                <w:szCs w:val="21"/>
                <w:highlight w:val="none"/>
              </w:rPr>
            </w:pPr>
          </w:p>
        </w:tc>
        <w:tc>
          <w:tcPr>
            <w:tcW w:w="982" w:type="pct"/>
            <w:vMerge w:val="continue"/>
            <w:vAlign w:val="center"/>
          </w:tcPr>
          <w:p w14:paraId="0F7B9712">
            <w:pPr>
              <w:rPr>
                <w:rFonts w:hint="eastAsia" w:cs="宋体"/>
                <w:szCs w:val="21"/>
                <w:highlight w:val="none"/>
              </w:rPr>
            </w:pPr>
          </w:p>
        </w:tc>
        <w:tc>
          <w:tcPr>
            <w:tcW w:w="3457" w:type="pct"/>
            <w:vAlign w:val="center"/>
          </w:tcPr>
          <w:p w14:paraId="135F3D45">
            <w:pPr>
              <w:rPr>
                <w:rFonts w:hint="eastAsia" w:cs="宋体"/>
                <w:szCs w:val="21"/>
                <w:highlight w:val="none"/>
              </w:rPr>
            </w:pPr>
            <w:r>
              <w:rPr>
                <w:rFonts w:hint="eastAsia" w:cs="宋体"/>
                <w:szCs w:val="21"/>
                <w:highlight w:val="none"/>
              </w:rPr>
              <w:t>支持按照科室分别配置每个科室的检查合理性提醒强度。</w:t>
            </w:r>
          </w:p>
        </w:tc>
      </w:tr>
      <w:tr w14:paraId="510E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6AD9DE7B">
            <w:pPr>
              <w:rPr>
                <w:rFonts w:hint="eastAsia" w:cs="宋体"/>
                <w:szCs w:val="21"/>
                <w:highlight w:val="none"/>
              </w:rPr>
            </w:pPr>
          </w:p>
        </w:tc>
        <w:tc>
          <w:tcPr>
            <w:tcW w:w="982" w:type="pct"/>
            <w:vMerge w:val="continue"/>
            <w:vAlign w:val="center"/>
          </w:tcPr>
          <w:p w14:paraId="4338F68A">
            <w:pPr>
              <w:rPr>
                <w:rFonts w:hint="eastAsia" w:cs="宋体"/>
                <w:szCs w:val="21"/>
                <w:highlight w:val="none"/>
              </w:rPr>
            </w:pPr>
          </w:p>
        </w:tc>
        <w:tc>
          <w:tcPr>
            <w:tcW w:w="3457" w:type="pct"/>
            <w:vAlign w:val="center"/>
          </w:tcPr>
          <w:p w14:paraId="7B56EEA9">
            <w:pPr>
              <w:rPr>
                <w:rFonts w:hint="eastAsia" w:cs="宋体"/>
                <w:szCs w:val="21"/>
                <w:highlight w:val="none"/>
              </w:rPr>
            </w:pPr>
            <w:r>
              <w:rPr>
                <w:rFonts w:hint="eastAsia" w:cs="宋体"/>
                <w:szCs w:val="21"/>
                <w:highlight w:val="none"/>
              </w:rPr>
              <w:t>支持按照科室分别配置每个科室的手术合理性提醒强度。</w:t>
            </w:r>
          </w:p>
        </w:tc>
      </w:tr>
      <w:tr w14:paraId="3ADE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3E86EDD8">
            <w:pPr>
              <w:rPr>
                <w:rFonts w:hint="eastAsia" w:cs="宋体"/>
                <w:szCs w:val="21"/>
                <w:highlight w:val="none"/>
              </w:rPr>
            </w:pPr>
          </w:p>
        </w:tc>
        <w:tc>
          <w:tcPr>
            <w:tcW w:w="982" w:type="pct"/>
            <w:vMerge w:val="continue"/>
            <w:vAlign w:val="center"/>
          </w:tcPr>
          <w:p w14:paraId="595F58B9">
            <w:pPr>
              <w:rPr>
                <w:rFonts w:hint="eastAsia" w:cs="宋体"/>
                <w:szCs w:val="21"/>
                <w:highlight w:val="none"/>
              </w:rPr>
            </w:pPr>
          </w:p>
        </w:tc>
        <w:tc>
          <w:tcPr>
            <w:tcW w:w="3457" w:type="pct"/>
            <w:vAlign w:val="center"/>
          </w:tcPr>
          <w:p w14:paraId="39DBA892">
            <w:pPr>
              <w:rPr>
                <w:rFonts w:hint="eastAsia" w:cs="宋体"/>
                <w:szCs w:val="21"/>
                <w:highlight w:val="none"/>
              </w:rPr>
            </w:pPr>
            <w:r>
              <w:rPr>
                <w:rFonts w:hint="eastAsia" w:cs="宋体"/>
                <w:szCs w:val="21"/>
                <w:highlight w:val="none"/>
              </w:rPr>
              <w:t>支持按照科室分别配置每个科室的用药合理性提醒强度。</w:t>
            </w:r>
          </w:p>
        </w:tc>
      </w:tr>
      <w:tr w14:paraId="2343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0B2F8E38">
            <w:pPr>
              <w:rPr>
                <w:rFonts w:hint="eastAsia" w:cs="宋体"/>
                <w:szCs w:val="21"/>
                <w:highlight w:val="none"/>
              </w:rPr>
            </w:pPr>
          </w:p>
        </w:tc>
        <w:tc>
          <w:tcPr>
            <w:tcW w:w="982" w:type="pct"/>
            <w:vMerge w:val="continue"/>
            <w:vAlign w:val="center"/>
          </w:tcPr>
          <w:p w14:paraId="3A6FC2BA">
            <w:pPr>
              <w:rPr>
                <w:rFonts w:hint="eastAsia" w:cs="宋体"/>
                <w:szCs w:val="21"/>
                <w:highlight w:val="none"/>
              </w:rPr>
            </w:pPr>
          </w:p>
        </w:tc>
        <w:tc>
          <w:tcPr>
            <w:tcW w:w="3457" w:type="pct"/>
            <w:vAlign w:val="center"/>
          </w:tcPr>
          <w:p w14:paraId="6C8E1EE0">
            <w:pPr>
              <w:rPr>
                <w:rFonts w:hint="eastAsia" w:cs="宋体"/>
                <w:szCs w:val="21"/>
                <w:highlight w:val="none"/>
              </w:rPr>
            </w:pPr>
            <w:r>
              <w:rPr>
                <w:rFonts w:hint="eastAsia" w:cs="宋体"/>
                <w:szCs w:val="21"/>
                <w:highlight w:val="none"/>
              </w:rPr>
              <w:t>支持按照科室分别配置每个科室的诊断合理性提醒强度。</w:t>
            </w:r>
          </w:p>
        </w:tc>
      </w:tr>
      <w:tr w14:paraId="67B2C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6E691945">
            <w:pPr>
              <w:rPr>
                <w:rFonts w:hint="eastAsia" w:cs="宋体"/>
                <w:szCs w:val="21"/>
                <w:highlight w:val="none"/>
              </w:rPr>
            </w:pPr>
          </w:p>
        </w:tc>
        <w:tc>
          <w:tcPr>
            <w:tcW w:w="982" w:type="pct"/>
            <w:vMerge w:val="continue"/>
            <w:vAlign w:val="center"/>
          </w:tcPr>
          <w:p w14:paraId="50FB6D18">
            <w:pPr>
              <w:rPr>
                <w:rFonts w:hint="eastAsia" w:cs="宋体"/>
                <w:szCs w:val="21"/>
                <w:highlight w:val="none"/>
              </w:rPr>
            </w:pPr>
          </w:p>
        </w:tc>
        <w:tc>
          <w:tcPr>
            <w:tcW w:w="3457" w:type="pct"/>
            <w:vAlign w:val="center"/>
          </w:tcPr>
          <w:p w14:paraId="58950377">
            <w:pPr>
              <w:rPr>
                <w:rFonts w:hint="eastAsia" w:cs="宋体"/>
                <w:szCs w:val="21"/>
                <w:highlight w:val="none"/>
              </w:rPr>
            </w:pPr>
            <w:r>
              <w:rPr>
                <w:rFonts w:hint="eastAsia" w:cs="宋体"/>
                <w:szCs w:val="21"/>
                <w:highlight w:val="none"/>
              </w:rPr>
              <w:t>支持按照科室分别配置每个科室的治疗合理性提醒强度。</w:t>
            </w:r>
          </w:p>
        </w:tc>
      </w:tr>
      <w:tr w14:paraId="72E2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515F86F5">
            <w:pPr>
              <w:rPr>
                <w:rFonts w:hint="eastAsia" w:cs="宋体"/>
                <w:szCs w:val="21"/>
                <w:highlight w:val="none"/>
              </w:rPr>
            </w:pPr>
          </w:p>
        </w:tc>
        <w:tc>
          <w:tcPr>
            <w:tcW w:w="982" w:type="pct"/>
            <w:vMerge w:val="continue"/>
            <w:vAlign w:val="center"/>
          </w:tcPr>
          <w:p w14:paraId="58C9577E">
            <w:pPr>
              <w:rPr>
                <w:rFonts w:hint="eastAsia" w:cs="宋体"/>
                <w:szCs w:val="21"/>
                <w:highlight w:val="none"/>
              </w:rPr>
            </w:pPr>
          </w:p>
        </w:tc>
        <w:tc>
          <w:tcPr>
            <w:tcW w:w="3457" w:type="pct"/>
            <w:vAlign w:val="center"/>
          </w:tcPr>
          <w:p w14:paraId="3F2E6B98">
            <w:pPr>
              <w:rPr>
                <w:rFonts w:hint="eastAsia" w:cs="宋体"/>
                <w:szCs w:val="21"/>
                <w:highlight w:val="none"/>
              </w:rPr>
            </w:pPr>
            <w:r>
              <w:rPr>
                <w:rFonts w:hint="eastAsia" w:cs="宋体"/>
                <w:szCs w:val="21"/>
                <w:highlight w:val="none"/>
              </w:rPr>
              <w:t>支持按照科室分别配置每个科室的用血合理性提醒强度。</w:t>
            </w:r>
          </w:p>
        </w:tc>
      </w:tr>
      <w:tr w14:paraId="3CB5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vMerge w:val="continue"/>
            <w:tcBorders>
              <w:top w:val="single" w:color="auto" w:sz="4" w:space="0"/>
              <w:bottom w:val="single" w:color="auto" w:sz="4" w:space="0"/>
            </w:tcBorders>
            <w:vAlign w:val="center"/>
          </w:tcPr>
          <w:p w14:paraId="744F4887">
            <w:pPr>
              <w:rPr>
                <w:rFonts w:hint="eastAsia" w:cs="宋体"/>
                <w:szCs w:val="21"/>
                <w:highlight w:val="none"/>
              </w:rPr>
            </w:pPr>
          </w:p>
        </w:tc>
        <w:tc>
          <w:tcPr>
            <w:tcW w:w="982" w:type="pct"/>
            <w:vMerge w:val="continue"/>
            <w:vAlign w:val="center"/>
          </w:tcPr>
          <w:p w14:paraId="209E4D85">
            <w:pPr>
              <w:rPr>
                <w:rFonts w:hint="eastAsia" w:cs="宋体"/>
                <w:szCs w:val="21"/>
                <w:highlight w:val="none"/>
              </w:rPr>
            </w:pPr>
          </w:p>
        </w:tc>
        <w:tc>
          <w:tcPr>
            <w:tcW w:w="3457" w:type="pct"/>
            <w:vAlign w:val="center"/>
          </w:tcPr>
          <w:p w14:paraId="74109F23">
            <w:pPr>
              <w:rPr>
                <w:rFonts w:hint="eastAsia" w:cs="宋体"/>
                <w:szCs w:val="21"/>
                <w:highlight w:val="none"/>
              </w:rPr>
            </w:pPr>
            <w:r>
              <w:rPr>
                <w:rFonts w:hint="eastAsia" w:cs="宋体"/>
                <w:szCs w:val="21"/>
                <w:highlight w:val="none"/>
              </w:rPr>
              <w:t>支持按照科室分别配置每个科室的检验/检查重复性提醒强度。</w:t>
            </w:r>
          </w:p>
        </w:tc>
      </w:tr>
      <w:tr w14:paraId="2A8D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0" w:type="pct"/>
            <w:tcBorders>
              <w:top w:val="single" w:color="auto" w:sz="4" w:space="0"/>
              <w:bottom w:val="single" w:color="auto" w:sz="4" w:space="0"/>
            </w:tcBorders>
            <w:shd w:val="clear" w:color="auto" w:fill="auto"/>
            <w:vAlign w:val="center"/>
          </w:tcPr>
          <w:p w14:paraId="298EF2EC">
            <w:pPr>
              <w:pStyle w:val="362"/>
              <w:kinsoku w:val="0"/>
              <w:overflowPunct w:val="0"/>
              <w:spacing w:line="300" w:lineRule="auto"/>
              <w:rPr>
                <w:rFonts w:hint="eastAsia" w:ascii="宋体" w:hAnsi="宋体" w:cs="宋体"/>
                <w:szCs w:val="21"/>
                <w:highlight w:val="none"/>
                <w:lang w:eastAsia="zh-Hans"/>
              </w:rPr>
            </w:pPr>
            <w:r>
              <w:rPr>
                <w:rFonts w:hint="eastAsia" w:ascii="宋体" w:hAnsi="宋体" w:cs="宋体"/>
                <w:szCs w:val="21"/>
                <w:highlight w:val="none"/>
                <w:lang w:eastAsia="zh-Hans"/>
              </w:rPr>
              <w:t>罕见病风险预警模块</w:t>
            </w:r>
          </w:p>
        </w:tc>
        <w:tc>
          <w:tcPr>
            <w:tcW w:w="982" w:type="pct"/>
            <w:shd w:val="clear" w:color="auto" w:fill="auto"/>
            <w:vAlign w:val="center"/>
          </w:tcPr>
          <w:p w14:paraId="6C0A0553">
            <w:pPr>
              <w:pStyle w:val="362"/>
              <w:kinsoku w:val="0"/>
              <w:overflowPunct w:val="0"/>
              <w:spacing w:line="300" w:lineRule="auto"/>
              <w:rPr>
                <w:rFonts w:hint="eastAsia" w:ascii="宋体" w:hAnsi="宋体" w:cs="宋体"/>
                <w:szCs w:val="21"/>
                <w:highlight w:val="none"/>
                <w:lang w:eastAsia="zh-Hans"/>
              </w:rPr>
            </w:pPr>
            <w:r>
              <w:rPr>
                <w:rFonts w:hint="eastAsia" w:ascii="宋体" w:hAnsi="宋体" w:cs="宋体"/>
                <w:szCs w:val="21"/>
                <w:highlight w:val="none"/>
                <w:lang w:eastAsia="zh-Hans"/>
              </w:rPr>
              <w:t>罕见病风险预警模块</w:t>
            </w:r>
          </w:p>
        </w:tc>
        <w:tc>
          <w:tcPr>
            <w:tcW w:w="3457" w:type="pct"/>
            <w:shd w:val="clear" w:color="auto" w:fill="auto"/>
            <w:vAlign w:val="center"/>
          </w:tcPr>
          <w:p w14:paraId="577B26D4">
            <w:pPr>
              <w:pStyle w:val="362"/>
              <w:kinsoku w:val="0"/>
              <w:overflowPunct w:val="0"/>
              <w:spacing w:line="300" w:lineRule="auto"/>
              <w:rPr>
                <w:rFonts w:hint="eastAsia" w:ascii="宋体" w:hAnsi="宋体" w:cs="宋体"/>
                <w:spacing w:val="2"/>
                <w:szCs w:val="21"/>
                <w:highlight w:val="none"/>
                <w:lang w:eastAsia="zh-Hans"/>
              </w:rPr>
            </w:pPr>
            <w:r>
              <w:rPr>
                <w:rFonts w:hint="eastAsia" w:ascii="宋体" w:hAnsi="宋体" w:cs="宋体"/>
                <w:spacing w:val="2"/>
                <w:szCs w:val="21"/>
                <w:highlight w:val="none"/>
                <w:lang w:eastAsia="zh-Hans"/>
              </w:rPr>
              <w:t>病种覆盖至少一个罕见病，例如非典型溶血尿毒综合征</w:t>
            </w:r>
            <w:r>
              <w:rPr>
                <w:rFonts w:hint="eastAsia" w:ascii="宋体" w:hAnsi="宋体" w:cs="宋体"/>
                <w:spacing w:val="2"/>
                <w:szCs w:val="21"/>
                <w:highlight w:val="none"/>
                <w:lang w:eastAsia="zh-Hans"/>
              </w:rPr>
              <w:br w:type="textWrapping"/>
            </w:r>
            <w:r>
              <w:rPr>
                <w:rFonts w:hint="eastAsia" w:ascii="宋体" w:hAnsi="宋体" w:cs="宋体"/>
                <w:spacing w:val="2"/>
                <w:szCs w:val="21"/>
                <w:highlight w:val="none"/>
                <w:lang w:eastAsia="zh-Hans"/>
              </w:rPr>
              <w:t>支持基于患者数据筛选，帮助医生快速识别特定患病风险的群体</w:t>
            </w:r>
            <w:r>
              <w:rPr>
                <w:rFonts w:hint="eastAsia" w:ascii="宋体" w:hAnsi="宋体" w:cs="宋体"/>
                <w:spacing w:val="2"/>
                <w:szCs w:val="21"/>
                <w:highlight w:val="none"/>
                <w:lang w:eastAsia="zh-Hans"/>
              </w:rPr>
              <w:br w:type="textWrapping"/>
            </w:r>
            <w:r>
              <w:rPr>
                <w:rFonts w:hint="eastAsia" w:ascii="宋体" w:hAnsi="宋体" w:cs="宋体"/>
                <w:spacing w:val="2"/>
                <w:szCs w:val="21"/>
                <w:highlight w:val="none"/>
                <w:lang w:eastAsia="zh-Hans"/>
              </w:rPr>
              <w:t>支持医生端展示风险预警结果，一键溯源查看病历原文</w:t>
            </w:r>
          </w:p>
        </w:tc>
      </w:tr>
      <w:bookmarkEnd w:id="1"/>
      <w:bookmarkEnd w:id="63"/>
    </w:tbl>
    <w:p w14:paraId="18436F9D">
      <w:pPr>
        <w:rPr>
          <w:rFonts w:hint="eastAsia" w:cs="宋体"/>
          <w:b/>
          <w:bCs/>
          <w:sz w:val="21"/>
          <w:highlight w:val="none"/>
        </w:rPr>
      </w:pPr>
      <w:r>
        <w:rPr>
          <w:rFonts w:hint="eastAsia" w:cs="宋体"/>
          <w:b/>
          <w:bCs/>
          <w:sz w:val="21"/>
          <w:highlight w:val="none"/>
        </w:rPr>
        <w:t>说明：</w:t>
      </w:r>
    </w:p>
    <w:p w14:paraId="62805C60">
      <w:pPr>
        <w:ind w:left="420" w:hanging="420" w:hangingChars="200"/>
        <w:rPr>
          <w:rFonts w:hint="eastAsia" w:cs="宋体"/>
          <w:bCs/>
          <w:sz w:val="21"/>
          <w:highlight w:val="none"/>
        </w:rPr>
      </w:pPr>
      <w:r>
        <w:rPr>
          <w:rFonts w:hint="eastAsia" w:cs="宋体"/>
          <w:bCs/>
          <w:sz w:val="21"/>
          <w:highlight w:val="none"/>
        </w:rPr>
        <w:t>（1）招标文件项目技术功能参数要求的目录级别：阿拉伯数字“1”为一级目录，阿拉伯数字“1.1”为二级目录，“1.1.1”为三级目录，“1.1.1.1”为四级目录，以此类推。</w:t>
      </w:r>
    </w:p>
    <w:p w14:paraId="0A14A891">
      <w:pPr>
        <w:ind w:left="420" w:hanging="420" w:hangingChars="200"/>
        <w:rPr>
          <w:rFonts w:hint="eastAsia" w:cs="宋体"/>
          <w:sz w:val="21"/>
          <w:highlight w:val="none"/>
        </w:rPr>
      </w:pPr>
      <w:r>
        <w:rPr>
          <w:rFonts w:hint="eastAsia" w:cs="宋体"/>
          <w:bCs/>
          <w:sz w:val="21"/>
          <w:highlight w:val="none"/>
        </w:rPr>
        <w:t>（2）招标文件项目技术规格及要求中的标注“</w:t>
      </w:r>
      <w:r>
        <w:rPr>
          <w:rFonts w:hint="eastAsia"/>
          <w:szCs w:val="21"/>
          <w:highlight w:val="none"/>
        </w:rPr>
        <w:t>▲</w:t>
      </w:r>
      <w:r>
        <w:rPr>
          <w:rFonts w:hint="eastAsia" w:cs="宋体"/>
          <w:bCs/>
          <w:sz w:val="21"/>
          <w:highlight w:val="none"/>
        </w:rPr>
        <w:t>”条款为重要服务参数条款，未标注“</w:t>
      </w:r>
      <w:r>
        <w:rPr>
          <w:rFonts w:hint="eastAsia"/>
          <w:szCs w:val="21"/>
          <w:highlight w:val="none"/>
        </w:rPr>
        <w:t>▲</w:t>
      </w:r>
      <w:r>
        <w:rPr>
          <w:rFonts w:hint="eastAsia" w:cs="宋体"/>
          <w:bCs/>
          <w:sz w:val="21"/>
          <w:highlight w:val="none"/>
        </w:rPr>
        <w:t>”条款为一般参数条款。</w:t>
      </w:r>
    </w:p>
    <w:p w14:paraId="498566C7">
      <w:pPr>
        <w:jc w:val="center"/>
        <w:rPr>
          <w:rFonts w:hint="eastAsia"/>
          <w:b/>
          <w:sz w:val="28"/>
          <w:szCs w:val="28"/>
          <w:highlight w:val="none"/>
        </w:rPr>
      </w:pPr>
    </w:p>
    <w:p w14:paraId="5E526A83">
      <w:pPr>
        <w:jc w:val="center"/>
        <w:rPr>
          <w:rFonts w:hint="eastAsia"/>
          <w:b/>
          <w:highlight w:val="none"/>
        </w:rPr>
      </w:pPr>
      <w:r>
        <w:rPr>
          <w:rFonts w:hint="eastAsia"/>
          <w:b/>
          <w:sz w:val="28"/>
          <w:szCs w:val="28"/>
          <w:highlight w:val="none"/>
        </w:rPr>
        <w:t>2、项目实施总体要求</w:t>
      </w:r>
    </w:p>
    <w:p w14:paraId="1ACD0BD1">
      <w:pPr>
        <w:pStyle w:val="359"/>
        <w:ind w:firstLine="420"/>
        <w:rPr>
          <w:rFonts w:hint="eastAsia" w:ascii="宋体" w:hAnsi="宋体"/>
          <w:szCs w:val="21"/>
          <w:highlight w:val="none"/>
          <w:lang w:bidi="ar"/>
        </w:rPr>
      </w:pPr>
      <w:r>
        <w:rPr>
          <w:rFonts w:hint="eastAsia" w:ascii="宋体" w:hAnsi="宋体"/>
          <w:szCs w:val="21"/>
          <w:highlight w:val="none"/>
          <w:lang w:bidi="ar"/>
        </w:rPr>
        <w:t>1、本项目要求厂商在内部开发、测试合格后，再到采购人提供的设备上，经检验后进行安装调试，直至验收合格。</w:t>
      </w:r>
    </w:p>
    <w:p w14:paraId="474B1DCD">
      <w:pPr>
        <w:pStyle w:val="359"/>
        <w:ind w:firstLine="420"/>
        <w:rPr>
          <w:rFonts w:hint="eastAsia" w:ascii="宋体" w:hAnsi="宋体"/>
          <w:szCs w:val="21"/>
          <w:highlight w:val="none"/>
          <w:lang w:bidi="ar"/>
        </w:rPr>
      </w:pPr>
      <w:r>
        <w:rPr>
          <w:rFonts w:hint="eastAsia" w:ascii="宋体" w:hAnsi="宋体"/>
          <w:szCs w:val="21"/>
          <w:highlight w:val="none"/>
          <w:lang w:bidi="ar"/>
        </w:rPr>
        <w:t>2、项目完成周期：本项目要求</w:t>
      </w:r>
      <w:r>
        <w:rPr>
          <w:rFonts w:hint="eastAsia" w:ascii="宋体" w:hAnsi="宋体"/>
          <w:szCs w:val="21"/>
          <w:highlight w:val="none"/>
          <w:lang w:bidi="ar"/>
        </w:rPr>
        <w:t>270日</w:t>
      </w:r>
      <w:r>
        <w:rPr>
          <w:rFonts w:hint="eastAsia" w:ascii="宋体" w:hAnsi="宋体"/>
          <w:szCs w:val="21"/>
          <w:highlight w:val="none"/>
          <w:lang w:bidi="ar"/>
        </w:rPr>
        <w:t>完成系统上线。</w:t>
      </w:r>
    </w:p>
    <w:p w14:paraId="27C32940">
      <w:pPr>
        <w:pStyle w:val="359"/>
        <w:ind w:firstLine="420"/>
        <w:rPr>
          <w:rFonts w:hint="eastAsia" w:ascii="宋体" w:hAnsi="宋体"/>
          <w:szCs w:val="21"/>
          <w:highlight w:val="none"/>
          <w:lang w:bidi="ar"/>
        </w:rPr>
      </w:pPr>
      <w:r>
        <w:rPr>
          <w:rFonts w:ascii="宋体" w:hAnsi="宋体"/>
          <w:szCs w:val="21"/>
          <w:highlight w:val="none"/>
          <w:lang w:bidi="ar"/>
        </w:rPr>
        <w:t>3</w:t>
      </w:r>
      <w:r>
        <w:rPr>
          <w:rFonts w:hint="eastAsia" w:ascii="宋体" w:hAnsi="宋体"/>
          <w:szCs w:val="21"/>
          <w:highlight w:val="none"/>
          <w:lang w:bidi="ar"/>
        </w:rPr>
        <w:t>、必须确保在整个项目过程中遵守国家及行业相关法规、标准和规范，如果已有产品或工作模式在标准和规范方面存在缺陷，必须在本项目实施过程中予以改正。</w:t>
      </w:r>
    </w:p>
    <w:p w14:paraId="051245AF">
      <w:pPr>
        <w:pStyle w:val="359"/>
        <w:ind w:firstLine="420"/>
        <w:rPr>
          <w:rFonts w:hint="eastAsia" w:ascii="宋体" w:hAnsi="宋体"/>
          <w:szCs w:val="21"/>
          <w:highlight w:val="none"/>
          <w:lang w:bidi="ar"/>
        </w:rPr>
      </w:pPr>
      <w:r>
        <w:rPr>
          <w:rFonts w:hint="eastAsia" w:ascii="宋体" w:hAnsi="宋体"/>
          <w:szCs w:val="21"/>
          <w:highlight w:val="none"/>
          <w:lang w:bidi="ar"/>
        </w:rPr>
        <w:t>4、必须在对整个项目过程进行科学、有效的项目管理，在投标文件中应提供切实可行的实施工作进度保障方案及控制措施，以确保项目质量和进度。</w:t>
      </w:r>
    </w:p>
    <w:p w14:paraId="2907FE5A">
      <w:pPr>
        <w:pStyle w:val="359"/>
        <w:ind w:firstLine="420"/>
        <w:rPr>
          <w:rFonts w:hint="eastAsia" w:ascii="宋体" w:hAnsi="宋体"/>
          <w:szCs w:val="21"/>
          <w:highlight w:val="none"/>
          <w:lang w:bidi="ar"/>
        </w:rPr>
      </w:pPr>
      <w:r>
        <w:rPr>
          <w:rFonts w:hint="eastAsia" w:ascii="宋体" w:hAnsi="宋体"/>
          <w:szCs w:val="21"/>
          <w:highlight w:val="none"/>
          <w:lang w:bidi="ar"/>
        </w:rPr>
        <w:t>5、在实施过程中应遵循院方正常工作秩序和流程，并节省院方各类资源，充分发挥系统效益。</w:t>
      </w:r>
    </w:p>
    <w:p w14:paraId="32B589E1">
      <w:pPr>
        <w:pStyle w:val="359"/>
        <w:ind w:firstLine="420"/>
        <w:rPr>
          <w:rFonts w:hint="eastAsia" w:ascii="宋体" w:hAnsi="宋体"/>
          <w:szCs w:val="21"/>
          <w:highlight w:val="none"/>
          <w:lang w:bidi="ar"/>
        </w:rPr>
      </w:pPr>
      <w:r>
        <w:rPr>
          <w:rFonts w:ascii="宋体" w:hAnsi="宋体"/>
          <w:szCs w:val="21"/>
          <w:highlight w:val="none"/>
          <w:lang w:bidi="ar"/>
        </w:rPr>
        <w:t>6</w:t>
      </w:r>
      <w:r>
        <w:rPr>
          <w:rFonts w:hint="eastAsia" w:ascii="宋体" w:hAnsi="宋体"/>
          <w:szCs w:val="21"/>
          <w:highlight w:val="none"/>
          <w:lang w:bidi="ar"/>
        </w:rPr>
        <w:t>、必须针对项目实施提供一系列实施保障，包含需求调研、客户化改造、测试、数据准备、培训考核等。</w:t>
      </w:r>
    </w:p>
    <w:p w14:paraId="797745A4">
      <w:pPr>
        <w:pStyle w:val="359"/>
        <w:ind w:firstLine="420"/>
        <w:rPr>
          <w:rFonts w:hint="eastAsia" w:ascii="宋体" w:hAnsi="宋体"/>
          <w:szCs w:val="21"/>
          <w:highlight w:val="none"/>
          <w:lang w:bidi="ar"/>
        </w:rPr>
      </w:pPr>
      <w:r>
        <w:rPr>
          <w:rFonts w:hint="eastAsia" w:ascii="宋体" w:hAnsi="宋体"/>
          <w:szCs w:val="21"/>
          <w:highlight w:val="none"/>
          <w:lang w:bidi="ar"/>
        </w:rPr>
        <w:t>7、针对本项目实施内容，具体实施工期将根据项目组进场后与院方协商共同协商确定，并确保按时保质完成系统上线工作。其它时间进度将在合同谈判时，依据估算的时间和工作量进行具体谈判确定。</w:t>
      </w:r>
    </w:p>
    <w:p w14:paraId="6FB79AAA">
      <w:pPr>
        <w:pStyle w:val="359"/>
        <w:ind w:firstLine="420"/>
        <w:rPr>
          <w:rFonts w:hint="eastAsia" w:ascii="宋体" w:hAnsi="宋体"/>
          <w:szCs w:val="21"/>
          <w:highlight w:val="none"/>
          <w:lang w:bidi="ar"/>
        </w:rPr>
      </w:pPr>
      <w:r>
        <w:rPr>
          <w:rFonts w:hint="eastAsia" w:ascii="宋体" w:hAnsi="宋体"/>
          <w:szCs w:val="21"/>
          <w:highlight w:val="none"/>
          <w:lang w:bidi="ar"/>
        </w:rPr>
        <w:t>8、应在投标文件中明确保证项目建设团队的主要人员的稳定性。不得在未经院方同意的情况下更换项目经理。</w:t>
      </w:r>
    </w:p>
    <w:p w14:paraId="71B54FC9">
      <w:pPr>
        <w:pStyle w:val="359"/>
        <w:ind w:firstLine="420"/>
        <w:rPr>
          <w:rFonts w:hint="eastAsia" w:ascii="宋体" w:hAnsi="宋体"/>
          <w:szCs w:val="21"/>
          <w:highlight w:val="none"/>
          <w:lang w:bidi="ar"/>
        </w:rPr>
      </w:pPr>
      <w:r>
        <w:rPr>
          <w:rFonts w:ascii="宋体" w:hAnsi="宋体"/>
          <w:szCs w:val="21"/>
          <w:highlight w:val="none"/>
          <w:lang w:bidi="ar"/>
        </w:rPr>
        <w:t>9</w:t>
      </w:r>
      <w:r>
        <w:rPr>
          <w:rFonts w:hint="eastAsia" w:ascii="宋体" w:hAnsi="宋体"/>
          <w:szCs w:val="21"/>
          <w:highlight w:val="none"/>
          <w:lang w:bidi="ar"/>
        </w:rPr>
        <w:t>、院方或</w:t>
      </w:r>
      <w:r>
        <w:rPr>
          <w:rFonts w:hint="eastAsia" w:ascii="宋体" w:hAnsi="宋体" w:cs="仿宋"/>
          <w:szCs w:val="21"/>
          <w:highlight w:val="none"/>
          <w:lang w:bidi="ar"/>
        </w:rPr>
        <w:t>供应商</w:t>
      </w:r>
      <w:r>
        <w:rPr>
          <w:rFonts w:hint="eastAsia" w:ascii="宋体" w:hAnsi="宋体"/>
          <w:szCs w:val="21"/>
          <w:highlight w:val="none"/>
          <w:lang w:bidi="ar"/>
        </w:rPr>
        <w:t>认为需要更换</w:t>
      </w:r>
      <w:r>
        <w:rPr>
          <w:rFonts w:hint="eastAsia" w:ascii="宋体" w:hAnsi="宋体" w:cs="仿宋"/>
          <w:szCs w:val="21"/>
          <w:highlight w:val="none"/>
          <w:lang w:bidi="ar"/>
        </w:rPr>
        <w:t>供应商</w:t>
      </w:r>
      <w:r>
        <w:rPr>
          <w:rFonts w:hint="eastAsia" w:ascii="宋体" w:hAnsi="宋体"/>
          <w:szCs w:val="21"/>
          <w:highlight w:val="none"/>
          <w:lang w:bidi="ar"/>
        </w:rPr>
        <w:t>项目经理和项目团队成员时，均应提早一周向对方申明原因，同时</w:t>
      </w:r>
      <w:r>
        <w:rPr>
          <w:rFonts w:hint="eastAsia" w:ascii="宋体" w:hAnsi="宋体" w:cs="仿宋"/>
          <w:szCs w:val="21"/>
          <w:highlight w:val="none"/>
          <w:lang w:bidi="ar"/>
        </w:rPr>
        <w:t>供应商</w:t>
      </w:r>
      <w:r>
        <w:rPr>
          <w:rFonts w:hint="eastAsia" w:ascii="宋体" w:hAnsi="宋体"/>
          <w:szCs w:val="21"/>
          <w:highlight w:val="none"/>
          <w:lang w:bidi="ar"/>
        </w:rPr>
        <w:t>应提出新的符合合同要求的项目经理和项目团队成员人选，经院方同意并办理交接手续后方可更换。</w:t>
      </w:r>
    </w:p>
    <w:p w14:paraId="53C2BEBD">
      <w:pPr>
        <w:pStyle w:val="359"/>
        <w:ind w:firstLine="420"/>
        <w:rPr>
          <w:rFonts w:hint="eastAsia" w:ascii="宋体" w:hAnsi="宋体"/>
          <w:szCs w:val="21"/>
          <w:highlight w:val="none"/>
          <w:lang w:bidi="ar"/>
        </w:rPr>
      </w:pPr>
      <w:r>
        <w:rPr>
          <w:rFonts w:hint="eastAsia" w:ascii="宋体" w:hAnsi="宋体"/>
          <w:szCs w:val="21"/>
          <w:highlight w:val="none"/>
          <w:lang w:bidi="ar"/>
        </w:rPr>
        <w:t>1</w:t>
      </w:r>
      <w:r>
        <w:rPr>
          <w:rFonts w:ascii="宋体" w:hAnsi="宋体"/>
          <w:szCs w:val="21"/>
          <w:highlight w:val="none"/>
          <w:lang w:bidi="ar"/>
        </w:rPr>
        <w:t>0</w:t>
      </w:r>
      <w:r>
        <w:rPr>
          <w:rFonts w:hint="eastAsia" w:ascii="宋体" w:hAnsi="宋体"/>
          <w:szCs w:val="21"/>
          <w:highlight w:val="none"/>
          <w:lang w:bidi="ar"/>
        </w:rPr>
        <w:t>、如在项目实施过程中需要调整内容、进度等，需经双方共同同意，按合同变更程序办理。</w:t>
      </w:r>
    </w:p>
    <w:p w14:paraId="711C4813">
      <w:pPr>
        <w:jc w:val="center"/>
        <w:rPr>
          <w:rFonts w:hint="eastAsia"/>
          <w:b/>
          <w:sz w:val="28"/>
          <w:szCs w:val="28"/>
          <w:highlight w:val="none"/>
        </w:rPr>
      </w:pPr>
      <w:bookmarkStart w:id="213" w:name="_Toc21528"/>
      <w:r>
        <w:rPr>
          <w:rFonts w:hint="eastAsia"/>
          <w:b/>
          <w:sz w:val="28"/>
          <w:szCs w:val="28"/>
          <w:highlight w:val="none"/>
        </w:rPr>
        <w:t>3、应急解决方案要求</w:t>
      </w:r>
      <w:bookmarkEnd w:id="213"/>
    </w:p>
    <w:p w14:paraId="650604ED">
      <w:pPr>
        <w:ind w:firstLine="480" w:firstLineChars="200"/>
        <w:rPr>
          <w:rFonts w:hint="eastAsia"/>
          <w:szCs w:val="21"/>
          <w:highlight w:val="none"/>
          <w:lang w:bidi="ar"/>
        </w:rPr>
      </w:pPr>
      <w:r>
        <w:rPr>
          <w:rFonts w:hint="eastAsia"/>
          <w:szCs w:val="21"/>
          <w:highlight w:val="none"/>
          <w:lang w:bidi="ar"/>
        </w:rPr>
        <w:t>需要对系统可能出现故障，对部分故障如何处理进行简要描述，对</w:t>
      </w:r>
      <w:r>
        <w:rPr>
          <w:szCs w:val="21"/>
          <w:highlight w:val="none"/>
          <w:lang w:bidi="ar"/>
        </w:rPr>
        <w:t>HIS正式服务器故障如何处理应对进行重点描述，主要针对医院新信息系统上线期间HIS正式服务器无法使用或连接时的</w:t>
      </w:r>
      <w:r>
        <w:rPr>
          <w:rFonts w:hint="eastAsia"/>
          <w:szCs w:val="21"/>
          <w:highlight w:val="none"/>
          <w:lang w:bidi="ar"/>
        </w:rPr>
        <w:t>情况处理，提供详细的应急解决方案。</w:t>
      </w:r>
    </w:p>
    <w:p w14:paraId="32F7D409">
      <w:pPr>
        <w:jc w:val="center"/>
        <w:rPr>
          <w:rFonts w:hint="eastAsia"/>
          <w:b/>
          <w:sz w:val="28"/>
          <w:szCs w:val="28"/>
          <w:highlight w:val="none"/>
        </w:rPr>
      </w:pPr>
      <w:bookmarkStart w:id="214" w:name="_Toc24962"/>
      <w:r>
        <w:rPr>
          <w:rFonts w:hint="eastAsia"/>
          <w:b/>
          <w:sz w:val="28"/>
          <w:szCs w:val="28"/>
          <w:highlight w:val="none"/>
        </w:rPr>
        <w:t>4、项目质量控制保障要求</w:t>
      </w:r>
      <w:bookmarkEnd w:id="214"/>
    </w:p>
    <w:p w14:paraId="688E323C">
      <w:pPr>
        <w:ind w:firstLine="480" w:firstLineChars="200"/>
        <w:rPr>
          <w:rFonts w:hint="eastAsia"/>
          <w:szCs w:val="21"/>
          <w:highlight w:val="none"/>
        </w:rPr>
      </w:pPr>
      <w:r>
        <w:rPr>
          <w:rFonts w:hint="eastAsia"/>
          <w:szCs w:val="21"/>
          <w:highlight w:val="none"/>
        </w:rPr>
        <w:t>需建立系统的质量保证体系，要求质量保证贯穿整个系统每一个项目工作的全过程，需提供详细的项目质量控制保障措施。</w:t>
      </w:r>
    </w:p>
    <w:p w14:paraId="322A2740">
      <w:pPr>
        <w:pStyle w:val="2"/>
        <w:numPr>
          <w:ilvl w:val="0"/>
          <w:numId w:val="0"/>
        </w:numPr>
        <w:rPr>
          <w:rFonts w:hint="eastAsia" w:ascii="宋体" w:hAnsi="宋体" w:eastAsia="宋体"/>
          <w:bCs w:val="0"/>
          <w:kern w:val="2"/>
          <w:sz w:val="28"/>
          <w:szCs w:val="28"/>
          <w:highlight w:val="none"/>
        </w:rPr>
      </w:pPr>
      <w:bookmarkStart w:id="215" w:name="_Toc6917"/>
      <w:r>
        <w:rPr>
          <w:rFonts w:hint="eastAsia" w:ascii="宋体" w:hAnsi="宋体" w:eastAsia="宋体"/>
          <w:bCs w:val="0"/>
          <w:kern w:val="2"/>
          <w:sz w:val="28"/>
          <w:szCs w:val="28"/>
          <w:highlight w:val="none"/>
        </w:rPr>
        <w:t>5、培训要求</w:t>
      </w:r>
      <w:bookmarkEnd w:id="215"/>
    </w:p>
    <w:p w14:paraId="16309AF8">
      <w:pPr>
        <w:pStyle w:val="359"/>
        <w:ind w:firstLine="420"/>
        <w:rPr>
          <w:rFonts w:hint="eastAsia" w:ascii="宋体" w:hAnsi="宋体"/>
          <w:szCs w:val="21"/>
          <w:highlight w:val="none"/>
        </w:rPr>
      </w:pPr>
      <w:r>
        <w:rPr>
          <w:rFonts w:hint="eastAsia" w:ascii="宋体" w:hAnsi="宋体" w:cs="仿宋"/>
          <w:szCs w:val="21"/>
          <w:highlight w:val="none"/>
          <w:lang w:bidi="ar"/>
        </w:rPr>
        <w:t>供应商</w:t>
      </w:r>
      <w:r>
        <w:rPr>
          <w:rFonts w:hint="eastAsia" w:ascii="宋体" w:hAnsi="宋体"/>
          <w:szCs w:val="21"/>
          <w:highlight w:val="none"/>
          <w:lang w:bidi="ar"/>
        </w:rPr>
        <w:t>必须根据系统软件的功能和特点，充分考虑到系统使用人员的实际水平，提出详细的系统培训方案。目标是通过系统培训以达到系统管理人员能够具备独立管理</w:t>
      </w:r>
      <w:r>
        <w:rPr>
          <w:rFonts w:hint="eastAsia" w:ascii="宋体" w:hAnsi="宋体" w:cs="仿宋"/>
          <w:szCs w:val="21"/>
          <w:highlight w:val="none"/>
          <w:lang w:bidi="ar"/>
        </w:rPr>
        <w:t>供应商</w:t>
      </w:r>
      <w:r>
        <w:rPr>
          <w:rFonts w:hint="eastAsia" w:ascii="宋体" w:hAnsi="宋体"/>
          <w:szCs w:val="21"/>
          <w:highlight w:val="none"/>
          <w:lang w:bidi="ar"/>
        </w:rPr>
        <w:t>所提供的系统软件和日常的维护处理能力，各级业务人员能够熟练使用系统软件，确保应用系统能够真正的用起来。</w:t>
      </w:r>
    </w:p>
    <w:p w14:paraId="61B5D1F7">
      <w:pPr>
        <w:pStyle w:val="359"/>
        <w:ind w:firstLine="420"/>
        <w:rPr>
          <w:rFonts w:hint="eastAsia" w:ascii="宋体" w:hAnsi="宋体"/>
          <w:szCs w:val="21"/>
          <w:highlight w:val="none"/>
        </w:rPr>
      </w:pPr>
      <w:r>
        <w:rPr>
          <w:rFonts w:hint="eastAsia" w:ascii="宋体" w:hAnsi="宋体"/>
          <w:szCs w:val="21"/>
          <w:highlight w:val="none"/>
          <w:lang w:bidi="ar"/>
        </w:rPr>
        <w:t>1、必须针对本系统软件及采用的相关技术等提出全面培训计划和培训方案并征得采购人同意后实施，培训服务工作须满足招标文件要求。</w:t>
      </w:r>
    </w:p>
    <w:p w14:paraId="1744E193">
      <w:pPr>
        <w:pStyle w:val="359"/>
        <w:ind w:firstLine="420"/>
        <w:rPr>
          <w:rFonts w:hint="eastAsia" w:ascii="宋体" w:hAnsi="宋体"/>
          <w:szCs w:val="21"/>
          <w:highlight w:val="none"/>
        </w:rPr>
      </w:pPr>
      <w:r>
        <w:rPr>
          <w:rFonts w:hint="eastAsia" w:ascii="宋体" w:hAnsi="宋体"/>
          <w:szCs w:val="21"/>
          <w:highlight w:val="none"/>
          <w:lang w:bidi="ar"/>
        </w:rPr>
        <w:t>2、培训对象应分为普通业务操作员、系统管理员，必须针对不同的对象制定不同的培训计划，并分别培训。所提供的培训课程表随投标文件一起提交；</w:t>
      </w:r>
    </w:p>
    <w:p w14:paraId="488E8D02">
      <w:pPr>
        <w:pStyle w:val="359"/>
        <w:ind w:firstLine="420"/>
        <w:rPr>
          <w:rFonts w:hint="eastAsia" w:ascii="宋体" w:hAnsi="宋体"/>
          <w:szCs w:val="21"/>
          <w:highlight w:val="none"/>
        </w:rPr>
      </w:pPr>
      <w:r>
        <w:rPr>
          <w:rFonts w:hint="eastAsia" w:ascii="宋体" w:hAnsi="宋体"/>
          <w:szCs w:val="21"/>
          <w:highlight w:val="none"/>
          <w:lang w:bidi="ar"/>
        </w:rPr>
        <w:t>3、应保证提供有经验的教员，使采购方相关人员在培训后能够独立地对系统进行管理、维护，而不需</w:t>
      </w:r>
      <w:r>
        <w:rPr>
          <w:rFonts w:hint="eastAsia" w:ascii="宋体" w:hAnsi="宋体" w:cs="仿宋"/>
          <w:szCs w:val="21"/>
          <w:highlight w:val="none"/>
          <w:lang w:bidi="ar"/>
        </w:rPr>
        <w:t>供应商</w:t>
      </w:r>
      <w:r>
        <w:rPr>
          <w:rFonts w:hint="eastAsia" w:ascii="宋体" w:hAnsi="宋体"/>
          <w:szCs w:val="21"/>
          <w:highlight w:val="none"/>
          <w:lang w:bidi="ar"/>
        </w:rPr>
        <w:t>的人员在场指导。</w:t>
      </w:r>
    </w:p>
    <w:p w14:paraId="1FC45FF1">
      <w:pPr>
        <w:pStyle w:val="359"/>
        <w:ind w:firstLine="420"/>
        <w:rPr>
          <w:rFonts w:hint="eastAsia" w:ascii="宋体" w:hAnsi="宋体"/>
          <w:szCs w:val="21"/>
          <w:highlight w:val="none"/>
        </w:rPr>
      </w:pPr>
      <w:r>
        <w:rPr>
          <w:rFonts w:hint="eastAsia" w:ascii="宋体" w:hAnsi="宋体"/>
          <w:szCs w:val="21"/>
          <w:highlight w:val="none"/>
          <w:lang w:bidi="ar"/>
        </w:rPr>
        <w:t>4、培训内容包括应用软件操作、操作系统、后台数据库管理等培训。</w:t>
      </w:r>
    </w:p>
    <w:p w14:paraId="4BA16EB3">
      <w:pPr>
        <w:pStyle w:val="359"/>
        <w:ind w:firstLine="420"/>
        <w:rPr>
          <w:rFonts w:hint="eastAsia" w:ascii="宋体" w:hAnsi="宋体"/>
          <w:szCs w:val="21"/>
          <w:highlight w:val="none"/>
        </w:rPr>
      </w:pPr>
      <w:r>
        <w:rPr>
          <w:rFonts w:hint="eastAsia" w:ascii="宋体" w:hAnsi="宋体"/>
          <w:szCs w:val="21"/>
          <w:highlight w:val="none"/>
          <w:lang w:bidi="ar"/>
        </w:rPr>
        <w:t>5、必须为所有被培训人员进行现场培训。</w:t>
      </w:r>
    </w:p>
    <w:p w14:paraId="0B20B42E">
      <w:pPr>
        <w:pStyle w:val="359"/>
        <w:ind w:firstLine="420"/>
        <w:rPr>
          <w:rFonts w:hint="eastAsia" w:ascii="宋体" w:hAnsi="宋体"/>
          <w:szCs w:val="21"/>
          <w:highlight w:val="none"/>
        </w:rPr>
      </w:pPr>
      <w:r>
        <w:rPr>
          <w:rFonts w:hint="eastAsia" w:ascii="宋体" w:hAnsi="宋体"/>
          <w:szCs w:val="21"/>
          <w:highlight w:val="none"/>
          <w:lang w:bidi="ar"/>
        </w:rPr>
        <w:t>6、业务系统操作培训工作应在系统安装之前结束。</w:t>
      </w:r>
    </w:p>
    <w:p w14:paraId="00ACF273">
      <w:pPr>
        <w:pStyle w:val="359"/>
        <w:ind w:firstLine="420"/>
        <w:rPr>
          <w:rFonts w:hint="eastAsia" w:ascii="宋体" w:hAnsi="宋体"/>
          <w:szCs w:val="21"/>
          <w:highlight w:val="none"/>
          <w:lang w:bidi="ar"/>
        </w:rPr>
      </w:pPr>
      <w:r>
        <w:rPr>
          <w:rFonts w:hint="eastAsia" w:ascii="宋体" w:hAnsi="宋体"/>
          <w:szCs w:val="21"/>
          <w:highlight w:val="none"/>
          <w:lang w:bidi="ar"/>
        </w:rPr>
        <w:t>7、与培训相关的费用，应当一并计算在报价中。</w:t>
      </w:r>
    </w:p>
    <w:p w14:paraId="05DDDFED">
      <w:pPr>
        <w:pStyle w:val="2"/>
        <w:numPr>
          <w:ilvl w:val="0"/>
          <w:numId w:val="0"/>
        </w:numPr>
        <w:rPr>
          <w:rFonts w:hint="eastAsia" w:ascii="宋体" w:hAnsi="宋体" w:eastAsia="宋体"/>
          <w:bCs w:val="0"/>
          <w:kern w:val="2"/>
          <w:sz w:val="28"/>
          <w:szCs w:val="28"/>
          <w:highlight w:val="none"/>
        </w:rPr>
      </w:pPr>
      <w:bookmarkStart w:id="216" w:name="_Toc376156653"/>
      <w:bookmarkStart w:id="217" w:name="_Toc514929155"/>
      <w:bookmarkStart w:id="218" w:name="_Toc19432"/>
      <w:bookmarkStart w:id="219" w:name="_Toc85470624"/>
      <w:bookmarkStart w:id="220" w:name="_Toc102655355"/>
      <w:bookmarkStart w:id="221" w:name="_Toc514924235"/>
      <w:bookmarkStart w:id="222" w:name="_Toc77834762"/>
      <w:bookmarkStart w:id="223" w:name="_Toc4529054"/>
      <w:bookmarkStart w:id="224" w:name="_Toc119073528"/>
      <w:r>
        <w:rPr>
          <w:rFonts w:hint="eastAsia" w:ascii="宋体" w:hAnsi="宋体" w:eastAsia="宋体"/>
          <w:bCs w:val="0"/>
          <w:kern w:val="2"/>
          <w:sz w:val="28"/>
          <w:szCs w:val="28"/>
          <w:highlight w:val="none"/>
        </w:rPr>
        <w:t>6、验收</w:t>
      </w:r>
      <w:bookmarkEnd w:id="216"/>
      <w:r>
        <w:rPr>
          <w:rFonts w:hint="eastAsia" w:ascii="宋体" w:hAnsi="宋体" w:eastAsia="宋体"/>
          <w:bCs w:val="0"/>
          <w:kern w:val="2"/>
          <w:sz w:val="28"/>
          <w:szCs w:val="28"/>
          <w:highlight w:val="none"/>
        </w:rPr>
        <w:t>要求</w:t>
      </w:r>
      <w:bookmarkEnd w:id="217"/>
      <w:bookmarkEnd w:id="218"/>
      <w:bookmarkEnd w:id="219"/>
      <w:bookmarkEnd w:id="220"/>
      <w:bookmarkEnd w:id="221"/>
      <w:bookmarkEnd w:id="222"/>
      <w:bookmarkEnd w:id="223"/>
      <w:bookmarkEnd w:id="224"/>
    </w:p>
    <w:p w14:paraId="2BE438C7">
      <w:pPr>
        <w:numPr>
          <w:ilvl w:val="0"/>
          <w:numId w:val="57"/>
        </w:numPr>
        <w:spacing w:line="240" w:lineRule="auto"/>
        <w:ind w:firstLineChars="200"/>
        <w:rPr>
          <w:rFonts w:hint="eastAsia" w:cs="仿宋"/>
          <w:szCs w:val="21"/>
          <w:highlight w:val="none"/>
        </w:rPr>
      </w:pPr>
      <w:r>
        <w:rPr>
          <w:rFonts w:hint="eastAsia" w:cs="仿宋"/>
          <w:szCs w:val="21"/>
          <w:highlight w:val="none"/>
          <w:lang w:bidi="ar"/>
        </w:rPr>
        <w:t>系统正式运行一个月后进行软件系统验收，验收人员由采购人相关人员与供应商代表共同组成。</w:t>
      </w:r>
    </w:p>
    <w:p w14:paraId="3263F88D">
      <w:pPr>
        <w:rPr>
          <w:rFonts w:hint="eastAsia" w:cs="微软雅黑"/>
          <w:color w:val="000000"/>
          <w:szCs w:val="21"/>
          <w:highlight w:val="none"/>
          <w:shd w:val="clear" w:color="auto" w:fill="FFFFFF"/>
        </w:rPr>
      </w:pPr>
    </w:p>
    <w:p w14:paraId="40430F17">
      <w:pPr>
        <w:rPr>
          <w:rFonts w:hint="eastAsia" w:cs="微软雅黑"/>
          <w:color w:val="000000"/>
          <w:szCs w:val="21"/>
          <w:highlight w:val="none"/>
          <w:shd w:val="clear" w:color="auto" w:fill="FFFFFF"/>
        </w:rPr>
      </w:pPr>
    </w:p>
    <w:p w14:paraId="67A6C556">
      <w:pPr>
        <w:rPr>
          <w:rFonts w:hint="eastAsia" w:cs="微软雅黑"/>
          <w:color w:val="000000"/>
          <w:szCs w:val="21"/>
          <w:highlight w:val="none"/>
          <w:shd w:val="clear" w:color="auto" w:fill="FFFFFF"/>
        </w:rPr>
      </w:pPr>
    </w:p>
    <w:p w14:paraId="03ED683C">
      <w:pPr>
        <w:rPr>
          <w:rFonts w:hint="eastAsia" w:cs="微软雅黑"/>
          <w:color w:val="000000"/>
          <w:szCs w:val="21"/>
          <w:highlight w:val="none"/>
          <w:shd w:val="clear" w:color="auto" w:fill="FFFFFF"/>
        </w:rPr>
      </w:pPr>
    </w:p>
    <w:p w14:paraId="45C4802A">
      <w:pPr>
        <w:rPr>
          <w:rFonts w:hint="eastAsia" w:cs="微软雅黑"/>
          <w:b/>
          <w:color w:val="000000"/>
          <w:szCs w:val="21"/>
          <w:highlight w:val="none"/>
          <w:shd w:val="clear" w:color="auto" w:fill="FFFFFF"/>
        </w:rPr>
      </w:pPr>
    </w:p>
    <w:p w14:paraId="1E75B835">
      <w:pPr>
        <w:adjustRightInd w:val="0"/>
        <w:snapToGrid w:val="0"/>
        <w:rPr>
          <w:rFonts w:hint="eastAsia"/>
          <w:szCs w:val="21"/>
          <w:highlight w:val="none"/>
        </w:rPr>
      </w:pPr>
    </w:p>
    <w:p w14:paraId="70BC5ED4">
      <w:pPr>
        <w:spacing w:line="360" w:lineRule="exact"/>
        <w:outlineLvl w:val="0"/>
        <w:rPr>
          <w:rFonts w:hint="eastAsia"/>
          <w:b/>
          <w:sz w:val="32"/>
          <w:szCs w:val="32"/>
          <w:highlight w:val="none"/>
        </w:rPr>
        <w:sectPr>
          <w:footerReference r:id="rId11" w:type="first"/>
          <w:pgSz w:w="11906" w:h="16838"/>
          <w:pgMar w:top="1440" w:right="1800" w:bottom="1440" w:left="1800" w:header="851" w:footer="992" w:gutter="0"/>
          <w:cols w:space="720" w:num="1"/>
          <w:docGrid w:type="lines" w:linePitch="312" w:charSpace="0"/>
        </w:sectPr>
      </w:pPr>
    </w:p>
    <w:p w14:paraId="1DE11CA0">
      <w:pPr>
        <w:pStyle w:val="2"/>
        <w:numPr>
          <w:ilvl w:val="0"/>
          <w:numId w:val="0"/>
        </w:numPr>
        <w:ind w:left="420"/>
        <w:rPr>
          <w:rFonts w:hint="eastAsia" w:ascii="宋体" w:hAnsi="宋体"/>
          <w:highlight w:val="none"/>
        </w:rPr>
      </w:pPr>
      <w:bookmarkStart w:id="225" w:name="_Toc38878800"/>
      <w:r>
        <w:rPr>
          <w:rFonts w:hint="eastAsia" w:ascii="宋体" w:hAnsi="宋体"/>
          <w:highlight w:val="none"/>
        </w:rPr>
        <w:t>第六章 投标文件格式</w:t>
      </w:r>
      <w:bookmarkEnd w:id="225"/>
    </w:p>
    <w:p w14:paraId="6013E0CB">
      <w:pPr>
        <w:spacing w:line="360" w:lineRule="exact"/>
        <w:rPr>
          <w:rFonts w:hint="eastAsia"/>
          <w:highlight w:val="none"/>
        </w:rPr>
      </w:pPr>
    </w:p>
    <w:p w14:paraId="06C5F173">
      <w:pPr>
        <w:spacing w:line="360" w:lineRule="exact"/>
        <w:rPr>
          <w:rFonts w:hint="eastAsia"/>
          <w:b/>
          <w:highlight w:val="none"/>
        </w:rPr>
        <w:sectPr>
          <w:pgSz w:w="11906" w:h="16838"/>
          <w:pgMar w:top="1440" w:right="1800" w:bottom="1440" w:left="1800" w:header="851" w:footer="992" w:gutter="0"/>
          <w:cols w:space="720" w:num="1"/>
          <w:docGrid w:type="lines" w:linePitch="312" w:charSpace="0"/>
        </w:sectPr>
      </w:pPr>
    </w:p>
    <w:p w14:paraId="235ECE4B">
      <w:pPr>
        <w:adjustRightInd w:val="0"/>
        <w:snapToGrid w:val="0"/>
        <w:spacing w:line="400" w:lineRule="atLeast"/>
        <w:jc w:val="center"/>
        <w:rPr>
          <w:rFonts w:hint="eastAsia"/>
          <w:bCs/>
          <w:sz w:val="52"/>
          <w:szCs w:val="52"/>
          <w:highlight w:val="none"/>
        </w:rPr>
      </w:pPr>
    </w:p>
    <w:p w14:paraId="071CDF27">
      <w:pPr>
        <w:adjustRightInd w:val="0"/>
        <w:snapToGrid w:val="0"/>
        <w:spacing w:line="400" w:lineRule="atLeast"/>
        <w:rPr>
          <w:rFonts w:hint="eastAsia"/>
          <w:bCs/>
          <w:sz w:val="52"/>
          <w:szCs w:val="52"/>
          <w:highlight w:val="none"/>
        </w:rPr>
      </w:pPr>
    </w:p>
    <w:p w14:paraId="79A98EB7">
      <w:pPr>
        <w:adjustRightInd w:val="0"/>
        <w:snapToGrid w:val="0"/>
        <w:spacing w:line="400" w:lineRule="atLeast"/>
        <w:jc w:val="center"/>
        <w:rPr>
          <w:rFonts w:hint="eastAsia"/>
          <w:bCs/>
          <w:sz w:val="52"/>
          <w:szCs w:val="52"/>
          <w:highlight w:val="none"/>
        </w:rPr>
      </w:pPr>
      <w:r>
        <w:rPr>
          <w:rFonts w:hint="eastAsia"/>
          <w:bCs/>
          <w:sz w:val="52"/>
          <w:szCs w:val="52"/>
          <w:highlight w:val="none"/>
        </w:rPr>
        <w:t>投 标 文 件</w:t>
      </w:r>
    </w:p>
    <w:p w14:paraId="78D5017B">
      <w:pPr>
        <w:snapToGrid w:val="0"/>
        <w:spacing w:before="156" w:beforeLines="50" w:after="50"/>
        <w:jc w:val="center"/>
        <w:rPr>
          <w:rFonts w:hint="eastAsia"/>
          <w:b/>
          <w:bCs/>
          <w:sz w:val="28"/>
          <w:szCs w:val="28"/>
          <w:highlight w:val="none"/>
        </w:rPr>
      </w:pPr>
      <w:r>
        <w:rPr>
          <w:rFonts w:hint="eastAsia"/>
          <w:b/>
          <w:bCs/>
          <w:sz w:val="28"/>
          <w:szCs w:val="28"/>
          <w:highlight w:val="none"/>
        </w:rPr>
        <w:t>（正本/副本）</w:t>
      </w:r>
    </w:p>
    <w:p w14:paraId="1EA6C764">
      <w:pPr>
        <w:snapToGrid w:val="0"/>
        <w:spacing w:before="156" w:beforeLines="50" w:after="50"/>
        <w:jc w:val="center"/>
        <w:rPr>
          <w:rFonts w:hint="eastAsia"/>
          <w:b/>
          <w:bCs/>
          <w:sz w:val="28"/>
          <w:szCs w:val="28"/>
          <w:highlight w:val="none"/>
        </w:rPr>
      </w:pPr>
    </w:p>
    <w:p w14:paraId="7F3C1CF8">
      <w:pPr>
        <w:snapToGrid w:val="0"/>
        <w:spacing w:before="156" w:beforeLines="50" w:after="50"/>
        <w:jc w:val="center"/>
        <w:rPr>
          <w:rFonts w:hint="eastAsia"/>
          <w:b/>
          <w:bCs/>
          <w:sz w:val="28"/>
          <w:szCs w:val="28"/>
          <w:highlight w:val="none"/>
        </w:rPr>
      </w:pPr>
      <w:r>
        <w:rPr>
          <w:rFonts w:hint="eastAsia"/>
          <w:b/>
          <w:bCs/>
          <w:sz w:val="28"/>
          <w:szCs w:val="28"/>
          <w:highlight w:val="none"/>
        </w:rPr>
        <w:t>第/包</w:t>
      </w:r>
    </w:p>
    <w:p w14:paraId="40304789">
      <w:pPr>
        <w:spacing w:before="312" w:beforeLines="100"/>
        <w:jc w:val="center"/>
        <w:rPr>
          <w:rFonts w:hint="eastAsia"/>
          <w:b/>
          <w:sz w:val="44"/>
          <w:szCs w:val="44"/>
          <w:highlight w:val="none"/>
        </w:rPr>
      </w:pPr>
    </w:p>
    <w:p w14:paraId="17352CE9">
      <w:pPr>
        <w:rPr>
          <w:rFonts w:hint="eastAsia"/>
          <w:sz w:val="28"/>
          <w:szCs w:val="28"/>
          <w:highlight w:val="none"/>
        </w:rPr>
      </w:pPr>
    </w:p>
    <w:p w14:paraId="6E08ADD3">
      <w:pPr>
        <w:snapToGrid w:val="0"/>
        <w:spacing w:before="312" w:beforeLines="100" w:after="312" w:afterLines="100"/>
        <w:ind w:firstLine="993" w:firstLineChars="412"/>
        <w:rPr>
          <w:rFonts w:hint="eastAsia"/>
          <w:b/>
          <w:bCs/>
          <w:highlight w:val="none"/>
        </w:rPr>
      </w:pPr>
      <w:r>
        <w:rPr>
          <w:rFonts w:hint="eastAsia"/>
          <w:b/>
          <w:bCs/>
          <w:highlight w:val="none"/>
        </w:rPr>
        <w:t>项目名称：</w:t>
      </w:r>
      <w:r>
        <w:rPr>
          <w:rFonts w:hint="eastAsia"/>
          <w:b/>
          <w:bCs/>
          <w:highlight w:val="none"/>
          <w:u w:val="single"/>
        </w:rPr>
        <w:t xml:space="preserve">                                   </w:t>
      </w:r>
      <w:r>
        <w:rPr>
          <w:rFonts w:hint="eastAsia"/>
          <w:b/>
          <w:bCs/>
          <w:highlight w:val="none"/>
        </w:rPr>
        <w:t xml:space="preserve"> </w:t>
      </w:r>
    </w:p>
    <w:p w14:paraId="5E0166EB">
      <w:pPr>
        <w:snapToGrid w:val="0"/>
        <w:spacing w:before="312" w:beforeLines="100" w:after="312" w:afterLines="100"/>
        <w:ind w:firstLine="985" w:firstLineChars="409"/>
        <w:rPr>
          <w:rFonts w:hint="eastAsia"/>
          <w:b/>
          <w:bCs/>
          <w:highlight w:val="none"/>
        </w:rPr>
      </w:pPr>
      <w:r>
        <w:rPr>
          <w:rFonts w:hint="eastAsia"/>
          <w:b/>
          <w:bCs/>
          <w:highlight w:val="none"/>
        </w:rPr>
        <w:t>项目编号：</w:t>
      </w:r>
      <w:r>
        <w:rPr>
          <w:rFonts w:hint="eastAsia"/>
          <w:b/>
          <w:bCs/>
          <w:highlight w:val="none"/>
          <w:u w:val="single"/>
        </w:rPr>
        <w:t xml:space="preserve">                                   </w:t>
      </w:r>
      <w:r>
        <w:rPr>
          <w:b/>
          <w:bCs/>
          <w:highlight w:val="none"/>
        </w:rPr>
        <w:t xml:space="preserve"> </w:t>
      </w:r>
    </w:p>
    <w:p w14:paraId="76D63B88">
      <w:pPr>
        <w:snapToGrid w:val="0"/>
        <w:spacing w:before="312" w:beforeLines="100" w:after="312" w:afterLines="100"/>
        <w:ind w:firstLine="985" w:firstLineChars="409"/>
        <w:rPr>
          <w:rFonts w:hint="eastAsia"/>
          <w:b/>
          <w:bCs/>
          <w:highlight w:val="none"/>
          <w:u w:val="single"/>
        </w:rPr>
      </w:pPr>
      <w:r>
        <w:rPr>
          <w:rFonts w:hint="eastAsia"/>
          <w:b/>
          <w:bCs/>
          <w:highlight w:val="none"/>
        </w:rPr>
        <w:t>招标内容：</w:t>
      </w:r>
      <w:r>
        <w:rPr>
          <w:rFonts w:hint="eastAsia"/>
          <w:b/>
          <w:bCs/>
          <w:highlight w:val="none"/>
          <w:u w:val="single"/>
        </w:rPr>
        <w:t xml:space="preserve">                                   </w:t>
      </w:r>
    </w:p>
    <w:p w14:paraId="13B6BB68">
      <w:pPr>
        <w:pStyle w:val="11"/>
        <w:snapToGrid w:val="0"/>
        <w:spacing w:before="312" w:beforeLines="100" w:after="312" w:afterLines="100" w:line="360" w:lineRule="auto"/>
        <w:ind w:firstLine="981" w:firstLineChars="407"/>
        <w:rPr>
          <w:rFonts w:hint="eastAsia" w:ascii="宋体" w:hAnsi="宋体"/>
          <w:b/>
          <w:bCs/>
          <w:sz w:val="24"/>
          <w:szCs w:val="24"/>
          <w:highlight w:val="none"/>
        </w:rPr>
      </w:pPr>
      <w:r>
        <w:rPr>
          <w:rFonts w:hint="eastAsia" w:ascii="宋体" w:hAnsi="宋体"/>
          <w:b/>
          <w:bCs/>
          <w:sz w:val="24"/>
          <w:szCs w:val="24"/>
          <w:highlight w:val="none"/>
        </w:rPr>
        <w:t>投标人名称：</w:t>
      </w:r>
      <w:r>
        <w:rPr>
          <w:rFonts w:hint="eastAsia" w:ascii="宋体" w:hAnsi="宋体"/>
          <w:b/>
          <w:bCs/>
          <w:sz w:val="24"/>
          <w:szCs w:val="24"/>
          <w:highlight w:val="none"/>
          <w:u w:val="single"/>
        </w:rPr>
        <w:t xml:space="preserve">                      （</w:t>
      </w:r>
      <w:r>
        <w:rPr>
          <w:rFonts w:hint="eastAsia" w:ascii="宋体" w:hAnsi="宋体"/>
          <w:b/>
          <w:bCs/>
          <w:sz w:val="24"/>
          <w:szCs w:val="24"/>
          <w:highlight w:val="none"/>
        </w:rPr>
        <w:t>加盖公章）</w:t>
      </w:r>
    </w:p>
    <w:p w14:paraId="644046F1">
      <w:pPr>
        <w:pStyle w:val="11"/>
        <w:snapToGrid w:val="0"/>
        <w:spacing w:before="312" w:beforeLines="100" w:after="312" w:afterLines="100" w:line="360" w:lineRule="auto"/>
        <w:ind w:firstLine="985" w:firstLineChars="409"/>
        <w:rPr>
          <w:rFonts w:hint="eastAsia" w:ascii="宋体" w:hAnsi="宋体"/>
          <w:b/>
          <w:bCs/>
          <w:sz w:val="24"/>
          <w:szCs w:val="24"/>
          <w:highlight w:val="none"/>
          <w:u w:val="single"/>
        </w:rPr>
      </w:pPr>
      <w:r>
        <w:rPr>
          <w:rFonts w:hint="eastAsia" w:ascii="宋体" w:hAnsi="宋体"/>
          <w:b/>
          <w:bCs/>
          <w:sz w:val="24"/>
          <w:szCs w:val="24"/>
          <w:highlight w:val="none"/>
        </w:rPr>
        <w:t>投标人地址：</w:t>
      </w:r>
      <w:r>
        <w:rPr>
          <w:rFonts w:hint="eastAsia" w:ascii="宋体" w:hAnsi="宋体"/>
          <w:b/>
          <w:bCs/>
          <w:sz w:val="24"/>
          <w:szCs w:val="24"/>
          <w:highlight w:val="none"/>
          <w:u w:val="single"/>
        </w:rPr>
        <w:t xml:space="preserve">                                 </w:t>
      </w:r>
    </w:p>
    <w:p w14:paraId="10EE744E">
      <w:pPr>
        <w:pStyle w:val="11"/>
        <w:snapToGrid w:val="0"/>
        <w:spacing w:before="312" w:beforeLines="100" w:after="312" w:afterLines="100" w:line="360" w:lineRule="auto"/>
        <w:ind w:firstLine="985" w:firstLineChars="409"/>
        <w:rPr>
          <w:rFonts w:hint="eastAsia" w:ascii="宋体" w:hAnsi="宋体"/>
          <w:b/>
          <w:bCs/>
          <w:sz w:val="24"/>
          <w:szCs w:val="24"/>
          <w:highlight w:val="none"/>
          <w:u w:val="single"/>
        </w:rPr>
      </w:pPr>
      <w:r>
        <w:rPr>
          <w:rFonts w:hint="eastAsia" w:ascii="宋体" w:hAnsi="宋体"/>
          <w:b/>
          <w:bCs/>
          <w:sz w:val="24"/>
          <w:szCs w:val="24"/>
          <w:highlight w:val="none"/>
        </w:rPr>
        <w:t>投标联系人：</w:t>
      </w:r>
      <w:r>
        <w:rPr>
          <w:rFonts w:hint="eastAsia" w:ascii="宋体" w:hAnsi="宋体"/>
          <w:b/>
          <w:bCs/>
          <w:sz w:val="24"/>
          <w:szCs w:val="24"/>
          <w:highlight w:val="none"/>
          <w:u w:val="single"/>
        </w:rPr>
        <w:t xml:space="preserve">             </w:t>
      </w:r>
      <w:r>
        <w:rPr>
          <w:rFonts w:hint="eastAsia" w:ascii="宋体" w:hAnsi="宋体"/>
          <w:b/>
          <w:bCs/>
          <w:sz w:val="24"/>
          <w:szCs w:val="24"/>
          <w:highlight w:val="none"/>
        </w:rPr>
        <w:t>电话:</w:t>
      </w:r>
      <w:r>
        <w:rPr>
          <w:rFonts w:hint="eastAsia" w:ascii="宋体" w:hAnsi="宋体"/>
          <w:b/>
          <w:bCs/>
          <w:sz w:val="24"/>
          <w:szCs w:val="24"/>
          <w:highlight w:val="none"/>
          <w:u w:val="single"/>
        </w:rPr>
        <w:t xml:space="preserve">               </w:t>
      </w:r>
    </w:p>
    <w:p w14:paraId="26F08544">
      <w:pPr>
        <w:snapToGrid w:val="0"/>
        <w:spacing w:before="156" w:beforeLines="50" w:after="50"/>
        <w:ind w:firstLine="628" w:firstLineChars="262"/>
        <w:rPr>
          <w:rFonts w:hint="eastAsia"/>
          <w:bCs/>
          <w:highlight w:val="none"/>
        </w:rPr>
      </w:pPr>
    </w:p>
    <w:p w14:paraId="74354CA1">
      <w:pPr>
        <w:autoSpaceDE w:val="0"/>
        <w:autoSpaceDN w:val="0"/>
        <w:adjustRightInd w:val="0"/>
        <w:snapToGrid w:val="0"/>
        <w:spacing w:before="156" w:beforeLines="50" w:after="156" w:afterLines="50"/>
        <w:jc w:val="right"/>
        <w:rPr>
          <w:rFonts w:hint="eastAsia"/>
          <w:b/>
          <w:sz w:val="32"/>
          <w:szCs w:val="32"/>
          <w:highlight w:val="none"/>
        </w:rPr>
      </w:pPr>
      <w:r>
        <w:rPr>
          <w:bCs/>
          <w:highlight w:val="none"/>
        </w:rPr>
        <w:t xml:space="preserve">     </w:t>
      </w:r>
      <w:bookmarkStart w:id="226" w:name="_Toc430714682"/>
      <w:r>
        <w:rPr>
          <w:rFonts w:hint="eastAsia"/>
          <w:bCs/>
          <w:highlight w:val="none"/>
        </w:rPr>
        <w:t>年</w:t>
      </w:r>
      <w:r>
        <w:rPr>
          <w:bCs/>
          <w:highlight w:val="none"/>
        </w:rPr>
        <w:t xml:space="preserve">  </w:t>
      </w:r>
      <w:r>
        <w:rPr>
          <w:rFonts w:hint="eastAsia"/>
          <w:bCs/>
          <w:highlight w:val="none"/>
        </w:rPr>
        <w:t xml:space="preserve"> 月</w:t>
      </w:r>
      <w:r>
        <w:rPr>
          <w:bCs/>
          <w:highlight w:val="none"/>
        </w:rPr>
        <w:t xml:space="preserve">  </w:t>
      </w:r>
      <w:r>
        <w:rPr>
          <w:rFonts w:hint="eastAsia"/>
          <w:bCs/>
          <w:highlight w:val="none"/>
        </w:rPr>
        <w:t xml:space="preserve"> 日</w:t>
      </w:r>
      <w:bookmarkEnd w:id="226"/>
    </w:p>
    <w:p w14:paraId="3BC9AEE8">
      <w:pPr>
        <w:spacing w:line="360" w:lineRule="exact"/>
        <w:rPr>
          <w:rFonts w:hint="eastAsia"/>
          <w:highlight w:val="none"/>
        </w:rPr>
      </w:pPr>
    </w:p>
    <w:p w14:paraId="31B89906">
      <w:pPr>
        <w:spacing w:line="360" w:lineRule="exact"/>
        <w:rPr>
          <w:rFonts w:hint="eastAsia"/>
          <w:highlight w:val="none"/>
        </w:rPr>
        <w:sectPr>
          <w:pgSz w:w="11906" w:h="16838"/>
          <w:pgMar w:top="1440" w:right="1800" w:bottom="1440" w:left="1800" w:header="851" w:footer="992" w:gutter="0"/>
          <w:cols w:space="720" w:num="1"/>
          <w:docGrid w:type="lines" w:linePitch="312" w:charSpace="0"/>
        </w:sectPr>
      </w:pPr>
    </w:p>
    <w:p w14:paraId="31FE24D6">
      <w:pPr>
        <w:adjustRightInd w:val="0"/>
        <w:snapToGrid w:val="0"/>
        <w:jc w:val="center"/>
        <w:rPr>
          <w:rFonts w:hint="eastAsia"/>
          <w:b/>
          <w:szCs w:val="21"/>
          <w:highlight w:val="none"/>
        </w:rPr>
      </w:pPr>
      <w:r>
        <w:rPr>
          <w:rFonts w:hint="eastAsia"/>
          <w:b/>
          <w:szCs w:val="21"/>
          <w:highlight w:val="none"/>
        </w:rPr>
        <w:t>目录</w:t>
      </w:r>
    </w:p>
    <w:p w14:paraId="7DD7F7A3">
      <w:pPr>
        <w:adjustRightInd w:val="0"/>
        <w:snapToGrid w:val="0"/>
        <w:jc w:val="left"/>
        <w:rPr>
          <w:rFonts w:hint="eastAsia"/>
          <w:b/>
          <w:szCs w:val="21"/>
          <w:highlight w:val="none"/>
        </w:rPr>
      </w:pPr>
      <w:r>
        <w:rPr>
          <w:b/>
          <w:szCs w:val="21"/>
          <w:highlight w:val="none"/>
        </w:rPr>
        <w:t>一、</w:t>
      </w:r>
      <w:r>
        <w:rPr>
          <w:rFonts w:hint="eastAsia"/>
          <w:b/>
          <w:szCs w:val="21"/>
          <w:highlight w:val="none"/>
        </w:rPr>
        <w:t>资格性自查表</w:t>
      </w:r>
    </w:p>
    <w:p w14:paraId="61441682">
      <w:pPr>
        <w:adjustRightInd w:val="0"/>
        <w:snapToGrid w:val="0"/>
        <w:jc w:val="left"/>
        <w:rPr>
          <w:rFonts w:hint="eastAsia"/>
          <w:b/>
          <w:szCs w:val="21"/>
          <w:highlight w:val="none"/>
        </w:rPr>
      </w:pPr>
      <w:r>
        <w:rPr>
          <w:rFonts w:hint="eastAsia"/>
          <w:b/>
          <w:szCs w:val="21"/>
          <w:highlight w:val="none"/>
        </w:rPr>
        <w:t>二、投标函</w:t>
      </w:r>
    </w:p>
    <w:p w14:paraId="0C206175">
      <w:pPr>
        <w:adjustRightInd w:val="0"/>
        <w:snapToGrid w:val="0"/>
        <w:ind w:firstLine="480" w:firstLineChars="200"/>
        <w:jc w:val="left"/>
        <w:rPr>
          <w:rFonts w:hint="eastAsia"/>
          <w:szCs w:val="21"/>
          <w:highlight w:val="none"/>
        </w:rPr>
      </w:pPr>
      <w:r>
        <w:rPr>
          <w:rFonts w:hint="eastAsia"/>
          <w:szCs w:val="21"/>
          <w:highlight w:val="none"/>
        </w:rPr>
        <w:t>附件1：法定代表人身份证明(法定代表人参加招标)</w:t>
      </w:r>
    </w:p>
    <w:p w14:paraId="51476C04">
      <w:pPr>
        <w:adjustRightInd w:val="0"/>
        <w:snapToGrid w:val="0"/>
        <w:ind w:firstLine="480" w:firstLineChars="200"/>
        <w:jc w:val="left"/>
        <w:rPr>
          <w:rFonts w:hint="eastAsia"/>
          <w:szCs w:val="21"/>
          <w:highlight w:val="none"/>
        </w:rPr>
      </w:pPr>
      <w:r>
        <w:rPr>
          <w:rFonts w:hint="eastAsia"/>
          <w:szCs w:val="21"/>
          <w:highlight w:val="none"/>
        </w:rPr>
        <w:t>附件2：法定代表人授权书(委托代理人参加招标)</w:t>
      </w:r>
    </w:p>
    <w:p w14:paraId="3C07BD3B">
      <w:pPr>
        <w:adjustRightInd w:val="0"/>
        <w:snapToGrid w:val="0"/>
        <w:ind w:firstLine="480" w:firstLineChars="200"/>
        <w:jc w:val="left"/>
        <w:rPr>
          <w:rFonts w:hint="eastAsia"/>
          <w:szCs w:val="21"/>
          <w:highlight w:val="none"/>
        </w:rPr>
      </w:pPr>
      <w:r>
        <w:rPr>
          <w:rFonts w:hint="eastAsia"/>
          <w:szCs w:val="21"/>
          <w:highlight w:val="none"/>
        </w:rPr>
        <w:t>投标保证金汇款凭证或电子保函说明</w:t>
      </w:r>
    </w:p>
    <w:p w14:paraId="0FF349DE">
      <w:pPr>
        <w:pStyle w:val="24"/>
        <w:adjustRightInd w:val="0"/>
        <w:snapToGrid w:val="0"/>
        <w:spacing w:line="360" w:lineRule="auto"/>
        <w:rPr>
          <w:rFonts w:hint="eastAsia" w:hAnsi="宋体"/>
          <w:b/>
          <w:highlight w:val="none"/>
        </w:rPr>
      </w:pPr>
      <w:r>
        <w:rPr>
          <w:rFonts w:hint="eastAsia" w:hAnsi="宋体"/>
          <w:b/>
          <w:highlight w:val="none"/>
        </w:rPr>
        <w:t>三、报价一览表及投标报价明细表</w:t>
      </w:r>
    </w:p>
    <w:p w14:paraId="03657D6E">
      <w:pPr>
        <w:adjustRightInd w:val="0"/>
        <w:snapToGrid w:val="0"/>
        <w:ind w:firstLine="480" w:firstLineChars="200"/>
        <w:jc w:val="left"/>
        <w:rPr>
          <w:rFonts w:hint="eastAsia"/>
          <w:szCs w:val="21"/>
          <w:highlight w:val="none"/>
        </w:rPr>
      </w:pPr>
      <w:r>
        <w:rPr>
          <w:rFonts w:hint="eastAsia"/>
          <w:szCs w:val="21"/>
          <w:highlight w:val="none"/>
        </w:rPr>
        <w:t>附件3：报价一览表</w:t>
      </w:r>
    </w:p>
    <w:p w14:paraId="678985C7">
      <w:pPr>
        <w:adjustRightInd w:val="0"/>
        <w:snapToGrid w:val="0"/>
        <w:ind w:firstLine="480" w:firstLineChars="200"/>
        <w:jc w:val="left"/>
        <w:rPr>
          <w:rFonts w:hint="eastAsia"/>
          <w:bCs/>
          <w:szCs w:val="21"/>
          <w:highlight w:val="none"/>
        </w:rPr>
      </w:pPr>
      <w:r>
        <w:rPr>
          <w:rFonts w:hint="eastAsia"/>
          <w:szCs w:val="21"/>
          <w:highlight w:val="none"/>
        </w:rPr>
        <w:t>附件4：</w:t>
      </w:r>
      <w:r>
        <w:rPr>
          <w:rFonts w:hint="eastAsia"/>
          <w:bCs/>
          <w:szCs w:val="21"/>
          <w:highlight w:val="none"/>
        </w:rPr>
        <w:t>投标报价明细表</w:t>
      </w:r>
    </w:p>
    <w:p w14:paraId="21DE1290">
      <w:pPr>
        <w:adjustRightInd w:val="0"/>
        <w:snapToGrid w:val="0"/>
        <w:ind w:firstLine="480" w:firstLineChars="200"/>
        <w:jc w:val="left"/>
        <w:rPr>
          <w:rFonts w:hint="eastAsia"/>
          <w:szCs w:val="21"/>
          <w:highlight w:val="none"/>
        </w:rPr>
      </w:pPr>
      <w:r>
        <w:rPr>
          <w:rFonts w:hint="eastAsia"/>
          <w:szCs w:val="21"/>
          <w:highlight w:val="none"/>
        </w:rPr>
        <w:t>附件5：节能、环境标志产品优惠明细表</w:t>
      </w:r>
    </w:p>
    <w:p w14:paraId="5F7AEE09">
      <w:pPr>
        <w:adjustRightInd w:val="0"/>
        <w:snapToGrid w:val="0"/>
        <w:ind w:firstLine="480" w:firstLineChars="200"/>
        <w:jc w:val="left"/>
        <w:rPr>
          <w:rFonts w:hint="eastAsia"/>
          <w:szCs w:val="21"/>
          <w:highlight w:val="none"/>
        </w:rPr>
      </w:pPr>
      <w:r>
        <w:rPr>
          <w:rFonts w:hint="eastAsia"/>
          <w:szCs w:val="21"/>
          <w:highlight w:val="none"/>
        </w:rPr>
        <w:t>附件6：节能、环境标志产品证明材料</w:t>
      </w:r>
    </w:p>
    <w:p w14:paraId="0A0AB34D">
      <w:pPr>
        <w:adjustRightInd w:val="0"/>
        <w:snapToGrid w:val="0"/>
        <w:ind w:firstLine="480" w:firstLineChars="200"/>
        <w:jc w:val="left"/>
        <w:rPr>
          <w:rFonts w:hint="eastAsia"/>
          <w:szCs w:val="21"/>
          <w:highlight w:val="none"/>
        </w:rPr>
      </w:pPr>
      <w:r>
        <w:rPr>
          <w:rFonts w:hint="eastAsia"/>
          <w:szCs w:val="21"/>
          <w:highlight w:val="none"/>
        </w:rPr>
        <w:t>附件7：中小企业声明函、监狱企业声明函</w:t>
      </w:r>
    </w:p>
    <w:p w14:paraId="578D5741">
      <w:pPr>
        <w:adjustRightInd w:val="0"/>
        <w:snapToGrid w:val="0"/>
        <w:jc w:val="left"/>
        <w:rPr>
          <w:rFonts w:hint="eastAsia"/>
          <w:b/>
          <w:szCs w:val="21"/>
          <w:highlight w:val="none"/>
        </w:rPr>
      </w:pPr>
      <w:r>
        <w:rPr>
          <w:rFonts w:hint="eastAsia"/>
          <w:b/>
          <w:szCs w:val="21"/>
          <w:highlight w:val="none"/>
        </w:rPr>
        <w:t>四、投标人基本情况</w:t>
      </w:r>
    </w:p>
    <w:p w14:paraId="645940FD">
      <w:pPr>
        <w:adjustRightInd w:val="0"/>
        <w:snapToGrid w:val="0"/>
        <w:ind w:firstLine="480" w:firstLineChars="200"/>
        <w:jc w:val="left"/>
        <w:rPr>
          <w:rFonts w:hint="eastAsia"/>
          <w:szCs w:val="21"/>
          <w:highlight w:val="none"/>
        </w:rPr>
      </w:pPr>
      <w:r>
        <w:rPr>
          <w:rFonts w:hint="eastAsia"/>
          <w:szCs w:val="21"/>
          <w:highlight w:val="none"/>
        </w:rPr>
        <w:t>附件8：投标人基本情况表</w:t>
      </w:r>
    </w:p>
    <w:p w14:paraId="4F1F04B9">
      <w:pPr>
        <w:adjustRightInd w:val="0"/>
        <w:snapToGrid w:val="0"/>
        <w:ind w:firstLine="480" w:firstLineChars="200"/>
        <w:rPr>
          <w:rFonts w:hint="eastAsia"/>
          <w:szCs w:val="21"/>
          <w:highlight w:val="none"/>
        </w:rPr>
      </w:pPr>
      <w:r>
        <w:rPr>
          <w:rFonts w:hint="eastAsia"/>
          <w:szCs w:val="21"/>
          <w:highlight w:val="none"/>
        </w:rPr>
        <w:t>附件9：拟投入本项目的人员一览表</w:t>
      </w:r>
    </w:p>
    <w:p w14:paraId="74050CBD">
      <w:pPr>
        <w:adjustRightInd w:val="0"/>
        <w:snapToGrid w:val="0"/>
        <w:ind w:firstLine="480" w:firstLineChars="200"/>
        <w:rPr>
          <w:rFonts w:hint="eastAsia"/>
          <w:bCs/>
          <w:szCs w:val="21"/>
          <w:highlight w:val="none"/>
        </w:rPr>
      </w:pPr>
      <w:r>
        <w:rPr>
          <w:rFonts w:hint="eastAsia"/>
          <w:szCs w:val="21"/>
          <w:highlight w:val="none"/>
        </w:rPr>
        <w:t>附件10：</w:t>
      </w:r>
      <w:r>
        <w:rPr>
          <w:rFonts w:hint="eastAsia"/>
          <w:bCs/>
          <w:szCs w:val="21"/>
          <w:highlight w:val="none"/>
        </w:rPr>
        <w:t>投标人主要业绩</w:t>
      </w:r>
    </w:p>
    <w:p w14:paraId="00C69F35">
      <w:pPr>
        <w:adjustRightInd w:val="0"/>
        <w:snapToGrid w:val="0"/>
        <w:jc w:val="left"/>
        <w:rPr>
          <w:rFonts w:hint="eastAsia"/>
          <w:b/>
          <w:szCs w:val="21"/>
          <w:highlight w:val="none"/>
        </w:rPr>
      </w:pPr>
      <w:r>
        <w:rPr>
          <w:rFonts w:hint="eastAsia"/>
          <w:b/>
          <w:szCs w:val="21"/>
          <w:highlight w:val="none"/>
        </w:rPr>
        <w:t>五、投标人的资格审查材料</w:t>
      </w:r>
    </w:p>
    <w:p w14:paraId="5ED66122">
      <w:pPr>
        <w:adjustRightInd w:val="0"/>
        <w:snapToGrid w:val="0"/>
        <w:ind w:firstLine="480" w:firstLineChars="200"/>
        <w:rPr>
          <w:rFonts w:hint="eastAsia"/>
          <w:szCs w:val="21"/>
          <w:highlight w:val="none"/>
        </w:rPr>
      </w:pPr>
      <w:r>
        <w:rPr>
          <w:rFonts w:hint="eastAsia"/>
          <w:szCs w:val="21"/>
          <w:highlight w:val="none"/>
        </w:rPr>
        <w:t>附件11：近3年内在经营活动中没有重大违法记录的书面声明</w:t>
      </w:r>
    </w:p>
    <w:p w14:paraId="61594DFC">
      <w:pPr>
        <w:adjustRightInd w:val="0"/>
        <w:snapToGrid w:val="0"/>
        <w:ind w:firstLine="480" w:firstLineChars="200"/>
        <w:rPr>
          <w:rFonts w:hint="eastAsia"/>
          <w:szCs w:val="21"/>
          <w:highlight w:val="none"/>
        </w:rPr>
      </w:pPr>
      <w:r>
        <w:rPr>
          <w:rFonts w:hint="eastAsia"/>
          <w:szCs w:val="21"/>
          <w:highlight w:val="none"/>
        </w:rPr>
        <w:t>附件12：信用记录</w:t>
      </w:r>
    </w:p>
    <w:p w14:paraId="3A11B2C9">
      <w:pPr>
        <w:adjustRightInd w:val="0"/>
        <w:snapToGrid w:val="0"/>
        <w:jc w:val="left"/>
        <w:rPr>
          <w:rFonts w:hint="eastAsia"/>
          <w:b/>
          <w:szCs w:val="21"/>
          <w:highlight w:val="none"/>
        </w:rPr>
      </w:pPr>
      <w:r>
        <w:rPr>
          <w:rFonts w:hint="eastAsia"/>
          <w:b/>
          <w:szCs w:val="21"/>
          <w:highlight w:val="none"/>
        </w:rPr>
        <w:t>六、货物说明</w:t>
      </w:r>
    </w:p>
    <w:p w14:paraId="5404949F">
      <w:pPr>
        <w:adjustRightInd w:val="0"/>
        <w:snapToGrid w:val="0"/>
        <w:ind w:firstLine="480" w:firstLineChars="200"/>
        <w:jc w:val="left"/>
        <w:rPr>
          <w:rFonts w:hint="eastAsia"/>
          <w:szCs w:val="21"/>
          <w:highlight w:val="none"/>
        </w:rPr>
      </w:pPr>
      <w:r>
        <w:rPr>
          <w:rFonts w:hint="eastAsia"/>
          <w:szCs w:val="21"/>
          <w:highlight w:val="none"/>
        </w:rPr>
        <w:t>附件13：技术需求逐条应答表</w:t>
      </w:r>
    </w:p>
    <w:p w14:paraId="4EC67C2A">
      <w:pPr>
        <w:adjustRightInd w:val="0"/>
        <w:snapToGrid w:val="0"/>
        <w:jc w:val="left"/>
        <w:rPr>
          <w:rFonts w:hint="eastAsia"/>
          <w:b/>
          <w:szCs w:val="21"/>
          <w:highlight w:val="none"/>
        </w:rPr>
      </w:pPr>
      <w:r>
        <w:rPr>
          <w:rFonts w:hint="eastAsia"/>
          <w:b/>
          <w:szCs w:val="21"/>
          <w:highlight w:val="none"/>
        </w:rPr>
        <w:t>七、</w:t>
      </w:r>
      <w:r>
        <w:rPr>
          <w:rFonts w:hint="eastAsia"/>
          <w:b/>
          <w:highlight w:val="none"/>
        </w:rPr>
        <w:t>实施方案</w:t>
      </w:r>
    </w:p>
    <w:p w14:paraId="2F964062">
      <w:pPr>
        <w:adjustRightInd w:val="0"/>
        <w:snapToGrid w:val="0"/>
        <w:ind w:firstLine="435"/>
        <w:jc w:val="left"/>
        <w:rPr>
          <w:rFonts w:hint="eastAsia"/>
          <w:szCs w:val="21"/>
          <w:highlight w:val="none"/>
        </w:rPr>
      </w:pPr>
      <w:r>
        <w:rPr>
          <w:rFonts w:hint="eastAsia"/>
          <w:szCs w:val="21"/>
          <w:highlight w:val="none"/>
        </w:rPr>
        <w:t>附件14：服务附表</w:t>
      </w:r>
    </w:p>
    <w:p w14:paraId="3230C35F">
      <w:pPr>
        <w:pStyle w:val="24"/>
        <w:adjustRightInd w:val="0"/>
        <w:snapToGrid w:val="0"/>
        <w:spacing w:line="360" w:lineRule="auto"/>
        <w:rPr>
          <w:rFonts w:hint="eastAsia" w:hAnsi="宋体"/>
          <w:b/>
          <w:sz w:val="21"/>
          <w:szCs w:val="21"/>
          <w:highlight w:val="none"/>
        </w:rPr>
      </w:pPr>
      <w:r>
        <w:rPr>
          <w:rFonts w:hint="eastAsia" w:hAnsi="宋体"/>
          <w:b/>
          <w:sz w:val="21"/>
          <w:szCs w:val="21"/>
          <w:highlight w:val="none"/>
        </w:rPr>
        <w:t>八、投标人认为需提供的其它资料</w:t>
      </w:r>
    </w:p>
    <w:p w14:paraId="13C3F033">
      <w:pPr>
        <w:adjustRightInd w:val="0"/>
        <w:snapToGrid w:val="0"/>
        <w:rPr>
          <w:rFonts w:hint="eastAsia"/>
          <w:b/>
          <w:szCs w:val="21"/>
          <w:highlight w:val="none"/>
        </w:rPr>
      </w:pPr>
    </w:p>
    <w:p w14:paraId="5EE2A274">
      <w:pPr>
        <w:adjustRightInd w:val="0"/>
        <w:snapToGrid w:val="0"/>
        <w:rPr>
          <w:rFonts w:hint="eastAsia"/>
          <w:b/>
          <w:szCs w:val="21"/>
          <w:highlight w:val="none"/>
        </w:rPr>
      </w:pPr>
    </w:p>
    <w:p w14:paraId="377F1262">
      <w:pPr>
        <w:adjustRightInd w:val="0"/>
        <w:snapToGrid w:val="0"/>
        <w:jc w:val="center"/>
        <w:outlineLvl w:val="1"/>
        <w:rPr>
          <w:rFonts w:hint="eastAsia"/>
          <w:b/>
          <w:szCs w:val="21"/>
          <w:highlight w:val="none"/>
        </w:rPr>
      </w:pPr>
      <w:r>
        <w:rPr>
          <w:b/>
          <w:szCs w:val="21"/>
          <w:highlight w:val="none"/>
        </w:rPr>
        <w:br w:type="page"/>
      </w:r>
      <w:bookmarkStart w:id="227" w:name="_Toc466288481"/>
    </w:p>
    <w:p w14:paraId="20F11611">
      <w:pPr>
        <w:pStyle w:val="3"/>
        <w:numPr>
          <w:ilvl w:val="0"/>
          <w:numId w:val="0"/>
        </w:numPr>
        <w:ind w:left="576" w:hanging="576"/>
        <w:jc w:val="center"/>
        <w:rPr>
          <w:rFonts w:hint="eastAsia" w:ascii="宋体" w:hAnsi="宋体" w:cs="宋体"/>
          <w:highlight w:val="none"/>
        </w:rPr>
      </w:pPr>
      <w:bookmarkStart w:id="228" w:name="_Toc38878801"/>
      <w:r>
        <w:rPr>
          <w:rFonts w:hint="eastAsia" w:ascii="宋体" w:hAnsi="宋体"/>
          <w:highlight w:val="none"/>
        </w:rPr>
        <w:t>一、资格性自查表</w:t>
      </w:r>
      <w:bookmarkEnd w:id="227"/>
      <w:bookmarkEnd w:id="228"/>
    </w:p>
    <w:p w14:paraId="5BE84332">
      <w:pPr>
        <w:spacing w:line="400" w:lineRule="exact"/>
        <w:rPr>
          <w:rFonts w:hint="eastAsia"/>
          <w:b/>
          <w:szCs w:val="21"/>
          <w:highlight w:val="none"/>
        </w:rPr>
      </w:pPr>
    </w:p>
    <w:tbl>
      <w:tblPr>
        <w:tblStyle w:val="4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11"/>
        <w:gridCol w:w="1440"/>
      </w:tblGrid>
      <w:tr w14:paraId="2AFB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866B7C4">
            <w:pPr>
              <w:topLinePunct/>
              <w:spacing w:line="440" w:lineRule="exact"/>
              <w:jc w:val="center"/>
              <w:rPr>
                <w:rFonts w:hint="eastAsia"/>
                <w:szCs w:val="21"/>
                <w:highlight w:val="none"/>
              </w:rPr>
            </w:pPr>
            <w:r>
              <w:rPr>
                <w:rFonts w:hint="eastAsia"/>
                <w:szCs w:val="21"/>
                <w:highlight w:val="none"/>
              </w:rPr>
              <w:t>序号</w:t>
            </w:r>
          </w:p>
        </w:tc>
        <w:tc>
          <w:tcPr>
            <w:tcW w:w="6311" w:type="dxa"/>
            <w:vAlign w:val="center"/>
          </w:tcPr>
          <w:p w14:paraId="17A4DBE8">
            <w:pPr>
              <w:topLinePunct/>
              <w:spacing w:line="440" w:lineRule="exact"/>
              <w:jc w:val="center"/>
              <w:rPr>
                <w:rFonts w:hint="eastAsia"/>
                <w:szCs w:val="21"/>
                <w:highlight w:val="none"/>
              </w:rPr>
            </w:pPr>
            <w:r>
              <w:rPr>
                <w:rFonts w:hint="eastAsia"/>
                <w:szCs w:val="21"/>
                <w:highlight w:val="none"/>
              </w:rPr>
              <w:t>审查因素</w:t>
            </w:r>
          </w:p>
        </w:tc>
        <w:tc>
          <w:tcPr>
            <w:tcW w:w="1440" w:type="dxa"/>
            <w:vAlign w:val="center"/>
          </w:tcPr>
          <w:p w14:paraId="2A9516F1">
            <w:pPr>
              <w:topLinePunct/>
              <w:spacing w:line="440" w:lineRule="exact"/>
              <w:jc w:val="center"/>
              <w:rPr>
                <w:rFonts w:hint="eastAsia"/>
                <w:szCs w:val="21"/>
                <w:highlight w:val="none"/>
              </w:rPr>
            </w:pPr>
            <w:r>
              <w:rPr>
                <w:rFonts w:hint="eastAsia"/>
                <w:szCs w:val="21"/>
                <w:highlight w:val="none"/>
              </w:rPr>
              <w:t>投标文件中</w:t>
            </w:r>
          </w:p>
          <w:p w14:paraId="349DF637">
            <w:pPr>
              <w:topLinePunct/>
              <w:spacing w:line="440" w:lineRule="exact"/>
              <w:jc w:val="center"/>
              <w:rPr>
                <w:rFonts w:hint="eastAsia"/>
                <w:szCs w:val="21"/>
                <w:highlight w:val="none"/>
              </w:rPr>
            </w:pPr>
            <w:r>
              <w:rPr>
                <w:rFonts w:hint="eastAsia"/>
                <w:szCs w:val="21"/>
                <w:highlight w:val="none"/>
              </w:rPr>
              <w:t>对应页码</w:t>
            </w:r>
          </w:p>
        </w:tc>
      </w:tr>
      <w:tr w14:paraId="5E2A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AA79931">
            <w:pPr>
              <w:topLinePunct/>
              <w:spacing w:line="440" w:lineRule="exact"/>
              <w:jc w:val="center"/>
              <w:rPr>
                <w:rFonts w:hint="eastAsia"/>
                <w:szCs w:val="21"/>
                <w:highlight w:val="none"/>
              </w:rPr>
            </w:pPr>
            <w:r>
              <w:rPr>
                <w:rFonts w:hint="eastAsia"/>
                <w:szCs w:val="21"/>
                <w:highlight w:val="none"/>
              </w:rPr>
              <w:t>1</w:t>
            </w:r>
          </w:p>
        </w:tc>
        <w:tc>
          <w:tcPr>
            <w:tcW w:w="6311" w:type="dxa"/>
            <w:vAlign w:val="center"/>
          </w:tcPr>
          <w:p w14:paraId="5AAC98C8">
            <w:pPr>
              <w:topLinePunct/>
              <w:spacing w:line="440" w:lineRule="exact"/>
              <w:rPr>
                <w:rFonts w:hint="eastAsia"/>
                <w:szCs w:val="21"/>
                <w:highlight w:val="none"/>
              </w:rPr>
            </w:pPr>
            <w:r>
              <w:rPr>
                <w:rFonts w:hint="eastAsia"/>
                <w:szCs w:val="21"/>
                <w:highlight w:val="none"/>
              </w:rPr>
              <w:t>有效的营业执照</w:t>
            </w:r>
          </w:p>
        </w:tc>
        <w:tc>
          <w:tcPr>
            <w:tcW w:w="1440" w:type="dxa"/>
            <w:vAlign w:val="center"/>
          </w:tcPr>
          <w:p w14:paraId="2A6E2266">
            <w:pPr>
              <w:topLinePunct/>
              <w:spacing w:line="440" w:lineRule="exact"/>
              <w:jc w:val="center"/>
              <w:rPr>
                <w:rFonts w:hint="eastAsia"/>
                <w:szCs w:val="21"/>
                <w:highlight w:val="none"/>
              </w:rPr>
            </w:pPr>
          </w:p>
        </w:tc>
      </w:tr>
      <w:tr w14:paraId="0DB0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1D7980B6">
            <w:pPr>
              <w:topLinePunct/>
              <w:spacing w:line="440" w:lineRule="exact"/>
              <w:jc w:val="center"/>
              <w:rPr>
                <w:rFonts w:hint="eastAsia"/>
                <w:szCs w:val="21"/>
                <w:highlight w:val="none"/>
              </w:rPr>
            </w:pPr>
            <w:r>
              <w:rPr>
                <w:rFonts w:hint="eastAsia"/>
                <w:szCs w:val="21"/>
                <w:highlight w:val="none"/>
              </w:rPr>
              <w:t>2</w:t>
            </w:r>
          </w:p>
        </w:tc>
        <w:tc>
          <w:tcPr>
            <w:tcW w:w="6311" w:type="dxa"/>
            <w:vAlign w:val="center"/>
          </w:tcPr>
          <w:p w14:paraId="594B98C3">
            <w:pPr>
              <w:spacing w:line="400" w:lineRule="exact"/>
              <w:rPr>
                <w:rFonts w:hint="eastAsia"/>
                <w:szCs w:val="21"/>
                <w:highlight w:val="none"/>
              </w:rPr>
            </w:pPr>
            <w:r>
              <w:rPr>
                <w:rFonts w:hint="eastAsia"/>
                <w:szCs w:val="21"/>
                <w:highlight w:val="none"/>
              </w:rPr>
              <w:t>投标文件提供投标保证金汇款凭证或电子保函说明</w:t>
            </w:r>
          </w:p>
        </w:tc>
        <w:tc>
          <w:tcPr>
            <w:tcW w:w="1440" w:type="dxa"/>
            <w:vAlign w:val="center"/>
          </w:tcPr>
          <w:p w14:paraId="44305817">
            <w:pPr>
              <w:topLinePunct/>
              <w:spacing w:line="440" w:lineRule="exact"/>
              <w:jc w:val="center"/>
              <w:rPr>
                <w:rFonts w:hint="eastAsia"/>
                <w:szCs w:val="21"/>
                <w:highlight w:val="none"/>
              </w:rPr>
            </w:pPr>
          </w:p>
        </w:tc>
      </w:tr>
      <w:tr w14:paraId="04AD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3FEFAFEC">
            <w:pPr>
              <w:topLinePunct/>
              <w:spacing w:line="440" w:lineRule="exact"/>
              <w:jc w:val="center"/>
              <w:rPr>
                <w:rFonts w:hint="eastAsia"/>
                <w:szCs w:val="21"/>
                <w:highlight w:val="none"/>
              </w:rPr>
            </w:pPr>
            <w:r>
              <w:rPr>
                <w:rFonts w:hint="eastAsia"/>
                <w:szCs w:val="21"/>
                <w:highlight w:val="none"/>
              </w:rPr>
              <w:t>3</w:t>
            </w:r>
          </w:p>
        </w:tc>
        <w:tc>
          <w:tcPr>
            <w:tcW w:w="6311" w:type="dxa"/>
            <w:vAlign w:val="center"/>
          </w:tcPr>
          <w:p w14:paraId="693CB54B">
            <w:pPr>
              <w:topLinePunct/>
              <w:spacing w:line="440" w:lineRule="exact"/>
              <w:rPr>
                <w:rFonts w:hint="eastAsia"/>
                <w:szCs w:val="21"/>
                <w:highlight w:val="none"/>
              </w:rPr>
            </w:pPr>
            <w:r>
              <w:rPr>
                <w:rFonts w:hint="eastAsia"/>
                <w:szCs w:val="21"/>
                <w:highlight w:val="none"/>
              </w:rPr>
              <w:t>经审计财务会计报告，或基本开户银行出具的资信证明</w:t>
            </w:r>
          </w:p>
        </w:tc>
        <w:tc>
          <w:tcPr>
            <w:tcW w:w="1440" w:type="dxa"/>
            <w:vAlign w:val="center"/>
          </w:tcPr>
          <w:p w14:paraId="5903DFCD">
            <w:pPr>
              <w:topLinePunct/>
              <w:spacing w:line="440" w:lineRule="exact"/>
              <w:jc w:val="center"/>
              <w:rPr>
                <w:rFonts w:hint="eastAsia"/>
                <w:szCs w:val="21"/>
                <w:highlight w:val="none"/>
              </w:rPr>
            </w:pPr>
          </w:p>
        </w:tc>
      </w:tr>
      <w:tr w14:paraId="2EB4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15200EE3">
            <w:pPr>
              <w:topLinePunct/>
              <w:spacing w:line="440" w:lineRule="exact"/>
              <w:jc w:val="center"/>
              <w:rPr>
                <w:rFonts w:hint="eastAsia"/>
                <w:szCs w:val="21"/>
                <w:highlight w:val="none"/>
              </w:rPr>
            </w:pPr>
            <w:r>
              <w:rPr>
                <w:rFonts w:hint="eastAsia"/>
                <w:szCs w:val="21"/>
                <w:highlight w:val="none"/>
              </w:rPr>
              <w:t>4</w:t>
            </w:r>
          </w:p>
        </w:tc>
        <w:tc>
          <w:tcPr>
            <w:tcW w:w="6311" w:type="dxa"/>
          </w:tcPr>
          <w:p w14:paraId="09E7E8EB">
            <w:pPr>
              <w:spacing w:line="400" w:lineRule="exact"/>
              <w:rPr>
                <w:rFonts w:hint="eastAsia"/>
                <w:szCs w:val="21"/>
                <w:highlight w:val="none"/>
              </w:rPr>
            </w:pPr>
            <w:r>
              <w:rPr>
                <w:rFonts w:hint="eastAsia"/>
                <w:szCs w:val="21"/>
                <w:highlight w:val="none"/>
              </w:rPr>
              <w:t>提供近6个月内任一月依法缴纳税收证明；</w:t>
            </w:r>
          </w:p>
        </w:tc>
        <w:tc>
          <w:tcPr>
            <w:tcW w:w="1440" w:type="dxa"/>
            <w:vAlign w:val="center"/>
          </w:tcPr>
          <w:p w14:paraId="20DF39AB">
            <w:pPr>
              <w:topLinePunct/>
              <w:spacing w:line="440" w:lineRule="exact"/>
              <w:jc w:val="center"/>
              <w:rPr>
                <w:rFonts w:hint="eastAsia"/>
                <w:szCs w:val="21"/>
                <w:highlight w:val="none"/>
              </w:rPr>
            </w:pPr>
          </w:p>
        </w:tc>
      </w:tr>
      <w:tr w14:paraId="1A2D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D8C524D">
            <w:pPr>
              <w:topLinePunct/>
              <w:spacing w:line="440" w:lineRule="exact"/>
              <w:jc w:val="center"/>
              <w:rPr>
                <w:rFonts w:hint="eastAsia"/>
                <w:szCs w:val="21"/>
                <w:highlight w:val="none"/>
              </w:rPr>
            </w:pPr>
            <w:r>
              <w:rPr>
                <w:rFonts w:hint="eastAsia"/>
                <w:szCs w:val="21"/>
                <w:highlight w:val="none"/>
              </w:rPr>
              <w:t>5</w:t>
            </w:r>
          </w:p>
        </w:tc>
        <w:tc>
          <w:tcPr>
            <w:tcW w:w="6311" w:type="dxa"/>
          </w:tcPr>
          <w:p w14:paraId="1B3E444B">
            <w:pPr>
              <w:spacing w:line="400" w:lineRule="exact"/>
              <w:rPr>
                <w:rFonts w:hint="eastAsia"/>
                <w:szCs w:val="21"/>
                <w:highlight w:val="none"/>
              </w:rPr>
            </w:pPr>
            <w:r>
              <w:rPr>
                <w:rFonts w:hint="eastAsia"/>
                <w:szCs w:val="21"/>
                <w:highlight w:val="none"/>
              </w:rPr>
              <w:t>提供近6个月内任一月社保缴纳证明；</w:t>
            </w:r>
          </w:p>
        </w:tc>
        <w:tc>
          <w:tcPr>
            <w:tcW w:w="1440" w:type="dxa"/>
            <w:vAlign w:val="center"/>
          </w:tcPr>
          <w:p w14:paraId="3ECEAF70">
            <w:pPr>
              <w:topLinePunct/>
              <w:spacing w:line="440" w:lineRule="exact"/>
              <w:jc w:val="center"/>
              <w:rPr>
                <w:rFonts w:hint="eastAsia"/>
                <w:szCs w:val="21"/>
                <w:highlight w:val="none"/>
              </w:rPr>
            </w:pPr>
          </w:p>
        </w:tc>
      </w:tr>
      <w:tr w14:paraId="237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20C9D7E">
            <w:pPr>
              <w:topLinePunct/>
              <w:spacing w:line="440" w:lineRule="exact"/>
              <w:jc w:val="center"/>
              <w:rPr>
                <w:rFonts w:hint="eastAsia"/>
                <w:szCs w:val="21"/>
                <w:highlight w:val="none"/>
              </w:rPr>
            </w:pPr>
            <w:r>
              <w:rPr>
                <w:rFonts w:hint="eastAsia"/>
                <w:szCs w:val="21"/>
                <w:highlight w:val="none"/>
              </w:rPr>
              <w:t>6</w:t>
            </w:r>
          </w:p>
        </w:tc>
        <w:tc>
          <w:tcPr>
            <w:tcW w:w="6311" w:type="dxa"/>
            <w:vAlign w:val="center"/>
          </w:tcPr>
          <w:p w14:paraId="4902C835">
            <w:pPr>
              <w:topLinePunct/>
              <w:spacing w:line="440" w:lineRule="exact"/>
              <w:rPr>
                <w:rFonts w:hint="eastAsia"/>
                <w:szCs w:val="21"/>
                <w:highlight w:val="none"/>
              </w:rPr>
            </w:pPr>
            <w:r>
              <w:rPr>
                <w:rFonts w:hint="eastAsia"/>
                <w:szCs w:val="21"/>
                <w:highlight w:val="none"/>
              </w:rPr>
              <w:t>近3年内在经营活动中没有重大违法记录的书面声明</w:t>
            </w:r>
          </w:p>
        </w:tc>
        <w:tc>
          <w:tcPr>
            <w:tcW w:w="1440" w:type="dxa"/>
            <w:vAlign w:val="center"/>
          </w:tcPr>
          <w:p w14:paraId="0AC78681">
            <w:pPr>
              <w:topLinePunct/>
              <w:spacing w:line="440" w:lineRule="exact"/>
              <w:jc w:val="center"/>
              <w:rPr>
                <w:rFonts w:hint="eastAsia"/>
                <w:szCs w:val="21"/>
                <w:highlight w:val="none"/>
              </w:rPr>
            </w:pPr>
          </w:p>
        </w:tc>
      </w:tr>
    </w:tbl>
    <w:p w14:paraId="748BC465">
      <w:pPr>
        <w:rPr>
          <w:rFonts w:hint="eastAsia"/>
          <w:szCs w:val="21"/>
          <w:highlight w:val="none"/>
        </w:rPr>
      </w:pPr>
    </w:p>
    <w:p w14:paraId="30FA5F96">
      <w:pPr>
        <w:rPr>
          <w:rFonts w:hint="eastAsia"/>
          <w:szCs w:val="21"/>
          <w:highlight w:val="none"/>
        </w:rPr>
      </w:pPr>
    </w:p>
    <w:p w14:paraId="1031D1F1">
      <w:pPr>
        <w:rPr>
          <w:rFonts w:hint="eastAsia"/>
          <w:szCs w:val="21"/>
          <w:highlight w:val="none"/>
        </w:rPr>
      </w:pPr>
      <w:r>
        <w:rPr>
          <w:rFonts w:hint="eastAsia"/>
          <w:szCs w:val="21"/>
          <w:highlight w:val="none"/>
        </w:rPr>
        <w:t>注：以上资料复印件必须加盖投标人单位公章。</w:t>
      </w:r>
    </w:p>
    <w:p w14:paraId="624FB2DC">
      <w:pPr>
        <w:adjustRightInd w:val="0"/>
        <w:snapToGrid w:val="0"/>
        <w:rPr>
          <w:rFonts w:hint="eastAsia"/>
          <w:b/>
          <w:highlight w:val="none"/>
        </w:rPr>
      </w:pPr>
    </w:p>
    <w:p w14:paraId="1F60112A">
      <w:pPr>
        <w:adjustRightInd w:val="0"/>
        <w:snapToGrid w:val="0"/>
        <w:jc w:val="center"/>
        <w:outlineLvl w:val="1"/>
        <w:rPr>
          <w:rFonts w:hint="eastAsia"/>
          <w:b/>
          <w:sz w:val="28"/>
          <w:szCs w:val="28"/>
          <w:highlight w:val="none"/>
        </w:rPr>
        <w:sectPr>
          <w:pgSz w:w="11906" w:h="16838"/>
          <w:pgMar w:top="1440" w:right="1800" w:bottom="1440" w:left="1800" w:header="851" w:footer="992" w:gutter="0"/>
          <w:cols w:space="720" w:num="1"/>
          <w:docGrid w:type="lines" w:linePitch="312" w:charSpace="0"/>
        </w:sectPr>
      </w:pPr>
      <w:bookmarkStart w:id="229" w:name="_Toc420948023"/>
    </w:p>
    <w:p w14:paraId="20F949AA">
      <w:pPr>
        <w:pStyle w:val="3"/>
        <w:numPr>
          <w:ilvl w:val="0"/>
          <w:numId w:val="0"/>
        </w:numPr>
        <w:ind w:left="576" w:hanging="576"/>
        <w:jc w:val="center"/>
        <w:rPr>
          <w:rFonts w:hint="eastAsia" w:ascii="宋体" w:hAnsi="宋体"/>
          <w:highlight w:val="none"/>
        </w:rPr>
      </w:pPr>
      <w:bookmarkStart w:id="230" w:name="_Toc38878802"/>
      <w:r>
        <w:rPr>
          <w:rFonts w:hint="eastAsia" w:ascii="宋体" w:hAnsi="宋体"/>
          <w:highlight w:val="none"/>
        </w:rPr>
        <w:t>二、投标</w:t>
      </w:r>
      <w:bookmarkEnd w:id="229"/>
      <w:r>
        <w:rPr>
          <w:rFonts w:hint="eastAsia" w:ascii="宋体" w:hAnsi="宋体"/>
          <w:highlight w:val="none"/>
        </w:rPr>
        <w:t>函</w:t>
      </w:r>
      <w:bookmarkEnd w:id="230"/>
    </w:p>
    <w:p w14:paraId="168BBB87">
      <w:pPr>
        <w:adjustRightInd w:val="0"/>
        <w:snapToGrid w:val="0"/>
        <w:rPr>
          <w:rFonts w:hint="eastAsia"/>
          <w:highlight w:val="none"/>
        </w:rPr>
      </w:pPr>
    </w:p>
    <w:p w14:paraId="09A5E970">
      <w:pPr>
        <w:adjustRightInd w:val="0"/>
        <w:snapToGrid w:val="0"/>
        <w:rPr>
          <w:rFonts w:hint="eastAsia"/>
          <w:szCs w:val="21"/>
          <w:highlight w:val="none"/>
        </w:rPr>
      </w:pPr>
      <w:r>
        <w:rPr>
          <w:rFonts w:hint="eastAsia"/>
          <w:szCs w:val="21"/>
          <w:highlight w:val="none"/>
        </w:rPr>
        <w:t>致</w:t>
      </w:r>
      <w:r>
        <w:rPr>
          <w:rFonts w:hint="eastAsia"/>
          <w:szCs w:val="21"/>
          <w:highlight w:val="none"/>
          <w:u w:val="single"/>
        </w:rPr>
        <w:t xml:space="preserve">            </w:t>
      </w:r>
      <w:r>
        <w:rPr>
          <w:rFonts w:hint="eastAsia"/>
          <w:szCs w:val="21"/>
          <w:highlight w:val="none"/>
        </w:rPr>
        <w:t xml:space="preserve"> (采购人或招标代理机构)：</w:t>
      </w:r>
    </w:p>
    <w:p w14:paraId="3CF9146D">
      <w:pPr>
        <w:adjustRightInd w:val="0"/>
        <w:snapToGrid w:val="0"/>
        <w:ind w:firstLine="480" w:firstLineChars="200"/>
        <w:rPr>
          <w:rFonts w:hint="eastAsia"/>
          <w:szCs w:val="21"/>
          <w:highlight w:val="none"/>
        </w:rPr>
      </w:pPr>
      <w:r>
        <w:rPr>
          <w:rFonts w:hint="eastAsia"/>
          <w:szCs w:val="21"/>
          <w:highlight w:val="none"/>
        </w:rPr>
        <w:t>我方己仔细研究了</w:t>
      </w:r>
      <w:r>
        <w:rPr>
          <w:rFonts w:hint="eastAsia"/>
          <w:szCs w:val="21"/>
          <w:highlight w:val="none"/>
          <w:u w:val="single"/>
        </w:rPr>
        <w:t xml:space="preserve">                 (</w:t>
      </w:r>
      <w:r>
        <w:rPr>
          <w:rFonts w:hint="eastAsia"/>
          <w:szCs w:val="21"/>
          <w:highlight w:val="none"/>
        </w:rPr>
        <w:t>项目名称)的招标文件（项目编号：</w:t>
      </w:r>
      <w:r>
        <w:rPr>
          <w:rFonts w:hint="eastAsia"/>
          <w:szCs w:val="21"/>
          <w:highlight w:val="none"/>
          <w:u w:val="single"/>
        </w:rPr>
        <w:t xml:space="preserve">           </w:t>
      </w:r>
      <w:r>
        <w:rPr>
          <w:rFonts w:hint="eastAsia"/>
          <w:szCs w:val="21"/>
          <w:highlight w:val="none"/>
        </w:rPr>
        <w:t>）的全部内容，知悉参加投标的风险，我方承诺接受招标文件的全部条款且无任何异议。</w:t>
      </w:r>
    </w:p>
    <w:p w14:paraId="3A916FEA">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一、我方同意在招标文件中规定的提交投标文件截止时间起</w:t>
      </w:r>
      <w:r>
        <w:rPr>
          <w:rFonts w:hint="eastAsia" w:hAnsi="宋体"/>
          <w:sz w:val="21"/>
          <w:szCs w:val="21"/>
          <w:highlight w:val="none"/>
          <w:u w:val="single"/>
        </w:rPr>
        <w:t xml:space="preserve">    </w:t>
      </w:r>
      <w:r>
        <w:rPr>
          <w:rFonts w:hint="eastAsia" w:hAnsi="宋体"/>
          <w:sz w:val="21"/>
          <w:szCs w:val="21"/>
          <w:highlight w:val="none"/>
        </w:rPr>
        <w:t>日内(投标文件有效期)遵守本投标文件中的承诺且在此期限期满之前均具有法律约束力。</w:t>
      </w:r>
    </w:p>
    <w:p w14:paraId="787F476F">
      <w:pPr>
        <w:pStyle w:val="24"/>
        <w:adjustRightInd w:val="0"/>
        <w:snapToGrid w:val="0"/>
        <w:spacing w:line="360" w:lineRule="auto"/>
        <w:ind w:firstLine="420" w:firstLineChars="200"/>
        <w:rPr>
          <w:rFonts w:hint="eastAsia" w:hAnsi="宋体"/>
          <w:bCs/>
          <w:sz w:val="21"/>
          <w:szCs w:val="21"/>
          <w:highlight w:val="none"/>
        </w:rPr>
      </w:pPr>
      <w:r>
        <w:rPr>
          <w:rFonts w:hint="eastAsia" w:hAnsi="宋体"/>
          <w:sz w:val="21"/>
          <w:szCs w:val="21"/>
          <w:highlight w:val="none"/>
        </w:rPr>
        <w:t>二、我方保证投标文件提供的数据和材料是真实、准确的。否则，愿承担《政府采购法》</w:t>
      </w:r>
      <w:r>
        <w:rPr>
          <w:rFonts w:hint="eastAsia" w:hAnsi="宋体"/>
          <w:bCs/>
          <w:sz w:val="21"/>
          <w:szCs w:val="21"/>
          <w:highlight w:val="none"/>
        </w:rPr>
        <w:t>第七十七条规定的法律责任。</w:t>
      </w:r>
    </w:p>
    <w:p w14:paraId="45E46EF3">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三、我方愿意向贵方提供任何与本项采购有关的数据、情况和技术资料。若贵方需要，我方愿意提供我方作出的一切承诺的证明材料。</w:t>
      </w:r>
    </w:p>
    <w:p w14:paraId="67814368">
      <w:pPr>
        <w:pStyle w:val="24"/>
        <w:adjustRightInd w:val="0"/>
        <w:snapToGrid w:val="0"/>
        <w:spacing w:line="360" w:lineRule="auto"/>
        <w:ind w:firstLine="420" w:firstLineChars="200"/>
        <w:rPr>
          <w:rFonts w:hint="eastAsia" w:hAnsi="宋体"/>
          <w:sz w:val="21"/>
          <w:szCs w:val="21"/>
          <w:highlight w:val="none"/>
        </w:rPr>
      </w:pPr>
      <w:r>
        <w:rPr>
          <w:rFonts w:hint="eastAsia" w:hAnsi="宋体"/>
          <w:sz w:val="21"/>
          <w:szCs w:val="21"/>
          <w:highlight w:val="none"/>
        </w:rPr>
        <w:t>四、我方承诺遵守《政府采购法》的有关规定，保证在获得中标资格后，按照招标文件确定的事项签订政府采购合同，履行双方所签订的合同，并承担合同规定的责任和义务。</w:t>
      </w:r>
    </w:p>
    <w:p w14:paraId="6503D288">
      <w:pPr>
        <w:pStyle w:val="24"/>
        <w:adjustRightInd w:val="0"/>
        <w:snapToGrid w:val="0"/>
        <w:spacing w:line="360" w:lineRule="auto"/>
        <w:ind w:firstLine="480" w:firstLineChars="200"/>
        <w:rPr>
          <w:rFonts w:hint="eastAsia" w:hAnsi="宋体"/>
          <w:highlight w:val="none"/>
        </w:rPr>
      </w:pPr>
    </w:p>
    <w:p w14:paraId="5EB09EDF">
      <w:pPr>
        <w:adjustRightInd w:val="0"/>
        <w:snapToGrid w:val="0"/>
        <w:ind w:right="24"/>
        <w:rPr>
          <w:rFonts w:hint="eastAsia"/>
          <w:bCs/>
          <w:szCs w:val="21"/>
          <w:highlight w:val="none"/>
        </w:rPr>
      </w:pPr>
    </w:p>
    <w:p w14:paraId="38CBA754">
      <w:pPr>
        <w:adjustRightInd w:val="0"/>
        <w:snapToGrid w:val="0"/>
        <w:ind w:right="24"/>
        <w:rPr>
          <w:rFonts w:hint="eastAsia"/>
          <w:bCs/>
          <w:szCs w:val="21"/>
          <w:highlight w:val="none"/>
        </w:rPr>
      </w:pPr>
    </w:p>
    <w:p w14:paraId="77DF24F1">
      <w:pPr>
        <w:adjustRightInd w:val="0"/>
        <w:snapToGrid w:val="0"/>
        <w:ind w:right="24"/>
        <w:rPr>
          <w:rFonts w:hint="eastAsia"/>
          <w:bCs/>
          <w:szCs w:val="21"/>
          <w:highlight w:val="none"/>
        </w:rPr>
      </w:pPr>
    </w:p>
    <w:p w14:paraId="4699332D">
      <w:pPr>
        <w:adjustRightInd w:val="0"/>
        <w:snapToGrid w:val="0"/>
        <w:ind w:right="24"/>
        <w:rPr>
          <w:rFonts w:hint="eastAsia"/>
          <w:bCs/>
          <w:szCs w:val="21"/>
          <w:highlight w:val="none"/>
        </w:rPr>
      </w:pPr>
    </w:p>
    <w:p w14:paraId="7E4D2879">
      <w:pPr>
        <w:adjustRightInd w:val="0"/>
        <w:snapToGrid w:val="0"/>
        <w:ind w:right="24"/>
        <w:rPr>
          <w:rFonts w:hint="eastAsia"/>
          <w:szCs w:val="21"/>
          <w:highlight w:val="none"/>
        </w:rPr>
      </w:pPr>
      <w:r>
        <w:rPr>
          <w:rFonts w:hint="eastAsia"/>
          <w:bCs/>
          <w:szCs w:val="21"/>
          <w:highlight w:val="none"/>
        </w:rPr>
        <w:t>附件1：</w:t>
      </w:r>
      <w:r>
        <w:rPr>
          <w:rFonts w:hint="eastAsia"/>
          <w:szCs w:val="21"/>
          <w:highlight w:val="none"/>
        </w:rPr>
        <w:t>法定代表人身份证明(法定代表人参加招标)</w:t>
      </w:r>
    </w:p>
    <w:p w14:paraId="7116B612">
      <w:pPr>
        <w:adjustRightInd w:val="0"/>
        <w:snapToGrid w:val="0"/>
        <w:ind w:right="24"/>
        <w:rPr>
          <w:rFonts w:hint="eastAsia"/>
          <w:szCs w:val="21"/>
          <w:highlight w:val="none"/>
        </w:rPr>
      </w:pPr>
      <w:r>
        <w:rPr>
          <w:rFonts w:hint="eastAsia"/>
          <w:bCs/>
          <w:szCs w:val="21"/>
          <w:highlight w:val="none"/>
        </w:rPr>
        <w:t>附件2</w:t>
      </w:r>
      <w:r>
        <w:rPr>
          <w:rFonts w:hint="eastAsia"/>
          <w:szCs w:val="21"/>
          <w:highlight w:val="none"/>
        </w:rPr>
        <w:t>：法定代表人授权书(委托代理人参加招标)</w:t>
      </w:r>
    </w:p>
    <w:p w14:paraId="0F53C428">
      <w:pPr>
        <w:pStyle w:val="24"/>
        <w:adjustRightInd w:val="0"/>
        <w:snapToGrid w:val="0"/>
        <w:spacing w:line="360" w:lineRule="auto"/>
        <w:rPr>
          <w:rFonts w:hint="eastAsia" w:hAnsi="宋体"/>
          <w:highlight w:val="none"/>
        </w:rPr>
      </w:pPr>
    </w:p>
    <w:p w14:paraId="1B98F080">
      <w:pPr>
        <w:pStyle w:val="24"/>
        <w:adjustRightInd w:val="0"/>
        <w:snapToGrid w:val="0"/>
        <w:spacing w:line="360" w:lineRule="auto"/>
        <w:rPr>
          <w:rFonts w:hint="eastAsia" w:hAnsi="宋体"/>
          <w:highlight w:val="none"/>
        </w:rPr>
      </w:pPr>
    </w:p>
    <w:p w14:paraId="554F1A4B">
      <w:pPr>
        <w:pStyle w:val="24"/>
        <w:adjustRightInd w:val="0"/>
        <w:snapToGrid w:val="0"/>
        <w:spacing w:line="360" w:lineRule="auto"/>
        <w:rPr>
          <w:rFonts w:hint="eastAsia" w:hAnsi="宋体"/>
          <w:sz w:val="21"/>
          <w:szCs w:val="21"/>
          <w:highlight w:val="none"/>
        </w:rPr>
      </w:pPr>
      <w:r>
        <w:rPr>
          <w:rFonts w:hint="eastAsia" w:hAnsi="宋体"/>
          <w:sz w:val="21"/>
          <w:szCs w:val="21"/>
          <w:highlight w:val="none"/>
        </w:rPr>
        <w:t>投标人名称(盖单位章)：</w:t>
      </w:r>
    </w:p>
    <w:p w14:paraId="56B08723">
      <w:pPr>
        <w:adjustRightInd w:val="0"/>
        <w:snapToGrid w:val="0"/>
        <w:rPr>
          <w:rFonts w:hint="eastAsia"/>
          <w:szCs w:val="21"/>
          <w:highlight w:val="none"/>
        </w:rPr>
      </w:pPr>
      <w:r>
        <w:rPr>
          <w:rFonts w:hint="eastAsia"/>
          <w:szCs w:val="21"/>
          <w:highlight w:val="none"/>
        </w:rPr>
        <w:t>法定代表人或其委托代理人 (签字或盖章)：</w:t>
      </w:r>
      <w:r>
        <w:rPr>
          <w:rFonts w:hint="eastAsia"/>
          <w:szCs w:val="21"/>
          <w:highlight w:val="none"/>
          <w:u w:val="single"/>
        </w:rPr>
        <w:t xml:space="preserve">            </w:t>
      </w:r>
    </w:p>
    <w:p w14:paraId="4D3D2607">
      <w:pPr>
        <w:adjustRightInd w:val="0"/>
        <w:snapToGrid w:val="0"/>
        <w:rPr>
          <w:rFonts w:hint="eastAsia"/>
          <w:szCs w:val="21"/>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3DE8ABFE">
      <w:pPr>
        <w:adjustRightInd w:val="0"/>
        <w:snapToGrid w:val="0"/>
        <w:ind w:right="24"/>
        <w:rPr>
          <w:rFonts w:hint="eastAsia"/>
          <w:bCs/>
          <w:sz w:val="28"/>
          <w:szCs w:val="28"/>
          <w:highlight w:val="none"/>
        </w:rPr>
      </w:pPr>
    </w:p>
    <w:p w14:paraId="221AF3C3">
      <w:pPr>
        <w:adjustRightInd w:val="0"/>
        <w:snapToGrid w:val="0"/>
        <w:ind w:right="24"/>
        <w:rPr>
          <w:rFonts w:hint="eastAsia"/>
          <w:bCs/>
          <w:sz w:val="28"/>
          <w:szCs w:val="28"/>
          <w:highlight w:val="none"/>
        </w:rPr>
      </w:pPr>
    </w:p>
    <w:p w14:paraId="7F063410">
      <w:pPr>
        <w:rPr>
          <w:rFonts w:hint="eastAsia"/>
          <w:bCs/>
          <w:sz w:val="28"/>
          <w:szCs w:val="28"/>
          <w:highlight w:val="none"/>
        </w:rPr>
      </w:pPr>
      <w:r>
        <w:rPr>
          <w:bCs/>
          <w:sz w:val="28"/>
          <w:szCs w:val="28"/>
          <w:highlight w:val="none"/>
        </w:rPr>
        <w:br w:type="page"/>
      </w:r>
      <w:r>
        <w:rPr>
          <w:rFonts w:hint="eastAsia"/>
          <w:bCs/>
          <w:sz w:val="28"/>
          <w:szCs w:val="28"/>
          <w:highlight w:val="none"/>
        </w:rPr>
        <w:t>附件1</w:t>
      </w:r>
    </w:p>
    <w:p w14:paraId="2C083ACE">
      <w:pPr>
        <w:adjustRightInd w:val="0"/>
        <w:snapToGrid w:val="0"/>
        <w:ind w:right="24"/>
        <w:jc w:val="center"/>
        <w:rPr>
          <w:rFonts w:hint="eastAsia"/>
          <w:sz w:val="28"/>
          <w:szCs w:val="28"/>
          <w:highlight w:val="none"/>
        </w:rPr>
      </w:pPr>
      <w:r>
        <w:rPr>
          <w:rFonts w:hint="eastAsia"/>
          <w:sz w:val="28"/>
          <w:szCs w:val="28"/>
          <w:highlight w:val="none"/>
        </w:rPr>
        <w:t>法定代表人身份证明(法定代表人参加招标)</w:t>
      </w:r>
    </w:p>
    <w:p w14:paraId="52C4C761">
      <w:pPr>
        <w:snapToGrid w:val="0"/>
        <w:spacing w:line="480" w:lineRule="auto"/>
        <w:rPr>
          <w:rFonts w:hint="eastAsia"/>
          <w:szCs w:val="21"/>
          <w:highlight w:val="none"/>
        </w:rPr>
      </w:pPr>
    </w:p>
    <w:p w14:paraId="6221A635">
      <w:pPr>
        <w:autoSpaceDE w:val="0"/>
        <w:autoSpaceDN w:val="0"/>
        <w:adjustRightInd w:val="0"/>
        <w:snapToGrid w:val="0"/>
        <w:spacing w:before="156" w:beforeLines="50"/>
        <w:jc w:val="left"/>
        <w:rPr>
          <w:rFonts w:hint="eastAsia" w:cs="宋体"/>
          <w:kern w:val="0"/>
          <w:szCs w:val="21"/>
          <w:highlight w:val="none"/>
        </w:rPr>
      </w:pPr>
      <w:r>
        <w:rPr>
          <w:rFonts w:hint="eastAsia"/>
          <w:highlight w:val="none"/>
        </w:rPr>
        <w:t>投标人</w:t>
      </w:r>
      <w:r>
        <w:rPr>
          <w:rFonts w:hint="eastAsia" w:cs="宋体"/>
          <w:kern w:val="0"/>
          <w:szCs w:val="21"/>
          <w:highlight w:val="none"/>
        </w:rPr>
        <w:t>名称：</w:t>
      </w:r>
      <w:r>
        <w:rPr>
          <w:rFonts w:hint="eastAsia" w:cs="宋体"/>
          <w:kern w:val="0"/>
          <w:szCs w:val="21"/>
          <w:highlight w:val="none"/>
          <w:u w:val="single"/>
        </w:rPr>
        <w:t xml:space="preserve">                  </w:t>
      </w:r>
      <w:r>
        <w:rPr>
          <w:rFonts w:hint="eastAsia" w:cs="宋体"/>
          <w:kern w:val="0"/>
          <w:szCs w:val="21"/>
          <w:highlight w:val="none"/>
        </w:rPr>
        <w:t xml:space="preserve"> </w:t>
      </w:r>
    </w:p>
    <w:p w14:paraId="3FF23484">
      <w:pPr>
        <w:autoSpaceDE w:val="0"/>
        <w:autoSpaceDN w:val="0"/>
        <w:adjustRightInd w:val="0"/>
        <w:snapToGrid w:val="0"/>
        <w:spacing w:before="156" w:beforeLines="50"/>
        <w:jc w:val="left"/>
        <w:rPr>
          <w:rFonts w:hint="eastAsia" w:cs="宋体"/>
          <w:kern w:val="0"/>
          <w:szCs w:val="21"/>
          <w:highlight w:val="none"/>
        </w:rPr>
      </w:pPr>
      <w:r>
        <w:rPr>
          <w:rFonts w:hint="eastAsia" w:cs="宋体"/>
          <w:kern w:val="0"/>
          <w:szCs w:val="21"/>
          <w:highlight w:val="none"/>
        </w:rPr>
        <w:t>注册号：</w:t>
      </w:r>
      <w:r>
        <w:rPr>
          <w:rFonts w:hint="eastAsia" w:cs="宋体"/>
          <w:kern w:val="0"/>
          <w:szCs w:val="21"/>
          <w:highlight w:val="none"/>
          <w:u w:val="single"/>
        </w:rPr>
        <w:t xml:space="preserve">                  </w:t>
      </w:r>
    </w:p>
    <w:p w14:paraId="49D5900F">
      <w:pPr>
        <w:autoSpaceDE w:val="0"/>
        <w:autoSpaceDN w:val="0"/>
        <w:adjustRightInd w:val="0"/>
        <w:snapToGrid w:val="0"/>
        <w:spacing w:before="156" w:beforeLines="50"/>
        <w:jc w:val="left"/>
        <w:rPr>
          <w:rFonts w:hint="eastAsia" w:cs="宋体"/>
          <w:kern w:val="0"/>
          <w:szCs w:val="21"/>
          <w:highlight w:val="none"/>
        </w:rPr>
      </w:pPr>
      <w:r>
        <w:rPr>
          <w:rFonts w:hint="eastAsia" w:cs="宋体"/>
          <w:kern w:val="0"/>
          <w:szCs w:val="21"/>
          <w:highlight w:val="none"/>
        </w:rPr>
        <w:t>注册地址：</w:t>
      </w:r>
      <w:r>
        <w:rPr>
          <w:rFonts w:hint="eastAsia" w:cs="宋体"/>
          <w:kern w:val="0"/>
          <w:szCs w:val="21"/>
          <w:highlight w:val="none"/>
          <w:u w:val="single"/>
        </w:rPr>
        <w:t xml:space="preserve">                                    </w:t>
      </w:r>
    </w:p>
    <w:p w14:paraId="21045CB4">
      <w:pPr>
        <w:autoSpaceDE w:val="0"/>
        <w:autoSpaceDN w:val="0"/>
        <w:adjustRightInd w:val="0"/>
        <w:snapToGrid w:val="0"/>
        <w:spacing w:before="156" w:beforeLines="50"/>
        <w:jc w:val="left"/>
        <w:rPr>
          <w:rFonts w:hint="eastAsia" w:cs="宋体"/>
          <w:kern w:val="0"/>
          <w:szCs w:val="21"/>
          <w:highlight w:val="none"/>
        </w:rPr>
      </w:pPr>
      <w:r>
        <w:rPr>
          <w:rFonts w:hint="eastAsia" w:cs="宋体"/>
          <w:kern w:val="0"/>
          <w:szCs w:val="21"/>
          <w:highlight w:val="none"/>
        </w:rPr>
        <w:t xml:space="preserve">成立时间： </w:t>
      </w:r>
      <w:r>
        <w:rPr>
          <w:rFonts w:hint="eastAsia" w:cs="宋体"/>
          <w:kern w:val="0"/>
          <w:szCs w:val="21"/>
          <w:highlight w:val="none"/>
          <w:u w:val="single"/>
        </w:rPr>
        <w:t xml:space="preserve">       </w:t>
      </w:r>
      <w:r>
        <w:rPr>
          <w:rFonts w:hint="eastAsia" w:cs="宋体"/>
          <w:kern w:val="0"/>
          <w:szCs w:val="21"/>
          <w:highlight w:val="none"/>
        </w:rPr>
        <w:t xml:space="preserve">年 </w:t>
      </w:r>
      <w:r>
        <w:rPr>
          <w:rFonts w:hint="eastAsia" w:cs="宋体"/>
          <w:kern w:val="0"/>
          <w:szCs w:val="21"/>
          <w:highlight w:val="none"/>
          <w:u w:val="single"/>
        </w:rPr>
        <w:t xml:space="preserve">     </w:t>
      </w:r>
      <w:r>
        <w:rPr>
          <w:rFonts w:hint="eastAsia" w:cs="宋体"/>
          <w:kern w:val="0"/>
          <w:szCs w:val="21"/>
          <w:highlight w:val="none"/>
        </w:rPr>
        <w:t>月</w:t>
      </w:r>
      <w:r>
        <w:rPr>
          <w:rFonts w:hint="eastAsia" w:cs="宋体"/>
          <w:kern w:val="0"/>
          <w:szCs w:val="21"/>
          <w:highlight w:val="none"/>
          <w:u w:val="single"/>
        </w:rPr>
        <w:t xml:space="preserve">    </w:t>
      </w:r>
      <w:r>
        <w:rPr>
          <w:rFonts w:hint="eastAsia" w:cs="宋体"/>
          <w:kern w:val="0"/>
          <w:szCs w:val="21"/>
          <w:highlight w:val="none"/>
        </w:rPr>
        <w:t xml:space="preserve"> 日</w:t>
      </w:r>
    </w:p>
    <w:p w14:paraId="3F652348">
      <w:pPr>
        <w:autoSpaceDE w:val="0"/>
        <w:autoSpaceDN w:val="0"/>
        <w:adjustRightInd w:val="0"/>
        <w:snapToGrid w:val="0"/>
        <w:spacing w:before="156" w:beforeLines="50"/>
        <w:jc w:val="left"/>
        <w:rPr>
          <w:rFonts w:hint="eastAsia" w:cs="宋体"/>
          <w:kern w:val="0"/>
          <w:szCs w:val="21"/>
          <w:highlight w:val="none"/>
          <w:u w:val="single"/>
        </w:rPr>
      </w:pPr>
      <w:r>
        <w:rPr>
          <w:rFonts w:hint="eastAsia" w:cs="宋体"/>
          <w:kern w:val="0"/>
          <w:szCs w:val="21"/>
          <w:highlight w:val="none"/>
        </w:rPr>
        <w:t>经营期限：</w:t>
      </w:r>
      <w:r>
        <w:rPr>
          <w:rFonts w:hint="eastAsia" w:cs="宋体"/>
          <w:kern w:val="0"/>
          <w:szCs w:val="21"/>
          <w:highlight w:val="none"/>
          <w:u w:val="single"/>
        </w:rPr>
        <w:t xml:space="preserve">                  </w:t>
      </w:r>
    </w:p>
    <w:p w14:paraId="26075C59">
      <w:pPr>
        <w:autoSpaceDE w:val="0"/>
        <w:autoSpaceDN w:val="0"/>
        <w:adjustRightInd w:val="0"/>
        <w:snapToGrid w:val="0"/>
        <w:spacing w:before="156" w:beforeLines="50"/>
        <w:jc w:val="left"/>
        <w:rPr>
          <w:rFonts w:hint="eastAsia" w:cs="宋体"/>
          <w:kern w:val="0"/>
          <w:szCs w:val="21"/>
          <w:highlight w:val="none"/>
          <w:u w:val="single"/>
        </w:rPr>
      </w:pPr>
      <w:r>
        <w:rPr>
          <w:rFonts w:hint="eastAsia" w:cs="宋体"/>
          <w:kern w:val="0"/>
          <w:szCs w:val="21"/>
          <w:highlight w:val="none"/>
        </w:rPr>
        <w:t>经营范围：主营：</w:t>
      </w:r>
      <w:r>
        <w:rPr>
          <w:rFonts w:hint="eastAsia" w:cs="宋体"/>
          <w:kern w:val="0"/>
          <w:szCs w:val="21"/>
          <w:highlight w:val="none"/>
          <w:u w:val="single"/>
        </w:rPr>
        <w:t xml:space="preserve">              </w:t>
      </w:r>
      <w:r>
        <w:rPr>
          <w:rFonts w:hint="eastAsia" w:cs="宋体"/>
          <w:kern w:val="0"/>
          <w:szCs w:val="21"/>
          <w:highlight w:val="none"/>
        </w:rPr>
        <w:t xml:space="preserve"> ；兼营：</w:t>
      </w:r>
      <w:r>
        <w:rPr>
          <w:rFonts w:hint="eastAsia" w:cs="宋体"/>
          <w:kern w:val="0"/>
          <w:szCs w:val="21"/>
          <w:highlight w:val="none"/>
          <w:u w:val="single"/>
        </w:rPr>
        <w:t xml:space="preserve">              </w:t>
      </w:r>
    </w:p>
    <w:p w14:paraId="036E77FC">
      <w:pPr>
        <w:autoSpaceDE w:val="0"/>
        <w:autoSpaceDN w:val="0"/>
        <w:adjustRightInd w:val="0"/>
        <w:snapToGrid w:val="0"/>
        <w:spacing w:before="156" w:beforeLines="50"/>
        <w:jc w:val="left"/>
        <w:rPr>
          <w:rFonts w:hint="eastAsia" w:cs="宋体"/>
          <w:kern w:val="0"/>
          <w:szCs w:val="21"/>
          <w:highlight w:val="none"/>
        </w:rPr>
      </w:pPr>
      <w:r>
        <w:rPr>
          <w:rFonts w:hint="eastAsia" w:cs="宋体"/>
          <w:kern w:val="0"/>
          <w:szCs w:val="21"/>
          <w:highlight w:val="none"/>
        </w:rPr>
        <w:t>姓名：</w:t>
      </w:r>
      <w:r>
        <w:rPr>
          <w:rFonts w:hint="eastAsia" w:cs="宋体"/>
          <w:kern w:val="0"/>
          <w:szCs w:val="21"/>
          <w:highlight w:val="none"/>
          <w:u w:val="single"/>
        </w:rPr>
        <w:t xml:space="preserve">         </w:t>
      </w:r>
      <w:r>
        <w:rPr>
          <w:rFonts w:hint="eastAsia" w:cs="宋体"/>
          <w:kern w:val="0"/>
          <w:szCs w:val="21"/>
          <w:highlight w:val="none"/>
        </w:rPr>
        <w:t xml:space="preserve"> 性别：</w:t>
      </w:r>
      <w:r>
        <w:rPr>
          <w:rFonts w:hint="eastAsia" w:cs="宋体"/>
          <w:kern w:val="0"/>
          <w:szCs w:val="21"/>
          <w:highlight w:val="none"/>
          <w:u w:val="single"/>
        </w:rPr>
        <w:t xml:space="preserve">      </w:t>
      </w:r>
      <w:r>
        <w:rPr>
          <w:rFonts w:hint="eastAsia" w:cs="宋体"/>
          <w:kern w:val="0"/>
          <w:szCs w:val="21"/>
          <w:highlight w:val="none"/>
        </w:rPr>
        <w:t xml:space="preserve"> 年龄：</w:t>
      </w:r>
      <w:r>
        <w:rPr>
          <w:rFonts w:hint="eastAsia" w:cs="宋体"/>
          <w:kern w:val="0"/>
          <w:szCs w:val="21"/>
          <w:highlight w:val="none"/>
          <w:u w:val="single"/>
        </w:rPr>
        <w:t xml:space="preserve">         </w:t>
      </w:r>
      <w:r>
        <w:rPr>
          <w:rFonts w:hint="eastAsia" w:cs="宋体"/>
          <w:kern w:val="0"/>
          <w:szCs w:val="21"/>
          <w:highlight w:val="none"/>
        </w:rPr>
        <w:t xml:space="preserve"> 系</w:t>
      </w:r>
      <w:r>
        <w:rPr>
          <w:rFonts w:hint="eastAsia" w:cs="宋体"/>
          <w:kern w:val="0"/>
          <w:szCs w:val="21"/>
          <w:highlight w:val="none"/>
          <w:u w:val="single"/>
        </w:rPr>
        <w:t xml:space="preserve">      </w:t>
      </w:r>
      <w:r>
        <w:rPr>
          <w:rFonts w:hint="eastAsia" w:cs="宋体"/>
          <w:kern w:val="0"/>
          <w:szCs w:val="21"/>
          <w:highlight w:val="none"/>
        </w:rPr>
        <w:t>（</w:t>
      </w:r>
      <w:r>
        <w:rPr>
          <w:rFonts w:hint="eastAsia"/>
          <w:highlight w:val="none"/>
        </w:rPr>
        <w:t>投标人</w:t>
      </w:r>
      <w:r>
        <w:rPr>
          <w:rFonts w:hint="eastAsia" w:cs="宋体"/>
          <w:kern w:val="0"/>
          <w:szCs w:val="21"/>
          <w:highlight w:val="none"/>
        </w:rPr>
        <w:t>名称）的法定代表人。</w:t>
      </w:r>
    </w:p>
    <w:p w14:paraId="3FFDB41F">
      <w:pPr>
        <w:autoSpaceDE w:val="0"/>
        <w:autoSpaceDN w:val="0"/>
        <w:adjustRightInd w:val="0"/>
        <w:snapToGrid w:val="0"/>
        <w:spacing w:before="156" w:beforeLines="50"/>
        <w:jc w:val="left"/>
        <w:rPr>
          <w:rFonts w:hint="eastAsia" w:cs="宋体"/>
          <w:kern w:val="0"/>
          <w:szCs w:val="21"/>
          <w:highlight w:val="none"/>
        </w:rPr>
      </w:pPr>
      <w:r>
        <w:rPr>
          <w:rFonts w:hint="eastAsia" w:cs="宋体"/>
          <w:kern w:val="0"/>
          <w:szCs w:val="21"/>
          <w:highlight w:val="none"/>
        </w:rPr>
        <w:t>特此证明。</w:t>
      </w:r>
    </w:p>
    <w:p w14:paraId="02F3DE3C">
      <w:pPr>
        <w:autoSpaceDE w:val="0"/>
        <w:autoSpaceDN w:val="0"/>
        <w:adjustRightInd w:val="0"/>
        <w:snapToGrid w:val="0"/>
        <w:spacing w:before="156" w:beforeLines="50"/>
        <w:jc w:val="left"/>
        <w:rPr>
          <w:rFonts w:hint="eastAsia"/>
          <w:szCs w:val="21"/>
          <w:highlight w:val="none"/>
        </w:rPr>
      </w:pPr>
    </w:p>
    <w:p w14:paraId="60A15686">
      <w:pPr>
        <w:autoSpaceDE w:val="0"/>
        <w:autoSpaceDN w:val="0"/>
        <w:adjustRightInd w:val="0"/>
        <w:snapToGrid w:val="0"/>
        <w:spacing w:before="156" w:beforeLines="50"/>
        <w:jc w:val="left"/>
        <w:rPr>
          <w:rFonts w:hint="eastAsia" w:cs="宋体"/>
          <w:kern w:val="0"/>
          <w:szCs w:val="21"/>
          <w:highlight w:val="none"/>
        </w:rPr>
      </w:pPr>
      <w:r>
        <w:rPr>
          <w:rFonts w:hint="eastAsia"/>
          <w:szCs w:val="21"/>
          <w:highlight w:val="none"/>
        </w:rPr>
        <w:t>附：法定代表人身份证复印件</w:t>
      </w:r>
    </w:p>
    <w:p w14:paraId="28812B66">
      <w:pPr>
        <w:snapToGrid w:val="0"/>
        <w:spacing w:line="480" w:lineRule="auto"/>
        <w:rPr>
          <w:rFonts w:hint="eastAsia"/>
          <w:szCs w:val="21"/>
          <w:highlight w:val="none"/>
        </w:rPr>
      </w:pPr>
    </w:p>
    <w:p w14:paraId="7E6AB4ED">
      <w:pPr>
        <w:snapToGrid w:val="0"/>
        <w:rPr>
          <w:rFonts w:hint="eastAsia"/>
          <w:szCs w:val="21"/>
          <w:highlight w:val="none"/>
        </w:rPr>
      </w:pPr>
    </w:p>
    <w:p w14:paraId="5EABF63C">
      <w:pPr>
        <w:snapToGrid w:val="0"/>
        <w:rPr>
          <w:rFonts w:hint="eastAsia"/>
          <w:szCs w:val="21"/>
          <w:highlight w:val="none"/>
        </w:rPr>
      </w:pPr>
    </w:p>
    <w:p w14:paraId="06124BAB">
      <w:pPr>
        <w:snapToGrid w:val="0"/>
        <w:rPr>
          <w:rFonts w:hint="eastAsia"/>
          <w:szCs w:val="21"/>
          <w:highlight w:val="none"/>
        </w:rPr>
      </w:pPr>
    </w:p>
    <w:p w14:paraId="06ED99DE">
      <w:pPr>
        <w:snapToGrid w:val="0"/>
        <w:rPr>
          <w:rFonts w:hint="eastAsia"/>
          <w:szCs w:val="21"/>
          <w:highlight w:val="none"/>
        </w:rPr>
      </w:pPr>
    </w:p>
    <w:p w14:paraId="64349CB5">
      <w:pPr>
        <w:adjustRightInd w:val="0"/>
        <w:snapToGrid w:val="0"/>
        <w:rPr>
          <w:rFonts w:hint="eastAsia"/>
          <w:szCs w:val="21"/>
          <w:highlight w:val="none"/>
        </w:rPr>
      </w:pPr>
    </w:p>
    <w:p w14:paraId="516CBB65">
      <w:pPr>
        <w:adjustRightInd w:val="0"/>
        <w:snapToGrid w:val="0"/>
        <w:ind w:right="420"/>
        <w:rPr>
          <w:rFonts w:hint="eastAsia"/>
          <w:szCs w:val="21"/>
          <w:highlight w:val="none"/>
        </w:rPr>
      </w:pPr>
      <w:r>
        <w:rPr>
          <w:rFonts w:hint="eastAsia"/>
          <w:highlight w:val="none"/>
        </w:rPr>
        <w:t>投标人</w:t>
      </w:r>
      <w:r>
        <w:rPr>
          <w:rFonts w:hint="eastAsia"/>
          <w:szCs w:val="21"/>
          <w:highlight w:val="none"/>
        </w:rPr>
        <w:t>名称（盖单位章）：</w:t>
      </w:r>
    </w:p>
    <w:p w14:paraId="535E0442">
      <w:pPr>
        <w:adjustRightInd w:val="0"/>
        <w:snapToGrid w:val="0"/>
        <w:ind w:right="420"/>
        <w:rPr>
          <w:rFonts w:hint="eastAsia"/>
          <w:szCs w:val="21"/>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 xml:space="preserve">日      </w:t>
      </w:r>
    </w:p>
    <w:p w14:paraId="58D62766">
      <w:pPr>
        <w:adjustRightInd w:val="0"/>
        <w:snapToGrid w:val="0"/>
        <w:spacing w:before="156" w:beforeLines="50"/>
        <w:rPr>
          <w:rFonts w:hint="eastAsia"/>
          <w:szCs w:val="21"/>
          <w:highlight w:val="none"/>
        </w:rPr>
      </w:pPr>
    </w:p>
    <w:p w14:paraId="2AB26293">
      <w:pPr>
        <w:adjustRightInd w:val="0"/>
        <w:snapToGrid w:val="0"/>
        <w:spacing w:before="156" w:beforeLines="50"/>
        <w:rPr>
          <w:rFonts w:hint="eastAsia"/>
          <w:szCs w:val="21"/>
          <w:highlight w:val="none"/>
        </w:rPr>
      </w:pPr>
    </w:p>
    <w:p w14:paraId="187C782C">
      <w:pPr>
        <w:adjustRightInd w:val="0"/>
        <w:snapToGrid w:val="0"/>
        <w:ind w:right="24"/>
        <w:rPr>
          <w:rFonts w:hint="eastAsia"/>
          <w:sz w:val="32"/>
          <w:szCs w:val="32"/>
          <w:highlight w:val="none"/>
        </w:rPr>
      </w:pPr>
      <w:r>
        <w:rPr>
          <w:szCs w:val="21"/>
          <w:highlight w:val="none"/>
        </w:rPr>
        <w:br w:type="page"/>
      </w:r>
      <w:r>
        <w:rPr>
          <w:rFonts w:hint="eastAsia"/>
          <w:bCs/>
          <w:sz w:val="28"/>
          <w:szCs w:val="28"/>
          <w:highlight w:val="none"/>
        </w:rPr>
        <w:t>附件2</w:t>
      </w:r>
    </w:p>
    <w:p w14:paraId="7A1AF07F">
      <w:pPr>
        <w:adjustRightInd w:val="0"/>
        <w:snapToGrid w:val="0"/>
        <w:ind w:right="24"/>
        <w:jc w:val="center"/>
        <w:rPr>
          <w:rFonts w:hint="eastAsia"/>
          <w:sz w:val="28"/>
          <w:szCs w:val="28"/>
          <w:highlight w:val="none"/>
        </w:rPr>
      </w:pPr>
      <w:r>
        <w:rPr>
          <w:rFonts w:hint="eastAsia"/>
          <w:sz w:val="28"/>
          <w:szCs w:val="28"/>
          <w:highlight w:val="none"/>
        </w:rPr>
        <w:t>法定代表人授权书(委托代理人参加招标)</w:t>
      </w:r>
    </w:p>
    <w:p w14:paraId="76892109">
      <w:pPr>
        <w:adjustRightInd w:val="0"/>
        <w:snapToGrid w:val="0"/>
        <w:jc w:val="center"/>
        <w:rPr>
          <w:rFonts w:hint="eastAsia"/>
          <w:b/>
          <w:sz w:val="28"/>
          <w:szCs w:val="28"/>
          <w:highlight w:val="none"/>
        </w:rPr>
      </w:pPr>
    </w:p>
    <w:p w14:paraId="05C53B80">
      <w:pPr>
        <w:autoSpaceDE w:val="0"/>
        <w:autoSpaceDN w:val="0"/>
        <w:adjustRightInd w:val="0"/>
        <w:snapToGrid w:val="0"/>
        <w:spacing w:before="156" w:beforeLines="50"/>
        <w:ind w:firstLine="480" w:firstLineChars="200"/>
        <w:jc w:val="left"/>
        <w:rPr>
          <w:rFonts w:hint="eastAsia" w:cs="宋体"/>
          <w:kern w:val="0"/>
          <w:szCs w:val="21"/>
          <w:highlight w:val="none"/>
        </w:rPr>
      </w:pPr>
      <w:r>
        <w:rPr>
          <w:rFonts w:hint="eastAsia" w:cs="宋体"/>
          <w:kern w:val="0"/>
          <w:szCs w:val="21"/>
          <w:highlight w:val="none"/>
        </w:rPr>
        <w:t>本人</w:t>
      </w:r>
      <w:r>
        <w:rPr>
          <w:rFonts w:hint="eastAsia" w:cs="宋体"/>
          <w:kern w:val="0"/>
          <w:szCs w:val="21"/>
          <w:highlight w:val="none"/>
          <w:u w:val="single"/>
        </w:rPr>
        <w:t xml:space="preserve">          </w:t>
      </w:r>
      <w:r>
        <w:rPr>
          <w:rFonts w:hint="eastAsia" w:cs="宋体"/>
          <w:kern w:val="0"/>
          <w:szCs w:val="21"/>
          <w:highlight w:val="none"/>
        </w:rPr>
        <w:t>（姓名、职务）系</w:t>
      </w:r>
      <w:r>
        <w:rPr>
          <w:rFonts w:hint="eastAsia" w:cs="宋体"/>
          <w:kern w:val="0"/>
          <w:szCs w:val="21"/>
          <w:highlight w:val="none"/>
          <w:u w:val="single"/>
        </w:rPr>
        <w:t xml:space="preserve">                          </w:t>
      </w:r>
      <w:r>
        <w:rPr>
          <w:rFonts w:hint="eastAsia" w:cs="宋体"/>
          <w:kern w:val="0"/>
          <w:szCs w:val="21"/>
          <w:highlight w:val="none"/>
        </w:rPr>
        <w:t xml:space="preserve"> （</w:t>
      </w:r>
      <w:r>
        <w:rPr>
          <w:rFonts w:hint="eastAsia"/>
          <w:highlight w:val="none"/>
        </w:rPr>
        <w:t>投标人</w:t>
      </w:r>
      <w:r>
        <w:rPr>
          <w:rFonts w:hint="eastAsia" w:cs="宋体"/>
          <w:kern w:val="0"/>
          <w:szCs w:val="21"/>
          <w:highlight w:val="none"/>
        </w:rPr>
        <w:t>名称）的法定代表人，现授权</w:t>
      </w:r>
      <w:r>
        <w:rPr>
          <w:rFonts w:hint="eastAsia" w:cs="宋体"/>
          <w:kern w:val="0"/>
          <w:szCs w:val="21"/>
          <w:highlight w:val="none"/>
          <w:u w:val="single"/>
        </w:rPr>
        <w:t xml:space="preserve">          </w:t>
      </w:r>
      <w:r>
        <w:rPr>
          <w:rFonts w:hint="eastAsia" w:cs="宋体"/>
          <w:kern w:val="0"/>
          <w:szCs w:val="21"/>
          <w:highlight w:val="none"/>
        </w:rPr>
        <w:t>（姓名、职务）为我方代理人。代理人根据授权，以我方名义：(1)签署、澄清、补正、修改、撤回、提交</w:t>
      </w:r>
      <w:r>
        <w:rPr>
          <w:rFonts w:hint="eastAsia" w:cs="宋体"/>
          <w:kern w:val="0"/>
          <w:szCs w:val="21"/>
          <w:highlight w:val="none"/>
          <w:u w:val="single"/>
        </w:rPr>
        <w:t xml:space="preserve">                     </w:t>
      </w:r>
      <w:r>
        <w:rPr>
          <w:rFonts w:hint="eastAsia" w:cs="宋体"/>
          <w:kern w:val="0"/>
          <w:szCs w:val="21"/>
          <w:highlight w:val="none"/>
        </w:rPr>
        <w:t>（项目名称、</w:t>
      </w:r>
      <w:r>
        <w:rPr>
          <w:rFonts w:hint="eastAsia"/>
          <w:szCs w:val="21"/>
          <w:highlight w:val="none"/>
        </w:rPr>
        <w:t>项目</w:t>
      </w:r>
      <w:r>
        <w:rPr>
          <w:rFonts w:hint="eastAsia" w:cs="宋体"/>
          <w:kern w:val="0"/>
          <w:szCs w:val="21"/>
          <w:highlight w:val="none"/>
        </w:rPr>
        <w:t>编号）投标文件及报价； (2)签订合同和处理有关事宜，其法律后果由我方承担。</w:t>
      </w:r>
    </w:p>
    <w:p w14:paraId="7A886042">
      <w:pPr>
        <w:autoSpaceDE w:val="0"/>
        <w:autoSpaceDN w:val="0"/>
        <w:adjustRightInd w:val="0"/>
        <w:snapToGrid w:val="0"/>
        <w:spacing w:before="156" w:beforeLines="50"/>
        <w:ind w:firstLine="480" w:firstLineChars="200"/>
        <w:jc w:val="left"/>
        <w:rPr>
          <w:rFonts w:hint="eastAsia" w:cs="宋体"/>
          <w:kern w:val="0"/>
          <w:szCs w:val="21"/>
          <w:highlight w:val="none"/>
        </w:rPr>
      </w:pPr>
      <w:r>
        <w:rPr>
          <w:rFonts w:hint="eastAsia" w:cs="宋体"/>
          <w:kern w:val="0"/>
          <w:szCs w:val="21"/>
          <w:highlight w:val="none"/>
        </w:rPr>
        <w:t>委托期限：</w:t>
      </w:r>
      <w:r>
        <w:rPr>
          <w:rFonts w:hint="eastAsia" w:cs="宋体"/>
          <w:kern w:val="0"/>
          <w:szCs w:val="21"/>
          <w:highlight w:val="none"/>
          <w:u w:val="single"/>
        </w:rPr>
        <w:t xml:space="preserve">                                     </w:t>
      </w:r>
      <w:r>
        <w:rPr>
          <w:rFonts w:hint="eastAsia" w:cs="宋体"/>
          <w:kern w:val="0"/>
          <w:szCs w:val="21"/>
          <w:highlight w:val="none"/>
        </w:rPr>
        <w:t xml:space="preserve"> 。</w:t>
      </w:r>
    </w:p>
    <w:p w14:paraId="5CE1BE1C">
      <w:pPr>
        <w:ind w:firstLine="435"/>
        <w:rPr>
          <w:rFonts w:hint="eastAsia" w:cs="宋体"/>
          <w:kern w:val="0"/>
          <w:szCs w:val="21"/>
          <w:highlight w:val="none"/>
        </w:rPr>
      </w:pPr>
      <w:r>
        <w:rPr>
          <w:rFonts w:hint="eastAsia" w:cs="宋体"/>
          <w:kern w:val="0"/>
          <w:szCs w:val="21"/>
          <w:highlight w:val="none"/>
        </w:rPr>
        <w:t>代理人无转委托权。</w:t>
      </w:r>
    </w:p>
    <w:p w14:paraId="5B471502">
      <w:pPr>
        <w:ind w:firstLine="435"/>
        <w:rPr>
          <w:rFonts w:hint="eastAsia"/>
          <w:szCs w:val="21"/>
          <w:highlight w:val="none"/>
        </w:rPr>
      </w:pPr>
      <w:r>
        <w:rPr>
          <w:rFonts w:hint="eastAsia"/>
          <w:szCs w:val="21"/>
          <w:highlight w:val="none"/>
        </w:rPr>
        <w:t>本授权书于</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日签字生效，特此声明。</w:t>
      </w:r>
    </w:p>
    <w:p w14:paraId="50FDC997">
      <w:pPr>
        <w:adjustRightInd w:val="0"/>
        <w:snapToGrid w:val="0"/>
        <w:spacing w:before="156" w:beforeLines="50"/>
        <w:ind w:firstLine="480" w:firstLineChars="200"/>
        <w:rPr>
          <w:rFonts w:hint="eastAsia"/>
          <w:szCs w:val="21"/>
          <w:highlight w:val="none"/>
        </w:rPr>
      </w:pPr>
    </w:p>
    <w:p w14:paraId="332B73DB">
      <w:pPr>
        <w:adjustRightInd w:val="0"/>
        <w:snapToGrid w:val="0"/>
        <w:ind w:right="420"/>
        <w:rPr>
          <w:rFonts w:hint="eastAsia"/>
          <w:szCs w:val="21"/>
          <w:highlight w:val="none"/>
        </w:rPr>
      </w:pPr>
    </w:p>
    <w:p w14:paraId="250875C5">
      <w:pPr>
        <w:autoSpaceDE w:val="0"/>
        <w:autoSpaceDN w:val="0"/>
        <w:adjustRightInd w:val="0"/>
        <w:snapToGrid w:val="0"/>
        <w:spacing w:before="156" w:beforeLines="50"/>
        <w:jc w:val="left"/>
        <w:rPr>
          <w:rFonts w:hint="eastAsia" w:cs="宋体"/>
          <w:kern w:val="0"/>
          <w:szCs w:val="21"/>
          <w:highlight w:val="none"/>
        </w:rPr>
      </w:pPr>
      <w:r>
        <w:rPr>
          <w:rFonts w:hint="eastAsia"/>
          <w:szCs w:val="21"/>
          <w:highlight w:val="none"/>
        </w:rPr>
        <w:t>附：法定代表人身份证复印件</w:t>
      </w:r>
    </w:p>
    <w:p w14:paraId="509ADEE8">
      <w:pPr>
        <w:adjustRightInd w:val="0"/>
        <w:snapToGrid w:val="0"/>
        <w:ind w:right="420"/>
        <w:rPr>
          <w:rFonts w:hint="eastAsia"/>
          <w:szCs w:val="21"/>
          <w:highlight w:val="none"/>
        </w:rPr>
      </w:pPr>
    </w:p>
    <w:p w14:paraId="60664A0A">
      <w:pPr>
        <w:adjustRightInd w:val="0"/>
        <w:snapToGrid w:val="0"/>
        <w:ind w:right="420"/>
        <w:rPr>
          <w:rFonts w:hint="eastAsia"/>
          <w:szCs w:val="21"/>
          <w:highlight w:val="none"/>
        </w:rPr>
      </w:pPr>
    </w:p>
    <w:p w14:paraId="4F3340B7">
      <w:pPr>
        <w:autoSpaceDE w:val="0"/>
        <w:autoSpaceDN w:val="0"/>
        <w:adjustRightInd w:val="0"/>
        <w:snapToGrid w:val="0"/>
        <w:spacing w:before="156" w:beforeLines="50"/>
        <w:jc w:val="left"/>
        <w:rPr>
          <w:rFonts w:hint="eastAsia" w:cs="宋体"/>
          <w:kern w:val="0"/>
          <w:szCs w:val="21"/>
          <w:highlight w:val="none"/>
        </w:rPr>
      </w:pPr>
      <w:r>
        <w:rPr>
          <w:rFonts w:hint="eastAsia"/>
          <w:szCs w:val="21"/>
          <w:highlight w:val="none"/>
        </w:rPr>
        <w:t>附：被授权人身份证复印件</w:t>
      </w:r>
    </w:p>
    <w:p w14:paraId="7C469993">
      <w:pPr>
        <w:adjustRightInd w:val="0"/>
        <w:snapToGrid w:val="0"/>
        <w:ind w:right="420"/>
        <w:rPr>
          <w:rFonts w:hint="eastAsia"/>
          <w:szCs w:val="21"/>
          <w:highlight w:val="none"/>
        </w:rPr>
      </w:pPr>
    </w:p>
    <w:p w14:paraId="3B7E883A">
      <w:pPr>
        <w:adjustRightInd w:val="0"/>
        <w:snapToGrid w:val="0"/>
        <w:ind w:right="420"/>
        <w:rPr>
          <w:rFonts w:hint="eastAsia"/>
          <w:szCs w:val="21"/>
          <w:highlight w:val="none"/>
        </w:rPr>
      </w:pPr>
    </w:p>
    <w:p w14:paraId="003CDB3C">
      <w:pPr>
        <w:adjustRightInd w:val="0"/>
        <w:snapToGrid w:val="0"/>
        <w:ind w:right="420"/>
        <w:rPr>
          <w:rFonts w:hint="eastAsia"/>
          <w:szCs w:val="21"/>
          <w:highlight w:val="none"/>
        </w:rPr>
      </w:pPr>
    </w:p>
    <w:p w14:paraId="39B34F2F">
      <w:pPr>
        <w:adjustRightInd w:val="0"/>
        <w:snapToGrid w:val="0"/>
        <w:ind w:right="420"/>
        <w:rPr>
          <w:rFonts w:hint="eastAsia"/>
          <w:szCs w:val="21"/>
          <w:highlight w:val="none"/>
        </w:rPr>
      </w:pPr>
    </w:p>
    <w:p w14:paraId="2EF1955E">
      <w:pPr>
        <w:adjustRightInd w:val="0"/>
        <w:snapToGrid w:val="0"/>
        <w:ind w:right="420"/>
        <w:rPr>
          <w:rFonts w:hint="eastAsia"/>
          <w:szCs w:val="21"/>
          <w:highlight w:val="none"/>
        </w:rPr>
      </w:pPr>
    </w:p>
    <w:p w14:paraId="04FC1078">
      <w:pPr>
        <w:adjustRightInd w:val="0"/>
        <w:snapToGrid w:val="0"/>
        <w:ind w:right="420"/>
        <w:rPr>
          <w:rFonts w:hint="eastAsia"/>
          <w:szCs w:val="21"/>
          <w:highlight w:val="none"/>
        </w:rPr>
      </w:pPr>
      <w:r>
        <w:rPr>
          <w:rFonts w:hint="eastAsia"/>
          <w:highlight w:val="none"/>
        </w:rPr>
        <w:t>投标人</w:t>
      </w:r>
      <w:r>
        <w:rPr>
          <w:rFonts w:hint="eastAsia"/>
          <w:szCs w:val="21"/>
          <w:highlight w:val="none"/>
        </w:rPr>
        <w:t>名称(盖单位章)：</w:t>
      </w:r>
    </w:p>
    <w:p w14:paraId="55106C7C">
      <w:pPr>
        <w:adjustRightInd w:val="0"/>
        <w:snapToGrid w:val="0"/>
        <w:ind w:right="420"/>
        <w:rPr>
          <w:rFonts w:hint="eastAsia"/>
          <w:szCs w:val="21"/>
          <w:highlight w:val="none"/>
        </w:rPr>
      </w:pPr>
      <w:r>
        <w:rPr>
          <w:rFonts w:hint="eastAsia"/>
          <w:szCs w:val="21"/>
          <w:highlight w:val="none"/>
        </w:rPr>
        <w:t>法定代表人（签字或盖章）：</w:t>
      </w:r>
      <w:r>
        <w:rPr>
          <w:rFonts w:hint="eastAsia"/>
          <w:szCs w:val="21"/>
          <w:highlight w:val="none"/>
          <w:u w:val="single"/>
        </w:rPr>
        <w:t xml:space="preserve">                     </w:t>
      </w:r>
    </w:p>
    <w:p w14:paraId="721EC748">
      <w:pPr>
        <w:adjustRightInd w:val="0"/>
        <w:snapToGrid w:val="0"/>
        <w:ind w:right="420"/>
        <w:rPr>
          <w:rFonts w:hint="eastAsia"/>
          <w:szCs w:val="21"/>
          <w:highlight w:val="none"/>
        </w:rPr>
      </w:pPr>
      <w:r>
        <w:rPr>
          <w:rFonts w:hint="eastAsia"/>
          <w:szCs w:val="21"/>
          <w:highlight w:val="none"/>
        </w:rPr>
        <w:t>委托代理人（签字或盖章）：</w:t>
      </w:r>
      <w:r>
        <w:rPr>
          <w:rFonts w:hint="eastAsia"/>
          <w:szCs w:val="21"/>
          <w:highlight w:val="none"/>
          <w:u w:val="single"/>
        </w:rPr>
        <w:t xml:space="preserve">                     </w:t>
      </w:r>
    </w:p>
    <w:p w14:paraId="21D00720">
      <w:pPr>
        <w:adjustRightInd w:val="0"/>
        <w:snapToGrid w:val="0"/>
        <w:ind w:right="24"/>
        <w:rPr>
          <w:rFonts w:hint="eastAsia"/>
          <w:szCs w:val="21"/>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44AE14BE">
      <w:pPr>
        <w:spacing w:line="360" w:lineRule="exact"/>
        <w:rPr>
          <w:rFonts w:hint="eastAsia"/>
          <w:b/>
          <w:highlight w:val="none"/>
        </w:rPr>
      </w:pPr>
    </w:p>
    <w:p w14:paraId="655E86C0">
      <w:pPr>
        <w:spacing w:line="360" w:lineRule="exact"/>
        <w:rPr>
          <w:rFonts w:hint="eastAsia"/>
          <w:b/>
          <w:highlight w:val="none"/>
        </w:rPr>
      </w:pPr>
    </w:p>
    <w:p w14:paraId="766469C2">
      <w:pPr>
        <w:adjustRightInd w:val="0"/>
        <w:snapToGrid w:val="0"/>
        <w:ind w:right="24"/>
        <w:rPr>
          <w:rFonts w:hint="eastAsia"/>
          <w:szCs w:val="21"/>
          <w:highlight w:val="none"/>
        </w:rPr>
      </w:pPr>
      <w:r>
        <w:rPr>
          <w:rFonts w:hint="eastAsia"/>
          <w:szCs w:val="21"/>
          <w:highlight w:val="none"/>
        </w:rPr>
        <w:t xml:space="preserve"> </w:t>
      </w:r>
    </w:p>
    <w:p w14:paraId="053A3AE8">
      <w:pPr>
        <w:spacing w:line="360" w:lineRule="exact"/>
        <w:rPr>
          <w:rFonts w:hint="eastAsia"/>
          <w:b/>
          <w:highlight w:val="none"/>
        </w:rPr>
      </w:pPr>
    </w:p>
    <w:p w14:paraId="25F27A79">
      <w:pPr>
        <w:spacing w:line="360" w:lineRule="exact"/>
        <w:rPr>
          <w:rFonts w:hint="eastAsia"/>
          <w:b/>
          <w:bCs/>
          <w:sz w:val="28"/>
          <w:szCs w:val="28"/>
          <w:highlight w:val="none"/>
        </w:rPr>
      </w:pPr>
    </w:p>
    <w:p w14:paraId="62514387">
      <w:pPr>
        <w:adjustRightInd w:val="0"/>
        <w:snapToGrid w:val="0"/>
        <w:jc w:val="center"/>
        <w:rPr>
          <w:rFonts w:hint="eastAsia"/>
          <w:b/>
          <w:sz w:val="32"/>
          <w:szCs w:val="32"/>
          <w:highlight w:val="none"/>
        </w:rPr>
      </w:pPr>
    </w:p>
    <w:p w14:paraId="3F23655E">
      <w:pPr>
        <w:adjustRightInd w:val="0"/>
        <w:snapToGrid w:val="0"/>
        <w:jc w:val="center"/>
        <w:rPr>
          <w:rFonts w:hint="eastAsia"/>
          <w:b/>
          <w:sz w:val="28"/>
          <w:szCs w:val="28"/>
          <w:highlight w:val="none"/>
        </w:rPr>
        <w:sectPr>
          <w:pgSz w:w="11906" w:h="16838"/>
          <w:pgMar w:top="1440" w:right="1800" w:bottom="1440" w:left="1800" w:header="851" w:footer="992" w:gutter="0"/>
          <w:cols w:space="720" w:num="1"/>
          <w:docGrid w:type="lines" w:linePitch="312" w:charSpace="0"/>
        </w:sectPr>
      </w:pPr>
      <w:bookmarkStart w:id="231" w:name="_Toc420948025"/>
    </w:p>
    <w:p w14:paraId="119F9307">
      <w:pPr>
        <w:pStyle w:val="3"/>
        <w:numPr>
          <w:ilvl w:val="0"/>
          <w:numId w:val="0"/>
        </w:numPr>
        <w:ind w:left="576"/>
        <w:jc w:val="center"/>
        <w:rPr>
          <w:rFonts w:hint="eastAsia" w:ascii="宋体" w:hAnsi="宋体"/>
          <w:szCs w:val="24"/>
          <w:highlight w:val="none"/>
        </w:rPr>
      </w:pPr>
      <w:bookmarkStart w:id="232" w:name="_Toc420948031"/>
      <w:bookmarkStart w:id="233" w:name="_Toc38878803"/>
      <w:r>
        <w:rPr>
          <w:rFonts w:hint="eastAsia" w:ascii="宋体" w:hAnsi="宋体"/>
          <w:szCs w:val="24"/>
          <w:highlight w:val="none"/>
        </w:rPr>
        <w:t>投标保证金证明</w:t>
      </w:r>
    </w:p>
    <w:p w14:paraId="31D834CF">
      <w:pPr>
        <w:pStyle w:val="3"/>
        <w:numPr>
          <w:ilvl w:val="0"/>
          <w:numId w:val="0"/>
        </w:numPr>
        <w:ind w:left="576" w:hanging="576"/>
        <w:jc w:val="center"/>
        <w:rPr>
          <w:rFonts w:hint="eastAsia" w:ascii="宋体" w:hAnsi="宋体"/>
          <w:sz w:val="32"/>
          <w:highlight w:val="none"/>
        </w:rPr>
      </w:pPr>
      <w:r>
        <w:rPr>
          <w:rFonts w:hint="eastAsia" w:ascii="宋体" w:hAnsi="宋体"/>
          <w:b w:val="0"/>
          <w:sz w:val="21"/>
          <w:szCs w:val="21"/>
          <w:highlight w:val="none"/>
        </w:rPr>
        <w:t>注：提交投标保证金的供应商附汇款账户银行出具的汇款凭证，使用电子保函的在此说明使用电子保函参与此项目投标。</w:t>
      </w:r>
      <w:r>
        <w:rPr>
          <w:rFonts w:ascii="宋体" w:hAnsi="宋体"/>
          <w:highlight w:val="none"/>
        </w:rPr>
        <w:br w:type="page"/>
      </w:r>
      <w:r>
        <w:rPr>
          <w:rFonts w:hint="eastAsia" w:ascii="宋体" w:hAnsi="宋体"/>
          <w:highlight w:val="none"/>
        </w:rPr>
        <w:t>三、报价一览表及</w:t>
      </w:r>
      <w:bookmarkEnd w:id="232"/>
      <w:r>
        <w:rPr>
          <w:rFonts w:hint="eastAsia" w:ascii="宋体" w:hAnsi="宋体"/>
          <w:highlight w:val="none"/>
        </w:rPr>
        <w:t>投标报价明细表</w:t>
      </w:r>
      <w:bookmarkEnd w:id="233"/>
    </w:p>
    <w:p w14:paraId="4E6EA4B1">
      <w:pPr>
        <w:adjustRightInd w:val="0"/>
        <w:snapToGrid w:val="0"/>
        <w:rPr>
          <w:rFonts w:hint="eastAsia"/>
          <w:b/>
          <w:highlight w:val="none"/>
        </w:rPr>
      </w:pPr>
    </w:p>
    <w:p w14:paraId="05B0FCAF">
      <w:pPr>
        <w:adjustRightInd w:val="0"/>
        <w:snapToGrid w:val="0"/>
        <w:ind w:right="24"/>
        <w:rPr>
          <w:rFonts w:hint="eastAsia"/>
          <w:sz w:val="32"/>
          <w:szCs w:val="32"/>
          <w:highlight w:val="none"/>
        </w:rPr>
      </w:pPr>
      <w:r>
        <w:rPr>
          <w:rFonts w:hint="eastAsia"/>
          <w:bCs/>
          <w:sz w:val="28"/>
          <w:szCs w:val="28"/>
          <w:highlight w:val="none"/>
        </w:rPr>
        <w:t>附件3</w:t>
      </w:r>
      <w:r>
        <w:rPr>
          <w:rFonts w:hint="eastAsia"/>
          <w:sz w:val="32"/>
          <w:szCs w:val="32"/>
          <w:highlight w:val="none"/>
        </w:rPr>
        <w:t xml:space="preserve">    </w:t>
      </w:r>
    </w:p>
    <w:p w14:paraId="71DA8C01">
      <w:pPr>
        <w:adjustRightInd w:val="0"/>
        <w:snapToGrid w:val="0"/>
        <w:jc w:val="center"/>
        <w:rPr>
          <w:rFonts w:hint="eastAsia"/>
          <w:b/>
          <w:sz w:val="32"/>
          <w:szCs w:val="32"/>
          <w:highlight w:val="none"/>
        </w:rPr>
      </w:pPr>
      <w:r>
        <w:rPr>
          <w:rFonts w:hint="eastAsia"/>
          <w:b/>
          <w:bCs/>
          <w:sz w:val="32"/>
          <w:szCs w:val="32"/>
          <w:highlight w:val="none"/>
        </w:rPr>
        <w:t xml:space="preserve">报价一览表 </w:t>
      </w:r>
    </w:p>
    <w:p w14:paraId="6839F8AC">
      <w:pPr>
        <w:adjustRightInd w:val="0"/>
        <w:snapToGrid w:val="0"/>
        <w:jc w:val="left"/>
        <w:rPr>
          <w:rFonts w:hint="eastAsia"/>
          <w:b/>
          <w:szCs w:val="21"/>
          <w:highlight w:val="none"/>
        </w:rPr>
      </w:pPr>
      <w:r>
        <w:rPr>
          <w:rFonts w:hint="eastAsia"/>
          <w:b/>
          <w:szCs w:val="21"/>
          <w:highlight w:val="none"/>
        </w:rPr>
        <w:t>项目名称：</w:t>
      </w:r>
    </w:p>
    <w:p w14:paraId="1305D77F">
      <w:pPr>
        <w:adjustRightInd w:val="0"/>
        <w:snapToGrid w:val="0"/>
        <w:rPr>
          <w:rFonts w:hint="eastAsia"/>
          <w:b/>
          <w:szCs w:val="21"/>
          <w:highlight w:val="none"/>
        </w:rPr>
      </w:pPr>
      <w:r>
        <w:rPr>
          <w:rFonts w:hint="eastAsia"/>
          <w:b/>
          <w:szCs w:val="21"/>
          <w:highlight w:val="none"/>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4668"/>
        <w:gridCol w:w="1299"/>
      </w:tblGrid>
      <w:tr w14:paraId="3667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6228E406">
            <w:pPr>
              <w:snapToGrid w:val="0"/>
              <w:spacing w:line="400" w:lineRule="exact"/>
              <w:jc w:val="center"/>
              <w:rPr>
                <w:rFonts w:hint="eastAsia"/>
                <w:b/>
                <w:szCs w:val="21"/>
                <w:highlight w:val="none"/>
              </w:rPr>
            </w:pPr>
            <w:r>
              <w:rPr>
                <w:rFonts w:hint="eastAsia"/>
                <w:b/>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55C09F8F">
            <w:pPr>
              <w:snapToGrid w:val="0"/>
              <w:spacing w:line="400" w:lineRule="exact"/>
              <w:jc w:val="center"/>
              <w:rPr>
                <w:rFonts w:hint="eastAsia"/>
                <w:b/>
                <w:szCs w:val="21"/>
                <w:highlight w:val="none"/>
              </w:rPr>
            </w:pPr>
            <w:r>
              <w:rPr>
                <w:rFonts w:hint="eastAsia"/>
                <w:b/>
                <w:szCs w:val="21"/>
                <w:highlight w:val="none"/>
              </w:rPr>
              <w:t>内容</w:t>
            </w:r>
          </w:p>
        </w:tc>
        <w:tc>
          <w:tcPr>
            <w:tcW w:w="1299" w:type="dxa"/>
            <w:tcBorders>
              <w:top w:val="single" w:color="auto" w:sz="4" w:space="0"/>
              <w:left w:val="single" w:color="auto" w:sz="4" w:space="0"/>
              <w:right w:val="single" w:color="auto" w:sz="4" w:space="0"/>
            </w:tcBorders>
            <w:vAlign w:val="center"/>
          </w:tcPr>
          <w:p w14:paraId="59B60192">
            <w:pPr>
              <w:snapToGrid w:val="0"/>
              <w:spacing w:line="400" w:lineRule="exact"/>
              <w:jc w:val="center"/>
              <w:rPr>
                <w:rFonts w:hint="eastAsia"/>
                <w:b/>
                <w:szCs w:val="21"/>
                <w:highlight w:val="none"/>
              </w:rPr>
            </w:pPr>
            <w:r>
              <w:rPr>
                <w:rFonts w:hint="eastAsia"/>
                <w:b/>
                <w:szCs w:val="21"/>
                <w:highlight w:val="none"/>
              </w:rPr>
              <w:t>备注</w:t>
            </w:r>
          </w:p>
        </w:tc>
      </w:tr>
      <w:tr w14:paraId="4757E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2E9B46ED">
            <w:pPr>
              <w:snapToGrid w:val="0"/>
              <w:spacing w:line="400" w:lineRule="exact"/>
              <w:jc w:val="center"/>
              <w:rPr>
                <w:rFonts w:hint="eastAsia"/>
                <w:szCs w:val="21"/>
                <w:highlight w:val="none"/>
              </w:rPr>
            </w:pPr>
            <w:r>
              <w:rPr>
                <w:rFonts w:hint="eastAsia"/>
                <w:szCs w:val="21"/>
                <w:highlight w:val="none"/>
              </w:rPr>
              <w:t>1</w:t>
            </w:r>
          </w:p>
        </w:tc>
        <w:tc>
          <w:tcPr>
            <w:tcW w:w="1827" w:type="dxa"/>
            <w:tcBorders>
              <w:top w:val="single" w:color="auto" w:sz="4" w:space="0"/>
              <w:left w:val="single" w:color="auto" w:sz="4" w:space="0"/>
              <w:right w:val="single" w:color="auto" w:sz="4" w:space="0"/>
            </w:tcBorders>
            <w:vAlign w:val="center"/>
          </w:tcPr>
          <w:p w14:paraId="15FCB89C">
            <w:pPr>
              <w:snapToGrid w:val="0"/>
              <w:spacing w:line="400" w:lineRule="exact"/>
              <w:rPr>
                <w:rFonts w:hint="eastAsia"/>
                <w:szCs w:val="21"/>
                <w:highlight w:val="none"/>
              </w:rPr>
            </w:pPr>
            <w:r>
              <w:rPr>
                <w:rFonts w:hint="eastAsia"/>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1B42E93A">
            <w:pPr>
              <w:snapToGrid w:val="0"/>
              <w:spacing w:line="400" w:lineRule="exact"/>
              <w:rPr>
                <w:rFonts w:hint="eastAsia"/>
                <w:szCs w:val="21"/>
                <w:highlight w:val="none"/>
              </w:rPr>
            </w:pPr>
          </w:p>
        </w:tc>
        <w:tc>
          <w:tcPr>
            <w:tcW w:w="1299" w:type="dxa"/>
            <w:tcBorders>
              <w:top w:val="single" w:color="auto" w:sz="4" w:space="0"/>
              <w:left w:val="single" w:color="auto" w:sz="4" w:space="0"/>
              <w:right w:val="single" w:color="auto" w:sz="4" w:space="0"/>
            </w:tcBorders>
            <w:vAlign w:val="center"/>
          </w:tcPr>
          <w:p w14:paraId="70FA2484">
            <w:pPr>
              <w:snapToGrid w:val="0"/>
              <w:spacing w:line="400" w:lineRule="exact"/>
              <w:jc w:val="center"/>
              <w:rPr>
                <w:rFonts w:hint="eastAsia"/>
                <w:szCs w:val="21"/>
                <w:highlight w:val="none"/>
              </w:rPr>
            </w:pPr>
          </w:p>
        </w:tc>
      </w:tr>
      <w:tr w14:paraId="042E7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11AB5096">
            <w:pPr>
              <w:snapToGrid w:val="0"/>
              <w:spacing w:line="400" w:lineRule="exact"/>
              <w:jc w:val="center"/>
              <w:rPr>
                <w:rFonts w:hint="eastAsia"/>
                <w:szCs w:val="21"/>
                <w:highlight w:val="none"/>
              </w:rPr>
            </w:pPr>
            <w:r>
              <w:rPr>
                <w:rFonts w:hint="eastAsia"/>
                <w:szCs w:val="21"/>
                <w:highlight w:val="none"/>
              </w:rPr>
              <w:t>2</w:t>
            </w:r>
          </w:p>
        </w:tc>
        <w:tc>
          <w:tcPr>
            <w:tcW w:w="1827" w:type="dxa"/>
            <w:tcBorders>
              <w:top w:val="single" w:color="auto" w:sz="4" w:space="0"/>
              <w:left w:val="single" w:color="auto" w:sz="4" w:space="0"/>
              <w:right w:val="single" w:color="auto" w:sz="4" w:space="0"/>
            </w:tcBorders>
            <w:vAlign w:val="center"/>
          </w:tcPr>
          <w:p w14:paraId="743F5412">
            <w:pPr>
              <w:snapToGrid w:val="0"/>
              <w:spacing w:line="400" w:lineRule="exact"/>
              <w:rPr>
                <w:rFonts w:hint="eastAsia"/>
                <w:szCs w:val="21"/>
                <w:highlight w:val="none"/>
              </w:rPr>
            </w:pPr>
            <w:r>
              <w:rPr>
                <w:rFonts w:hint="eastAsia"/>
                <w:szCs w:val="21"/>
                <w:highlight w:val="none"/>
              </w:rPr>
              <w:t>投标内容</w:t>
            </w:r>
          </w:p>
        </w:tc>
        <w:tc>
          <w:tcPr>
            <w:tcW w:w="4668" w:type="dxa"/>
            <w:tcBorders>
              <w:top w:val="single" w:color="auto" w:sz="4" w:space="0"/>
              <w:left w:val="single" w:color="auto" w:sz="4" w:space="0"/>
              <w:right w:val="single" w:color="auto" w:sz="4" w:space="0"/>
            </w:tcBorders>
            <w:vAlign w:val="center"/>
          </w:tcPr>
          <w:p w14:paraId="3C891E9D">
            <w:pPr>
              <w:snapToGrid w:val="0"/>
              <w:spacing w:line="400" w:lineRule="exact"/>
              <w:rPr>
                <w:rFonts w:hint="eastAsia"/>
                <w:szCs w:val="21"/>
                <w:highlight w:val="none"/>
              </w:rPr>
            </w:pPr>
            <w:r>
              <w:rPr>
                <w:rFonts w:hint="eastAsia"/>
                <w:szCs w:val="21"/>
                <w:highlight w:val="none"/>
              </w:rPr>
              <w:t>第 / 包：</w:t>
            </w:r>
          </w:p>
        </w:tc>
        <w:tc>
          <w:tcPr>
            <w:tcW w:w="1299" w:type="dxa"/>
            <w:tcBorders>
              <w:top w:val="single" w:color="auto" w:sz="4" w:space="0"/>
              <w:left w:val="single" w:color="auto" w:sz="4" w:space="0"/>
              <w:right w:val="single" w:color="auto" w:sz="4" w:space="0"/>
            </w:tcBorders>
            <w:vAlign w:val="center"/>
          </w:tcPr>
          <w:p w14:paraId="73685269">
            <w:pPr>
              <w:snapToGrid w:val="0"/>
              <w:spacing w:line="400" w:lineRule="exact"/>
              <w:jc w:val="center"/>
              <w:rPr>
                <w:rFonts w:hint="eastAsia"/>
                <w:szCs w:val="21"/>
                <w:highlight w:val="none"/>
              </w:rPr>
            </w:pPr>
          </w:p>
        </w:tc>
      </w:tr>
      <w:tr w14:paraId="65118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068345EA">
            <w:pPr>
              <w:snapToGrid w:val="0"/>
              <w:spacing w:line="400" w:lineRule="exact"/>
              <w:jc w:val="center"/>
              <w:rPr>
                <w:rFonts w:hint="eastAsia"/>
                <w:szCs w:val="21"/>
                <w:highlight w:val="none"/>
              </w:rPr>
            </w:pPr>
            <w:r>
              <w:rPr>
                <w:rFonts w:hint="eastAsia"/>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751DDD33">
            <w:pPr>
              <w:snapToGrid w:val="0"/>
              <w:spacing w:line="400" w:lineRule="exact"/>
              <w:rPr>
                <w:rFonts w:hint="eastAsia"/>
                <w:szCs w:val="21"/>
                <w:highlight w:val="none"/>
              </w:rPr>
            </w:pPr>
            <w:r>
              <w:rPr>
                <w:rFonts w:hint="eastAsia"/>
                <w:szCs w:val="21"/>
                <w:highlight w:val="none"/>
              </w:rPr>
              <w:t>投标总价</w:t>
            </w:r>
          </w:p>
        </w:tc>
        <w:tc>
          <w:tcPr>
            <w:tcW w:w="4668" w:type="dxa"/>
            <w:tcBorders>
              <w:top w:val="single" w:color="auto" w:sz="4" w:space="0"/>
              <w:left w:val="single" w:color="auto" w:sz="4" w:space="0"/>
              <w:bottom w:val="single" w:color="auto" w:sz="4" w:space="0"/>
              <w:right w:val="single" w:color="auto" w:sz="4" w:space="0"/>
            </w:tcBorders>
            <w:vAlign w:val="center"/>
          </w:tcPr>
          <w:p w14:paraId="15BBDA67">
            <w:pPr>
              <w:widowControl/>
              <w:rPr>
                <w:rFonts w:hint="eastAsia"/>
                <w:szCs w:val="21"/>
                <w:highlight w:val="none"/>
              </w:rPr>
            </w:pPr>
            <w:r>
              <w:rPr>
                <w:rFonts w:hint="eastAsia"/>
                <w:szCs w:val="21"/>
                <w:highlight w:val="none"/>
              </w:rPr>
              <w:t>大写：           元</w:t>
            </w:r>
          </w:p>
          <w:p w14:paraId="62B6520B">
            <w:pPr>
              <w:snapToGrid w:val="0"/>
              <w:spacing w:line="400" w:lineRule="exact"/>
              <w:rPr>
                <w:rFonts w:hint="eastAsia"/>
                <w:szCs w:val="21"/>
                <w:highlight w:val="none"/>
              </w:rPr>
            </w:pPr>
            <w:r>
              <w:rPr>
                <w:rFonts w:hint="eastAsia"/>
                <w:szCs w:val="21"/>
                <w:highlight w:val="none"/>
              </w:rPr>
              <w:t>小写：           元</w:t>
            </w:r>
          </w:p>
        </w:tc>
        <w:tc>
          <w:tcPr>
            <w:tcW w:w="1299" w:type="dxa"/>
            <w:tcBorders>
              <w:top w:val="single" w:color="auto" w:sz="4" w:space="0"/>
              <w:left w:val="single" w:color="auto" w:sz="4" w:space="0"/>
              <w:bottom w:val="single" w:color="auto" w:sz="4" w:space="0"/>
              <w:right w:val="single" w:color="auto" w:sz="4" w:space="0"/>
            </w:tcBorders>
            <w:vAlign w:val="center"/>
          </w:tcPr>
          <w:p w14:paraId="07766BC8">
            <w:pPr>
              <w:snapToGrid w:val="0"/>
              <w:spacing w:line="400" w:lineRule="exact"/>
              <w:rPr>
                <w:rFonts w:hint="eastAsia"/>
                <w:szCs w:val="21"/>
                <w:highlight w:val="none"/>
              </w:rPr>
            </w:pPr>
          </w:p>
        </w:tc>
      </w:tr>
      <w:tr w14:paraId="208A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6D7AE45D">
            <w:pPr>
              <w:snapToGrid w:val="0"/>
              <w:spacing w:line="400" w:lineRule="exact"/>
              <w:jc w:val="center"/>
              <w:rPr>
                <w:rFonts w:hint="eastAsia"/>
                <w:szCs w:val="21"/>
                <w:highlight w:val="none"/>
              </w:rPr>
            </w:pPr>
            <w:r>
              <w:rPr>
                <w:rFonts w:hint="eastAsia"/>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1E97C8A3">
            <w:pPr>
              <w:snapToGrid w:val="0"/>
              <w:spacing w:line="400" w:lineRule="exact"/>
              <w:rPr>
                <w:rFonts w:hint="eastAsia"/>
                <w:szCs w:val="21"/>
                <w:highlight w:val="none"/>
                <w:u w:val="single"/>
              </w:rPr>
            </w:pPr>
            <w:r>
              <w:rPr>
                <w:rFonts w:hint="eastAsia"/>
                <w:szCs w:val="21"/>
                <w:highlight w:val="none"/>
              </w:rPr>
              <w:t>交付期限</w:t>
            </w:r>
          </w:p>
        </w:tc>
        <w:tc>
          <w:tcPr>
            <w:tcW w:w="4668" w:type="dxa"/>
            <w:tcBorders>
              <w:top w:val="single" w:color="auto" w:sz="4" w:space="0"/>
              <w:left w:val="single" w:color="auto" w:sz="4" w:space="0"/>
              <w:bottom w:val="single" w:color="auto" w:sz="4" w:space="0"/>
              <w:right w:val="single" w:color="auto" w:sz="4" w:space="0"/>
            </w:tcBorders>
            <w:vAlign w:val="center"/>
          </w:tcPr>
          <w:p w14:paraId="3FF8CAA4">
            <w:pPr>
              <w:snapToGrid w:val="0"/>
              <w:spacing w:line="400" w:lineRule="exact"/>
              <w:rPr>
                <w:rFonts w:hint="eastAsia"/>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4682BC9C">
            <w:pPr>
              <w:snapToGrid w:val="0"/>
              <w:spacing w:line="400" w:lineRule="exact"/>
              <w:rPr>
                <w:rFonts w:hint="eastAsia"/>
                <w:szCs w:val="21"/>
                <w:highlight w:val="none"/>
                <w:u w:val="single"/>
              </w:rPr>
            </w:pPr>
          </w:p>
        </w:tc>
      </w:tr>
      <w:tr w14:paraId="1EA5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E769453">
            <w:pPr>
              <w:snapToGrid w:val="0"/>
              <w:spacing w:line="400" w:lineRule="exact"/>
              <w:jc w:val="center"/>
              <w:rPr>
                <w:rFonts w:hint="eastAsia"/>
                <w:szCs w:val="21"/>
                <w:highlight w:val="none"/>
              </w:rPr>
            </w:pPr>
            <w:r>
              <w:rPr>
                <w:rFonts w:hint="eastAsia"/>
                <w:szCs w:val="21"/>
                <w:highlight w:val="none"/>
              </w:rPr>
              <w:t>5</w:t>
            </w:r>
          </w:p>
        </w:tc>
        <w:tc>
          <w:tcPr>
            <w:tcW w:w="1827" w:type="dxa"/>
            <w:tcBorders>
              <w:top w:val="single" w:color="auto" w:sz="4" w:space="0"/>
              <w:left w:val="single" w:color="auto" w:sz="4" w:space="0"/>
              <w:bottom w:val="single" w:color="auto" w:sz="4" w:space="0"/>
              <w:right w:val="single" w:color="auto" w:sz="4" w:space="0"/>
            </w:tcBorders>
            <w:vAlign w:val="center"/>
          </w:tcPr>
          <w:p w14:paraId="26253DCC">
            <w:pPr>
              <w:snapToGrid w:val="0"/>
              <w:spacing w:line="400" w:lineRule="exact"/>
              <w:rPr>
                <w:rFonts w:hint="eastAsia"/>
                <w:szCs w:val="21"/>
                <w:highlight w:val="none"/>
              </w:rPr>
            </w:pPr>
            <w:r>
              <w:rPr>
                <w:rFonts w:hint="eastAsia"/>
                <w:szCs w:val="21"/>
                <w:highlight w:val="none"/>
              </w:rPr>
              <w:t>投标有效期</w:t>
            </w:r>
          </w:p>
        </w:tc>
        <w:tc>
          <w:tcPr>
            <w:tcW w:w="4668" w:type="dxa"/>
            <w:tcBorders>
              <w:top w:val="single" w:color="auto" w:sz="4" w:space="0"/>
              <w:left w:val="single" w:color="auto" w:sz="4" w:space="0"/>
              <w:bottom w:val="single" w:color="auto" w:sz="4" w:space="0"/>
              <w:right w:val="single" w:color="auto" w:sz="4" w:space="0"/>
            </w:tcBorders>
            <w:vAlign w:val="center"/>
          </w:tcPr>
          <w:p w14:paraId="7DC08882">
            <w:pPr>
              <w:snapToGrid w:val="0"/>
              <w:spacing w:line="400" w:lineRule="exact"/>
              <w:rPr>
                <w:rFonts w:hint="eastAsia"/>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5E41D56A">
            <w:pPr>
              <w:snapToGrid w:val="0"/>
              <w:spacing w:line="400" w:lineRule="exact"/>
              <w:rPr>
                <w:rFonts w:hint="eastAsia"/>
                <w:szCs w:val="21"/>
                <w:highlight w:val="none"/>
                <w:u w:val="single"/>
              </w:rPr>
            </w:pPr>
          </w:p>
        </w:tc>
      </w:tr>
      <w:tr w14:paraId="51094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41AFAB0">
            <w:pPr>
              <w:snapToGrid w:val="0"/>
              <w:spacing w:line="400" w:lineRule="exact"/>
              <w:jc w:val="center"/>
              <w:rPr>
                <w:rFonts w:hint="eastAsia"/>
                <w:szCs w:val="21"/>
                <w:highlight w:val="none"/>
              </w:rPr>
            </w:pPr>
            <w:r>
              <w:rPr>
                <w:rFonts w:hint="eastAsia"/>
                <w:szCs w:val="21"/>
                <w:highlight w:val="none"/>
              </w:rPr>
              <w:t>6</w:t>
            </w:r>
          </w:p>
        </w:tc>
        <w:tc>
          <w:tcPr>
            <w:tcW w:w="1827" w:type="dxa"/>
            <w:tcBorders>
              <w:top w:val="single" w:color="auto" w:sz="4" w:space="0"/>
              <w:left w:val="single" w:color="auto" w:sz="4" w:space="0"/>
              <w:bottom w:val="single" w:color="auto" w:sz="4" w:space="0"/>
              <w:right w:val="single" w:color="auto" w:sz="4" w:space="0"/>
            </w:tcBorders>
            <w:vAlign w:val="center"/>
          </w:tcPr>
          <w:p w14:paraId="5A1006D4">
            <w:pPr>
              <w:snapToGrid w:val="0"/>
              <w:spacing w:line="400" w:lineRule="exact"/>
              <w:rPr>
                <w:rFonts w:hint="eastAsia"/>
                <w:szCs w:val="21"/>
                <w:highlight w:val="none"/>
              </w:rPr>
            </w:pPr>
            <w:r>
              <w:rPr>
                <w:rFonts w:hint="eastAsia"/>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tcPr>
          <w:p w14:paraId="33E2EB80">
            <w:pPr>
              <w:snapToGrid w:val="0"/>
              <w:spacing w:line="400" w:lineRule="exact"/>
              <w:rPr>
                <w:rFonts w:hint="eastAsia"/>
                <w:szCs w:val="21"/>
                <w:highlight w:val="none"/>
              </w:rPr>
            </w:pPr>
          </w:p>
        </w:tc>
        <w:tc>
          <w:tcPr>
            <w:tcW w:w="1299" w:type="dxa"/>
            <w:tcBorders>
              <w:top w:val="single" w:color="auto" w:sz="4" w:space="0"/>
              <w:left w:val="single" w:color="auto" w:sz="4" w:space="0"/>
              <w:bottom w:val="single" w:color="auto" w:sz="4" w:space="0"/>
              <w:right w:val="single" w:color="auto" w:sz="4" w:space="0"/>
            </w:tcBorders>
          </w:tcPr>
          <w:p w14:paraId="23716A57">
            <w:pPr>
              <w:snapToGrid w:val="0"/>
              <w:spacing w:line="400" w:lineRule="exact"/>
              <w:rPr>
                <w:rFonts w:hint="eastAsia"/>
                <w:szCs w:val="21"/>
                <w:highlight w:val="none"/>
              </w:rPr>
            </w:pPr>
          </w:p>
        </w:tc>
      </w:tr>
    </w:tbl>
    <w:p w14:paraId="6B1376CF">
      <w:pPr>
        <w:adjustRightInd w:val="0"/>
        <w:snapToGrid w:val="0"/>
        <w:rPr>
          <w:rFonts w:hint="eastAsia"/>
          <w:highlight w:val="none"/>
        </w:rPr>
      </w:pPr>
    </w:p>
    <w:p w14:paraId="64C1C068">
      <w:pPr>
        <w:adjustRightInd w:val="0"/>
        <w:snapToGrid w:val="0"/>
        <w:rPr>
          <w:rFonts w:hint="eastAsia"/>
          <w:highlight w:val="none"/>
        </w:rPr>
      </w:pPr>
    </w:p>
    <w:p w14:paraId="77FF547B">
      <w:pPr>
        <w:adjustRightInd w:val="0"/>
        <w:snapToGrid w:val="0"/>
        <w:rPr>
          <w:rFonts w:hint="eastAsia"/>
          <w:szCs w:val="21"/>
          <w:highlight w:val="none"/>
        </w:rPr>
      </w:pPr>
      <w:r>
        <w:rPr>
          <w:rFonts w:hint="eastAsia"/>
          <w:szCs w:val="21"/>
          <w:highlight w:val="none"/>
        </w:rPr>
        <w:t>注: 1、报价一经涂改，应在涂改处加盖单位公章或者由法定代表人或授权委托人签字或盖章，否则其投标作无效标处理。</w:t>
      </w:r>
    </w:p>
    <w:p w14:paraId="1958F8CF">
      <w:pPr>
        <w:adjustRightInd w:val="0"/>
        <w:snapToGrid w:val="0"/>
        <w:ind w:firstLine="480" w:firstLineChars="200"/>
        <w:rPr>
          <w:rFonts w:hint="eastAsia"/>
          <w:szCs w:val="21"/>
          <w:highlight w:val="none"/>
        </w:rPr>
      </w:pPr>
      <w:r>
        <w:rPr>
          <w:rFonts w:hint="eastAsia"/>
          <w:szCs w:val="21"/>
          <w:highlight w:val="none"/>
        </w:rPr>
        <w:t>2、完成本项目招标范围内所有货物、配套工具及包装、运输、装卸、安装调试、培训、保险、税金及其它附带服务的全部费用。</w:t>
      </w:r>
    </w:p>
    <w:p w14:paraId="054DD613">
      <w:pPr>
        <w:adjustRightInd w:val="0"/>
        <w:snapToGrid w:val="0"/>
        <w:ind w:firstLine="480" w:firstLineChars="200"/>
        <w:rPr>
          <w:rFonts w:hint="eastAsia"/>
          <w:szCs w:val="21"/>
          <w:highlight w:val="none"/>
        </w:rPr>
      </w:pPr>
      <w:r>
        <w:rPr>
          <w:rFonts w:hint="eastAsia"/>
          <w:szCs w:val="21"/>
          <w:highlight w:val="none"/>
        </w:rPr>
        <w:t>3、项目须附详细的投标报价明细表，投标报价明细表中金额和报价一览表金额一致。</w:t>
      </w:r>
    </w:p>
    <w:p w14:paraId="161A4536">
      <w:pPr>
        <w:adjustRightInd w:val="0"/>
        <w:snapToGrid w:val="0"/>
        <w:rPr>
          <w:rFonts w:hint="eastAsia"/>
          <w:szCs w:val="21"/>
          <w:highlight w:val="none"/>
        </w:rPr>
      </w:pPr>
    </w:p>
    <w:p w14:paraId="08DDE5D6">
      <w:pPr>
        <w:adjustRightInd w:val="0"/>
        <w:snapToGrid w:val="0"/>
        <w:rPr>
          <w:rFonts w:hint="eastAsia"/>
          <w:szCs w:val="21"/>
          <w:highlight w:val="none"/>
        </w:rPr>
      </w:pPr>
    </w:p>
    <w:p w14:paraId="43C70594">
      <w:pPr>
        <w:adjustRightInd w:val="0"/>
        <w:snapToGrid w:val="0"/>
        <w:rPr>
          <w:rFonts w:hint="eastAsia"/>
          <w:szCs w:val="21"/>
          <w:highlight w:val="none"/>
        </w:rPr>
      </w:pPr>
      <w:r>
        <w:rPr>
          <w:rFonts w:hint="eastAsia"/>
          <w:highlight w:val="none"/>
        </w:rPr>
        <w:t>投标人</w:t>
      </w:r>
      <w:r>
        <w:rPr>
          <w:rFonts w:hint="eastAsia"/>
          <w:szCs w:val="21"/>
          <w:highlight w:val="none"/>
        </w:rPr>
        <w:t>（盖单位章）：</w:t>
      </w:r>
    </w:p>
    <w:p w14:paraId="452DD981">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0AFE026F">
      <w:pPr>
        <w:adjustRightInd w:val="0"/>
        <w:snapToGrid w:val="0"/>
        <w:jc w:val="right"/>
        <w:rPr>
          <w:rFonts w:hint="eastAsia"/>
          <w:b/>
          <w:sz w:val="28"/>
          <w:szCs w:val="28"/>
          <w:highlight w:val="none"/>
        </w:rPr>
      </w:pPr>
      <w:bookmarkStart w:id="234" w:name="_Toc446500173"/>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bookmarkEnd w:id="234"/>
    </w:p>
    <w:p w14:paraId="4DB00443">
      <w:pPr>
        <w:adjustRightInd w:val="0"/>
        <w:snapToGrid w:val="0"/>
        <w:ind w:right="24"/>
        <w:rPr>
          <w:rFonts w:hint="eastAsia"/>
          <w:b/>
          <w:sz w:val="28"/>
          <w:szCs w:val="28"/>
          <w:highlight w:val="none"/>
        </w:rPr>
      </w:pPr>
      <w:r>
        <w:rPr>
          <w:b/>
          <w:sz w:val="28"/>
          <w:szCs w:val="28"/>
          <w:highlight w:val="none"/>
        </w:rPr>
        <w:br w:type="page"/>
      </w:r>
      <w:r>
        <w:rPr>
          <w:rFonts w:hint="eastAsia"/>
          <w:bCs/>
          <w:sz w:val="28"/>
          <w:szCs w:val="28"/>
          <w:highlight w:val="none"/>
        </w:rPr>
        <w:t>附件4</w:t>
      </w:r>
    </w:p>
    <w:p w14:paraId="74A0510F">
      <w:pPr>
        <w:adjustRightInd w:val="0"/>
        <w:snapToGrid w:val="0"/>
        <w:jc w:val="center"/>
        <w:rPr>
          <w:rFonts w:hint="eastAsia"/>
          <w:b/>
          <w:sz w:val="28"/>
          <w:szCs w:val="28"/>
          <w:highlight w:val="none"/>
        </w:rPr>
      </w:pPr>
      <w:r>
        <w:rPr>
          <w:rFonts w:hint="eastAsia"/>
          <w:b/>
          <w:sz w:val="28"/>
          <w:szCs w:val="28"/>
          <w:highlight w:val="none"/>
        </w:rPr>
        <w:t xml:space="preserve">投标报价明细表 </w:t>
      </w:r>
    </w:p>
    <w:p w14:paraId="45529AAB">
      <w:pPr>
        <w:spacing w:line="360" w:lineRule="exact"/>
        <w:ind w:firstLine="241" w:firstLineChars="100"/>
        <w:rPr>
          <w:rFonts w:hint="eastAsia"/>
          <w:b/>
          <w:highlight w:val="none"/>
        </w:rPr>
      </w:pPr>
    </w:p>
    <w:p w14:paraId="0D047375">
      <w:pPr>
        <w:spacing w:line="360" w:lineRule="exact"/>
        <w:jc w:val="left"/>
        <w:rPr>
          <w:rFonts w:hint="eastAsia"/>
          <w:b/>
          <w:highlight w:val="none"/>
        </w:rPr>
      </w:pPr>
      <w:r>
        <w:rPr>
          <w:rFonts w:hint="eastAsia"/>
          <w:b/>
          <w:highlight w:val="none"/>
        </w:rPr>
        <w:t xml:space="preserve">项目名称：                                                        </w:t>
      </w:r>
    </w:p>
    <w:p w14:paraId="7ECE011A">
      <w:pPr>
        <w:spacing w:line="360" w:lineRule="exact"/>
        <w:jc w:val="left"/>
        <w:rPr>
          <w:rFonts w:hint="eastAsia"/>
          <w:b/>
          <w:highlight w:val="none"/>
        </w:rPr>
      </w:pPr>
      <w:r>
        <w:rPr>
          <w:rFonts w:hint="eastAsia"/>
          <w:b/>
          <w:highlight w:val="none"/>
        </w:rPr>
        <w:t>项目编号：                                                 金额单位：元</w:t>
      </w:r>
    </w:p>
    <w:tbl>
      <w:tblPr>
        <w:tblStyle w:val="4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825"/>
        <w:gridCol w:w="720"/>
        <w:gridCol w:w="960"/>
        <w:gridCol w:w="900"/>
        <w:gridCol w:w="900"/>
        <w:gridCol w:w="900"/>
        <w:gridCol w:w="735"/>
        <w:gridCol w:w="1065"/>
        <w:gridCol w:w="728"/>
      </w:tblGrid>
      <w:tr w14:paraId="355E7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400D4C17">
            <w:pPr>
              <w:tabs>
                <w:tab w:val="left" w:pos="1418"/>
              </w:tabs>
              <w:snapToGrid w:val="0"/>
              <w:spacing w:before="50" w:after="50"/>
              <w:jc w:val="center"/>
              <w:rPr>
                <w:rFonts w:hint="eastAsia"/>
                <w:szCs w:val="21"/>
                <w:highlight w:val="none"/>
              </w:rPr>
            </w:pPr>
            <w:r>
              <w:rPr>
                <w:rFonts w:hint="eastAsia"/>
                <w:szCs w:val="21"/>
                <w:highlight w:val="none"/>
              </w:rPr>
              <w:t>序号</w:t>
            </w:r>
          </w:p>
        </w:tc>
        <w:tc>
          <w:tcPr>
            <w:tcW w:w="825" w:type="dxa"/>
            <w:tcBorders>
              <w:top w:val="single" w:color="auto" w:sz="4" w:space="0"/>
              <w:left w:val="single" w:color="auto" w:sz="4" w:space="0"/>
              <w:bottom w:val="single" w:color="auto" w:sz="4" w:space="0"/>
              <w:right w:val="single" w:color="auto" w:sz="4" w:space="0"/>
            </w:tcBorders>
            <w:vAlign w:val="center"/>
          </w:tcPr>
          <w:p w14:paraId="592CDBC1">
            <w:pPr>
              <w:tabs>
                <w:tab w:val="left" w:pos="1418"/>
              </w:tabs>
              <w:snapToGrid w:val="0"/>
              <w:spacing w:before="50" w:after="50"/>
              <w:jc w:val="center"/>
              <w:rPr>
                <w:rFonts w:hint="eastAsia"/>
                <w:szCs w:val="21"/>
                <w:highlight w:val="none"/>
              </w:rPr>
            </w:pPr>
            <w:r>
              <w:rPr>
                <w:rFonts w:hint="eastAsia"/>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28F76D4E">
            <w:pPr>
              <w:pStyle w:val="271"/>
              <w:snapToGrid w:val="0"/>
              <w:spacing w:before="50" w:after="50" w:line="240" w:lineRule="auto"/>
              <w:rPr>
                <w:rFonts w:hint="eastAsia" w:ascii="宋体" w:hAnsi="宋体" w:eastAsia="宋体"/>
                <w:spacing w:val="0"/>
                <w:kern w:val="2"/>
                <w:sz w:val="21"/>
                <w:szCs w:val="21"/>
                <w:highlight w:val="none"/>
              </w:rPr>
            </w:pPr>
            <w:r>
              <w:rPr>
                <w:rFonts w:hint="eastAsia" w:ascii="宋体" w:hAnsi="宋体" w:eastAsia="宋体"/>
                <w:spacing w:val="0"/>
                <w:kern w:val="2"/>
                <w:sz w:val="21"/>
                <w:szCs w:val="21"/>
                <w:highlight w:val="none"/>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37291C48">
            <w:pPr>
              <w:tabs>
                <w:tab w:val="left" w:pos="1418"/>
              </w:tabs>
              <w:snapToGrid w:val="0"/>
              <w:spacing w:before="50" w:after="50"/>
              <w:jc w:val="center"/>
              <w:rPr>
                <w:rFonts w:hint="eastAsia"/>
                <w:szCs w:val="21"/>
                <w:highlight w:val="none"/>
              </w:rPr>
            </w:pPr>
            <w:r>
              <w:rPr>
                <w:rFonts w:hint="eastAsia"/>
                <w:szCs w:val="21"/>
                <w:highlight w:val="none"/>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3F2ED2EB">
            <w:pPr>
              <w:tabs>
                <w:tab w:val="left" w:pos="1418"/>
              </w:tabs>
              <w:snapToGrid w:val="0"/>
              <w:spacing w:before="50" w:after="50"/>
              <w:jc w:val="center"/>
              <w:rPr>
                <w:rFonts w:hint="eastAsia"/>
                <w:szCs w:val="21"/>
                <w:highlight w:val="none"/>
              </w:rPr>
            </w:pPr>
            <w:r>
              <w:rPr>
                <w:rFonts w:hint="eastAsia"/>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025E5645">
            <w:pPr>
              <w:tabs>
                <w:tab w:val="left" w:pos="1418"/>
              </w:tabs>
              <w:snapToGrid w:val="0"/>
              <w:spacing w:before="50" w:after="50"/>
              <w:jc w:val="center"/>
              <w:rPr>
                <w:rFonts w:hint="eastAsia"/>
                <w:szCs w:val="21"/>
                <w:highlight w:val="none"/>
              </w:rPr>
            </w:pPr>
            <w:r>
              <w:rPr>
                <w:rFonts w:hint="eastAsia"/>
                <w:szCs w:val="21"/>
                <w:highlight w:val="none"/>
              </w:rPr>
              <w:t>合价</w:t>
            </w:r>
          </w:p>
        </w:tc>
        <w:tc>
          <w:tcPr>
            <w:tcW w:w="900" w:type="dxa"/>
            <w:tcBorders>
              <w:top w:val="single" w:color="auto" w:sz="4" w:space="0"/>
              <w:left w:val="single" w:color="auto" w:sz="4" w:space="0"/>
              <w:bottom w:val="single" w:color="auto" w:sz="4" w:space="0"/>
              <w:right w:val="single" w:color="auto" w:sz="4" w:space="0"/>
            </w:tcBorders>
            <w:vAlign w:val="center"/>
          </w:tcPr>
          <w:p w14:paraId="782040D2">
            <w:pPr>
              <w:tabs>
                <w:tab w:val="left" w:pos="1418"/>
              </w:tabs>
              <w:snapToGrid w:val="0"/>
              <w:spacing w:before="50" w:after="50"/>
              <w:ind w:left="-370" w:leftChars="-154" w:firstLine="369" w:firstLineChars="154"/>
              <w:jc w:val="center"/>
              <w:rPr>
                <w:rFonts w:hint="eastAsia"/>
                <w:szCs w:val="21"/>
                <w:highlight w:val="none"/>
              </w:rPr>
            </w:pPr>
            <w:r>
              <w:rPr>
                <w:szCs w:val="21"/>
                <w:highlight w:val="none"/>
              </w:rPr>
              <w:t>品牌</w:t>
            </w:r>
          </w:p>
        </w:tc>
        <w:tc>
          <w:tcPr>
            <w:tcW w:w="735" w:type="dxa"/>
            <w:tcBorders>
              <w:top w:val="single" w:color="auto" w:sz="4" w:space="0"/>
              <w:left w:val="single" w:color="auto" w:sz="4" w:space="0"/>
              <w:bottom w:val="single" w:color="auto" w:sz="4" w:space="0"/>
              <w:right w:val="single" w:color="auto" w:sz="4" w:space="0"/>
            </w:tcBorders>
            <w:vAlign w:val="center"/>
          </w:tcPr>
          <w:p w14:paraId="0863BB7F">
            <w:pPr>
              <w:tabs>
                <w:tab w:val="left" w:pos="1418"/>
              </w:tabs>
              <w:snapToGrid w:val="0"/>
              <w:spacing w:before="50" w:after="50"/>
              <w:jc w:val="center"/>
              <w:rPr>
                <w:rFonts w:hint="eastAsia"/>
                <w:szCs w:val="21"/>
                <w:highlight w:val="none"/>
              </w:rPr>
            </w:pPr>
            <w:r>
              <w:rPr>
                <w:rFonts w:hint="eastAsia"/>
                <w:szCs w:val="21"/>
                <w:highlight w:val="none"/>
              </w:rPr>
              <w:t>规格型号</w:t>
            </w:r>
          </w:p>
        </w:tc>
        <w:tc>
          <w:tcPr>
            <w:tcW w:w="1065" w:type="dxa"/>
            <w:tcBorders>
              <w:top w:val="single" w:color="auto" w:sz="4" w:space="0"/>
              <w:left w:val="single" w:color="auto" w:sz="4" w:space="0"/>
              <w:bottom w:val="single" w:color="auto" w:sz="4" w:space="0"/>
              <w:right w:val="single" w:color="auto" w:sz="4" w:space="0"/>
            </w:tcBorders>
            <w:vAlign w:val="center"/>
          </w:tcPr>
          <w:p w14:paraId="751C9D46">
            <w:pPr>
              <w:tabs>
                <w:tab w:val="left" w:pos="1418"/>
              </w:tabs>
              <w:snapToGrid w:val="0"/>
              <w:spacing w:before="50" w:after="50"/>
              <w:jc w:val="center"/>
              <w:rPr>
                <w:rFonts w:hint="eastAsia"/>
                <w:szCs w:val="21"/>
                <w:highlight w:val="none"/>
              </w:rPr>
            </w:pPr>
            <w:r>
              <w:rPr>
                <w:rFonts w:hint="eastAsia"/>
                <w:szCs w:val="21"/>
                <w:highlight w:val="none"/>
              </w:rPr>
              <w:t>原产地及</w:t>
            </w:r>
          </w:p>
          <w:p w14:paraId="65CA71BA">
            <w:pPr>
              <w:tabs>
                <w:tab w:val="left" w:pos="1418"/>
              </w:tabs>
              <w:snapToGrid w:val="0"/>
              <w:spacing w:before="50" w:after="50"/>
              <w:jc w:val="center"/>
              <w:rPr>
                <w:rFonts w:hint="eastAsia"/>
                <w:szCs w:val="21"/>
                <w:highlight w:val="none"/>
              </w:rPr>
            </w:pPr>
            <w:r>
              <w:rPr>
                <w:rFonts w:hint="eastAsia"/>
                <w:szCs w:val="21"/>
                <w:highlight w:val="none"/>
              </w:rPr>
              <w:t>生产厂家</w:t>
            </w:r>
          </w:p>
        </w:tc>
        <w:tc>
          <w:tcPr>
            <w:tcW w:w="728" w:type="dxa"/>
            <w:tcBorders>
              <w:top w:val="single" w:color="auto" w:sz="4" w:space="0"/>
              <w:left w:val="single" w:color="auto" w:sz="4" w:space="0"/>
              <w:bottom w:val="single" w:color="auto" w:sz="4" w:space="0"/>
              <w:right w:val="single" w:color="auto" w:sz="4" w:space="0"/>
            </w:tcBorders>
            <w:vAlign w:val="center"/>
          </w:tcPr>
          <w:p w14:paraId="2279CA9C">
            <w:pPr>
              <w:tabs>
                <w:tab w:val="left" w:pos="1418"/>
              </w:tabs>
              <w:snapToGrid w:val="0"/>
              <w:spacing w:before="50" w:after="50"/>
              <w:jc w:val="center"/>
              <w:rPr>
                <w:rFonts w:hint="eastAsia"/>
                <w:szCs w:val="21"/>
                <w:highlight w:val="none"/>
              </w:rPr>
            </w:pPr>
            <w:r>
              <w:rPr>
                <w:rFonts w:hint="eastAsia"/>
                <w:szCs w:val="21"/>
                <w:highlight w:val="none"/>
              </w:rPr>
              <w:t>备注</w:t>
            </w:r>
          </w:p>
        </w:tc>
      </w:tr>
      <w:tr w14:paraId="7DC36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03AB0432">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52CCAF01">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162A616">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08A62FA">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03C127">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315AEB7">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1DC6923">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5FBA4891">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087ECF40">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03E1854C">
            <w:pPr>
              <w:tabs>
                <w:tab w:val="left" w:pos="1418"/>
              </w:tabs>
              <w:snapToGrid w:val="0"/>
              <w:spacing w:before="50" w:after="50"/>
              <w:jc w:val="center"/>
              <w:rPr>
                <w:rFonts w:hint="eastAsia"/>
                <w:szCs w:val="21"/>
                <w:highlight w:val="none"/>
              </w:rPr>
            </w:pPr>
          </w:p>
        </w:tc>
      </w:tr>
      <w:tr w14:paraId="0CCF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4D405CDF">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3937A4DD">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6BC8190">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28C32B89">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269DF6A">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2ACCBA3">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CF5CC">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2E3E54D3">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2848E198">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0F034DE0">
            <w:pPr>
              <w:tabs>
                <w:tab w:val="left" w:pos="1418"/>
              </w:tabs>
              <w:snapToGrid w:val="0"/>
              <w:spacing w:before="50" w:after="50"/>
              <w:jc w:val="center"/>
              <w:rPr>
                <w:rFonts w:hint="eastAsia"/>
                <w:szCs w:val="21"/>
                <w:highlight w:val="none"/>
              </w:rPr>
            </w:pPr>
          </w:p>
        </w:tc>
      </w:tr>
      <w:tr w14:paraId="4DABF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08B22146">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34B31E19">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6966A3D">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63769919">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7DC4659">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8839E3F">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C5AAF87">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2E0CA350">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35E202AA">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3A8CFBFD">
            <w:pPr>
              <w:tabs>
                <w:tab w:val="left" w:pos="1418"/>
              </w:tabs>
              <w:snapToGrid w:val="0"/>
              <w:spacing w:before="50" w:after="50"/>
              <w:jc w:val="center"/>
              <w:rPr>
                <w:rFonts w:hint="eastAsia"/>
                <w:szCs w:val="21"/>
                <w:highlight w:val="none"/>
              </w:rPr>
            </w:pPr>
          </w:p>
        </w:tc>
      </w:tr>
      <w:tr w14:paraId="6C07F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921FAB2">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079B67F1">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FEF43E4">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490C7CA3">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F1647F6">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4D3A4E7">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669E133">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76F12C9A">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1D49104D">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1703134C">
            <w:pPr>
              <w:tabs>
                <w:tab w:val="left" w:pos="1418"/>
              </w:tabs>
              <w:snapToGrid w:val="0"/>
              <w:spacing w:before="50" w:after="50"/>
              <w:jc w:val="center"/>
              <w:rPr>
                <w:rFonts w:hint="eastAsia"/>
                <w:szCs w:val="21"/>
                <w:highlight w:val="none"/>
              </w:rPr>
            </w:pPr>
          </w:p>
        </w:tc>
      </w:tr>
      <w:tr w14:paraId="6FDC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096946A4">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26C7C6BD">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9200D3C">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3DA8A910">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6AA4BB">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83E4C36">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8FE88E3">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67D63B10">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20A4C369">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6BE94A84">
            <w:pPr>
              <w:tabs>
                <w:tab w:val="left" w:pos="1418"/>
              </w:tabs>
              <w:snapToGrid w:val="0"/>
              <w:spacing w:before="50" w:after="50"/>
              <w:jc w:val="center"/>
              <w:rPr>
                <w:rFonts w:hint="eastAsia"/>
                <w:szCs w:val="21"/>
                <w:highlight w:val="none"/>
              </w:rPr>
            </w:pPr>
          </w:p>
        </w:tc>
      </w:tr>
      <w:tr w14:paraId="7AA9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7B0EE52D">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057ADF12">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5CC626C">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CE89B82">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2A28EA3">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46D6D6">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5AC9E7E">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6A491DF0">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120E7C0C">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50B99580">
            <w:pPr>
              <w:tabs>
                <w:tab w:val="left" w:pos="1418"/>
              </w:tabs>
              <w:snapToGrid w:val="0"/>
              <w:spacing w:before="50" w:after="50"/>
              <w:jc w:val="center"/>
              <w:rPr>
                <w:rFonts w:hint="eastAsia"/>
                <w:szCs w:val="21"/>
                <w:highlight w:val="none"/>
              </w:rPr>
            </w:pPr>
          </w:p>
        </w:tc>
      </w:tr>
      <w:tr w14:paraId="01A3B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47E5B1CB">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51E29116">
            <w:pPr>
              <w:tabs>
                <w:tab w:val="left" w:pos="1418"/>
              </w:tabs>
              <w:snapToGrid w:val="0"/>
              <w:spacing w:before="50" w:after="50"/>
              <w:jc w:val="center"/>
              <w:rPr>
                <w:rFonts w:hint="eastAsia"/>
                <w:szCs w:val="21"/>
                <w:highlight w:val="none"/>
              </w:rPr>
            </w:pPr>
            <w:r>
              <w:rPr>
                <w:szCs w:val="21"/>
                <w:highlight w:val="none"/>
              </w:rPr>
              <w:t>……</w:t>
            </w:r>
          </w:p>
        </w:tc>
        <w:tc>
          <w:tcPr>
            <w:tcW w:w="720" w:type="dxa"/>
            <w:tcBorders>
              <w:top w:val="single" w:color="auto" w:sz="4" w:space="0"/>
              <w:left w:val="single" w:color="auto" w:sz="4" w:space="0"/>
              <w:bottom w:val="single" w:color="auto" w:sz="4" w:space="0"/>
              <w:right w:val="single" w:color="auto" w:sz="4" w:space="0"/>
            </w:tcBorders>
          </w:tcPr>
          <w:p w14:paraId="7BE4D8BF">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55C1CD6">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9CB048E">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C7A61A6">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E0101A3">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57A88602">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7729D29D">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1A81D3B6">
            <w:pPr>
              <w:tabs>
                <w:tab w:val="left" w:pos="1418"/>
              </w:tabs>
              <w:snapToGrid w:val="0"/>
              <w:spacing w:before="50" w:after="50"/>
              <w:jc w:val="center"/>
              <w:rPr>
                <w:rFonts w:hint="eastAsia"/>
                <w:szCs w:val="21"/>
                <w:highlight w:val="none"/>
              </w:rPr>
            </w:pPr>
          </w:p>
        </w:tc>
      </w:tr>
      <w:tr w14:paraId="3CCCA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01D2852A">
            <w:pPr>
              <w:tabs>
                <w:tab w:val="left" w:pos="1418"/>
              </w:tabs>
              <w:snapToGrid w:val="0"/>
              <w:spacing w:before="50" w:after="50"/>
              <w:jc w:val="center"/>
              <w:rPr>
                <w:rFonts w:hint="eastAsia"/>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044B507D">
            <w:pPr>
              <w:tabs>
                <w:tab w:val="left" w:pos="1418"/>
              </w:tabs>
              <w:snapToGrid w:val="0"/>
              <w:spacing w:before="50" w:after="50"/>
              <w:jc w:val="center"/>
              <w:rPr>
                <w:rFonts w:hint="eastAsia"/>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85B7B2C">
            <w:pPr>
              <w:tabs>
                <w:tab w:val="left" w:pos="1418"/>
              </w:tabs>
              <w:snapToGrid w:val="0"/>
              <w:spacing w:before="50" w:after="50"/>
              <w:jc w:val="center"/>
              <w:rPr>
                <w:rFonts w:hint="eastAsia"/>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48913B8B">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6A62E33">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04700D1">
            <w:pPr>
              <w:tabs>
                <w:tab w:val="left" w:pos="1418"/>
              </w:tabs>
              <w:snapToGrid w:val="0"/>
              <w:spacing w:before="50" w:after="50"/>
              <w:jc w:val="center"/>
              <w:rPr>
                <w:rFonts w:hint="eastAsia"/>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EF724CC">
            <w:pPr>
              <w:tabs>
                <w:tab w:val="left" w:pos="1418"/>
              </w:tabs>
              <w:snapToGrid w:val="0"/>
              <w:spacing w:before="50" w:after="50"/>
              <w:jc w:val="center"/>
              <w:rPr>
                <w:rFonts w:hint="eastAsia"/>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5A4B7BE7">
            <w:pPr>
              <w:tabs>
                <w:tab w:val="left" w:pos="1418"/>
              </w:tabs>
              <w:snapToGrid w:val="0"/>
              <w:spacing w:before="50" w:after="50"/>
              <w:jc w:val="center"/>
              <w:rPr>
                <w:rFonts w:hint="eastAsia"/>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1CDD25EF">
            <w:pPr>
              <w:tabs>
                <w:tab w:val="left" w:pos="1418"/>
              </w:tabs>
              <w:snapToGrid w:val="0"/>
              <w:spacing w:before="50" w:after="50"/>
              <w:jc w:val="center"/>
              <w:rPr>
                <w:rFonts w:hint="eastAsia"/>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6B051392">
            <w:pPr>
              <w:tabs>
                <w:tab w:val="left" w:pos="1418"/>
              </w:tabs>
              <w:snapToGrid w:val="0"/>
              <w:spacing w:before="50" w:after="50"/>
              <w:jc w:val="center"/>
              <w:rPr>
                <w:rFonts w:hint="eastAsia"/>
                <w:szCs w:val="21"/>
                <w:highlight w:val="none"/>
              </w:rPr>
            </w:pPr>
          </w:p>
        </w:tc>
      </w:tr>
      <w:tr w14:paraId="58934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restart"/>
            <w:tcBorders>
              <w:top w:val="single" w:color="auto" w:sz="4" w:space="0"/>
              <w:left w:val="single" w:color="auto" w:sz="4" w:space="0"/>
              <w:right w:val="single" w:color="auto" w:sz="4" w:space="0"/>
            </w:tcBorders>
            <w:vAlign w:val="center"/>
          </w:tcPr>
          <w:p w14:paraId="12651B50">
            <w:pPr>
              <w:tabs>
                <w:tab w:val="left" w:pos="1418"/>
              </w:tabs>
              <w:snapToGrid w:val="0"/>
              <w:spacing w:before="50" w:after="50"/>
              <w:jc w:val="center"/>
              <w:rPr>
                <w:rFonts w:hint="eastAsia"/>
                <w:szCs w:val="21"/>
                <w:highlight w:val="none"/>
              </w:rPr>
            </w:pPr>
            <w:r>
              <w:rPr>
                <w:rFonts w:hint="eastAsia"/>
                <w:szCs w:val="21"/>
                <w:highlight w:val="none"/>
              </w:rPr>
              <w:t>报价</w:t>
            </w: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4BD57FC3">
            <w:pPr>
              <w:tabs>
                <w:tab w:val="left" w:pos="1418"/>
              </w:tabs>
              <w:snapToGrid w:val="0"/>
              <w:spacing w:before="50" w:after="50"/>
              <w:rPr>
                <w:rFonts w:hint="eastAsia"/>
                <w:szCs w:val="21"/>
                <w:highlight w:val="none"/>
              </w:rPr>
            </w:pPr>
            <w:r>
              <w:rPr>
                <w:rFonts w:hint="eastAsia"/>
                <w:szCs w:val="21"/>
                <w:highlight w:val="none"/>
              </w:rPr>
              <w:t>（大写）</w:t>
            </w:r>
          </w:p>
        </w:tc>
      </w:tr>
      <w:tr w14:paraId="2A147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continue"/>
            <w:tcBorders>
              <w:left w:val="single" w:color="auto" w:sz="4" w:space="0"/>
              <w:bottom w:val="single" w:color="auto" w:sz="4" w:space="0"/>
              <w:right w:val="single" w:color="auto" w:sz="4" w:space="0"/>
            </w:tcBorders>
          </w:tcPr>
          <w:p w14:paraId="2467CFE6">
            <w:pPr>
              <w:tabs>
                <w:tab w:val="left" w:pos="1418"/>
              </w:tabs>
              <w:snapToGrid w:val="0"/>
              <w:spacing w:before="50" w:after="50"/>
              <w:jc w:val="center"/>
              <w:rPr>
                <w:rFonts w:hint="eastAsia"/>
                <w:szCs w:val="21"/>
                <w:highlight w:val="none"/>
              </w:rPr>
            </w:pP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3D9F79E7">
            <w:pPr>
              <w:tabs>
                <w:tab w:val="left" w:pos="1418"/>
              </w:tabs>
              <w:snapToGrid w:val="0"/>
              <w:spacing w:before="50" w:after="50"/>
              <w:rPr>
                <w:rFonts w:hint="eastAsia"/>
                <w:szCs w:val="21"/>
                <w:highlight w:val="none"/>
              </w:rPr>
            </w:pPr>
            <w:r>
              <w:rPr>
                <w:rFonts w:hint="eastAsia"/>
                <w:szCs w:val="21"/>
                <w:highlight w:val="none"/>
              </w:rPr>
              <w:t>（小写）</w:t>
            </w:r>
          </w:p>
        </w:tc>
      </w:tr>
    </w:tbl>
    <w:p w14:paraId="6EAB287B">
      <w:pPr>
        <w:adjustRightInd w:val="0"/>
        <w:snapToGrid w:val="0"/>
        <w:ind w:left="-101" w:leftChars="-42"/>
        <w:rPr>
          <w:rFonts w:hint="eastAsia"/>
          <w:b/>
          <w:szCs w:val="21"/>
          <w:highlight w:val="none"/>
        </w:rPr>
      </w:pPr>
    </w:p>
    <w:p w14:paraId="373CDD30">
      <w:pPr>
        <w:adjustRightInd w:val="0"/>
        <w:snapToGrid w:val="0"/>
        <w:ind w:left="-101" w:leftChars="-42"/>
        <w:rPr>
          <w:rFonts w:hint="eastAsia"/>
          <w:szCs w:val="21"/>
          <w:highlight w:val="none"/>
        </w:rPr>
      </w:pPr>
      <w:r>
        <w:rPr>
          <w:rFonts w:hint="eastAsia"/>
          <w:szCs w:val="21"/>
          <w:highlight w:val="none"/>
        </w:rPr>
        <w:t>注：1、投标人在此表后附其报价详细说明。</w:t>
      </w:r>
    </w:p>
    <w:p w14:paraId="34FE407F">
      <w:pPr>
        <w:adjustRightInd w:val="0"/>
        <w:snapToGrid w:val="0"/>
        <w:ind w:firstLine="360" w:firstLineChars="150"/>
        <w:rPr>
          <w:rFonts w:hint="eastAsia"/>
          <w:highlight w:val="none"/>
        </w:rPr>
      </w:pPr>
      <w:r>
        <w:rPr>
          <w:rFonts w:hint="eastAsia"/>
          <w:highlight w:val="none"/>
        </w:rPr>
        <w:t>2、若因不同的使用方所发货地点的不同，导致货物单价不一致时，投标企业需根据不同的使用方分别列出分项投标报价明细表。</w:t>
      </w:r>
    </w:p>
    <w:p w14:paraId="18FD1B9C">
      <w:pPr>
        <w:adjustRightInd w:val="0"/>
        <w:snapToGrid w:val="0"/>
        <w:ind w:firstLine="360" w:firstLineChars="150"/>
        <w:rPr>
          <w:rFonts w:hint="eastAsia"/>
          <w:highlight w:val="none"/>
        </w:rPr>
      </w:pPr>
      <w:r>
        <w:rPr>
          <w:rFonts w:hint="eastAsia"/>
          <w:highlight w:val="none"/>
        </w:rPr>
        <w:t>3、各报价明细表合计需与报价一览表中投标总价一致，若出现不一致时，以各报价明细表合计为准修正总价。</w:t>
      </w:r>
    </w:p>
    <w:p w14:paraId="4118F07C">
      <w:pPr>
        <w:adjustRightInd w:val="0"/>
        <w:snapToGrid w:val="0"/>
        <w:rPr>
          <w:rFonts w:hint="eastAsia"/>
          <w:highlight w:val="none"/>
        </w:rPr>
      </w:pPr>
    </w:p>
    <w:p w14:paraId="74CEA374">
      <w:pPr>
        <w:adjustRightInd w:val="0"/>
        <w:snapToGrid w:val="0"/>
        <w:rPr>
          <w:rFonts w:hint="eastAsia"/>
          <w:highlight w:val="none"/>
        </w:rPr>
      </w:pPr>
    </w:p>
    <w:p w14:paraId="36619440">
      <w:pPr>
        <w:adjustRightInd w:val="0"/>
        <w:snapToGrid w:val="0"/>
        <w:rPr>
          <w:rFonts w:hint="eastAsia"/>
          <w:highlight w:val="none"/>
        </w:rPr>
      </w:pPr>
    </w:p>
    <w:p w14:paraId="58811F82">
      <w:pPr>
        <w:adjustRightInd w:val="0"/>
        <w:snapToGrid w:val="0"/>
        <w:rPr>
          <w:rFonts w:hint="eastAsia"/>
          <w:szCs w:val="21"/>
          <w:highlight w:val="none"/>
        </w:rPr>
      </w:pPr>
      <w:r>
        <w:rPr>
          <w:rFonts w:hint="eastAsia"/>
          <w:highlight w:val="none"/>
        </w:rPr>
        <w:t>投标人</w:t>
      </w:r>
      <w:r>
        <w:rPr>
          <w:rFonts w:hint="eastAsia"/>
          <w:szCs w:val="21"/>
          <w:highlight w:val="none"/>
        </w:rPr>
        <w:t>（盖单位章）：</w:t>
      </w:r>
    </w:p>
    <w:p w14:paraId="6CA2AA45">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376B166C">
      <w:pPr>
        <w:adjustRightInd w:val="0"/>
        <w:snapToGrid w:val="0"/>
        <w:rPr>
          <w:rFonts w:hint="eastAsia"/>
          <w:b/>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r>
        <w:rPr>
          <w:rFonts w:hint="eastAsia"/>
          <w:b/>
          <w:highlight w:val="none"/>
        </w:rPr>
        <w:t xml:space="preserve"> </w:t>
      </w:r>
    </w:p>
    <w:p w14:paraId="4793DF72">
      <w:pPr>
        <w:adjustRightInd w:val="0"/>
        <w:snapToGrid w:val="0"/>
        <w:rPr>
          <w:rFonts w:hint="eastAsia"/>
          <w:b/>
          <w:sz w:val="30"/>
          <w:szCs w:val="30"/>
          <w:highlight w:val="none"/>
        </w:rPr>
        <w:sectPr>
          <w:pgSz w:w="11906" w:h="16838"/>
          <w:pgMar w:top="1440" w:right="1797" w:bottom="1440" w:left="1797" w:header="851" w:footer="992" w:gutter="0"/>
          <w:cols w:space="720" w:num="1"/>
          <w:docGrid w:linePitch="312" w:charSpace="0"/>
        </w:sectPr>
      </w:pPr>
    </w:p>
    <w:p w14:paraId="3F9D7D13">
      <w:pPr>
        <w:adjustRightInd w:val="0"/>
        <w:snapToGrid w:val="0"/>
        <w:ind w:right="24"/>
        <w:rPr>
          <w:rFonts w:hint="eastAsia"/>
          <w:bCs/>
          <w:sz w:val="28"/>
          <w:szCs w:val="28"/>
          <w:highlight w:val="none"/>
        </w:rPr>
      </w:pPr>
      <w:r>
        <w:rPr>
          <w:rFonts w:hint="eastAsia"/>
          <w:bCs/>
          <w:sz w:val="28"/>
          <w:szCs w:val="28"/>
          <w:highlight w:val="none"/>
        </w:rPr>
        <w:t>附件5</w:t>
      </w:r>
    </w:p>
    <w:p w14:paraId="17D42423">
      <w:pPr>
        <w:rPr>
          <w:rFonts w:hint="eastAsia"/>
          <w:highlight w:val="none"/>
        </w:rPr>
      </w:pPr>
    </w:p>
    <w:p w14:paraId="407B0B36">
      <w:pPr>
        <w:jc w:val="center"/>
        <w:rPr>
          <w:rFonts w:hint="eastAsia"/>
          <w:sz w:val="28"/>
          <w:szCs w:val="28"/>
          <w:highlight w:val="none"/>
        </w:rPr>
      </w:pPr>
      <w:r>
        <w:rPr>
          <w:rFonts w:hint="eastAsia"/>
          <w:sz w:val="28"/>
          <w:szCs w:val="28"/>
          <w:highlight w:val="none"/>
        </w:rPr>
        <w:t>节能、环境标志产品优惠明细表</w:t>
      </w:r>
    </w:p>
    <w:p w14:paraId="4B69EECF">
      <w:pPr>
        <w:spacing w:line="380" w:lineRule="exact"/>
        <w:ind w:firstLine="480"/>
        <w:jc w:val="center"/>
        <w:rPr>
          <w:rFonts w:hint="eastAsia"/>
          <w:sz w:val="28"/>
          <w:szCs w:val="28"/>
          <w:highlight w:val="none"/>
        </w:rPr>
      </w:pPr>
      <w:r>
        <w:rPr>
          <w:rFonts w:hint="eastAsia"/>
          <w:sz w:val="28"/>
          <w:szCs w:val="28"/>
          <w:highlight w:val="none"/>
        </w:rPr>
        <w:t>(</w:t>
      </w:r>
      <w:r>
        <w:rPr>
          <w:rFonts w:hint="eastAsia"/>
          <w:bCs/>
          <w:highlight w:val="none"/>
        </w:rPr>
        <w:t>若有，请如实填写</w:t>
      </w:r>
      <w:r>
        <w:rPr>
          <w:rFonts w:hint="eastAsia"/>
          <w:sz w:val="28"/>
          <w:szCs w:val="28"/>
          <w:highlight w:val="none"/>
        </w:rPr>
        <w:t>)</w:t>
      </w:r>
    </w:p>
    <w:p w14:paraId="39FB4D06">
      <w:pPr>
        <w:rPr>
          <w:rFonts w:hint="eastAsia"/>
          <w:sz w:val="22"/>
          <w:szCs w:val="22"/>
          <w:highlight w:val="none"/>
        </w:rPr>
      </w:pPr>
      <w:r>
        <w:rPr>
          <w:rFonts w:hint="eastAsia"/>
          <w:sz w:val="22"/>
          <w:szCs w:val="22"/>
          <w:highlight w:val="none"/>
        </w:rPr>
        <w:t>（1）节能产品明细清单</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
        <w:gridCol w:w="1365"/>
        <w:gridCol w:w="900"/>
        <w:gridCol w:w="1680"/>
        <w:gridCol w:w="1890"/>
        <w:gridCol w:w="600"/>
        <w:gridCol w:w="519"/>
        <w:gridCol w:w="630"/>
      </w:tblGrid>
      <w:tr w14:paraId="7F40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78C6A024">
            <w:pPr>
              <w:spacing w:line="400" w:lineRule="exact"/>
              <w:jc w:val="center"/>
              <w:rPr>
                <w:rFonts w:hint="eastAsia"/>
                <w:sz w:val="22"/>
                <w:szCs w:val="22"/>
                <w:highlight w:val="none"/>
              </w:rPr>
            </w:pPr>
            <w:r>
              <w:rPr>
                <w:rFonts w:hint="eastAsia"/>
                <w:sz w:val="22"/>
                <w:szCs w:val="22"/>
                <w:highlight w:val="none"/>
              </w:rPr>
              <w:t>制造商</w:t>
            </w:r>
          </w:p>
        </w:tc>
        <w:tc>
          <w:tcPr>
            <w:tcW w:w="435" w:type="dxa"/>
            <w:tcBorders>
              <w:top w:val="single" w:color="auto" w:sz="4" w:space="0"/>
              <w:left w:val="single" w:color="auto" w:sz="4" w:space="0"/>
              <w:bottom w:val="single" w:color="auto" w:sz="4" w:space="0"/>
              <w:right w:val="single" w:color="auto" w:sz="4" w:space="0"/>
            </w:tcBorders>
            <w:vAlign w:val="center"/>
          </w:tcPr>
          <w:p w14:paraId="76FA716C">
            <w:pPr>
              <w:spacing w:line="400" w:lineRule="exact"/>
              <w:jc w:val="center"/>
              <w:rPr>
                <w:rFonts w:hint="eastAsia"/>
                <w:sz w:val="22"/>
                <w:szCs w:val="22"/>
                <w:highlight w:val="none"/>
              </w:rPr>
            </w:pPr>
            <w:r>
              <w:rPr>
                <w:rFonts w:hint="eastAsia"/>
                <w:sz w:val="22"/>
                <w:szCs w:val="22"/>
                <w:highlight w:val="none"/>
              </w:rPr>
              <w:t>品牌</w:t>
            </w:r>
          </w:p>
        </w:tc>
        <w:tc>
          <w:tcPr>
            <w:tcW w:w="1365" w:type="dxa"/>
            <w:tcBorders>
              <w:top w:val="single" w:color="auto" w:sz="4" w:space="0"/>
              <w:left w:val="single" w:color="auto" w:sz="4" w:space="0"/>
              <w:bottom w:val="single" w:color="auto" w:sz="4" w:space="0"/>
              <w:right w:val="single" w:color="auto" w:sz="4" w:space="0"/>
            </w:tcBorders>
            <w:vAlign w:val="center"/>
          </w:tcPr>
          <w:p w14:paraId="00DE2F41">
            <w:pPr>
              <w:spacing w:line="400" w:lineRule="exact"/>
              <w:jc w:val="center"/>
              <w:rPr>
                <w:rFonts w:hint="eastAsia"/>
                <w:sz w:val="22"/>
                <w:szCs w:val="22"/>
                <w:highlight w:val="none"/>
              </w:rPr>
            </w:pPr>
            <w:r>
              <w:rPr>
                <w:rFonts w:hint="eastAsia"/>
                <w:sz w:val="22"/>
                <w:szCs w:val="22"/>
                <w:highlight w:val="none"/>
              </w:rPr>
              <w:t>产品名称、规格型号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66C77D32">
            <w:pPr>
              <w:spacing w:line="400" w:lineRule="exact"/>
              <w:jc w:val="center"/>
              <w:rPr>
                <w:rFonts w:hint="eastAsia"/>
                <w:sz w:val="22"/>
                <w:szCs w:val="22"/>
                <w:highlight w:val="none"/>
              </w:rPr>
            </w:pPr>
            <w:r>
              <w:rPr>
                <w:rFonts w:hint="eastAsia"/>
                <w:sz w:val="22"/>
                <w:szCs w:val="22"/>
                <w:highlight w:val="none"/>
              </w:rPr>
              <w:t>节字标志认证证书号</w:t>
            </w:r>
          </w:p>
        </w:tc>
        <w:tc>
          <w:tcPr>
            <w:tcW w:w="1680" w:type="dxa"/>
            <w:tcBorders>
              <w:top w:val="single" w:color="auto" w:sz="4" w:space="0"/>
              <w:left w:val="single" w:color="auto" w:sz="4" w:space="0"/>
              <w:bottom w:val="single" w:color="auto" w:sz="4" w:space="0"/>
              <w:right w:val="single" w:color="auto" w:sz="4" w:space="0"/>
            </w:tcBorders>
            <w:vAlign w:val="center"/>
          </w:tcPr>
          <w:p w14:paraId="0E1AC3EE">
            <w:pPr>
              <w:spacing w:line="400" w:lineRule="exact"/>
              <w:jc w:val="center"/>
              <w:rPr>
                <w:rFonts w:hint="eastAsia"/>
                <w:sz w:val="22"/>
                <w:szCs w:val="22"/>
                <w:highlight w:val="none"/>
              </w:rPr>
            </w:pPr>
            <w:r>
              <w:rPr>
                <w:rFonts w:hint="eastAsia"/>
                <w:sz w:val="22"/>
                <w:szCs w:val="22"/>
                <w:highlight w:val="none"/>
              </w:rPr>
              <w:t>节能产品认证证书有效截止日期</w:t>
            </w:r>
          </w:p>
        </w:tc>
        <w:tc>
          <w:tcPr>
            <w:tcW w:w="1890" w:type="dxa"/>
            <w:tcBorders>
              <w:top w:val="single" w:color="auto" w:sz="4" w:space="0"/>
              <w:left w:val="single" w:color="auto" w:sz="4" w:space="0"/>
              <w:bottom w:val="single" w:color="auto" w:sz="4" w:space="0"/>
              <w:right w:val="single" w:color="auto" w:sz="4" w:space="0"/>
            </w:tcBorders>
            <w:vAlign w:val="center"/>
          </w:tcPr>
          <w:p w14:paraId="33DB3B75">
            <w:pPr>
              <w:spacing w:line="400" w:lineRule="exact"/>
              <w:jc w:val="center"/>
              <w:rPr>
                <w:rFonts w:hint="eastAsia"/>
                <w:sz w:val="22"/>
                <w:szCs w:val="22"/>
                <w:highlight w:val="none"/>
              </w:rPr>
            </w:pPr>
            <w:r>
              <w:rPr>
                <w:rFonts w:hint="eastAsia"/>
                <w:sz w:val="22"/>
                <w:szCs w:val="22"/>
                <w:highlight w:val="none"/>
              </w:rPr>
              <w:t>产品所在节能产品政府采购清单页码</w:t>
            </w:r>
          </w:p>
        </w:tc>
        <w:tc>
          <w:tcPr>
            <w:tcW w:w="600" w:type="dxa"/>
            <w:tcBorders>
              <w:top w:val="single" w:color="auto" w:sz="4" w:space="0"/>
              <w:left w:val="single" w:color="auto" w:sz="4" w:space="0"/>
              <w:bottom w:val="single" w:color="auto" w:sz="4" w:space="0"/>
              <w:right w:val="single" w:color="auto" w:sz="4" w:space="0"/>
            </w:tcBorders>
            <w:vAlign w:val="center"/>
          </w:tcPr>
          <w:p w14:paraId="7C84C19B">
            <w:pPr>
              <w:spacing w:line="400" w:lineRule="exact"/>
              <w:jc w:val="center"/>
              <w:rPr>
                <w:rFonts w:hint="eastAsia"/>
                <w:sz w:val="22"/>
                <w:szCs w:val="22"/>
                <w:highlight w:val="none"/>
              </w:rPr>
            </w:pPr>
            <w:r>
              <w:rPr>
                <w:rFonts w:hint="eastAsia"/>
                <w:sz w:val="22"/>
                <w:szCs w:val="22"/>
                <w:highlight w:val="none"/>
              </w:rPr>
              <w:t>单位</w:t>
            </w:r>
          </w:p>
        </w:tc>
        <w:tc>
          <w:tcPr>
            <w:tcW w:w="519" w:type="dxa"/>
            <w:tcBorders>
              <w:top w:val="single" w:color="auto" w:sz="4" w:space="0"/>
              <w:left w:val="single" w:color="auto" w:sz="4" w:space="0"/>
              <w:bottom w:val="single" w:color="auto" w:sz="4" w:space="0"/>
              <w:right w:val="single" w:color="auto" w:sz="4" w:space="0"/>
            </w:tcBorders>
            <w:vAlign w:val="center"/>
          </w:tcPr>
          <w:p w14:paraId="0C0449CD">
            <w:pPr>
              <w:spacing w:line="400" w:lineRule="exact"/>
              <w:jc w:val="center"/>
              <w:rPr>
                <w:rFonts w:hint="eastAsia"/>
                <w:sz w:val="22"/>
                <w:szCs w:val="22"/>
                <w:highlight w:val="none"/>
              </w:rPr>
            </w:pPr>
            <w:r>
              <w:rPr>
                <w:rFonts w:hint="eastAsia"/>
                <w:sz w:val="22"/>
                <w:szCs w:val="22"/>
                <w:highlight w:val="none"/>
              </w:rPr>
              <w:t>数量</w:t>
            </w:r>
          </w:p>
        </w:tc>
        <w:tc>
          <w:tcPr>
            <w:tcW w:w="630" w:type="dxa"/>
            <w:tcBorders>
              <w:top w:val="single" w:color="auto" w:sz="4" w:space="0"/>
              <w:left w:val="single" w:color="auto" w:sz="4" w:space="0"/>
              <w:bottom w:val="single" w:color="auto" w:sz="4" w:space="0"/>
              <w:right w:val="single" w:color="auto" w:sz="4" w:space="0"/>
            </w:tcBorders>
            <w:vAlign w:val="center"/>
          </w:tcPr>
          <w:p w14:paraId="1B9005EE">
            <w:pPr>
              <w:spacing w:line="400" w:lineRule="exact"/>
              <w:jc w:val="center"/>
              <w:rPr>
                <w:rFonts w:hint="eastAsia"/>
                <w:sz w:val="22"/>
                <w:szCs w:val="22"/>
                <w:highlight w:val="none"/>
              </w:rPr>
            </w:pPr>
            <w:r>
              <w:rPr>
                <w:rFonts w:hint="eastAsia"/>
                <w:sz w:val="22"/>
                <w:szCs w:val="22"/>
                <w:highlight w:val="none"/>
              </w:rPr>
              <w:t>单价</w:t>
            </w:r>
          </w:p>
        </w:tc>
      </w:tr>
      <w:tr w14:paraId="30C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00CF40D">
            <w:pPr>
              <w:spacing w:line="400" w:lineRule="exact"/>
              <w:jc w:val="center"/>
              <w:rPr>
                <w:rFonts w:hint="eastAsia"/>
                <w:sz w:val="22"/>
                <w:szCs w:val="22"/>
                <w:highlight w:val="none"/>
              </w:rPr>
            </w:pPr>
          </w:p>
        </w:tc>
        <w:tc>
          <w:tcPr>
            <w:tcW w:w="435" w:type="dxa"/>
            <w:tcBorders>
              <w:top w:val="single" w:color="auto" w:sz="4" w:space="0"/>
              <w:left w:val="single" w:color="auto" w:sz="4" w:space="0"/>
              <w:bottom w:val="single" w:color="auto" w:sz="4" w:space="0"/>
              <w:right w:val="single" w:color="auto" w:sz="4" w:space="0"/>
            </w:tcBorders>
            <w:vAlign w:val="center"/>
          </w:tcPr>
          <w:p w14:paraId="6BFB8132">
            <w:pPr>
              <w:spacing w:line="400" w:lineRule="exact"/>
              <w:jc w:val="center"/>
              <w:rPr>
                <w:rFonts w:hint="eastAsia"/>
                <w:sz w:val="22"/>
                <w:szCs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A983947">
            <w:pPr>
              <w:spacing w:line="400" w:lineRule="exact"/>
              <w:jc w:val="center"/>
              <w:rPr>
                <w:rFonts w:hint="eastAsia"/>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CDA11AA">
            <w:pPr>
              <w:spacing w:line="400" w:lineRule="exact"/>
              <w:jc w:val="center"/>
              <w:rPr>
                <w:rFonts w:hint="eastAsia"/>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44E47B6D">
            <w:pPr>
              <w:spacing w:line="400" w:lineRule="exact"/>
              <w:jc w:val="center"/>
              <w:rPr>
                <w:rFonts w:hint="eastAsia"/>
                <w:sz w:val="22"/>
                <w:szCs w:val="22"/>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0C5FE82E">
            <w:pPr>
              <w:spacing w:line="400" w:lineRule="exact"/>
              <w:jc w:val="center"/>
              <w:rPr>
                <w:rFonts w:hint="eastAsia"/>
                <w:sz w:val="22"/>
                <w:szCs w:val="22"/>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565AEF8C">
            <w:pPr>
              <w:spacing w:line="400" w:lineRule="exact"/>
              <w:jc w:val="center"/>
              <w:rPr>
                <w:rFonts w:hint="eastAsia"/>
                <w:sz w:val="22"/>
                <w:szCs w:val="22"/>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79A4A898">
            <w:pPr>
              <w:spacing w:line="400" w:lineRule="exact"/>
              <w:jc w:val="center"/>
              <w:rPr>
                <w:rFonts w:hint="eastAsia"/>
                <w:sz w:val="22"/>
                <w:szCs w:val="22"/>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3CE4CE26">
            <w:pPr>
              <w:spacing w:line="400" w:lineRule="exact"/>
              <w:jc w:val="center"/>
              <w:rPr>
                <w:rFonts w:hint="eastAsia"/>
                <w:sz w:val="22"/>
                <w:szCs w:val="22"/>
                <w:highlight w:val="none"/>
              </w:rPr>
            </w:pPr>
          </w:p>
        </w:tc>
      </w:tr>
      <w:tr w14:paraId="4994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D8ADC46">
            <w:pPr>
              <w:spacing w:line="400" w:lineRule="exact"/>
              <w:jc w:val="center"/>
              <w:rPr>
                <w:rFonts w:hint="eastAsia"/>
                <w:sz w:val="22"/>
                <w:szCs w:val="22"/>
                <w:highlight w:val="none"/>
              </w:rPr>
            </w:pPr>
          </w:p>
        </w:tc>
        <w:tc>
          <w:tcPr>
            <w:tcW w:w="435" w:type="dxa"/>
            <w:tcBorders>
              <w:top w:val="single" w:color="auto" w:sz="4" w:space="0"/>
              <w:left w:val="single" w:color="auto" w:sz="4" w:space="0"/>
              <w:bottom w:val="single" w:color="auto" w:sz="4" w:space="0"/>
              <w:right w:val="single" w:color="auto" w:sz="4" w:space="0"/>
            </w:tcBorders>
            <w:vAlign w:val="center"/>
          </w:tcPr>
          <w:p w14:paraId="7331290A">
            <w:pPr>
              <w:spacing w:line="400" w:lineRule="exact"/>
              <w:jc w:val="center"/>
              <w:rPr>
                <w:rFonts w:hint="eastAsia"/>
                <w:sz w:val="22"/>
                <w:szCs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0006D01">
            <w:pPr>
              <w:spacing w:line="400" w:lineRule="exact"/>
              <w:jc w:val="center"/>
              <w:rPr>
                <w:rFonts w:hint="eastAsia"/>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B628951">
            <w:pPr>
              <w:spacing w:line="400" w:lineRule="exact"/>
              <w:jc w:val="center"/>
              <w:rPr>
                <w:rFonts w:hint="eastAsia"/>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3E3ACCFB">
            <w:pPr>
              <w:spacing w:line="400" w:lineRule="exact"/>
              <w:jc w:val="center"/>
              <w:rPr>
                <w:rFonts w:hint="eastAsia"/>
                <w:sz w:val="22"/>
                <w:szCs w:val="22"/>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70D68A07">
            <w:pPr>
              <w:spacing w:line="400" w:lineRule="exact"/>
              <w:jc w:val="center"/>
              <w:rPr>
                <w:rFonts w:hint="eastAsia"/>
                <w:sz w:val="22"/>
                <w:szCs w:val="22"/>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717A2E5E">
            <w:pPr>
              <w:spacing w:line="400" w:lineRule="exact"/>
              <w:jc w:val="center"/>
              <w:rPr>
                <w:rFonts w:hint="eastAsia"/>
                <w:sz w:val="22"/>
                <w:szCs w:val="22"/>
                <w:highlight w:val="none"/>
              </w:rPr>
            </w:pPr>
          </w:p>
        </w:tc>
        <w:tc>
          <w:tcPr>
            <w:tcW w:w="519" w:type="dxa"/>
            <w:tcBorders>
              <w:top w:val="single" w:color="auto" w:sz="4" w:space="0"/>
              <w:left w:val="single" w:color="auto" w:sz="4" w:space="0"/>
              <w:bottom w:val="single" w:color="auto" w:sz="4" w:space="0"/>
              <w:right w:val="single" w:color="auto" w:sz="4" w:space="0"/>
            </w:tcBorders>
            <w:vAlign w:val="center"/>
          </w:tcPr>
          <w:p w14:paraId="7751C7DA">
            <w:pPr>
              <w:spacing w:line="400" w:lineRule="exact"/>
              <w:jc w:val="center"/>
              <w:rPr>
                <w:rFonts w:hint="eastAsia"/>
                <w:sz w:val="22"/>
                <w:szCs w:val="22"/>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176CF234">
            <w:pPr>
              <w:spacing w:line="400" w:lineRule="exact"/>
              <w:jc w:val="center"/>
              <w:rPr>
                <w:rFonts w:hint="eastAsia"/>
                <w:sz w:val="22"/>
                <w:szCs w:val="22"/>
                <w:highlight w:val="none"/>
              </w:rPr>
            </w:pPr>
          </w:p>
        </w:tc>
      </w:tr>
      <w:tr w14:paraId="374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0" w:type="dxa"/>
            <w:gridSpan w:val="5"/>
            <w:tcBorders>
              <w:top w:val="single" w:color="auto" w:sz="4" w:space="0"/>
              <w:left w:val="single" w:color="auto" w:sz="4" w:space="0"/>
              <w:bottom w:val="single" w:color="auto" w:sz="4" w:space="0"/>
              <w:right w:val="single" w:color="auto" w:sz="4" w:space="0"/>
            </w:tcBorders>
            <w:vAlign w:val="center"/>
          </w:tcPr>
          <w:p w14:paraId="610106F4">
            <w:pPr>
              <w:spacing w:line="400" w:lineRule="exact"/>
              <w:rPr>
                <w:rFonts w:hint="eastAsia"/>
                <w:sz w:val="22"/>
                <w:szCs w:val="22"/>
                <w:highlight w:val="none"/>
              </w:rPr>
            </w:pPr>
            <w:r>
              <w:rPr>
                <w:rFonts w:hint="eastAsia"/>
                <w:sz w:val="22"/>
                <w:szCs w:val="22"/>
                <w:highlight w:val="none"/>
              </w:rPr>
              <w:t>合计金额</w:t>
            </w:r>
          </w:p>
        </w:tc>
        <w:tc>
          <w:tcPr>
            <w:tcW w:w="3639" w:type="dxa"/>
            <w:gridSpan w:val="4"/>
            <w:tcBorders>
              <w:top w:val="single" w:color="auto" w:sz="4" w:space="0"/>
              <w:left w:val="single" w:color="auto" w:sz="4" w:space="0"/>
              <w:bottom w:val="single" w:color="auto" w:sz="4" w:space="0"/>
              <w:right w:val="single" w:color="auto" w:sz="4" w:space="0"/>
            </w:tcBorders>
            <w:vAlign w:val="center"/>
          </w:tcPr>
          <w:p w14:paraId="7F749A20">
            <w:pPr>
              <w:spacing w:line="400" w:lineRule="exact"/>
              <w:rPr>
                <w:rFonts w:hint="eastAsia"/>
                <w:sz w:val="22"/>
                <w:szCs w:val="22"/>
                <w:highlight w:val="none"/>
              </w:rPr>
            </w:pPr>
          </w:p>
        </w:tc>
      </w:tr>
    </w:tbl>
    <w:p w14:paraId="21C52E0B">
      <w:pPr>
        <w:rPr>
          <w:rFonts w:hint="eastAsia"/>
          <w:sz w:val="22"/>
          <w:szCs w:val="22"/>
          <w:highlight w:val="none"/>
        </w:rPr>
      </w:pPr>
    </w:p>
    <w:p w14:paraId="24843277">
      <w:pPr>
        <w:rPr>
          <w:rFonts w:hint="eastAsia"/>
          <w:sz w:val="22"/>
          <w:szCs w:val="22"/>
          <w:highlight w:val="none"/>
        </w:rPr>
      </w:pPr>
      <w:r>
        <w:rPr>
          <w:rFonts w:hint="eastAsia"/>
          <w:sz w:val="22"/>
          <w:szCs w:val="22"/>
          <w:highlight w:val="none"/>
        </w:rPr>
        <w:t>（2）环保产品明细清单</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260"/>
        <w:gridCol w:w="1440"/>
        <w:gridCol w:w="1590"/>
        <w:gridCol w:w="510"/>
        <w:gridCol w:w="570"/>
        <w:gridCol w:w="750"/>
      </w:tblGrid>
      <w:tr w14:paraId="6300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7E90CA3B">
            <w:pPr>
              <w:spacing w:line="400" w:lineRule="exact"/>
              <w:jc w:val="center"/>
              <w:rPr>
                <w:rFonts w:hint="eastAsia"/>
                <w:sz w:val="22"/>
                <w:szCs w:val="22"/>
                <w:highlight w:val="none"/>
              </w:rPr>
            </w:pPr>
            <w:r>
              <w:rPr>
                <w:rFonts w:hint="eastAsia"/>
                <w:sz w:val="22"/>
                <w:szCs w:val="22"/>
                <w:highlight w:val="none"/>
              </w:rPr>
              <w:t>制造商</w:t>
            </w:r>
          </w:p>
        </w:tc>
        <w:tc>
          <w:tcPr>
            <w:tcW w:w="720" w:type="dxa"/>
            <w:tcBorders>
              <w:top w:val="single" w:color="auto" w:sz="4" w:space="0"/>
              <w:left w:val="single" w:color="auto" w:sz="4" w:space="0"/>
              <w:bottom w:val="single" w:color="auto" w:sz="4" w:space="0"/>
              <w:right w:val="single" w:color="auto" w:sz="4" w:space="0"/>
            </w:tcBorders>
            <w:vAlign w:val="center"/>
          </w:tcPr>
          <w:p w14:paraId="13AB32D2">
            <w:pPr>
              <w:spacing w:line="400" w:lineRule="exact"/>
              <w:jc w:val="center"/>
              <w:rPr>
                <w:rFonts w:hint="eastAsia"/>
                <w:sz w:val="22"/>
                <w:szCs w:val="22"/>
                <w:highlight w:val="none"/>
              </w:rPr>
            </w:pPr>
            <w:r>
              <w:rPr>
                <w:rFonts w:hint="eastAsia"/>
                <w:sz w:val="22"/>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29C95FA8">
            <w:pPr>
              <w:spacing w:line="400" w:lineRule="exact"/>
              <w:jc w:val="center"/>
              <w:rPr>
                <w:rFonts w:hint="eastAsia"/>
                <w:sz w:val="22"/>
                <w:szCs w:val="22"/>
                <w:highlight w:val="none"/>
              </w:rPr>
            </w:pPr>
            <w:r>
              <w:rPr>
                <w:rFonts w:hint="eastAsia"/>
                <w:sz w:val="22"/>
                <w:szCs w:val="22"/>
                <w:highlight w:val="none"/>
              </w:rPr>
              <w:t>产品名称、规格型号</w:t>
            </w:r>
          </w:p>
        </w:tc>
        <w:tc>
          <w:tcPr>
            <w:tcW w:w="1260" w:type="dxa"/>
            <w:tcBorders>
              <w:top w:val="single" w:color="auto" w:sz="4" w:space="0"/>
              <w:left w:val="single" w:color="auto" w:sz="4" w:space="0"/>
              <w:bottom w:val="single" w:color="auto" w:sz="4" w:space="0"/>
              <w:right w:val="single" w:color="auto" w:sz="4" w:space="0"/>
            </w:tcBorders>
            <w:vAlign w:val="center"/>
          </w:tcPr>
          <w:p w14:paraId="2D6780CE">
            <w:pPr>
              <w:spacing w:line="400" w:lineRule="exact"/>
              <w:jc w:val="center"/>
              <w:rPr>
                <w:rFonts w:hint="eastAsia"/>
                <w:sz w:val="22"/>
                <w:szCs w:val="22"/>
                <w:highlight w:val="none"/>
              </w:rPr>
            </w:pPr>
            <w:r>
              <w:rPr>
                <w:rFonts w:hint="eastAsia"/>
                <w:sz w:val="22"/>
                <w:szCs w:val="22"/>
                <w:highlight w:val="none"/>
              </w:rPr>
              <w:t>中国环境标志认证证书编号</w:t>
            </w:r>
          </w:p>
        </w:tc>
        <w:tc>
          <w:tcPr>
            <w:tcW w:w="1440" w:type="dxa"/>
            <w:tcBorders>
              <w:top w:val="single" w:color="auto" w:sz="4" w:space="0"/>
              <w:left w:val="single" w:color="auto" w:sz="4" w:space="0"/>
              <w:bottom w:val="single" w:color="auto" w:sz="4" w:space="0"/>
              <w:right w:val="single" w:color="auto" w:sz="4" w:space="0"/>
            </w:tcBorders>
            <w:vAlign w:val="center"/>
          </w:tcPr>
          <w:p w14:paraId="76C53154">
            <w:pPr>
              <w:spacing w:line="400" w:lineRule="exact"/>
              <w:jc w:val="center"/>
              <w:rPr>
                <w:rFonts w:hint="eastAsia"/>
                <w:sz w:val="22"/>
                <w:szCs w:val="22"/>
                <w:highlight w:val="none"/>
              </w:rPr>
            </w:pPr>
            <w:r>
              <w:rPr>
                <w:rFonts w:hint="eastAsia"/>
                <w:sz w:val="22"/>
                <w:szCs w:val="22"/>
                <w:highlight w:val="none"/>
              </w:rPr>
              <w:t>认证证书有效截止日期</w:t>
            </w:r>
          </w:p>
        </w:tc>
        <w:tc>
          <w:tcPr>
            <w:tcW w:w="1590" w:type="dxa"/>
            <w:tcBorders>
              <w:top w:val="single" w:color="auto" w:sz="4" w:space="0"/>
              <w:left w:val="single" w:color="auto" w:sz="4" w:space="0"/>
              <w:bottom w:val="single" w:color="auto" w:sz="4" w:space="0"/>
              <w:right w:val="single" w:color="auto" w:sz="4" w:space="0"/>
            </w:tcBorders>
            <w:vAlign w:val="center"/>
          </w:tcPr>
          <w:p w14:paraId="06026333">
            <w:pPr>
              <w:spacing w:line="400" w:lineRule="exact"/>
              <w:jc w:val="center"/>
              <w:rPr>
                <w:rFonts w:hint="eastAsia"/>
                <w:sz w:val="22"/>
                <w:szCs w:val="22"/>
                <w:highlight w:val="none"/>
              </w:rPr>
            </w:pPr>
            <w:r>
              <w:rPr>
                <w:rFonts w:hint="eastAsia"/>
                <w:sz w:val="22"/>
                <w:szCs w:val="22"/>
                <w:highlight w:val="none"/>
              </w:rPr>
              <w:t>产品所在环境标志产品政府采购清单页码</w:t>
            </w:r>
          </w:p>
        </w:tc>
        <w:tc>
          <w:tcPr>
            <w:tcW w:w="510" w:type="dxa"/>
            <w:tcBorders>
              <w:top w:val="single" w:color="auto" w:sz="4" w:space="0"/>
              <w:left w:val="single" w:color="auto" w:sz="4" w:space="0"/>
              <w:bottom w:val="single" w:color="auto" w:sz="4" w:space="0"/>
              <w:right w:val="single" w:color="auto" w:sz="4" w:space="0"/>
            </w:tcBorders>
            <w:vAlign w:val="center"/>
          </w:tcPr>
          <w:p w14:paraId="24A43C6C">
            <w:pPr>
              <w:spacing w:line="400" w:lineRule="exact"/>
              <w:jc w:val="center"/>
              <w:rPr>
                <w:rFonts w:hint="eastAsia"/>
                <w:sz w:val="22"/>
                <w:szCs w:val="22"/>
                <w:highlight w:val="none"/>
              </w:rPr>
            </w:pPr>
            <w:r>
              <w:rPr>
                <w:rFonts w:hint="eastAsia"/>
                <w:sz w:val="22"/>
                <w:szCs w:val="22"/>
                <w:highlight w:val="none"/>
              </w:rPr>
              <w:t>单位</w:t>
            </w:r>
          </w:p>
        </w:tc>
        <w:tc>
          <w:tcPr>
            <w:tcW w:w="570" w:type="dxa"/>
            <w:tcBorders>
              <w:top w:val="single" w:color="auto" w:sz="4" w:space="0"/>
              <w:left w:val="single" w:color="auto" w:sz="4" w:space="0"/>
              <w:bottom w:val="single" w:color="auto" w:sz="4" w:space="0"/>
              <w:right w:val="single" w:color="auto" w:sz="4" w:space="0"/>
            </w:tcBorders>
            <w:vAlign w:val="center"/>
          </w:tcPr>
          <w:p w14:paraId="4BAECB1C">
            <w:pPr>
              <w:spacing w:line="400" w:lineRule="exact"/>
              <w:jc w:val="center"/>
              <w:rPr>
                <w:rFonts w:hint="eastAsia"/>
                <w:sz w:val="22"/>
                <w:szCs w:val="22"/>
                <w:highlight w:val="none"/>
              </w:rPr>
            </w:pPr>
            <w:r>
              <w:rPr>
                <w:rFonts w:hint="eastAsia"/>
                <w:sz w:val="22"/>
                <w:szCs w:val="22"/>
                <w:highlight w:val="none"/>
              </w:rPr>
              <w:t>数量</w:t>
            </w:r>
          </w:p>
        </w:tc>
        <w:tc>
          <w:tcPr>
            <w:tcW w:w="750" w:type="dxa"/>
            <w:tcBorders>
              <w:top w:val="single" w:color="auto" w:sz="4" w:space="0"/>
              <w:left w:val="single" w:color="auto" w:sz="4" w:space="0"/>
              <w:bottom w:val="single" w:color="auto" w:sz="4" w:space="0"/>
              <w:right w:val="single" w:color="auto" w:sz="4" w:space="0"/>
            </w:tcBorders>
            <w:vAlign w:val="center"/>
          </w:tcPr>
          <w:p w14:paraId="0BB2BCC7">
            <w:pPr>
              <w:spacing w:line="400" w:lineRule="exact"/>
              <w:jc w:val="center"/>
              <w:rPr>
                <w:rFonts w:hint="eastAsia"/>
                <w:sz w:val="22"/>
                <w:szCs w:val="22"/>
                <w:highlight w:val="none"/>
              </w:rPr>
            </w:pPr>
            <w:r>
              <w:rPr>
                <w:rFonts w:hint="eastAsia"/>
                <w:sz w:val="22"/>
                <w:szCs w:val="22"/>
                <w:highlight w:val="none"/>
              </w:rPr>
              <w:t>单价</w:t>
            </w:r>
          </w:p>
        </w:tc>
      </w:tr>
      <w:tr w14:paraId="2ADB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3119201">
            <w:pPr>
              <w:spacing w:line="400" w:lineRule="exact"/>
              <w:jc w:val="center"/>
              <w:rPr>
                <w:rFonts w:hint="eastAsia"/>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41B0422">
            <w:pPr>
              <w:spacing w:line="400" w:lineRule="exact"/>
              <w:jc w:val="center"/>
              <w:rPr>
                <w:rFonts w:hint="eastAsia"/>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7A6909">
            <w:pPr>
              <w:spacing w:line="400" w:lineRule="exact"/>
              <w:jc w:val="center"/>
              <w:rPr>
                <w:rFonts w:hint="eastAsia"/>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1C7290">
            <w:pPr>
              <w:spacing w:line="400" w:lineRule="exact"/>
              <w:jc w:val="center"/>
              <w:rPr>
                <w:rFonts w:hint="eastAsia"/>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863AE32">
            <w:pPr>
              <w:spacing w:line="400" w:lineRule="exact"/>
              <w:jc w:val="center"/>
              <w:rPr>
                <w:rFonts w:hint="eastAsia"/>
                <w:sz w:val="22"/>
                <w:szCs w:val="22"/>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31E6A44">
            <w:pPr>
              <w:spacing w:line="400" w:lineRule="exact"/>
              <w:jc w:val="center"/>
              <w:rPr>
                <w:rFonts w:hint="eastAsia"/>
                <w:sz w:val="22"/>
                <w:szCs w:val="22"/>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00DF82BB">
            <w:pPr>
              <w:spacing w:line="400" w:lineRule="exact"/>
              <w:jc w:val="center"/>
              <w:rPr>
                <w:rFonts w:hint="eastAsia"/>
                <w:sz w:val="22"/>
                <w:szCs w:val="22"/>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9A6F31D">
            <w:pPr>
              <w:spacing w:line="400" w:lineRule="exact"/>
              <w:jc w:val="center"/>
              <w:rPr>
                <w:rFonts w:hint="eastAsia"/>
                <w:sz w:val="22"/>
                <w:szCs w:val="2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4C95556">
            <w:pPr>
              <w:spacing w:line="400" w:lineRule="exact"/>
              <w:jc w:val="center"/>
              <w:rPr>
                <w:rFonts w:hint="eastAsia"/>
                <w:sz w:val="22"/>
                <w:szCs w:val="22"/>
                <w:highlight w:val="none"/>
              </w:rPr>
            </w:pPr>
          </w:p>
        </w:tc>
      </w:tr>
      <w:tr w14:paraId="79C7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4ACFFFD">
            <w:pPr>
              <w:spacing w:line="400" w:lineRule="exact"/>
              <w:jc w:val="center"/>
              <w:rPr>
                <w:rFonts w:hint="eastAsia"/>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BE56729">
            <w:pPr>
              <w:spacing w:line="400" w:lineRule="exact"/>
              <w:jc w:val="center"/>
              <w:rPr>
                <w:rFonts w:hint="eastAsia"/>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B374BF">
            <w:pPr>
              <w:spacing w:line="400" w:lineRule="exact"/>
              <w:jc w:val="center"/>
              <w:rPr>
                <w:rFonts w:hint="eastAsia"/>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92AFF6">
            <w:pPr>
              <w:spacing w:line="400" w:lineRule="exact"/>
              <w:jc w:val="center"/>
              <w:rPr>
                <w:rFonts w:hint="eastAsia"/>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3752B68">
            <w:pPr>
              <w:spacing w:line="400" w:lineRule="exact"/>
              <w:jc w:val="center"/>
              <w:rPr>
                <w:rFonts w:hint="eastAsia"/>
                <w:sz w:val="22"/>
                <w:szCs w:val="22"/>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10F3A14">
            <w:pPr>
              <w:spacing w:line="400" w:lineRule="exact"/>
              <w:jc w:val="center"/>
              <w:rPr>
                <w:rFonts w:hint="eastAsia"/>
                <w:sz w:val="22"/>
                <w:szCs w:val="22"/>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7033FC09">
            <w:pPr>
              <w:spacing w:line="400" w:lineRule="exact"/>
              <w:jc w:val="center"/>
              <w:rPr>
                <w:rFonts w:hint="eastAsia"/>
                <w:sz w:val="22"/>
                <w:szCs w:val="22"/>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14:paraId="1558DF55">
            <w:pPr>
              <w:spacing w:line="400" w:lineRule="exact"/>
              <w:jc w:val="center"/>
              <w:rPr>
                <w:rFonts w:hint="eastAsia"/>
                <w:sz w:val="22"/>
                <w:szCs w:val="2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D7C6F50">
            <w:pPr>
              <w:spacing w:line="400" w:lineRule="exact"/>
              <w:jc w:val="center"/>
              <w:rPr>
                <w:rFonts w:hint="eastAsia"/>
                <w:sz w:val="22"/>
                <w:szCs w:val="22"/>
                <w:highlight w:val="none"/>
              </w:rPr>
            </w:pPr>
          </w:p>
        </w:tc>
      </w:tr>
      <w:tr w14:paraId="704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0" w:type="dxa"/>
            <w:gridSpan w:val="5"/>
            <w:tcBorders>
              <w:top w:val="single" w:color="auto" w:sz="4" w:space="0"/>
              <w:left w:val="single" w:color="auto" w:sz="4" w:space="0"/>
              <w:bottom w:val="single" w:color="auto" w:sz="4" w:space="0"/>
              <w:right w:val="single" w:color="auto" w:sz="4" w:space="0"/>
            </w:tcBorders>
            <w:vAlign w:val="center"/>
          </w:tcPr>
          <w:p w14:paraId="62BFF83A">
            <w:pPr>
              <w:spacing w:line="400" w:lineRule="exact"/>
              <w:rPr>
                <w:rFonts w:hint="eastAsia"/>
                <w:sz w:val="22"/>
                <w:szCs w:val="22"/>
                <w:highlight w:val="none"/>
              </w:rPr>
            </w:pPr>
            <w:r>
              <w:rPr>
                <w:rFonts w:hint="eastAsia"/>
                <w:sz w:val="22"/>
                <w:szCs w:val="22"/>
                <w:highlight w:val="none"/>
              </w:rPr>
              <w:t>合计金额</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9A2A980">
            <w:pPr>
              <w:spacing w:line="400" w:lineRule="exact"/>
              <w:rPr>
                <w:rFonts w:hint="eastAsia"/>
                <w:sz w:val="22"/>
                <w:szCs w:val="22"/>
                <w:highlight w:val="none"/>
              </w:rPr>
            </w:pPr>
          </w:p>
        </w:tc>
      </w:tr>
    </w:tbl>
    <w:p w14:paraId="69D7E157">
      <w:pPr>
        <w:tabs>
          <w:tab w:val="left" w:pos="13000"/>
        </w:tabs>
        <w:spacing w:line="380" w:lineRule="exact"/>
        <w:rPr>
          <w:rFonts w:hint="eastAsia"/>
          <w:szCs w:val="21"/>
          <w:highlight w:val="none"/>
        </w:rPr>
      </w:pPr>
      <w:r>
        <w:rPr>
          <w:rFonts w:hint="eastAsia"/>
          <w:szCs w:val="21"/>
          <w:highlight w:val="none"/>
        </w:rPr>
        <w:t>注：</w:t>
      </w:r>
    </w:p>
    <w:p w14:paraId="19ECC3D0">
      <w:pPr>
        <w:spacing w:line="400" w:lineRule="exact"/>
        <w:ind w:right="-175" w:rightChars="-73"/>
        <w:rPr>
          <w:rFonts w:hint="eastAsia"/>
          <w:szCs w:val="21"/>
          <w:highlight w:val="none"/>
        </w:rPr>
      </w:pPr>
      <w:r>
        <w:rPr>
          <w:rFonts w:hint="eastAsia"/>
          <w:szCs w:val="21"/>
          <w:highlight w:val="none"/>
        </w:rPr>
        <w:t>1、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2B20CA0C">
      <w:pPr>
        <w:spacing w:line="400" w:lineRule="exact"/>
        <w:rPr>
          <w:rFonts w:hint="eastAsia"/>
          <w:szCs w:val="21"/>
          <w:highlight w:val="none"/>
        </w:rPr>
      </w:pPr>
      <w:r>
        <w:rPr>
          <w:rFonts w:hint="eastAsia"/>
          <w:szCs w:val="21"/>
          <w:highlight w:val="none"/>
        </w:rPr>
        <w:t>2、若无货物属于优先采购节能、环境标志产品的，则不填写此表。如不填写视同为无。</w:t>
      </w:r>
    </w:p>
    <w:p w14:paraId="23F3ECC7">
      <w:pPr>
        <w:adjustRightInd w:val="0"/>
        <w:snapToGrid w:val="0"/>
        <w:rPr>
          <w:rFonts w:hint="eastAsia"/>
          <w:szCs w:val="21"/>
          <w:highlight w:val="none"/>
        </w:rPr>
      </w:pPr>
    </w:p>
    <w:p w14:paraId="5FCF4D88">
      <w:pPr>
        <w:adjustRightInd w:val="0"/>
        <w:snapToGrid w:val="0"/>
        <w:rPr>
          <w:rFonts w:hint="eastAsia"/>
          <w:szCs w:val="21"/>
          <w:highlight w:val="none"/>
        </w:rPr>
      </w:pPr>
      <w:r>
        <w:rPr>
          <w:rFonts w:hint="eastAsia"/>
          <w:szCs w:val="21"/>
          <w:highlight w:val="none"/>
        </w:rPr>
        <w:t>投标人（盖单位章）：</w:t>
      </w:r>
    </w:p>
    <w:p w14:paraId="2EDE3FEF">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1F479263">
      <w:pPr>
        <w:adjustRightInd w:val="0"/>
        <w:snapToGrid w:val="0"/>
        <w:ind w:right="24"/>
        <w:rPr>
          <w:rFonts w:hint="eastAsia"/>
          <w:bCs/>
          <w:sz w:val="28"/>
          <w:szCs w:val="28"/>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17C79C49">
      <w:pPr>
        <w:adjustRightInd w:val="0"/>
        <w:snapToGrid w:val="0"/>
        <w:ind w:right="24"/>
        <w:rPr>
          <w:rFonts w:hint="eastAsia"/>
          <w:bCs/>
          <w:sz w:val="28"/>
          <w:szCs w:val="28"/>
          <w:highlight w:val="none"/>
        </w:rPr>
      </w:pPr>
    </w:p>
    <w:p w14:paraId="4F6C6134">
      <w:pPr>
        <w:adjustRightInd w:val="0"/>
        <w:snapToGrid w:val="0"/>
        <w:ind w:right="24"/>
        <w:rPr>
          <w:rFonts w:hint="eastAsia"/>
          <w:bCs/>
          <w:sz w:val="28"/>
          <w:szCs w:val="28"/>
          <w:highlight w:val="none"/>
        </w:rPr>
        <w:sectPr>
          <w:pgSz w:w="11906" w:h="16838"/>
          <w:pgMar w:top="1440" w:right="1800" w:bottom="1440" w:left="1800" w:header="851" w:footer="992" w:gutter="0"/>
          <w:cols w:space="720" w:num="1"/>
          <w:docGrid w:type="lines" w:linePitch="312" w:charSpace="0"/>
        </w:sectPr>
      </w:pPr>
    </w:p>
    <w:p w14:paraId="64258CB1">
      <w:pPr>
        <w:adjustRightInd w:val="0"/>
        <w:snapToGrid w:val="0"/>
        <w:ind w:right="24"/>
        <w:rPr>
          <w:rFonts w:hint="eastAsia"/>
          <w:bCs/>
          <w:sz w:val="28"/>
          <w:szCs w:val="28"/>
          <w:highlight w:val="none"/>
        </w:rPr>
      </w:pPr>
      <w:r>
        <w:rPr>
          <w:rFonts w:hint="eastAsia"/>
          <w:bCs/>
          <w:sz w:val="28"/>
          <w:szCs w:val="28"/>
          <w:highlight w:val="none"/>
        </w:rPr>
        <w:t>附件6</w:t>
      </w:r>
    </w:p>
    <w:p w14:paraId="0F935CBD">
      <w:pPr>
        <w:adjustRightInd w:val="0"/>
        <w:snapToGrid w:val="0"/>
        <w:ind w:right="24"/>
        <w:jc w:val="center"/>
        <w:rPr>
          <w:rFonts w:hint="eastAsia"/>
          <w:sz w:val="28"/>
          <w:szCs w:val="28"/>
          <w:highlight w:val="none"/>
        </w:rPr>
      </w:pPr>
    </w:p>
    <w:p w14:paraId="23596A7F">
      <w:pPr>
        <w:adjustRightInd w:val="0"/>
        <w:snapToGrid w:val="0"/>
        <w:ind w:right="24"/>
        <w:jc w:val="center"/>
        <w:rPr>
          <w:rFonts w:hint="eastAsia"/>
          <w:bCs/>
          <w:sz w:val="28"/>
          <w:szCs w:val="28"/>
          <w:highlight w:val="none"/>
        </w:rPr>
      </w:pPr>
      <w:r>
        <w:rPr>
          <w:rFonts w:hint="eastAsia"/>
          <w:sz w:val="28"/>
          <w:szCs w:val="28"/>
          <w:highlight w:val="none"/>
        </w:rPr>
        <w:t>节能、环境标志产品证明材料</w:t>
      </w:r>
    </w:p>
    <w:p w14:paraId="38574794">
      <w:pPr>
        <w:adjustRightInd w:val="0"/>
        <w:snapToGrid w:val="0"/>
        <w:ind w:right="24"/>
        <w:rPr>
          <w:rFonts w:hint="eastAsia"/>
          <w:bCs/>
          <w:sz w:val="28"/>
          <w:szCs w:val="28"/>
          <w:highlight w:val="none"/>
        </w:rPr>
      </w:pPr>
    </w:p>
    <w:p w14:paraId="0761D083">
      <w:pPr>
        <w:spacing w:line="440" w:lineRule="exact"/>
        <w:ind w:firstLine="420"/>
        <w:rPr>
          <w:rFonts w:hint="eastAsia"/>
          <w:szCs w:val="21"/>
          <w:highlight w:val="none"/>
        </w:rPr>
      </w:pPr>
      <w:r>
        <w:rPr>
          <w:rFonts w:hint="eastAsia"/>
          <w:szCs w:val="21"/>
          <w:highlight w:val="none"/>
        </w:rPr>
        <w:t>1.节能产品：应在</w:t>
      </w:r>
    </w:p>
    <w:p w14:paraId="4E88D99A">
      <w:pPr>
        <w:spacing w:line="440" w:lineRule="exact"/>
        <w:ind w:firstLine="420"/>
        <w:rPr>
          <w:rFonts w:hint="eastAsia"/>
          <w:szCs w:val="21"/>
          <w:highlight w:val="none"/>
        </w:rPr>
      </w:pPr>
      <w:r>
        <w:rPr>
          <w:rFonts w:hint="eastAsia"/>
          <w:szCs w:val="21"/>
          <w:highlight w:val="none"/>
        </w:rPr>
        <w:t>中国政府采购网（ ht tp://www.ccgp.gov.cn ）</w:t>
      </w:r>
    </w:p>
    <w:p w14:paraId="7310C2A2">
      <w:pPr>
        <w:spacing w:line="440" w:lineRule="exact"/>
        <w:ind w:firstLine="420"/>
        <w:rPr>
          <w:rFonts w:hint="eastAsia"/>
          <w:szCs w:val="21"/>
          <w:highlight w:val="none"/>
        </w:rPr>
      </w:pPr>
      <w:r>
        <w:rPr>
          <w:rFonts w:hint="eastAsia"/>
          <w:szCs w:val="21"/>
          <w:highlight w:val="none"/>
        </w:rPr>
        <w:t>国家发展改革委网站（ http://hzs.ndrc.gov.cn ）</w:t>
      </w:r>
    </w:p>
    <w:p w14:paraId="6507AAF3">
      <w:pPr>
        <w:spacing w:line="440" w:lineRule="exact"/>
        <w:ind w:firstLine="420"/>
        <w:rPr>
          <w:rFonts w:hint="eastAsia"/>
          <w:szCs w:val="21"/>
          <w:highlight w:val="none"/>
        </w:rPr>
      </w:pPr>
      <w:r>
        <w:rPr>
          <w:rFonts w:hint="eastAsia"/>
          <w:szCs w:val="21"/>
          <w:highlight w:val="none"/>
        </w:rPr>
        <w:t>中国质量认证心网站（ http://www.cqc.com.cn ）</w:t>
      </w:r>
    </w:p>
    <w:p w14:paraId="72360DE8">
      <w:pPr>
        <w:spacing w:line="440" w:lineRule="exact"/>
        <w:ind w:firstLine="420"/>
        <w:rPr>
          <w:rFonts w:hint="eastAsia"/>
          <w:szCs w:val="21"/>
          <w:highlight w:val="none"/>
        </w:rPr>
      </w:pPr>
      <w:r>
        <w:rPr>
          <w:rFonts w:hint="eastAsia"/>
          <w:szCs w:val="21"/>
          <w:highlight w:val="none"/>
        </w:rPr>
        <w:t>2.环境标志产品：应在</w:t>
      </w:r>
    </w:p>
    <w:p w14:paraId="1EC0711F">
      <w:pPr>
        <w:spacing w:line="440" w:lineRule="exact"/>
        <w:ind w:firstLine="420"/>
        <w:rPr>
          <w:rFonts w:hint="eastAsia"/>
          <w:szCs w:val="21"/>
          <w:highlight w:val="none"/>
        </w:rPr>
      </w:pPr>
      <w:r>
        <w:rPr>
          <w:rFonts w:hint="eastAsia"/>
          <w:szCs w:val="21"/>
          <w:highlight w:val="none"/>
        </w:rPr>
        <w:t>中国政府采购网（ http://www.ccgp.gov.cn ）</w:t>
      </w:r>
    </w:p>
    <w:p w14:paraId="57C08535">
      <w:pPr>
        <w:spacing w:line="440" w:lineRule="exact"/>
        <w:ind w:firstLine="420"/>
        <w:rPr>
          <w:rFonts w:hint="eastAsia"/>
          <w:szCs w:val="21"/>
          <w:highlight w:val="none"/>
        </w:rPr>
      </w:pPr>
      <w:r>
        <w:rPr>
          <w:rFonts w:hint="eastAsia"/>
          <w:szCs w:val="21"/>
          <w:highlight w:val="none"/>
        </w:rPr>
        <w:t>国家环境保护部网（ http://www.sepa.gov.cn ）</w:t>
      </w:r>
    </w:p>
    <w:p w14:paraId="0FC31F05">
      <w:pPr>
        <w:spacing w:line="440" w:lineRule="exact"/>
        <w:ind w:firstLine="420"/>
        <w:rPr>
          <w:rFonts w:hint="eastAsia"/>
          <w:szCs w:val="21"/>
          <w:highlight w:val="none"/>
        </w:rPr>
      </w:pPr>
      <w:r>
        <w:rPr>
          <w:rFonts w:hint="eastAsia"/>
          <w:szCs w:val="21"/>
          <w:highlight w:val="none"/>
        </w:rPr>
        <w:t>中国绿色采购网（ http://www.cgpn.cn ）</w:t>
      </w:r>
    </w:p>
    <w:p w14:paraId="4B89B159">
      <w:pPr>
        <w:spacing w:line="440" w:lineRule="exact"/>
        <w:ind w:firstLine="420"/>
        <w:rPr>
          <w:rFonts w:hint="eastAsia"/>
          <w:szCs w:val="21"/>
          <w:highlight w:val="none"/>
        </w:rPr>
      </w:pPr>
      <w:r>
        <w:rPr>
          <w:rFonts w:hint="eastAsia"/>
          <w:szCs w:val="21"/>
          <w:highlight w:val="none"/>
        </w:rPr>
        <w:t>3.属优先采购节能、环境标志产品须从以上权威媒体网站上下载的网页公告、目录清单、证书等，并注出所在位置。</w:t>
      </w:r>
    </w:p>
    <w:p w14:paraId="27A47972">
      <w:pPr>
        <w:spacing w:line="440" w:lineRule="exact"/>
        <w:ind w:firstLine="420"/>
        <w:rPr>
          <w:rFonts w:hint="eastAsia"/>
          <w:b/>
          <w:highlight w:val="none"/>
        </w:rPr>
        <w:sectPr>
          <w:pgSz w:w="11906" w:h="16838"/>
          <w:pgMar w:top="1440" w:right="1800" w:bottom="1440" w:left="1800" w:header="851" w:footer="992" w:gutter="0"/>
          <w:cols w:space="720" w:num="1"/>
          <w:docGrid w:type="lines" w:linePitch="312" w:charSpace="0"/>
        </w:sectPr>
      </w:pPr>
      <w:r>
        <w:rPr>
          <w:rFonts w:hint="eastAsia"/>
          <w:szCs w:val="21"/>
          <w:highlight w:val="none"/>
        </w:rPr>
        <w:t>4.证明材料</w:t>
      </w:r>
      <w:r>
        <w:rPr>
          <w:rFonts w:hint="eastAsia"/>
          <w:highlight w:val="none"/>
        </w:rPr>
        <w:t>加盖投标人公章。</w:t>
      </w:r>
    </w:p>
    <w:p w14:paraId="5B57BFFA">
      <w:pPr>
        <w:adjustRightInd w:val="0"/>
        <w:snapToGrid w:val="0"/>
        <w:ind w:right="24"/>
        <w:rPr>
          <w:rFonts w:hint="eastAsia"/>
          <w:highlight w:val="none"/>
        </w:rPr>
      </w:pPr>
      <w:r>
        <w:rPr>
          <w:rFonts w:hint="eastAsia"/>
          <w:bCs/>
          <w:sz w:val="28"/>
          <w:szCs w:val="28"/>
          <w:highlight w:val="none"/>
        </w:rPr>
        <w:t>附件7</w:t>
      </w:r>
    </w:p>
    <w:p w14:paraId="506CB5C2">
      <w:pPr>
        <w:adjustRightInd w:val="0"/>
        <w:snapToGrid w:val="0"/>
        <w:ind w:firstLine="730" w:firstLineChars="250"/>
        <w:jc w:val="center"/>
        <w:rPr>
          <w:rFonts w:hint="eastAsia" w:cs="宋体"/>
          <w:bCs/>
          <w:spacing w:val="6"/>
          <w:kern w:val="0"/>
          <w:sz w:val="28"/>
          <w:szCs w:val="28"/>
          <w:highlight w:val="none"/>
        </w:rPr>
      </w:pPr>
      <w:r>
        <w:rPr>
          <w:rFonts w:hint="eastAsia" w:cs="宋体"/>
          <w:bCs/>
          <w:spacing w:val="6"/>
          <w:kern w:val="0"/>
          <w:sz w:val="28"/>
          <w:szCs w:val="28"/>
          <w:highlight w:val="none"/>
        </w:rPr>
        <w:t>中小企业声明函（货物）</w:t>
      </w:r>
    </w:p>
    <w:p w14:paraId="7585A871">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39BF682">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1.</w:t>
      </w:r>
      <w:r>
        <w:rPr>
          <w:rFonts w:hint="eastAsia" w:cs="宋体"/>
          <w:bCs/>
          <w:spacing w:val="6"/>
          <w:kern w:val="0"/>
          <w:szCs w:val="21"/>
          <w:highlight w:val="none"/>
          <w:u w:val="single"/>
        </w:rPr>
        <w:t xml:space="preserve"> （标的名称） </w:t>
      </w:r>
      <w:r>
        <w:rPr>
          <w:rFonts w:hint="eastAsia" w:cs="宋体"/>
          <w:bCs/>
          <w:spacing w:val="6"/>
          <w:kern w:val="0"/>
          <w:szCs w:val="21"/>
          <w:highlight w:val="none"/>
        </w:rPr>
        <w:t xml:space="preserve">，属于 </w:t>
      </w:r>
      <w:r>
        <w:rPr>
          <w:rFonts w:hint="eastAsia" w:cs="宋体"/>
          <w:bCs/>
          <w:spacing w:val="6"/>
          <w:kern w:val="0"/>
          <w:szCs w:val="21"/>
          <w:highlight w:val="none"/>
          <w:u w:val="single"/>
        </w:rPr>
        <w:t>（采购文件中明确的所属行业）行业</w:t>
      </w:r>
      <w:r>
        <w:rPr>
          <w:rFonts w:hint="eastAsia" w:cs="宋体"/>
          <w:bCs/>
          <w:spacing w:val="6"/>
          <w:kern w:val="0"/>
          <w:szCs w:val="21"/>
          <w:highlight w:val="none"/>
        </w:rPr>
        <w:t xml:space="preserve"> ；制造商为</w:t>
      </w:r>
      <w:r>
        <w:rPr>
          <w:rFonts w:hint="eastAsia" w:cs="宋体"/>
          <w:bCs/>
          <w:spacing w:val="6"/>
          <w:kern w:val="0"/>
          <w:szCs w:val="21"/>
          <w:highlight w:val="none"/>
          <w:u w:val="single"/>
        </w:rPr>
        <w:t xml:space="preserve"> （企业名称） </w:t>
      </w:r>
      <w:r>
        <w:rPr>
          <w:rFonts w:hint="eastAsia" w:cs="宋体"/>
          <w:bCs/>
          <w:spacing w:val="6"/>
          <w:kern w:val="0"/>
          <w:szCs w:val="21"/>
          <w:highlight w:val="none"/>
        </w:rPr>
        <w:t>，从业人员</w:t>
      </w:r>
      <w:r>
        <w:rPr>
          <w:rFonts w:hint="eastAsia" w:cs="宋体"/>
          <w:bCs/>
          <w:spacing w:val="6"/>
          <w:kern w:val="0"/>
          <w:szCs w:val="21"/>
          <w:highlight w:val="none"/>
          <w:u w:val="single"/>
        </w:rPr>
        <w:t xml:space="preserve">   </w:t>
      </w:r>
      <w:r>
        <w:rPr>
          <w:rFonts w:hint="eastAsia" w:cs="宋体"/>
          <w:bCs/>
          <w:spacing w:val="6"/>
          <w:kern w:val="0"/>
          <w:szCs w:val="21"/>
          <w:highlight w:val="none"/>
        </w:rPr>
        <w:t>人，营业收入为</w:t>
      </w:r>
      <w:r>
        <w:rPr>
          <w:rFonts w:hint="eastAsia" w:cs="宋体"/>
          <w:bCs/>
          <w:spacing w:val="6"/>
          <w:kern w:val="0"/>
          <w:szCs w:val="21"/>
          <w:highlight w:val="none"/>
          <w:u w:val="single"/>
        </w:rPr>
        <w:t xml:space="preserve">  </w:t>
      </w:r>
      <w:r>
        <w:rPr>
          <w:rFonts w:hint="eastAsia" w:cs="宋体"/>
          <w:bCs/>
          <w:spacing w:val="6"/>
          <w:kern w:val="0"/>
          <w:szCs w:val="21"/>
          <w:highlight w:val="none"/>
        </w:rPr>
        <w:t>万元，资产总额为</w:t>
      </w:r>
      <w:r>
        <w:rPr>
          <w:rFonts w:hint="eastAsia" w:cs="宋体"/>
          <w:bCs/>
          <w:spacing w:val="6"/>
          <w:kern w:val="0"/>
          <w:szCs w:val="21"/>
          <w:highlight w:val="none"/>
          <w:u w:val="single"/>
        </w:rPr>
        <w:t xml:space="preserve">  </w:t>
      </w:r>
      <w:r>
        <w:rPr>
          <w:rFonts w:hint="eastAsia" w:cs="宋体"/>
          <w:bCs/>
          <w:spacing w:val="6"/>
          <w:kern w:val="0"/>
          <w:szCs w:val="21"/>
          <w:highlight w:val="none"/>
        </w:rPr>
        <w:t>万元，属于</w:t>
      </w:r>
      <w:r>
        <w:rPr>
          <w:rFonts w:hint="eastAsia" w:cs="宋体"/>
          <w:bCs/>
          <w:spacing w:val="6"/>
          <w:kern w:val="0"/>
          <w:szCs w:val="21"/>
          <w:highlight w:val="none"/>
          <w:u w:val="single"/>
        </w:rPr>
        <w:t xml:space="preserve"> （中型企业、小型企业、微型企业） </w:t>
      </w:r>
      <w:r>
        <w:rPr>
          <w:rFonts w:hint="eastAsia" w:cs="宋体"/>
          <w:bCs/>
          <w:spacing w:val="6"/>
          <w:kern w:val="0"/>
          <w:szCs w:val="21"/>
          <w:highlight w:val="none"/>
        </w:rPr>
        <w:t>；</w:t>
      </w:r>
    </w:p>
    <w:p w14:paraId="314C8BA8">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2.</w:t>
      </w:r>
      <w:r>
        <w:rPr>
          <w:rFonts w:hint="eastAsia" w:cs="宋体"/>
          <w:bCs/>
          <w:spacing w:val="6"/>
          <w:kern w:val="0"/>
          <w:szCs w:val="21"/>
          <w:highlight w:val="none"/>
          <w:u w:val="single"/>
        </w:rPr>
        <w:t xml:space="preserve"> （标的名称） </w:t>
      </w:r>
      <w:r>
        <w:rPr>
          <w:rFonts w:hint="eastAsia" w:cs="宋体"/>
          <w:bCs/>
          <w:spacing w:val="6"/>
          <w:kern w:val="0"/>
          <w:szCs w:val="21"/>
          <w:highlight w:val="none"/>
        </w:rPr>
        <w:t xml:space="preserve">，属于 </w:t>
      </w:r>
      <w:r>
        <w:rPr>
          <w:rFonts w:hint="eastAsia" w:cs="宋体"/>
          <w:bCs/>
          <w:spacing w:val="6"/>
          <w:kern w:val="0"/>
          <w:szCs w:val="21"/>
          <w:highlight w:val="none"/>
          <w:u w:val="single"/>
        </w:rPr>
        <w:t>（采购文件中明确的所属行业）行业</w:t>
      </w:r>
      <w:r>
        <w:rPr>
          <w:rFonts w:hint="eastAsia" w:cs="宋体"/>
          <w:bCs/>
          <w:spacing w:val="6"/>
          <w:kern w:val="0"/>
          <w:szCs w:val="21"/>
          <w:highlight w:val="none"/>
        </w:rPr>
        <w:t xml:space="preserve"> ；制造商为</w:t>
      </w:r>
      <w:r>
        <w:rPr>
          <w:rFonts w:hint="eastAsia" w:cs="宋体"/>
          <w:bCs/>
          <w:spacing w:val="6"/>
          <w:kern w:val="0"/>
          <w:szCs w:val="21"/>
          <w:highlight w:val="none"/>
          <w:u w:val="single"/>
        </w:rPr>
        <w:t xml:space="preserve"> （企业名称） </w:t>
      </w:r>
      <w:r>
        <w:rPr>
          <w:rFonts w:hint="eastAsia" w:cs="宋体"/>
          <w:bCs/>
          <w:spacing w:val="6"/>
          <w:kern w:val="0"/>
          <w:szCs w:val="21"/>
          <w:highlight w:val="none"/>
        </w:rPr>
        <w:t>，从业人员</w:t>
      </w:r>
      <w:r>
        <w:rPr>
          <w:rFonts w:hint="eastAsia" w:cs="宋体"/>
          <w:bCs/>
          <w:spacing w:val="6"/>
          <w:kern w:val="0"/>
          <w:szCs w:val="21"/>
          <w:highlight w:val="none"/>
          <w:u w:val="single"/>
        </w:rPr>
        <w:t xml:space="preserve">   </w:t>
      </w:r>
      <w:r>
        <w:rPr>
          <w:rFonts w:hint="eastAsia" w:cs="宋体"/>
          <w:bCs/>
          <w:spacing w:val="6"/>
          <w:kern w:val="0"/>
          <w:szCs w:val="21"/>
          <w:highlight w:val="none"/>
        </w:rPr>
        <w:t>人，营业收入为</w:t>
      </w:r>
      <w:r>
        <w:rPr>
          <w:rFonts w:hint="eastAsia" w:cs="宋体"/>
          <w:bCs/>
          <w:spacing w:val="6"/>
          <w:kern w:val="0"/>
          <w:szCs w:val="21"/>
          <w:highlight w:val="none"/>
          <w:u w:val="single"/>
        </w:rPr>
        <w:t xml:space="preserve">  </w:t>
      </w:r>
      <w:r>
        <w:rPr>
          <w:rFonts w:hint="eastAsia" w:cs="宋体"/>
          <w:bCs/>
          <w:spacing w:val="6"/>
          <w:kern w:val="0"/>
          <w:szCs w:val="21"/>
          <w:highlight w:val="none"/>
        </w:rPr>
        <w:t>万元，资产总额为</w:t>
      </w:r>
      <w:r>
        <w:rPr>
          <w:rFonts w:hint="eastAsia" w:cs="宋体"/>
          <w:bCs/>
          <w:spacing w:val="6"/>
          <w:kern w:val="0"/>
          <w:szCs w:val="21"/>
          <w:highlight w:val="none"/>
          <w:u w:val="single"/>
        </w:rPr>
        <w:t xml:space="preserve">  </w:t>
      </w:r>
      <w:r>
        <w:rPr>
          <w:rFonts w:hint="eastAsia" w:cs="宋体"/>
          <w:bCs/>
          <w:spacing w:val="6"/>
          <w:kern w:val="0"/>
          <w:szCs w:val="21"/>
          <w:highlight w:val="none"/>
        </w:rPr>
        <w:t>万元，属于</w:t>
      </w:r>
      <w:r>
        <w:rPr>
          <w:rFonts w:hint="eastAsia" w:cs="宋体"/>
          <w:bCs/>
          <w:spacing w:val="6"/>
          <w:kern w:val="0"/>
          <w:szCs w:val="21"/>
          <w:highlight w:val="none"/>
          <w:u w:val="single"/>
        </w:rPr>
        <w:t xml:space="preserve"> （中型企业、小型企业、微型企业） </w:t>
      </w:r>
      <w:r>
        <w:rPr>
          <w:rFonts w:hint="eastAsia" w:cs="宋体"/>
          <w:bCs/>
          <w:spacing w:val="6"/>
          <w:kern w:val="0"/>
          <w:szCs w:val="21"/>
          <w:highlight w:val="none"/>
        </w:rPr>
        <w:t>；</w:t>
      </w:r>
    </w:p>
    <w:p w14:paraId="609668DF">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w:t>
      </w:r>
    </w:p>
    <w:p w14:paraId="05421FBD">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以上企业，不属于大企业的分支机构，不存在控股股东为大企业的情形，也不存在与大企业的负责人为同一人的情形。</w:t>
      </w:r>
    </w:p>
    <w:p w14:paraId="54C83847">
      <w:pPr>
        <w:adjustRightInd w:val="0"/>
        <w:snapToGrid w:val="0"/>
        <w:ind w:firstLine="504" w:firstLineChars="200"/>
        <w:jc w:val="left"/>
        <w:rPr>
          <w:rFonts w:hint="eastAsia" w:cs="宋体"/>
          <w:bCs/>
          <w:spacing w:val="6"/>
          <w:kern w:val="0"/>
          <w:szCs w:val="21"/>
          <w:highlight w:val="none"/>
        </w:rPr>
      </w:pPr>
      <w:r>
        <w:rPr>
          <w:rFonts w:hint="eastAsia" w:cs="宋体"/>
          <w:bCs/>
          <w:spacing w:val="6"/>
          <w:kern w:val="0"/>
          <w:szCs w:val="21"/>
          <w:highlight w:val="none"/>
        </w:rPr>
        <w:t>本企业对上述声明内容的真实性负责。如有虚假，将依法承担相应责任。</w:t>
      </w:r>
    </w:p>
    <w:p w14:paraId="2023D27D">
      <w:pPr>
        <w:adjustRightInd w:val="0"/>
        <w:snapToGrid w:val="0"/>
        <w:jc w:val="left"/>
        <w:rPr>
          <w:rFonts w:hint="eastAsia" w:cs="宋体"/>
          <w:bCs/>
          <w:spacing w:val="6"/>
          <w:kern w:val="0"/>
          <w:szCs w:val="21"/>
          <w:highlight w:val="none"/>
        </w:rPr>
      </w:pPr>
    </w:p>
    <w:p w14:paraId="194EBEF5">
      <w:pPr>
        <w:adjustRightInd w:val="0"/>
        <w:snapToGrid w:val="0"/>
        <w:jc w:val="left"/>
        <w:rPr>
          <w:rFonts w:hint="eastAsia" w:cs="宋体"/>
          <w:bCs/>
          <w:spacing w:val="6"/>
          <w:kern w:val="0"/>
          <w:szCs w:val="21"/>
          <w:highlight w:val="none"/>
        </w:rPr>
      </w:pPr>
    </w:p>
    <w:p w14:paraId="7D0083A8">
      <w:pPr>
        <w:adjustRightInd w:val="0"/>
        <w:snapToGrid w:val="0"/>
        <w:ind w:firstLine="4536" w:firstLineChars="1800"/>
        <w:jc w:val="left"/>
        <w:rPr>
          <w:rFonts w:hint="eastAsia" w:cs="宋体"/>
          <w:bCs/>
          <w:spacing w:val="6"/>
          <w:kern w:val="0"/>
          <w:szCs w:val="21"/>
          <w:highlight w:val="none"/>
        </w:rPr>
      </w:pPr>
      <w:r>
        <w:rPr>
          <w:rFonts w:hint="eastAsia" w:cs="宋体"/>
          <w:bCs/>
          <w:spacing w:val="6"/>
          <w:kern w:val="0"/>
          <w:szCs w:val="21"/>
          <w:highlight w:val="none"/>
        </w:rPr>
        <w:t>企业名称（盖章）：</w:t>
      </w:r>
    </w:p>
    <w:p w14:paraId="17C7CF40">
      <w:pPr>
        <w:adjustRightInd w:val="0"/>
        <w:snapToGrid w:val="0"/>
        <w:ind w:firstLine="4536" w:firstLineChars="1800"/>
        <w:jc w:val="left"/>
        <w:rPr>
          <w:rFonts w:hint="eastAsia" w:cs="宋体"/>
          <w:bCs/>
          <w:spacing w:val="6"/>
          <w:kern w:val="0"/>
          <w:szCs w:val="21"/>
          <w:highlight w:val="none"/>
        </w:rPr>
      </w:pPr>
      <w:r>
        <w:rPr>
          <w:rFonts w:hint="eastAsia" w:cs="宋体"/>
          <w:bCs/>
          <w:spacing w:val="6"/>
          <w:kern w:val="0"/>
          <w:szCs w:val="21"/>
          <w:highlight w:val="none"/>
        </w:rPr>
        <w:t>日 期：</w:t>
      </w:r>
    </w:p>
    <w:p w14:paraId="6766909B">
      <w:pPr>
        <w:adjustRightInd w:val="0"/>
        <w:snapToGrid w:val="0"/>
        <w:jc w:val="left"/>
        <w:rPr>
          <w:rFonts w:hint="eastAsia" w:cs="宋体"/>
          <w:bCs/>
          <w:spacing w:val="6"/>
          <w:kern w:val="0"/>
          <w:szCs w:val="21"/>
          <w:highlight w:val="none"/>
        </w:rPr>
      </w:pPr>
    </w:p>
    <w:p w14:paraId="64C679A6">
      <w:pPr>
        <w:adjustRightInd w:val="0"/>
        <w:snapToGrid w:val="0"/>
        <w:jc w:val="left"/>
        <w:rPr>
          <w:rFonts w:hint="eastAsia" w:cs="宋体"/>
          <w:bCs/>
          <w:spacing w:val="6"/>
          <w:kern w:val="0"/>
          <w:szCs w:val="21"/>
          <w:highlight w:val="none"/>
        </w:rPr>
      </w:pPr>
    </w:p>
    <w:p w14:paraId="2D35D25D">
      <w:pPr>
        <w:adjustRightInd w:val="0"/>
        <w:snapToGrid w:val="0"/>
        <w:jc w:val="left"/>
        <w:rPr>
          <w:rFonts w:hint="eastAsia" w:cs="宋体"/>
          <w:bCs/>
          <w:spacing w:val="6"/>
          <w:kern w:val="0"/>
          <w:szCs w:val="21"/>
          <w:highlight w:val="none"/>
        </w:rPr>
      </w:pPr>
    </w:p>
    <w:p w14:paraId="04D3F356">
      <w:pPr>
        <w:adjustRightInd w:val="0"/>
        <w:snapToGrid w:val="0"/>
        <w:jc w:val="left"/>
        <w:rPr>
          <w:rFonts w:hint="eastAsia" w:cs="宋体"/>
          <w:bCs/>
          <w:spacing w:val="6"/>
          <w:kern w:val="0"/>
          <w:szCs w:val="21"/>
          <w:highlight w:val="none"/>
        </w:rPr>
      </w:pPr>
    </w:p>
    <w:p w14:paraId="522ACA89">
      <w:pPr>
        <w:adjustRightInd w:val="0"/>
        <w:snapToGrid w:val="0"/>
        <w:jc w:val="left"/>
        <w:rPr>
          <w:rFonts w:hint="eastAsia" w:cs="宋体"/>
          <w:bCs/>
          <w:spacing w:val="6"/>
          <w:kern w:val="0"/>
          <w:szCs w:val="21"/>
          <w:highlight w:val="none"/>
        </w:rPr>
      </w:pPr>
    </w:p>
    <w:p w14:paraId="4EA8CE9F">
      <w:pPr>
        <w:adjustRightInd w:val="0"/>
        <w:snapToGrid w:val="0"/>
        <w:jc w:val="left"/>
        <w:rPr>
          <w:rFonts w:hint="eastAsia" w:cs="宋体"/>
          <w:bCs/>
          <w:spacing w:val="6"/>
          <w:kern w:val="0"/>
          <w:szCs w:val="21"/>
          <w:highlight w:val="none"/>
        </w:rPr>
      </w:pPr>
      <w:r>
        <w:rPr>
          <w:rFonts w:hint="eastAsia" w:cs="宋体"/>
          <w:bCs/>
          <w:spacing w:val="6"/>
          <w:kern w:val="0"/>
          <w:szCs w:val="21"/>
          <w:highlight w:val="none"/>
        </w:rPr>
        <w:t>1 从业人员、营业收入、资产总额填报上一年度数据，无上一年度数据的新成立企业可不填报。</w:t>
      </w:r>
    </w:p>
    <w:p w14:paraId="3D0B9655">
      <w:pPr>
        <w:rPr>
          <w:rFonts w:hint="eastAsia" w:cs="宋体"/>
          <w:bCs/>
          <w:spacing w:val="6"/>
          <w:kern w:val="0"/>
          <w:sz w:val="28"/>
          <w:szCs w:val="28"/>
          <w:highlight w:val="none"/>
        </w:rPr>
      </w:pPr>
    </w:p>
    <w:p w14:paraId="00931C4A">
      <w:pPr>
        <w:tabs>
          <w:tab w:val="left" w:pos="3600"/>
        </w:tabs>
        <w:adjustRightInd w:val="0"/>
        <w:snapToGrid w:val="0"/>
        <w:jc w:val="center"/>
        <w:rPr>
          <w:rFonts w:hint="eastAsia" w:cs="??_GB2312"/>
          <w:b/>
          <w:bCs/>
          <w:spacing w:val="6"/>
          <w:kern w:val="0"/>
          <w:sz w:val="32"/>
          <w:szCs w:val="32"/>
          <w:highlight w:val="none"/>
        </w:rPr>
      </w:pPr>
      <w:r>
        <w:rPr>
          <w:rFonts w:cs="宋体"/>
          <w:bCs/>
          <w:spacing w:val="6"/>
          <w:kern w:val="0"/>
          <w:sz w:val="28"/>
          <w:szCs w:val="28"/>
          <w:highlight w:val="none"/>
        </w:rPr>
        <w:br w:type="page"/>
      </w:r>
      <w:r>
        <w:rPr>
          <w:rFonts w:hint="eastAsia" w:cs="宋体"/>
          <w:bCs/>
          <w:spacing w:val="6"/>
          <w:kern w:val="0"/>
          <w:sz w:val="28"/>
          <w:szCs w:val="28"/>
          <w:highlight w:val="none"/>
        </w:rPr>
        <w:t>残疾人福利性单位声明函</w:t>
      </w:r>
    </w:p>
    <w:p w14:paraId="26B0FB75">
      <w:pPr>
        <w:autoSpaceDE w:val="0"/>
        <w:autoSpaceDN w:val="0"/>
        <w:adjustRightInd w:val="0"/>
        <w:spacing w:line="588" w:lineRule="atLeast"/>
        <w:rPr>
          <w:rFonts w:hint="eastAsia" w:cs="??_GB2312"/>
          <w:b/>
          <w:bCs/>
          <w:spacing w:val="6"/>
          <w:kern w:val="0"/>
          <w:sz w:val="30"/>
          <w:szCs w:val="30"/>
          <w:highlight w:val="none"/>
        </w:rPr>
      </w:pPr>
    </w:p>
    <w:p w14:paraId="6EAB704C">
      <w:pPr>
        <w:autoSpaceDE w:val="0"/>
        <w:autoSpaceDN w:val="0"/>
        <w:adjustRightInd w:val="0"/>
        <w:ind w:firstLine="504" w:firstLineChars="200"/>
        <w:rPr>
          <w:rFonts w:hint="eastAsia" w:cs="??_GB2312"/>
          <w:spacing w:val="6"/>
          <w:kern w:val="0"/>
          <w:szCs w:val="21"/>
          <w:highlight w:val="none"/>
        </w:rPr>
      </w:pPr>
      <w:r>
        <w:rPr>
          <w:rFonts w:hint="eastAsia" w:cs="宋体"/>
          <w:spacing w:val="6"/>
          <w:kern w:val="0"/>
          <w:szCs w:val="21"/>
          <w:highlight w:val="none"/>
          <w:lang w:val="zh-CN"/>
        </w:rPr>
        <w:t>本单位郑重声明，根据《财政部</w:t>
      </w:r>
      <w:r>
        <w:rPr>
          <w:rFonts w:cs="??_GB2312"/>
          <w:spacing w:val="6"/>
          <w:kern w:val="0"/>
          <w:szCs w:val="21"/>
          <w:highlight w:val="none"/>
        </w:rPr>
        <w:t xml:space="preserve"> </w:t>
      </w:r>
      <w:r>
        <w:rPr>
          <w:rFonts w:hint="eastAsia" w:cs="宋体"/>
          <w:spacing w:val="6"/>
          <w:kern w:val="0"/>
          <w:szCs w:val="21"/>
          <w:highlight w:val="none"/>
          <w:lang w:val="zh-CN"/>
        </w:rPr>
        <w:t>民政部</w:t>
      </w:r>
      <w:r>
        <w:rPr>
          <w:rFonts w:cs="??_GB2312"/>
          <w:spacing w:val="6"/>
          <w:kern w:val="0"/>
          <w:szCs w:val="21"/>
          <w:highlight w:val="none"/>
        </w:rPr>
        <w:t xml:space="preserve"> </w:t>
      </w:r>
      <w:r>
        <w:rPr>
          <w:rFonts w:hint="eastAsia" w:cs="宋体"/>
          <w:spacing w:val="6"/>
          <w:kern w:val="0"/>
          <w:szCs w:val="21"/>
          <w:highlight w:val="none"/>
          <w:lang w:val="zh-CN"/>
        </w:rPr>
        <w:t>中国残疾人联合会关于促进残疾人就业政府采购政策的通知》（财库</w:t>
      </w:r>
      <w:r>
        <w:rPr>
          <w:rFonts w:hint="eastAsia" w:cs="宋体"/>
          <w:kern w:val="0"/>
          <w:szCs w:val="21"/>
          <w:highlight w:val="none"/>
          <w:lang w:val="zh-CN"/>
        </w:rPr>
        <w:t>〔</w:t>
      </w:r>
      <w:r>
        <w:rPr>
          <w:rFonts w:cs="??_GB2312"/>
          <w:kern w:val="0"/>
          <w:szCs w:val="21"/>
          <w:highlight w:val="none"/>
        </w:rPr>
        <w:t>2017</w:t>
      </w:r>
      <w:r>
        <w:rPr>
          <w:rFonts w:hint="eastAsia" w:cs="宋体"/>
          <w:kern w:val="0"/>
          <w:szCs w:val="21"/>
          <w:highlight w:val="none"/>
          <w:lang w:val="zh-CN"/>
        </w:rPr>
        <w:t>〕</w:t>
      </w:r>
      <w:r>
        <w:rPr>
          <w:rFonts w:cs="??_GB2312"/>
          <w:kern w:val="0"/>
          <w:szCs w:val="21"/>
          <w:highlight w:val="none"/>
        </w:rPr>
        <w:t xml:space="preserve"> 141</w:t>
      </w:r>
      <w:r>
        <w:rPr>
          <w:rFonts w:hint="eastAsia" w:cs="宋体"/>
          <w:spacing w:val="6"/>
          <w:kern w:val="0"/>
          <w:szCs w:val="21"/>
          <w:highlight w:val="none"/>
          <w:lang w:val="zh-CN"/>
        </w:rPr>
        <w:t>号）的规定，本单位为符合条件的残疾人福利性单位，且本单位参加</w:t>
      </w:r>
      <w:r>
        <w:rPr>
          <w:rFonts w:cs="??_GB2312"/>
          <w:spacing w:val="6"/>
          <w:kern w:val="0"/>
          <w:szCs w:val="21"/>
          <w:highlight w:val="none"/>
        </w:rPr>
        <w:t>______</w:t>
      </w:r>
      <w:r>
        <w:rPr>
          <w:rFonts w:hint="eastAsia" w:cs="宋体"/>
          <w:spacing w:val="6"/>
          <w:kern w:val="0"/>
          <w:szCs w:val="21"/>
          <w:highlight w:val="none"/>
          <w:lang w:val="zh-CN"/>
        </w:rPr>
        <w:t>单位的</w:t>
      </w:r>
      <w:r>
        <w:rPr>
          <w:rFonts w:cs="??_GB2312"/>
          <w:spacing w:val="6"/>
          <w:kern w:val="0"/>
          <w:szCs w:val="21"/>
          <w:highlight w:val="none"/>
        </w:rPr>
        <w:t>______</w:t>
      </w:r>
      <w:r>
        <w:rPr>
          <w:rFonts w:hint="eastAsia" w:cs="宋体"/>
          <w:spacing w:val="6"/>
          <w:kern w:val="0"/>
          <w:szCs w:val="21"/>
          <w:highlight w:val="none"/>
          <w:lang w:val="zh-CN"/>
        </w:rPr>
        <w:t>项目采购活动提供本单位制造的货物（由本单位承担工程</w:t>
      </w:r>
      <w:r>
        <w:rPr>
          <w:rFonts w:cs="??_GB2312"/>
          <w:spacing w:val="6"/>
          <w:kern w:val="0"/>
          <w:szCs w:val="21"/>
          <w:highlight w:val="none"/>
        </w:rPr>
        <w:t>/</w:t>
      </w:r>
      <w:r>
        <w:rPr>
          <w:rFonts w:hint="eastAsia" w:cs="宋体"/>
          <w:spacing w:val="6"/>
          <w:kern w:val="0"/>
          <w:szCs w:val="21"/>
          <w:highlight w:val="none"/>
          <w:lang w:val="zh-CN"/>
        </w:rPr>
        <w:t>提供服务），或者提供其他残疾人福利性单位制造的货物（不包括使用非残疾人福利性单位注册商标的货物）。</w:t>
      </w:r>
    </w:p>
    <w:p w14:paraId="4200132D">
      <w:pPr>
        <w:autoSpaceDE w:val="0"/>
        <w:autoSpaceDN w:val="0"/>
        <w:adjustRightInd w:val="0"/>
        <w:rPr>
          <w:rFonts w:hint="eastAsia" w:cs="宋体"/>
          <w:spacing w:val="6"/>
          <w:kern w:val="0"/>
          <w:szCs w:val="21"/>
          <w:highlight w:val="none"/>
          <w:lang w:val="zh-CN"/>
        </w:rPr>
      </w:pPr>
      <w:r>
        <w:rPr>
          <w:rFonts w:hint="eastAsia" w:cs="宋体"/>
          <w:spacing w:val="6"/>
          <w:kern w:val="0"/>
          <w:szCs w:val="21"/>
          <w:highlight w:val="none"/>
          <w:lang w:val="zh-CN"/>
        </w:rPr>
        <w:t xml:space="preserve">    本单位对上述声明的真实性负责。如有虚假，将依法承担相应责任。</w:t>
      </w:r>
    </w:p>
    <w:p w14:paraId="17EC7573">
      <w:pPr>
        <w:autoSpaceDE w:val="0"/>
        <w:autoSpaceDN w:val="0"/>
        <w:adjustRightInd w:val="0"/>
        <w:ind w:firstLine="624"/>
        <w:rPr>
          <w:rFonts w:hint="eastAsia" w:cs="??_GB2312"/>
          <w:spacing w:val="6"/>
          <w:kern w:val="0"/>
          <w:szCs w:val="21"/>
          <w:highlight w:val="none"/>
        </w:rPr>
      </w:pPr>
    </w:p>
    <w:p w14:paraId="656276EB">
      <w:pPr>
        <w:autoSpaceDE w:val="0"/>
        <w:autoSpaceDN w:val="0"/>
        <w:adjustRightInd w:val="0"/>
        <w:ind w:firstLine="624"/>
        <w:rPr>
          <w:rFonts w:hint="eastAsia" w:cs="??_GB2312"/>
          <w:spacing w:val="6"/>
          <w:kern w:val="0"/>
          <w:szCs w:val="21"/>
          <w:highlight w:val="none"/>
        </w:rPr>
      </w:pPr>
    </w:p>
    <w:p w14:paraId="0D7913C7">
      <w:pPr>
        <w:autoSpaceDE w:val="0"/>
        <w:autoSpaceDN w:val="0"/>
        <w:adjustRightInd w:val="0"/>
        <w:ind w:firstLine="624"/>
        <w:rPr>
          <w:rFonts w:hint="eastAsia" w:cs="??_GB2312"/>
          <w:spacing w:val="6"/>
          <w:kern w:val="0"/>
          <w:szCs w:val="21"/>
          <w:highlight w:val="none"/>
        </w:rPr>
      </w:pPr>
    </w:p>
    <w:p w14:paraId="78F87D2D">
      <w:pPr>
        <w:tabs>
          <w:tab w:val="left" w:pos="4860"/>
        </w:tabs>
        <w:autoSpaceDE w:val="0"/>
        <w:autoSpaceDN w:val="0"/>
        <w:adjustRightInd w:val="0"/>
        <w:ind w:right="1560" w:firstLine="624"/>
        <w:jc w:val="center"/>
        <w:rPr>
          <w:rFonts w:hint="eastAsia" w:cs="??_GB2312"/>
          <w:spacing w:val="6"/>
          <w:kern w:val="0"/>
          <w:szCs w:val="21"/>
          <w:highlight w:val="none"/>
        </w:rPr>
      </w:pPr>
      <w:r>
        <w:rPr>
          <w:rFonts w:cs="??_GB2312"/>
          <w:spacing w:val="6"/>
          <w:kern w:val="0"/>
          <w:szCs w:val="21"/>
          <w:highlight w:val="none"/>
        </w:rPr>
        <w:t xml:space="preserve">               </w:t>
      </w:r>
      <w:r>
        <w:rPr>
          <w:rFonts w:hint="eastAsia" w:cs="宋体"/>
          <w:spacing w:val="6"/>
          <w:kern w:val="0"/>
          <w:szCs w:val="21"/>
          <w:highlight w:val="none"/>
          <w:lang w:val="zh-CN"/>
        </w:rPr>
        <w:t>单位名称（盖章）：</w:t>
      </w:r>
    </w:p>
    <w:p w14:paraId="6FE716EA">
      <w:pPr>
        <w:tabs>
          <w:tab w:val="left" w:pos="4860"/>
        </w:tabs>
        <w:autoSpaceDE w:val="0"/>
        <w:autoSpaceDN w:val="0"/>
        <w:adjustRightInd w:val="0"/>
        <w:ind w:right="1560" w:firstLine="624"/>
        <w:jc w:val="center"/>
        <w:rPr>
          <w:rFonts w:hint="eastAsia" w:cs="宋体"/>
          <w:spacing w:val="6"/>
          <w:kern w:val="0"/>
          <w:szCs w:val="21"/>
          <w:highlight w:val="none"/>
          <w:lang w:val="zh-CN"/>
        </w:rPr>
      </w:pPr>
      <w:r>
        <w:rPr>
          <w:rFonts w:cs="??_GB2312"/>
          <w:spacing w:val="6"/>
          <w:kern w:val="0"/>
          <w:szCs w:val="21"/>
          <w:highlight w:val="none"/>
        </w:rPr>
        <w:t xml:space="preserve">       </w:t>
      </w:r>
      <w:r>
        <w:rPr>
          <w:rFonts w:hint="eastAsia" w:cs="宋体"/>
          <w:spacing w:val="6"/>
          <w:kern w:val="0"/>
          <w:szCs w:val="21"/>
          <w:highlight w:val="none"/>
          <w:lang w:val="zh-CN"/>
        </w:rPr>
        <w:t>日</w:t>
      </w:r>
      <w:r>
        <w:rPr>
          <w:rFonts w:cs="??_GB2312"/>
          <w:spacing w:val="6"/>
          <w:kern w:val="0"/>
          <w:szCs w:val="21"/>
          <w:highlight w:val="none"/>
        </w:rPr>
        <w:t xml:space="preserve">  </w:t>
      </w:r>
      <w:r>
        <w:rPr>
          <w:rFonts w:hint="eastAsia" w:cs="宋体"/>
          <w:spacing w:val="6"/>
          <w:kern w:val="0"/>
          <w:szCs w:val="21"/>
          <w:highlight w:val="none"/>
          <w:lang w:val="zh-CN"/>
        </w:rPr>
        <w:t>期：</w:t>
      </w:r>
    </w:p>
    <w:p w14:paraId="0F66FAAF">
      <w:pPr>
        <w:tabs>
          <w:tab w:val="left" w:pos="4860"/>
        </w:tabs>
        <w:autoSpaceDE w:val="0"/>
        <w:autoSpaceDN w:val="0"/>
        <w:adjustRightInd w:val="0"/>
        <w:ind w:right="1560" w:firstLine="624"/>
        <w:jc w:val="center"/>
        <w:rPr>
          <w:rFonts w:hint="eastAsia" w:cs="宋体"/>
          <w:spacing w:val="6"/>
          <w:kern w:val="0"/>
          <w:szCs w:val="21"/>
          <w:highlight w:val="none"/>
          <w:lang w:val="zh-CN"/>
        </w:rPr>
      </w:pPr>
    </w:p>
    <w:p w14:paraId="7CABBFCC">
      <w:pPr>
        <w:tabs>
          <w:tab w:val="left" w:pos="4860"/>
        </w:tabs>
        <w:autoSpaceDE w:val="0"/>
        <w:autoSpaceDN w:val="0"/>
        <w:adjustRightInd w:val="0"/>
        <w:ind w:right="1560" w:firstLine="624"/>
        <w:jc w:val="center"/>
        <w:rPr>
          <w:rFonts w:hint="eastAsia" w:cs="宋体"/>
          <w:spacing w:val="6"/>
          <w:kern w:val="0"/>
          <w:szCs w:val="21"/>
          <w:highlight w:val="none"/>
          <w:lang w:val="zh-CN"/>
        </w:rPr>
      </w:pPr>
    </w:p>
    <w:p w14:paraId="63E9E619">
      <w:pPr>
        <w:tabs>
          <w:tab w:val="left" w:pos="4860"/>
        </w:tabs>
        <w:autoSpaceDE w:val="0"/>
        <w:autoSpaceDN w:val="0"/>
        <w:adjustRightInd w:val="0"/>
        <w:ind w:right="1560" w:firstLine="624"/>
        <w:jc w:val="center"/>
        <w:rPr>
          <w:rFonts w:hint="eastAsia" w:cs="宋体"/>
          <w:spacing w:val="6"/>
          <w:kern w:val="0"/>
          <w:szCs w:val="21"/>
          <w:highlight w:val="none"/>
          <w:lang w:val="zh-CN"/>
        </w:rPr>
      </w:pPr>
    </w:p>
    <w:p w14:paraId="1F2D49FD">
      <w:pPr>
        <w:tabs>
          <w:tab w:val="left" w:pos="4860"/>
        </w:tabs>
        <w:autoSpaceDE w:val="0"/>
        <w:autoSpaceDN w:val="0"/>
        <w:adjustRightInd w:val="0"/>
        <w:ind w:right="90"/>
        <w:jc w:val="left"/>
        <w:rPr>
          <w:rFonts w:hint="eastAsia" w:cs="宋体"/>
          <w:spacing w:val="6"/>
          <w:kern w:val="0"/>
          <w:szCs w:val="21"/>
          <w:highlight w:val="none"/>
          <w:lang w:val="zh-CN"/>
        </w:rPr>
      </w:pPr>
      <w:r>
        <w:rPr>
          <w:rFonts w:hint="eastAsia" w:cs="宋体"/>
          <w:spacing w:val="6"/>
          <w:kern w:val="0"/>
          <w:szCs w:val="21"/>
          <w:highlight w:val="none"/>
          <w:lang w:val="zh-CN"/>
        </w:rPr>
        <w:t>说明：按照《关于促进残疾人就业政府采购政策的通知》（财库〔2017〕141号）的规定，残疾人福利性单位仅需提供声明函，不需提供其他证明材料。</w:t>
      </w:r>
    </w:p>
    <w:p w14:paraId="277C40E2">
      <w:pPr>
        <w:tabs>
          <w:tab w:val="left" w:pos="4860"/>
        </w:tabs>
        <w:autoSpaceDE w:val="0"/>
        <w:autoSpaceDN w:val="0"/>
        <w:adjustRightInd w:val="0"/>
        <w:ind w:right="1560" w:firstLine="624"/>
        <w:jc w:val="center"/>
        <w:rPr>
          <w:rFonts w:hint="eastAsia" w:cs="??_GB2312"/>
          <w:spacing w:val="6"/>
          <w:kern w:val="0"/>
          <w:szCs w:val="21"/>
          <w:highlight w:val="none"/>
        </w:rPr>
      </w:pPr>
    </w:p>
    <w:p w14:paraId="64D1ED00">
      <w:pPr>
        <w:tabs>
          <w:tab w:val="left" w:pos="3600"/>
        </w:tabs>
        <w:adjustRightInd w:val="0"/>
        <w:snapToGrid w:val="0"/>
        <w:jc w:val="center"/>
        <w:rPr>
          <w:rFonts w:hint="eastAsia" w:cs="宋体"/>
          <w:bCs/>
          <w:spacing w:val="6"/>
          <w:kern w:val="0"/>
          <w:sz w:val="28"/>
          <w:szCs w:val="28"/>
          <w:highlight w:val="none"/>
        </w:rPr>
      </w:pPr>
      <w:r>
        <w:rPr>
          <w:bCs/>
          <w:sz w:val="28"/>
          <w:szCs w:val="28"/>
          <w:highlight w:val="none"/>
        </w:rPr>
        <w:br w:type="page"/>
      </w:r>
      <w:r>
        <w:rPr>
          <w:rFonts w:hint="eastAsia" w:cs="宋体"/>
          <w:bCs/>
          <w:spacing w:val="6"/>
          <w:kern w:val="0"/>
          <w:sz w:val="28"/>
          <w:szCs w:val="28"/>
          <w:highlight w:val="none"/>
        </w:rPr>
        <w:t>监狱企业声明函</w:t>
      </w:r>
    </w:p>
    <w:p w14:paraId="647DFD1A">
      <w:pPr>
        <w:tabs>
          <w:tab w:val="left" w:pos="4860"/>
        </w:tabs>
        <w:autoSpaceDE w:val="0"/>
        <w:autoSpaceDN w:val="0"/>
        <w:adjustRightInd w:val="0"/>
        <w:ind w:right="90" w:firstLine="624"/>
        <w:jc w:val="left"/>
        <w:rPr>
          <w:rFonts w:hint="eastAsia" w:cs="宋体"/>
          <w:spacing w:val="6"/>
          <w:kern w:val="0"/>
          <w:szCs w:val="21"/>
          <w:highlight w:val="none"/>
          <w:lang w:val="zh-CN"/>
        </w:rPr>
      </w:pPr>
    </w:p>
    <w:p w14:paraId="5063C20F">
      <w:pPr>
        <w:tabs>
          <w:tab w:val="left" w:pos="4860"/>
        </w:tabs>
        <w:autoSpaceDE w:val="0"/>
        <w:autoSpaceDN w:val="0"/>
        <w:adjustRightInd w:val="0"/>
        <w:ind w:right="90"/>
        <w:jc w:val="left"/>
        <w:rPr>
          <w:rFonts w:hint="eastAsia" w:cs="宋体"/>
          <w:spacing w:val="6"/>
          <w:kern w:val="0"/>
          <w:szCs w:val="21"/>
          <w:highlight w:val="none"/>
          <w:lang w:val="zh-CN"/>
        </w:rPr>
      </w:pPr>
      <w:r>
        <w:rPr>
          <w:rFonts w:hint="eastAsia" w:cs="宋体"/>
          <w:spacing w:val="6"/>
          <w:kern w:val="0"/>
          <w:szCs w:val="21"/>
          <w:highlight w:val="none"/>
          <w:lang w:val="zh-CN"/>
        </w:rPr>
        <w:t xml:space="preserve">    本单位郑重声明，根据《关于政府采购支持监狱企业发展有关问题的通知》（财库[2014]68号）的规定，本单位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189DB5">
      <w:pPr>
        <w:tabs>
          <w:tab w:val="left" w:pos="4860"/>
        </w:tabs>
        <w:autoSpaceDE w:val="0"/>
        <w:autoSpaceDN w:val="0"/>
        <w:adjustRightInd w:val="0"/>
        <w:ind w:right="90"/>
        <w:jc w:val="left"/>
        <w:rPr>
          <w:rFonts w:hint="eastAsia" w:cs="宋体"/>
          <w:spacing w:val="6"/>
          <w:kern w:val="0"/>
          <w:szCs w:val="21"/>
          <w:highlight w:val="none"/>
          <w:lang w:val="zh-CN"/>
        </w:rPr>
      </w:pPr>
      <w:r>
        <w:rPr>
          <w:rFonts w:hint="eastAsia" w:cs="宋体"/>
          <w:spacing w:val="6"/>
          <w:kern w:val="0"/>
          <w:szCs w:val="21"/>
          <w:highlight w:val="none"/>
          <w:lang w:val="zh-CN"/>
        </w:rPr>
        <w:t xml:space="preserve">    本单位参加______单位的______项目采购活动提供本单位制造的货物（由本单位承担工程/提供服务），或者提供其他监狱/戒毒企业制造的货物。</w:t>
      </w:r>
    </w:p>
    <w:p w14:paraId="3166DD94">
      <w:pPr>
        <w:tabs>
          <w:tab w:val="left" w:pos="4860"/>
        </w:tabs>
        <w:autoSpaceDE w:val="0"/>
        <w:autoSpaceDN w:val="0"/>
        <w:adjustRightInd w:val="0"/>
        <w:ind w:right="90"/>
        <w:jc w:val="left"/>
        <w:rPr>
          <w:rFonts w:hint="eastAsia" w:cs="宋体"/>
          <w:spacing w:val="6"/>
          <w:kern w:val="0"/>
          <w:szCs w:val="21"/>
          <w:highlight w:val="none"/>
          <w:lang w:val="zh-CN"/>
        </w:rPr>
      </w:pPr>
      <w:r>
        <w:rPr>
          <w:rFonts w:hint="eastAsia" w:cs="宋体"/>
          <w:spacing w:val="6"/>
          <w:kern w:val="0"/>
          <w:szCs w:val="21"/>
          <w:highlight w:val="none"/>
          <w:lang w:val="zh-CN"/>
        </w:rPr>
        <w:t xml:space="preserve">    本单位对上述声明的真实性负责。如有虚假，将依法承担相应责任。</w:t>
      </w:r>
    </w:p>
    <w:p w14:paraId="524F52C7">
      <w:pPr>
        <w:tabs>
          <w:tab w:val="left" w:pos="4860"/>
        </w:tabs>
        <w:autoSpaceDE w:val="0"/>
        <w:autoSpaceDN w:val="0"/>
        <w:adjustRightInd w:val="0"/>
        <w:ind w:right="90" w:firstLine="624"/>
        <w:jc w:val="left"/>
        <w:rPr>
          <w:rFonts w:hint="eastAsia" w:cs="宋体"/>
          <w:spacing w:val="6"/>
          <w:kern w:val="0"/>
          <w:szCs w:val="21"/>
          <w:highlight w:val="none"/>
          <w:lang w:val="zh-CN"/>
        </w:rPr>
      </w:pPr>
    </w:p>
    <w:p w14:paraId="4827783B">
      <w:pPr>
        <w:tabs>
          <w:tab w:val="left" w:pos="4860"/>
        </w:tabs>
        <w:autoSpaceDE w:val="0"/>
        <w:autoSpaceDN w:val="0"/>
        <w:adjustRightInd w:val="0"/>
        <w:ind w:right="90" w:firstLine="624"/>
        <w:jc w:val="left"/>
        <w:rPr>
          <w:rFonts w:hint="eastAsia" w:cs="宋体"/>
          <w:spacing w:val="6"/>
          <w:kern w:val="0"/>
          <w:szCs w:val="21"/>
          <w:highlight w:val="none"/>
          <w:lang w:val="zh-CN"/>
        </w:rPr>
      </w:pPr>
    </w:p>
    <w:p w14:paraId="2D3C4467">
      <w:pPr>
        <w:tabs>
          <w:tab w:val="left" w:pos="4860"/>
        </w:tabs>
        <w:autoSpaceDE w:val="0"/>
        <w:autoSpaceDN w:val="0"/>
        <w:adjustRightInd w:val="0"/>
        <w:ind w:right="90" w:firstLine="624"/>
        <w:jc w:val="left"/>
        <w:rPr>
          <w:rFonts w:hint="eastAsia" w:cs="宋体"/>
          <w:spacing w:val="6"/>
          <w:kern w:val="0"/>
          <w:szCs w:val="21"/>
          <w:highlight w:val="none"/>
          <w:lang w:val="zh-CN"/>
        </w:rPr>
      </w:pPr>
      <w:r>
        <w:rPr>
          <w:rFonts w:hint="eastAsia" w:cs="宋体"/>
          <w:spacing w:val="6"/>
          <w:kern w:val="0"/>
          <w:szCs w:val="21"/>
          <w:highlight w:val="none"/>
          <w:lang w:val="zh-CN"/>
        </w:rPr>
        <w:t xml:space="preserve">                             单位名称（盖章）：</w:t>
      </w:r>
    </w:p>
    <w:p w14:paraId="7C18FC81">
      <w:pPr>
        <w:tabs>
          <w:tab w:val="left" w:pos="4860"/>
        </w:tabs>
        <w:autoSpaceDE w:val="0"/>
        <w:autoSpaceDN w:val="0"/>
        <w:adjustRightInd w:val="0"/>
        <w:ind w:right="90" w:firstLine="624"/>
        <w:jc w:val="left"/>
        <w:rPr>
          <w:rFonts w:hint="eastAsia" w:cs="宋体"/>
          <w:spacing w:val="6"/>
          <w:kern w:val="0"/>
          <w:szCs w:val="21"/>
          <w:highlight w:val="none"/>
          <w:lang w:val="zh-CN"/>
        </w:rPr>
      </w:pPr>
      <w:r>
        <w:rPr>
          <w:rFonts w:hint="eastAsia" w:cs="宋体"/>
          <w:spacing w:val="6"/>
          <w:kern w:val="0"/>
          <w:szCs w:val="21"/>
          <w:highlight w:val="none"/>
          <w:lang w:val="zh-CN"/>
        </w:rPr>
        <w:t xml:space="preserve">                                 日  期：</w:t>
      </w:r>
    </w:p>
    <w:p w14:paraId="659BDFF1">
      <w:pPr>
        <w:tabs>
          <w:tab w:val="left" w:pos="4860"/>
        </w:tabs>
        <w:autoSpaceDE w:val="0"/>
        <w:autoSpaceDN w:val="0"/>
        <w:adjustRightInd w:val="0"/>
        <w:ind w:right="90" w:firstLine="624"/>
        <w:jc w:val="left"/>
        <w:rPr>
          <w:rFonts w:hint="eastAsia" w:cs="宋体"/>
          <w:spacing w:val="6"/>
          <w:kern w:val="0"/>
          <w:szCs w:val="21"/>
          <w:highlight w:val="none"/>
          <w:lang w:val="zh-CN"/>
        </w:rPr>
      </w:pPr>
    </w:p>
    <w:p w14:paraId="27EAFCCA">
      <w:pPr>
        <w:tabs>
          <w:tab w:val="left" w:pos="4860"/>
        </w:tabs>
        <w:autoSpaceDE w:val="0"/>
        <w:autoSpaceDN w:val="0"/>
        <w:adjustRightInd w:val="0"/>
        <w:ind w:right="90" w:firstLine="624"/>
        <w:jc w:val="left"/>
        <w:rPr>
          <w:rFonts w:hint="eastAsia" w:cs="宋体"/>
          <w:spacing w:val="6"/>
          <w:kern w:val="0"/>
          <w:szCs w:val="21"/>
          <w:highlight w:val="none"/>
          <w:lang w:val="zh-CN"/>
        </w:rPr>
      </w:pPr>
    </w:p>
    <w:p w14:paraId="7CF09BDC">
      <w:pPr>
        <w:tabs>
          <w:tab w:val="left" w:pos="4860"/>
        </w:tabs>
        <w:autoSpaceDE w:val="0"/>
        <w:autoSpaceDN w:val="0"/>
        <w:adjustRightInd w:val="0"/>
        <w:ind w:right="90" w:firstLine="624"/>
        <w:jc w:val="left"/>
        <w:rPr>
          <w:rFonts w:hint="eastAsia" w:cs="宋体"/>
          <w:spacing w:val="6"/>
          <w:kern w:val="0"/>
          <w:szCs w:val="21"/>
          <w:highlight w:val="none"/>
          <w:lang w:val="zh-CN"/>
        </w:rPr>
      </w:pPr>
    </w:p>
    <w:p w14:paraId="359835E4">
      <w:pPr>
        <w:tabs>
          <w:tab w:val="left" w:pos="3600"/>
        </w:tabs>
        <w:adjustRightInd w:val="0"/>
        <w:snapToGrid w:val="0"/>
        <w:jc w:val="left"/>
        <w:rPr>
          <w:rFonts w:hint="eastAsia" w:cs="??_GB2312"/>
          <w:spacing w:val="6"/>
          <w:kern w:val="0"/>
          <w:szCs w:val="21"/>
          <w:highlight w:val="none"/>
        </w:rPr>
      </w:pPr>
      <w:r>
        <w:rPr>
          <w:rFonts w:hint="eastAsia" w:cs="宋体"/>
          <w:spacing w:val="6"/>
          <w:kern w:val="0"/>
          <w:szCs w:val="21"/>
          <w:highlight w:val="none"/>
          <w:lang w:val="zh-CN"/>
        </w:rPr>
        <w:t>说明：按照《关于政府采购支持监狱企业发展有关问题的通知》（财库[2014]68号）的规定，供应商除提供此声明函外，还须提供提供由省级以上监狱管理局、戒毒管理局(含新疆生产建设兵团)出具的属于监狱企业的证明文件，否则评审时不予以认可。</w:t>
      </w:r>
    </w:p>
    <w:p w14:paraId="2B58461E">
      <w:pPr>
        <w:widowControl/>
        <w:adjustRightInd w:val="0"/>
        <w:snapToGrid w:val="0"/>
        <w:jc w:val="left"/>
        <w:rPr>
          <w:rFonts w:hint="eastAsia"/>
          <w:b/>
          <w:highlight w:val="none"/>
        </w:rPr>
      </w:pPr>
    </w:p>
    <w:p w14:paraId="449FC593">
      <w:pPr>
        <w:adjustRightInd w:val="0"/>
        <w:snapToGrid w:val="0"/>
        <w:ind w:right="24"/>
        <w:rPr>
          <w:rFonts w:hint="eastAsia"/>
          <w:b/>
          <w:highlight w:val="none"/>
        </w:rPr>
        <w:sectPr>
          <w:pgSz w:w="11906" w:h="16838"/>
          <w:pgMar w:top="1440" w:right="1800" w:bottom="1440" w:left="1800" w:header="851" w:footer="992" w:gutter="0"/>
          <w:cols w:space="720" w:num="1"/>
          <w:docGrid w:type="lines" w:linePitch="312" w:charSpace="0"/>
        </w:sectPr>
      </w:pPr>
    </w:p>
    <w:p w14:paraId="70CDFA7A">
      <w:pPr>
        <w:pStyle w:val="3"/>
        <w:numPr>
          <w:ilvl w:val="0"/>
          <w:numId w:val="0"/>
        </w:numPr>
        <w:ind w:left="576" w:hanging="576"/>
        <w:jc w:val="center"/>
        <w:rPr>
          <w:rFonts w:hint="eastAsia" w:ascii="宋体" w:hAnsi="宋体"/>
          <w:highlight w:val="none"/>
        </w:rPr>
      </w:pPr>
      <w:bookmarkStart w:id="235" w:name="_Toc480804909"/>
      <w:bookmarkStart w:id="236" w:name="_Toc465444057"/>
      <w:bookmarkStart w:id="237" w:name="_Toc38878804"/>
      <w:r>
        <w:rPr>
          <w:rFonts w:hint="eastAsia" w:ascii="宋体" w:hAnsi="宋体"/>
          <w:highlight w:val="none"/>
        </w:rPr>
        <w:t>四、投标人基本情况</w:t>
      </w:r>
      <w:bookmarkEnd w:id="235"/>
      <w:bookmarkEnd w:id="236"/>
      <w:bookmarkEnd w:id="237"/>
    </w:p>
    <w:p w14:paraId="290F113C">
      <w:pPr>
        <w:adjustRightInd w:val="0"/>
        <w:snapToGrid w:val="0"/>
        <w:ind w:right="24"/>
        <w:rPr>
          <w:rFonts w:hint="eastAsia"/>
          <w:sz w:val="32"/>
          <w:szCs w:val="32"/>
          <w:highlight w:val="none"/>
        </w:rPr>
      </w:pPr>
      <w:r>
        <w:rPr>
          <w:rFonts w:hint="eastAsia"/>
          <w:bCs/>
          <w:sz w:val="28"/>
          <w:szCs w:val="28"/>
          <w:highlight w:val="none"/>
        </w:rPr>
        <w:t>附件8</w:t>
      </w:r>
    </w:p>
    <w:p w14:paraId="4214E877">
      <w:pPr>
        <w:adjustRightInd w:val="0"/>
        <w:snapToGrid w:val="0"/>
        <w:jc w:val="center"/>
        <w:rPr>
          <w:rFonts w:hint="eastAsia"/>
          <w:sz w:val="28"/>
          <w:szCs w:val="28"/>
          <w:highlight w:val="none"/>
        </w:rPr>
      </w:pPr>
      <w:r>
        <w:rPr>
          <w:rFonts w:hint="eastAsia"/>
          <w:sz w:val="28"/>
          <w:szCs w:val="28"/>
          <w:highlight w:val="none"/>
        </w:rPr>
        <w:t>投标人基本情况表</w:t>
      </w:r>
    </w:p>
    <w:p w14:paraId="3726E384">
      <w:pPr>
        <w:adjustRightInd w:val="0"/>
        <w:snapToGrid w:val="0"/>
        <w:rPr>
          <w:rFonts w:hint="eastAsia"/>
          <w:szCs w:val="21"/>
          <w:highlight w:val="none"/>
        </w:rPr>
      </w:pPr>
      <w:r>
        <w:rPr>
          <w:rFonts w:hint="eastAsia"/>
          <w:szCs w:val="21"/>
          <w:highlight w:val="none"/>
        </w:rPr>
        <w:t>盖投标人单位章</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551"/>
      </w:tblGrid>
      <w:tr w14:paraId="39D9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69F300F6">
            <w:pPr>
              <w:topLinePunct/>
              <w:spacing w:line="440" w:lineRule="exact"/>
              <w:jc w:val="center"/>
              <w:rPr>
                <w:rFonts w:hint="eastAsia"/>
                <w:szCs w:val="21"/>
                <w:highlight w:val="none"/>
              </w:rPr>
            </w:pPr>
            <w:r>
              <w:rPr>
                <w:rFonts w:hint="eastAsia"/>
                <w:highlight w:val="none"/>
              </w:rPr>
              <w:t>投标人</w:t>
            </w:r>
            <w:r>
              <w:rPr>
                <w:szCs w:val="21"/>
                <w:highlight w:val="none"/>
              </w:rPr>
              <w:t>名称</w:t>
            </w:r>
          </w:p>
        </w:tc>
        <w:tc>
          <w:tcPr>
            <w:tcW w:w="3960" w:type="dxa"/>
            <w:gridSpan w:val="5"/>
            <w:vAlign w:val="center"/>
          </w:tcPr>
          <w:p w14:paraId="2A78DE8C">
            <w:pPr>
              <w:topLinePunct/>
              <w:spacing w:line="440" w:lineRule="exact"/>
              <w:jc w:val="center"/>
              <w:rPr>
                <w:rFonts w:hint="eastAsia"/>
                <w:szCs w:val="21"/>
                <w:highlight w:val="none"/>
              </w:rPr>
            </w:pPr>
          </w:p>
        </w:tc>
        <w:tc>
          <w:tcPr>
            <w:tcW w:w="1329" w:type="dxa"/>
            <w:vAlign w:val="center"/>
          </w:tcPr>
          <w:p w14:paraId="79FE5A07">
            <w:pPr>
              <w:topLinePunct/>
              <w:spacing w:line="440" w:lineRule="exact"/>
              <w:jc w:val="center"/>
              <w:rPr>
                <w:rFonts w:hint="eastAsia"/>
                <w:szCs w:val="21"/>
                <w:highlight w:val="none"/>
              </w:rPr>
            </w:pPr>
            <w:r>
              <w:rPr>
                <w:szCs w:val="21"/>
                <w:highlight w:val="none"/>
              </w:rPr>
              <w:t>法定代表人</w:t>
            </w:r>
          </w:p>
        </w:tc>
        <w:tc>
          <w:tcPr>
            <w:tcW w:w="1551" w:type="dxa"/>
            <w:vAlign w:val="center"/>
          </w:tcPr>
          <w:p w14:paraId="2DD0AF16">
            <w:pPr>
              <w:topLinePunct/>
              <w:spacing w:line="440" w:lineRule="exact"/>
              <w:jc w:val="center"/>
              <w:rPr>
                <w:rFonts w:hint="eastAsia"/>
                <w:szCs w:val="21"/>
                <w:highlight w:val="none"/>
              </w:rPr>
            </w:pPr>
          </w:p>
        </w:tc>
      </w:tr>
      <w:tr w14:paraId="108D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6F97A06E">
            <w:pPr>
              <w:topLinePunct/>
              <w:spacing w:line="440" w:lineRule="exact"/>
              <w:jc w:val="center"/>
              <w:rPr>
                <w:rFonts w:hint="eastAsia"/>
                <w:szCs w:val="21"/>
                <w:highlight w:val="none"/>
              </w:rPr>
            </w:pPr>
            <w:r>
              <w:rPr>
                <w:rFonts w:hint="eastAsia"/>
                <w:szCs w:val="21"/>
                <w:highlight w:val="none"/>
              </w:rPr>
              <w:t>组织机构代码</w:t>
            </w:r>
          </w:p>
        </w:tc>
        <w:tc>
          <w:tcPr>
            <w:tcW w:w="3960" w:type="dxa"/>
            <w:gridSpan w:val="5"/>
            <w:vAlign w:val="center"/>
          </w:tcPr>
          <w:p w14:paraId="26F286BC">
            <w:pPr>
              <w:topLinePunct/>
              <w:spacing w:line="440" w:lineRule="exact"/>
              <w:jc w:val="center"/>
              <w:rPr>
                <w:rFonts w:hint="eastAsia"/>
                <w:szCs w:val="21"/>
                <w:highlight w:val="none"/>
              </w:rPr>
            </w:pPr>
          </w:p>
        </w:tc>
        <w:tc>
          <w:tcPr>
            <w:tcW w:w="1329" w:type="dxa"/>
            <w:vAlign w:val="center"/>
          </w:tcPr>
          <w:p w14:paraId="4127ADFE">
            <w:pPr>
              <w:topLinePunct/>
              <w:spacing w:line="440" w:lineRule="exact"/>
              <w:jc w:val="center"/>
              <w:rPr>
                <w:rFonts w:hint="eastAsia"/>
                <w:szCs w:val="21"/>
                <w:highlight w:val="none"/>
              </w:rPr>
            </w:pPr>
            <w:r>
              <w:rPr>
                <w:szCs w:val="21"/>
                <w:highlight w:val="none"/>
              </w:rPr>
              <w:t>邮政编码</w:t>
            </w:r>
          </w:p>
        </w:tc>
        <w:tc>
          <w:tcPr>
            <w:tcW w:w="1551" w:type="dxa"/>
            <w:vAlign w:val="center"/>
          </w:tcPr>
          <w:p w14:paraId="2A4ABEFE">
            <w:pPr>
              <w:topLinePunct/>
              <w:spacing w:line="440" w:lineRule="exact"/>
              <w:jc w:val="center"/>
              <w:rPr>
                <w:rFonts w:hint="eastAsia"/>
                <w:szCs w:val="21"/>
                <w:highlight w:val="none"/>
              </w:rPr>
            </w:pPr>
          </w:p>
        </w:tc>
      </w:tr>
      <w:tr w14:paraId="1443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2F1667A9">
            <w:pPr>
              <w:topLinePunct/>
              <w:spacing w:line="440" w:lineRule="exact"/>
              <w:jc w:val="center"/>
              <w:rPr>
                <w:rFonts w:hint="eastAsia"/>
                <w:szCs w:val="21"/>
                <w:highlight w:val="none"/>
              </w:rPr>
            </w:pPr>
            <w:r>
              <w:rPr>
                <w:rFonts w:hint="eastAsia"/>
                <w:szCs w:val="21"/>
                <w:highlight w:val="none"/>
              </w:rPr>
              <w:t>委托代理</w:t>
            </w:r>
            <w:r>
              <w:rPr>
                <w:szCs w:val="21"/>
                <w:highlight w:val="none"/>
              </w:rPr>
              <w:t>人</w:t>
            </w:r>
          </w:p>
        </w:tc>
        <w:tc>
          <w:tcPr>
            <w:tcW w:w="3960" w:type="dxa"/>
            <w:gridSpan w:val="5"/>
            <w:vAlign w:val="center"/>
          </w:tcPr>
          <w:p w14:paraId="09937805">
            <w:pPr>
              <w:topLinePunct/>
              <w:spacing w:line="440" w:lineRule="exact"/>
              <w:jc w:val="center"/>
              <w:rPr>
                <w:rFonts w:hint="eastAsia"/>
                <w:szCs w:val="21"/>
                <w:highlight w:val="none"/>
              </w:rPr>
            </w:pPr>
          </w:p>
        </w:tc>
        <w:tc>
          <w:tcPr>
            <w:tcW w:w="1329" w:type="dxa"/>
            <w:vAlign w:val="center"/>
          </w:tcPr>
          <w:p w14:paraId="796FFF13">
            <w:pPr>
              <w:topLinePunct/>
              <w:spacing w:line="440" w:lineRule="exact"/>
              <w:jc w:val="center"/>
              <w:rPr>
                <w:rFonts w:hint="eastAsia"/>
                <w:szCs w:val="21"/>
                <w:highlight w:val="none"/>
              </w:rPr>
            </w:pPr>
            <w:r>
              <w:rPr>
                <w:rFonts w:hint="eastAsia"/>
                <w:szCs w:val="21"/>
                <w:highlight w:val="none"/>
              </w:rPr>
              <w:t>电子邮箱</w:t>
            </w:r>
          </w:p>
        </w:tc>
        <w:tc>
          <w:tcPr>
            <w:tcW w:w="1551" w:type="dxa"/>
            <w:vAlign w:val="center"/>
          </w:tcPr>
          <w:p w14:paraId="589982FF">
            <w:pPr>
              <w:topLinePunct/>
              <w:spacing w:line="440" w:lineRule="exact"/>
              <w:jc w:val="center"/>
              <w:rPr>
                <w:rFonts w:hint="eastAsia"/>
                <w:szCs w:val="21"/>
                <w:highlight w:val="none"/>
              </w:rPr>
            </w:pPr>
          </w:p>
        </w:tc>
      </w:tr>
      <w:tr w14:paraId="77C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776CDAE2">
            <w:pPr>
              <w:topLinePunct/>
              <w:spacing w:line="440" w:lineRule="exact"/>
              <w:jc w:val="center"/>
              <w:rPr>
                <w:rFonts w:hint="eastAsia"/>
                <w:szCs w:val="21"/>
                <w:highlight w:val="none"/>
              </w:rPr>
            </w:pPr>
            <w:r>
              <w:rPr>
                <w:rFonts w:hint="eastAsia"/>
                <w:szCs w:val="21"/>
                <w:highlight w:val="none"/>
              </w:rPr>
              <w:t>上年营业收入</w:t>
            </w:r>
          </w:p>
        </w:tc>
        <w:tc>
          <w:tcPr>
            <w:tcW w:w="3960" w:type="dxa"/>
            <w:gridSpan w:val="5"/>
            <w:vAlign w:val="center"/>
          </w:tcPr>
          <w:p w14:paraId="2615FCAD">
            <w:pPr>
              <w:topLinePunct/>
              <w:spacing w:line="440" w:lineRule="exact"/>
              <w:jc w:val="center"/>
              <w:rPr>
                <w:rFonts w:hint="eastAsia"/>
                <w:szCs w:val="21"/>
                <w:highlight w:val="none"/>
              </w:rPr>
            </w:pPr>
          </w:p>
        </w:tc>
        <w:tc>
          <w:tcPr>
            <w:tcW w:w="1329" w:type="dxa"/>
            <w:vAlign w:val="center"/>
          </w:tcPr>
          <w:p w14:paraId="348B33F8">
            <w:pPr>
              <w:topLinePunct/>
              <w:spacing w:line="440" w:lineRule="exact"/>
              <w:jc w:val="center"/>
              <w:rPr>
                <w:rFonts w:hint="eastAsia"/>
                <w:szCs w:val="21"/>
                <w:highlight w:val="none"/>
              </w:rPr>
            </w:pPr>
            <w:r>
              <w:rPr>
                <w:rFonts w:hint="eastAsia"/>
                <w:szCs w:val="21"/>
                <w:highlight w:val="none"/>
              </w:rPr>
              <w:t>员工总人数</w:t>
            </w:r>
          </w:p>
        </w:tc>
        <w:tc>
          <w:tcPr>
            <w:tcW w:w="1551" w:type="dxa"/>
            <w:vAlign w:val="center"/>
          </w:tcPr>
          <w:p w14:paraId="5B5570A2">
            <w:pPr>
              <w:topLinePunct/>
              <w:spacing w:line="440" w:lineRule="exact"/>
              <w:jc w:val="center"/>
              <w:rPr>
                <w:rFonts w:hint="eastAsia"/>
                <w:szCs w:val="21"/>
                <w:highlight w:val="none"/>
              </w:rPr>
            </w:pPr>
          </w:p>
        </w:tc>
      </w:tr>
      <w:tr w14:paraId="7F5F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5456E5E7">
            <w:pPr>
              <w:topLinePunct/>
              <w:spacing w:line="440" w:lineRule="exact"/>
              <w:jc w:val="center"/>
              <w:rPr>
                <w:rFonts w:hint="eastAsia"/>
                <w:szCs w:val="21"/>
                <w:highlight w:val="none"/>
              </w:rPr>
            </w:pPr>
            <w:r>
              <w:rPr>
                <w:rFonts w:hint="eastAsia"/>
                <w:szCs w:val="21"/>
                <w:highlight w:val="none"/>
              </w:rPr>
              <w:t>固定电话</w:t>
            </w:r>
          </w:p>
        </w:tc>
        <w:tc>
          <w:tcPr>
            <w:tcW w:w="3960" w:type="dxa"/>
            <w:gridSpan w:val="5"/>
            <w:vAlign w:val="center"/>
          </w:tcPr>
          <w:p w14:paraId="24BEB340">
            <w:pPr>
              <w:topLinePunct/>
              <w:spacing w:line="440" w:lineRule="exact"/>
              <w:jc w:val="center"/>
              <w:rPr>
                <w:rFonts w:hint="eastAsia"/>
                <w:szCs w:val="21"/>
                <w:highlight w:val="none"/>
              </w:rPr>
            </w:pPr>
          </w:p>
        </w:tc>
        <w:tc>
          <w:tcPr>
            <w:tcW w:w="1329" w:type="dxa"/>
            <w:vAlign w:val="center"/>
          </w:tcPr>
          <w:p w14:paraId="42EF5A0B">
            <w:pPr>
              <w:topLinePunct/>
              <w:spacing w:line="440" w:lineRule="exact"/>
              <w:jc w:val="center"/>
              <w:rPr>
                <w:rFonts w:hint="eastAsia"/>
                <w:szCs w:val="21"/>
                <w:highlight w:val="none"/>
              </w:rPr>
            </w:pPr>
          </w:p>
        </w:tc>
        <w:tc>
          <w:tcPr>
            <w:tcW w:w="1551" w:type="dxa"/>
            <w:vAlign w:val="center"/>
          </w:tcPr>
          <w:p w14:paraId="735E2FE2">
            <w:pPr>
              <w:topLinePunct/>
              <w:spacing w:line="440" w:lineRule="exact"/>
              <w:jc w:val="center"/>
              <w:rPr>
                <w:rFonts w:hint="eastAsia"/>
                <w:szCs w:val="21"/>
                <w:highlight w:val="none"/>
              </w:rPr>
            </w:pPr>
          </w:p>
        </w:tc>
      </w:tr>
      <w:tr w14:paraId="56A1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1F17EABE">
            <w:pPr>
              <w:topLinePunct/>
              <w:spacing w:line="440" w:lineRule="exact"/>
              <w:jc w:val="center"/>
              <w:rPr>
                <w:rFonts w:hint="eastAsia"/>
                <w:szCs w:val="21"/>
                <w:highlight w:val="none"/>
              </w:rPr>
            </w:pPr>
            <w:r>
              <w:rPr>
                <w:rFonts w:hint="eastAsia"/>
                <w:szCs w:val="21"/>
                <w:highlight w:val="none"/>
              </w:rPr>
              <w:t>营业执照</w:t>
            </w:r>
          </w:p>
        </w:tc>
        <w:tc>
          <w:tcPr>
            <w:tcW w:w="2044" w:type="dxa"/>
            <w:gridSpan w:val="3"/>
            <w:vAlign w:val="center"/>
          </w:tcPr>
          <w:p w14:paraId="73953F94">
            <w:pPr>
              <w:topLinePunct/>
              <w:spacing w:line="440" w:lineRule="exact"/>
              <w:jc w:val="center"/>
              <w:rPr>
                <w:rFonts w:hint="eastAsia"/>
                <w:szCs w:val="21"/>
                <w:highlight w:val="none"/>
              </w:rPr>
            </w:pPr>
            <w:r>
              <w:rPr>
                <w:rFonts w:hint="eastAsia"/>
                <w:szCs w:val="21"/>
                <w:highlight w:val="none"/>
              </w:rPr>
              <w:t>注册号码</w:t>
            </w:r>
          </w:p>
        </w:tc>
        <w:tc>
          <w:tcPr>
            <w:tcW w:w="1440" w:type="dxa"/>
            <w:gridSpan w:val="2"/>
            <w:vAlign w:val="center"/>
          </w:tcPr>
          <w:p w14:paraId="3FB518B0">
            <w:pPr>
              <w:topLinePunct/>
              <w:spacing w:line="440" w:lineRule="exact"/>
              <w:jc w:val="center"/>
              <w:rPr>
                <w:rFonts w:hint="eastAsia"/>
                <w:szCs w:val="21"/>
                <w:highlight w:val="none"/>
              </w:rPr>
            </w:pPr>
          </w:p>
        </w:tc>
        <w:tc>
          <w:tcPr>
            <w:tcW w:w="1377" w:type="dxa"/>
            <w:gridSpan w:val="2"/>
            <w:vAlign w:val="center"/>
          </w:tcPr>
          <w:p w14:paraId="2180DE99">
            <w:pPr>
              <w:topLinePunct/>
              <w:spacing w:line="440" w:lineRule="exact"/>
              <w:ind w:firstLine="120" w:firstLineChars="50"/>
              <w:jc w:val="center"/>
              <w:rPr>
                <w:rFonts w:hint="eastAsia"/>
                <w:szCs w:val="21"/>
                <w:highlight w:val="none"/>
              </w:rPr>
            </w:pPr>
            <w:r>
              <w:rPr>
                <w:rFonts w:hint="eastAsia"/>
                <w:szCs w:val="21"/>
                <w:highlight w:val="none"/>
              </w:rPr>
              <w:t>注册地址</w:t>
            </w:r>
          </w:p>
        </w:tc>
        <w:tc>
          <w:tcPr>
            <w:tcW w:w="2880" w:type="dxa"/>
            <w:gridSpan w:val="2"/>
            <w:vAlign w:val="center"/>
          </w:tcPr>
          <w:p w14:paraId="67E85212">
            <w:pPr>
              <w:topLinePunct/>
              <w:spacing w:line="440" w:lineRule="exact"/>
              <w:ind w:firstLine="120" w:firstLineChars="50"/>
              <w:jc w:val="center"/>
              <w:rPr>
                <w:rFonts w:hint="eastAsia"/>
                <w:szCs w:val="21"/>
                <w:highlight w:val="none"/>
              </w:rPr>
            </w:pPr>
          </w:p>
        </w:tc>
      </w:tr>
      <w:tr w14:paraId="72F8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094A3895">
            <w:pPr>
              <w:topLinePunct/>
              <w:spacing w:line="440" w:lineRule="exact"/>
              <w:jc w:val="center"/>
              <w:rPr>
                <w:rFonts w:hint="eastAsia"/>
                <w:szCs w:val="21"/>
                <w:highlight w:val="none"/>
              </w:rPr>
            </w:pPr>
          </w:p>
        </w:tc>
        <w:tc>
          <w:tcPr>
            <w:tcW w:w="2044" w:type="dxa"/>
            <w:gridSpan w:val="3"/>
            <w:vAlign w:val="center"/>
          </w:tcPr>
          <w:p w14:paraId="7F6964B2">
            <w:pPr>
              <w:topLinePunct/>
              <w:spacing w:line="440" w:lineRule="exact"/>
              <w:jc w:val="center"/>
              <w:rPr>
                <w:rFonts w:hint="eastAsia"/>
                <w:szCs w:val="21"/>
                <w:highlight w:val="none"/>
              </w:rPr>
            </w:pPr>
            <w:r>
              <w:rPr>
                <w:rFonts w:hint="eastAsia"/>
                <w:szCs w:val="21"/>
                <w:highlight w:val="none"/>
              </w:rPr>
              <w:t>发证机关</w:t>
            </w:r>
          </w:p>
        </w:tc>
        <w:tc>
          <w:tcPr>
            <w:tcW w:w="1440" w:type="dxa"/>
            <w:gridSpan w:val="2"/>
            <w:vAlign w:val="center"/>
          </w:tcPr>
          <w:p w14:paraId="09490631">
            <w:pPr>
              <w:topLinePunct/>
              <w:spacing w:line="440" w:lineRule="exact"/>
              <w:jc w:val="center"/>
              <w:rPr>
                <w:rFonts w:hint="eastAsia"/>
                <w:szCs w:val="21"/>
                <w:highlight w:val="none"/>
              </w:rPr>
            </w:pPr>
          </w:p>
        </w:tc>
        <w:tc>
          <w:tcPr>
            <w:tcW w:w="1377" w:type="dxa"/>
            <w:gridSpan w:val="2"/>
            <w:vAlign w:val="center"/>
          </w:tcPr>
          <w:p w14:paraId="517F2D4A">
            <w:pPr>
              <w:topLinePunct/>
              <w:spacing w:line="440" w:lineRule="exact"/>
              <w:ind w:firstLine="120" w:firstLineChars="50"/>
              <w:jc w:val="center"/>
              <w:rPr>
                <w:rFonts w:hint="eastAsia"/>
                <w:szCs w:val="21"/>
                <w:highlight w:val="none"/>
              </w:rPr>
            </w:pPr>
            <w:r>
              <w:rPr>
                <w:rFonts w:hint="eastAsia"/>
                <w:szCs w:val="21"/>
                <w:highlight w:val="none"/>
              </w:rPr>
              <w:t>发证日期</w:t>
            </w:r>
          </w:p>
        </w:tc>
        <w:tc>
          <w:tcPr>
            <w:tcW w:w="2880" w:type="dxa"/>
            <w:gridSpan w:val="2"/>
            <w:vAlign w:val="center"/>
          </w:tcPr>
          <w:p w14:paraId="16F93F29">
            <w:pPr>
              <w:topLinePunct/>
              <w:spacing w:line="440" w:lineRule="exact"/>
              <w:ind w:firstLine="120" w:firstLineChars="50"/>
              <w:jc w:val="center"/>
              <w:rPr>
                <w:rFonts w:hint="eastAsia"/>
                <w:szCs w:val="21"/>
                <w:highlight w:val="none"/>
              </w:rPr>
            </w:pPr>
          </w:p>
        </w:tc>
      </w:tr>
      <w:tr w14:paraId="68B4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4C3BB18B">
            <w:pPr>
              <w:topLinePunct/>
              <w:spacing w:line="440" w:lineRule="exact"/>
              <w:jc w:val="center"/>
              <w:rPr>
                <w:rFonts w:hint="eastAsia"/>
                <w:szCs w:val="21"/>
                <w:highlight w:val="none"/>
              </w:rPr>
            </w:pPr>
          </w:p>
        </w:tc>
        <w:tc>
          <w:tcPr>
            <w:tcW w:w="2044" w:type="dxa"/>
            <w:gridSpan w:val="3"/>
            <w:vAlign w:val="center"/>
          </w:tcPr>
          <w:p w14:paraId="291707A0">
            <w:pPr>
              <w:topLinePunct/>
              <w:spacing w:line="440" w:lineRule="exact"/>
              <w:jc w:val="center"/>
              <w:rPr>
                <w:rFonts w:hint="eastAsia"/>
                <w:szCs w:val="21"/>
                <w:highlight w:val="none"/>
              </w:rPr>
            </w:pPr>
            <w:r>
              <w:rPr>
                <w:rFonts w:hint="eastAsia"/>
                <w:szCs w:val="21"/>
                <w:highlight w:val="none"/>
              </w:rPr>
              <w:t>营业范围（主营）</w:t>
            </w:r>
          </w:p>
        </w:tc>
        <w:tc>
          <w:tcPr>
            <w:tcW w:w="5697" w:type="dxa"/>
            <w:gridSpan w:val="6"/>
            <w:vAlign w:val="center"/>
          </w:tcPr>
          <w:p w14:paraId="738C4EB4">
            <w:pPr>
              <w:topLinePunct/>
              <w:spacing w:line="440" w:lineRule="exact"/>
              <w:ind w:firstLine="120" w:firstLineChars="50"/>
              <w:jc w:val="center"/>
              <w:rPr>
                <w:rFonts w:hint="eastAsia"/>
                <w:szCs w:val="21"/>
                <w:highlight w:val="none"/>
              </w:rPr>
            </w:pPr>
          </w:p>
        </w:tc>
      </w:tr>
      <w:tr w14:paraId="538C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4C0B59B">
            <w:pPr>
              <w:topLinePunct/>
              <w:spacing w:line="440" w:lineRule="exact"/>
              <w:jc w:val="center"/>
              <w:rPr>
                <w:rFonts w:hint="eastAsia"/>
                <w:szCs w:val="21"/>
                <w:highlight w:val="none"/>
              </w:rPr>
            </w:pPr>
          </w:p>
        </w:tc>
        <w:tc>
          <w:tcPr>
            <w:tcW w:w="2044" w:type="dxa"/>
            <w:gridSpan w:val="3"/>
            <w:vAlign w:val="center"/>
          </w:tcPr>
          <w:p w14:paraId="5003F24B">
            <w:pPr>
              <w:topLinePunct/>
              <w:spacing w:line="440" w:lineRule="exact"/>
              <w:jc w:val="center"/>
              <w:rPr>
                <w:rFonts w:hint="eastAsia"/>
                <w:szCs w:val="21"/>
                <w:highlight w:val="none"/>
              </w:rPr>
            </w:pPr>
            <w:r>
              <w:rPr>
                <w:rFonts w:hint="eastAsia"/>
                <w:szCs w:val="21"/>
                <w:highlight w:val="none"/>
              </w:rPr>
              <w:t>营业范围（兼营）</w:t>
            </w:r>
          </w:p>
        </w:tc>
        <w:tc>
          <w:tcPr>
            <w:tcW w:w="5697" w:type="dxa"/>
            <w:gridSpan w:val="6"/>
            <w:vAlign w:val="center"/>
          </w:tcPr>
          <w:p w14:paraId="4273122B">
            <w:pPr>
              <w:topLinePunct/>
              <w:spacing w:line="440" w:lineRule="exact"/>
              <w:ind w:firstLine="120" w:firstLineChars="50"/>
              <w:jc w:val="center"/>
              <w:rPr>
                <w:rFonts w:hint="eastAsia"/>
                <w:szCs w:val="21"/>
                <w:highlight w:val="none"/>
              </w:rPr>
            </w:pPr>
          </w:p>
        </w:tc>
      </w:tr>
      <w:tr w14:paraId="4AA7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5E0DF438">
            <w:pPr>
              <w:topLinePunct/>
              <w:spacing w:line="440" w:lineRule="exact"/>
              <w:jc w:val="center"/>
              <w:rPr>
                <w:rFonts w:hint="eastAsia"/>
                <w:szCs w:val="21"/>
                <w:highlight w:val="none"/>
              </w:rPr>
            </w:pPr>
            <w:r>
              <w:rPr>
                <w:rFonts w:hint="eastAsia"/>
                <w:szCs w:val="21"/>
                <w:highlight w:val="none"/>
              </w:rPr>
              <w:t>基本账户开户行及帐号</w:t>
            </w:r>
          </w:p>
        </w:tc>
        <w:tc>
          <w:tcPr>
            <w:tcW w:w="5697" w:type="dxa"/>
            <w:gridSpan w:val="6"/>
            <w:vAlign w:val="center"/>
          </w:tcPr>
          <w:p w14:paraId="585EDF42">
            <w:pPr>
              <w:topLinePunct/>
              <w:spacing w:line="440" w:lineRule="exact"/>
              <w:jc w:val="center"/>
              <w:rPr>
                <w:rFonts w:hint="eastAsia"/>
                <w:szCs w:val="21"/>
                <w:highlight w:val="none"/>
              </w:rPr>
            </w:pPr>
          </w:p>
        </w:tc>
      </w:tr>
      <w:tr w14:paraId="35AB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24A7B50B">
            <w:pPr>
              <w:topLinePunct/>
              <w:spacing w:line="440" w:lineRule="exact"/>
              <w:jc w:val="center"/>
              <w:rPr>
                <w:rFonts w:hint="eastAsia"/>
                <w:szCs w:val="21"/>
                <w:highlight w:val="none"/>
              </w:rPr>
            </w:pPr>
            <w:r>
              <w:rPr>
                <w:rFonts w:hint="eastAsia"/>
                <w:szCs w:val="21"/>
                <w:highlight w:val="none"/>
              </w:rPr>
              <w:t>税务登记机关</w:t>
            </w:r>
          </w:p>
        </w:tc>
        <w:tc>
          <w:tcPr>
            <w:tcW w:w="5697" w:type="dxa"/>
            <w:gridSpan w:val="6"/>
            <w:vAlign w:val="center"/>
          </w:tcPr>
          <w:p w14:paraId="50D9269C">
            <w:pPr>
              <w:topLinePunct/>
              <w:spacing w:line="440" w:lineRule="exact"/>
              <w:jc w:val="center"/>
              <w:rPr>
                <w:rFonts w:hint="eastAsia"/>
                <w:szCs w:val="21"/>
                <w:highlight w:val="none"/>
              </w:rPr>
            </w:pPr>
          </w:p>
        </w:tc>
      </w:tr>
      <w:tr w14:paraId="6314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7EABAD29">
            <w:pPr>
              <w:topLinePunct/>
              <w:spacing w:line="440" w:lineRule="exact"/>
              <w:jc w:val="center"/>
              <w:rPr>
                <w:rFonts w:hint="eastAsia"/>
                <w:szCs w:val="21"/>
                <w:highlight w:val="none"/>
              </w:rPr>
            </w:pPr>
            <w:r>
              <w:rPr>
                <w:szCs w:val="21"/>
                <w:highlight w:val="none"/>
              </w:rPr>
              <w:t>资质</w:t>
            </w:r>
            <w:r>
              <w:rPr>
                <w:rFonts w:hint="eastAsia"/>
                <w:szCs w:val="21"/>
                <w:highlight w:val="none"/>
              </w:rPr>
              <w:t>名称</w:t>
            </w:r>
          </w:p>
        </w:tc>
        <w:tc>
          <w:tcPr>
            <w:tcW w:w="884" w:type="dxa"/>
            <w:gridSpan w:val="2"/>
            <w:vAlign w:val="center"/>
          </w:tcPr>
          <w:p w14:paraId="1B1F08D0">
            <w:pPr>
              <w:topLinePunct/>
              <w:spacing w:line="440" w:lineRule="exact"/>
              <w:jc w:val="center"/>
              <w:rPr>
                <w:rFonts w:hint="eastAsia"/>
                <w:szCs w:val="21"/>
                <w:highlight w:val="none"/>
              </w:rPr>
            </w:pPr>
            <w:r>
              <w:rPr>
                <w:szCs w:val="21"/>
                <w:highlight w:val="none"/>
              </w:rPr>
              <w:t>等级</w:t>
            </w:r>
          </w:p>
        </w:tc>
        <w:tc>
          <w:tcPr>
            <w:tcW w:w="1083" w:type="dxa"/>
            <w:vAlign w:val="center"/>
          </w:tcPr>
          <w:p w14:paraId="10A1E46A">
            <w:pPr>
              <w:topLinePunct/>
              <w:spacing w:line="440" w:lineRule="exact"/>
              <w:jc w:val="center"/>
              <w:rPr>
                <w:rFonts w:hint="eastAsia"/>
                <w:szCs w:val="21"/>
                <w:highlight w:val="none"/>
              </w:rPr>
            </w:pPr>
            <w:r>
              <w:rPr>
                <w:rFonts w:hint="eastAsia"/>
                <w:szCs w:val="21"/>
                <w:highlight w:val="none"/>
              </w:rPr>
              <w:t>发证机关</w:t>
            </w:r>
          </w:p>
        </w:tc>
        <w:tc>
          <w:tcPr>
            <w:tcW w:w="2880" w:type="dxa"/>
            <w:gridSpan w:val="2"/>
            <w:vAlign w:val="center"/>
          </w:tcPr>
          <w:p w14:paraId="2DC4699C">
            <w:pPr>
              <w:topLinePunct/>
              <w:spacing w:line="440" w:lineRule="exact"/>
              <w:jc w:val="center"/>
              <w:rPr>
                <w:rFonts w:hint="eastAsia"/>
                <w:szCs w:val="21"/>
                <w:highlight w:val="none"/>
              </w:rPr>
            </w:pPr>
            <w:r>
              <w:rPr>
                <w:rFonts w:hint="eastAsia"/>
                <w:szCs w:val="21"/>
                <w:highlight w:val="none"/>
              </w:rPr>
              <w:t>有效期</w:t>
            </w:r>
          </w:p>
        </w:tc>
      </w:tr>
      <w:tr w14:paraId="32A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1EEEBE48">
            <w:pPr>
              <w:topLinePunct/>
              <w:spacing w:line="440" w:lineRule="exact"/>
              <w:jc w:val="center"/>
              <w:rPr>
                <w:rFonts w:hint="eastAsia"/>
                <w:szCs w:val="21"/>
                <w:highlight w:val="none"/>
              </w:rPr>
            </w:pPr>
          </w:p>
        </w:tc>
        <w:tc>
          <w:tcPr>
            <w:tcW w:w="884" w:type="dxa"/>
            <w:gridSpan w:val="2"/>
            <w:vAlign w:val="center"/>
          </w:tcPr>
          <w:p w14:paraId="48069C82">
            <w:pPr>
              <w:topLinePunct/>
              <w:spacing w:line="440" w:lineRule="exact"/>
              <w:jc w:val="center"/>
              <w:rPr>
                <w:rFonts w:hint="eastAsia"/>
                <w:szCs w:val="21"/>
                <w:highlight w:val="none"/>
              </w:rPr>
            </w:pPr>
          </w:p>
        </w:tc>
        <w:tc>
          <w:tcPr>
            <w:tcW w:w="1083" w:type="dxa"/>
            <w:vAlign w:val="center"/>
          </w:tcPr>
          <w:p w14:paraId="40AF0496">
            <w:pPr>
              <w:topLinePunct/>
              <w:spacing w:line="440" w:lineRule="exact"/>
              <w:jc w:val="center"/>
              <w:rPr>
                <w:rFonts w:hint="eastAsia"/>
                <w:szCs w:val="21"/>
                <w:highlight w:val="none"/>
              </w:rPr>
            </w:pPr>
          </w:p>
        </w:tc>
        <w:tc>
          <w:tcPr>
            <w:tcW w:w="2880" w:type="dxa"/>
            <w:gridSpan w:val="2"/>
            <w:vAlign w:val="center"/>
          </w:tcPr>
          <w:p w14:paraId="154FD4C6">
            <w:pPr>
              <w:topLinePunct/>
              <w:spacing w:line="440" w:lineRule="exact"/>
              <w:jc w:val="center"/>
              <w:rPr>
                <w:rFonts w:hint="eastAsia"/>
                <w:szCs w:val="21"/>
                <w:highlight w:val="none"/>
              </w:rPr>
            </w:pPr>
          </w:p>
        </w:tc>
      </w:tr>
      <w:tr w14:paraId="3300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1A734277">
            <w:pPr>
              <w:topLinePunct/>
              <w:spacing w:line="440" w:lineRule="exact"/>
              <w:jc w:val="center"/>
              <w:rPr>
                <w:rFonts w:hint="eastAsia"/>
                <w:szCs w:val="21"/>
                <w:highlight w:val="none"/>
              </w:rPr>
            </w:pPr>
          </w:p>
        </w:tc>
        <w:tc>
          <w:tcPr>
            <w:tcW w:w="884" w:type="dxa"/>
            <w:gridSpan w:val="2"/>
            <w:vAlign w:val="center"/>
          </w:tcPr>
          <w:p w14:paraId="52C98EEB">
            <w:pPr>
              <w:topLinePunct/>
              <w:spacing w:line="440" w:lineRule="exact"/>
              <w:jc w:val="center"/>
              <w:rPr>
                <w:rFonts w:hint="eastAsia"/>
                <w:szCs w:val="21"/>
                <w:highlight w:val="none"/>
              </w:rPr>
            </w:pPr>
          </w:p>
        </w:tc>
        <w:tc>
          <w:tcPr>
            <w:tcW w:w="1083" w:type="dxa"/>
            <w:vAlign w:val="center"/>
          </w:tcPr>
          <w:p w14:paraId="197CB659">
            <w:pPr>
              <w:topLinePunct/>
              <w:spacing w:line="440" w:lineRule="exact"/>
              <w:jc w:val="center"/>
              <w:rPr>
                <w:rFonts w:hint="eastAsia"/>
                <w:szCs w:val="21"/>
                <w:highlight w:val="none"/>
              </w:rPr>
            </w:pPr>
          </w:p>
        </w:tc>
        <w:tc>
          <w:tcPr>
            <w:tcW w:w="2880" w:type="dxa"/>
            <w:gridSpan w:val="2"/>
            <w:vAlign w:val="center"/>
          </w:tcPr>
          <w:p w14:paraId="606C3A2A">
            <w:pPr>
              <w:topLinePunct/>
              <w:spacing w:line="440" w:lineRule="exact"/>
              <w:jc w:val="center"/>
              <w:rPr>
                <w:rFonts w:hint="eastAsia"/>
                <w:szCs w:val="21"/>
                <w:highlight w:val="none"/>
              </w:rPr>
            </w:pPr>
          </w:p>
        </w:tc>
      </w:tr>
      <w:tr w14:paraId="7DF3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2BF7F89D">
            <w:pPr>
              <w:topLinePunct/>
              <w:spacing w:line="440" w:lineRule="exact"/>
              <w:jc w:val="center"/>
              <w:rPr>
                <w:rFonts w:hint="eastAsia"/>
                <w:szCs w:val="21"/>
                <w:highlight w:val="none"/>
              </w:rPr>
            </w:pPr>
            <w:r>
              <w:rPr>
                <w:szCs w:val="21"/>
                <w:highlight w:val="none"/>
              </w:rPr>
              <w:t>备注</w:t>
            </w:r>
          </w:p>
        </w:tc>
        <w:tc>
          <w:tcPr>
            <w:tcW w:w="7202" w:type="dxa"/>
            <w:gridSpan w:val="8"/>
            <w:vAlign w:val="center"/>
          </w:tcPr>
          <w:p w14:paraId="63097C52">
            <w:pPr>
              <w:topLinePunct/>
              <w:spacing w:line="440" w:lineRule="exact"/>
              <w:rPr>
                <w:rFonts w:hint="eastAsia"/>
                <w:szCs w:val="21"/>
                <w:highlight w:val="none"/>
              </w:rPr>
            </w:pPr>
          </w:p>
        </w:tc>
      </w:tr>
    </w:tbl>
    <w:p w14:paraId="7648DBB7">
      <w:pPr>
        <w:adjustRightInd w:val="0"/>
        <w:snapToGrid w:val="0"/>
        <w:jc w:val="center"/>
        <w:rPr>
          <w:rFonts w:hint="eastAsia"/>
          <w:highlight w:val="none"/>
        </w:rPr>
      </w:pPr>
    </w:p>
    <w:p w14:paraId="64220160">
      <w:pPr>
        <w:spacing w:line="480" w:lineRule="exact"/>
        <w:rPr>
          <w:rFonts w:hint="eastAsia"/>
          <w:sz w:val="32"/>
          <w:szCs w:val="32"/>
          <w:highlight w:val="none"/>
        </w:rPr>
      </w:pPr>
    </w:p>
    <w:p w14:paraId="7EFAB1E3">
      <w:pPr>
        <w:spacing w:line="480" w:lineRule="exact"/>
        <w:rPr>
          <w:rFonts w:hint="eastAsia"/>
          <w:sz w:val="32"/>
          <w:szCs w:val="32"/>
          <w:highlight w:val="none"/>
        </w:rPr>
        <w:sectPr>
          <w:pgSz w:w="11906" w:h="16838"/>
          <w:pgMar w:top="1440" w:right="1800" w:bottom="1440" w:left="1800" w:header="851" w:footer="992" w:gutter="0"/>
          <w:cols w:space="720" w:num="1"/>
          <w:docGrid w:type="lines" w:linePitch="312" w:charSpace="0"/>
        </w:sectPr>
      </w:pPr>
    </w:p>
    <w:p w14:paraId="7ACEABD5">
      <w:pPr>
        <w:adjustRightInd w:val="0"/>
        <w:snapToGrid w:val="0"/>
        <w:rPr>
          <w:rFonts w:hint="eastAsia"/>
          <w:b/>
          <w:highlight w:val="none"/>
        </w:rPr>
      </w:pPr>
      <w:r>
        <w:rPr>
          <w:rFonts w:hint="eastAsia"/>
          <w:bCs/>
          <w:sz w:val="28"/>
          <w:szCs w:val="28"/>
          <w:highlight w:val="none"/>
        </w:rPr>
        <w:t>附件9</w:t>
      </w:r>
    </w:p>
    <w:p w14:paraId="65A31751">
      <w:pPr>
        <w:adjustRightInd w:val="0"/>
        <w:snapToGrid w:val="0"/>
        <w:ind w:left="-101" w:leftChars="-42" w:firstLine="280" w:firstLineChars="100"/>
        <w:jc w:val="center"/>
        <w:rPr>
          <w:rFonts w:hint="eastAsia"/>
          <w:bCs/>
          <w:sz w:val="28"/>
          <w:szCs w:val="28"/>
          <w:highlight w:val="none"/>
        </w:rPr>
      </w:pPr>
      <w:r>
        <w:rPr>
          <w:rFonts w:hint="eastAsia"/>
          <w:bCs/>
          <w:sz w:val="28"/>
          <w:szCs w:val="28"/>
          <w:highlight w:val="none"/>
        </w:rPr>
        <w:t>拟投入本项目的人员一览表</w:t>
      </w:r>
    </w:p>
    <w:p w14:paraId="3CC271E4">
      <w:pPr>
        <w:spacing w:line="420" w:lineRule="exact"/>
        <w:jc w:val="center"/>
        <w:rPr>
          <w:rFonts w:hint="eastAsia"/>
          <w:b/>
          <w:szCs w:val="21"/>
          <w:highlight w:val="none"/>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tblGrid>
      <w:tr w14:paraId="3B246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0A980E26">
            <w:pPr>
              <w:jc w:val="center"/>
              <w:rPr>
                <w:rFonts w:hint="eastAsia"/>
                <w:szCs w:val="21"/>
                <w:highlight w:val="none"/>
              </w:rPr>
            </w:pPr>
            <w:r>
              <w:rPr>
                <w:rFonts w:hint="eastAsia"/>
                <w:szCs w:val="21"/>
                <w:highlight w:val="none"/>
              </w:rPr>
              <w:t>职责分工</w:t>
            </w:r>
          </w:p>
        </w:tc>
        <w:tc>
          <w:tcPr>
            <w:tcW w:w="869" w:type="dxa"/>
            <w:vAlign w:val="center"/>
          </w:tcPr>
          <w:p w14:paraId="066384E0">
            <w:pPr>
              <w:jc w:val="center"/>
              <w:rPr>
                <w:rFonts w:hint="eastAsia"/>
                <w:szCs w:val="21"/>
                <w:highlight w:val="none"/>
              </w:rPr>
            </w:pPr>
            <w:r>
              <w:rPr>
                <w:rFonts w:hint="eastAsia"/>
                <w:szCs w:val="21"/>
                <w:highlight w:val="none"/>
              </w:rPr>
              <w:t>姓名</w:t>
            </w:r>
          </w:p>
        </w:tc>
        <w:tc>
          <w:tcPr>
            <w:tcW w:w="900" w:type="dxa"/>
            <w:vAlign w:val="center"/>
          </w:tcPr>
          <w:p w14:paraId="32ED3A47">
            <w:pPr>
              <w:jc w:val="center"/>
              <w:rPr>
                <w:rFonts w:hint="eastAsia"/>
                <w:szCs w:val="21"/>
                <w:highlight w:val="none"/>
              </w:rPr>
            </w:pPr>
            <w:r>
              <w:rPr>
                <w:rFonts w:hint="eastAsia"/>
                <w:szCs w:val="21"/>
                <w:highlight w:val="none"/>
              </w:rPr>
              <w:t>年龄</w:t>
            </w:r>
          </w:p>
        </w:tc>
        <w:tc>
          <w:tcPr>
            <w:tcW w:w="707" w:type="dxa"/>
            <w:tcBorders>
              <w:right w:val="single" w:color="auto" w:sz="4" w:space="0"/>
            </w:tcBorders>
            <w:vAlign w:val="center"/>
          </w:tcPr>
          <w:p w14:paraId="51E17269">
            <w:pPr>
              <w:jc w:val="center"/>
              <w:rPr>
                <w:rFonts w:hint="eastAsia"/>
                <w:szCs w:val="21"/>
                <w:highlight w:val="none"/>
              </w:rPr>
            </w:pPr>
            <w:r>
              <w:rPr>
                <w:rFonts w:hint="eastAsia"/>
                <w:szCs w:val="21"/>
                <w:highlight w:val="none"/>
              </w:rPr>
              <w:t>专业</w:t>
            </w:r>
          </w:p>
        </w:tc>
        <w:tc>
          <w:tcPr>
            <w:tcW w:w="649" w:type="dxa"/>
            <w:tcBorders>
              <w:left w:val="single" w:color="auto" w:sz="4" w:space="0"/>
            </w:tcBorders>
            <w:vAlign w:val="center"/>
          </w:tcPr>
          <w:p w14:paraId="50EEFDF6">
            <w:pPr>
              <w:jc w:val="center"/>
              <w:rPr>
                <w:rFonts w:hint="eastAsia"/>
                <w:szCs w:val="21"/>
                <w:highlight w:val="none"/>
              </w:rPr>
            </w:pPr>
            <w:r>
              <w:rPr>
                <w:rFonts w:hint="eastAsia"/>
                <w:szCs w:val="21"/>
                <w:highlight w:val="none"/>
              </w:rPr>
              <w:t>岗位</w:t>
            </w:r>
          </w:p>
        </w:tc>
        <w:tc>
          <w:tcPr>
            <w:tcW w:w="1010" w:type="dxa"/>
            <w:tcBorders>
              <w:right w:val="single" w:color="auto" w:sz="4" w:space="0"/>
            </w:tcBorders>
            <w:vAlign w:val="center"/>
          </w:tcPr>
          <w:p w14:paraId="7B919BB5">
            <w:pPr>
              <w:jc w:val="center"/>
              <w:rPr>
                <w:rFonts w:hint="eastAsia"/>
                <w:szCs w:val="21"/>
                <w:highlight w:val="none"/>
              </w:rPr>
            </w:pPr>
            <w:r>
              <w:rPr>
                <w:rFonts w:hint="eastAsia"/>
                <w:szCs w:val="21"/>
                <w:highlight w:val="none"/>
              </w:rPr>
              <w:t>执业</w:t>
            </w:r>
          </w:p>
          <w:p w14:paraId="1C0F6AB0">
            <w:pPr>
              <w:jc w:val="center"/>
              <w:rPr>
                <w:rFonts w:hint="eastAsia"/>
                <w:szCs w:val="21"/>
                <w:highlight w:val="none"/>
              </w:rPr>
            </w:pPr>
            <w:r>
              <w:rPr>
                <w:rFonts w:hint="eastAsia"/>
                <w:szCs w:val="21"/>
                <w:highlight w:val="none"/>
              </w:rPr>
              <w:t>资格证</w:t>
            </w:r>
          </w:p>
        </w:tc>
        <w:tc>
          <w:tcPr>
            <w:tcW w:w="986" w:type="dxa"/>
            <w:tcBorders>
              <w:left w:val="single" w:color="auto" w:sz="4" w:space="0"/>
            </w:tcBorders>
            <w:vAlign w:val="center"/>
          </w:tcPr>
          <w:p w14:paraId="167CA633">
            <w:pPr>
              <w:jc w:val="center"/>
              <w:rPr>
                <w:rFonts w:hint="eastAsia"/>
                <w:szCs w:val="21"/>
                <w:highlight w:val="none"/>
              </w:rPr>
            </w:pPr>
            <w:r>
              <w:rPr>
                <w:rFonts w:hint="eastAsia"/>
                <w:szCs w:val="21"/>
                <w:highlight w:val="none"/>
              </w:rPr>
              <w:t>证件</w:t>
            </w:r>
          </w:p>
          <w:p w14:paraId="4700B836">
            <w:pPr>
              <w:jc w:val="center"/>
              <w:rPr>
                <w:rFonts w:hint="eastAsia"/>
                <w:szCs w:val="21"/>
                <w:highlight w:val="none"/>
              </w:rPr>
            </w:pPr>
            <w:r>
              <w:rPr>
                <w:rFonts w:hint="eastAsia"/>
                <w:szCs w:val="21"/>
                <w:highlight w:val="none"/>
              </w:rPr>
              <w:t>种类</w:t>
            </w:r>
          </w:p>
        </w:tc>
        <w:tc>
          <w:tcPr>
            <w:tcW w:w="1000" w:type="dxa"/>
            <w:vAlign w:val="center"/>
          </w:tcPr>
          <w:p w14:paraId="01A7C69D">
            <w:pPr>
              <w:ind w:firstLine="12"/>
              <w:jc w:val="center"/>
              <w:rPr>
                <w:rFonts w:hint="eastAsia"/>
                <w:szCs w:val="21"/>
                <w:highlight w:val="none"/>
              </w:rPr>
            </w:pPr>
            <w:r>
              <w:rPr>
                <w:rFonts w:hint="eastAsia"/>
                <w:szCs w:val="21"/>
                <w:highlight w:val="none"/>
              </w:rPr>
              <w:t>职称</w:t>
            </w:r>
          </w:p>
        </w:tc>
        <w:tc>
          <w:tcPr>
            <w:tcW w:w="885" w:type="dxa"/>
            <w:vAlign w:val="center"/>
          </w:tcPr>
          <w:p w14:paraId="1C7B2418">
            <w:pPr>
              <w:ind w:firstLine="12"/>
              <w:jc w:val="center"/>
              <w:rPr>
                <w:rFonts w:hint="eastAsia"/>
                <w:szCs w:val="21"/>
                <w:highlight w:val="none"/>
              </w:rPr>
            </w:pPr>
            <w:r>
              <w:rPr>
                <w:rFonts w:hint="eastAsia"/>
                <w:szCs w:val="21"/>
                <w:highlight w:val="none"/>
              </w:rPr>
              <w:t>备注</w:t>
            </w:r>
          </w:p>
        </w:tc>
      </w:tr>
      <w:tr w14:paraId="38E3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7DF2B6AE">
            <w:pPr>
              <w:jc w:val="center"/>
              <w:rPr>
                <w:rFonts w:hint="eastAsia"/>
                <w:szCs w:val="21"/>
                <w:highlight w:val="none"/>
              </w:rPr>
            </w:pPr>
            <w:r>
              <w:rPr>
                <w:rFonts w:hint="eastAsia"/>
                <w:szCs w:val="21"/>
                <w:highlight w:val="none"/>
              </w:rPr>
              <w:t>项目负责人</w:t>
            </w:r>
          </w:p>
        </w:tc>
        <w:tc>
          <w:tcPr>
            <w:tcW w:w="869" w:type="dxa"/>
            <w:vAlign w:val="center"/>
          </w:tcPr>
          <w:p w14:paraId="63571E4E">
            <w:pPr>
              <w:jc w:val="center"/>
              <w:rPr>
                <w:rFonts w:hint="eastAsia"/>
                <w:szCs w:val="21"/>
                <w:highlight w:val="none"/>
              </w:rPr>
            </w:pPr>
          </w:p>
        </w:tc>
        <w:tc>
          <w:tcPr>
            <w:tcW w:w="900" w:type="dxa"/>
            <w:vAlign w:val="center"/>
          </w:tcPr>
          <w:p w14:paraId="20328229">
            <w:pPr>
              <w:jc w:val="center"/>
              <w:rPr>
                <w:rFonts w:hint="eastAsia"/>
                <w:szCs w:val="21"/>
                <w:highlight w:val="none"/>
              </w:rPr>
            </w:pPr>
          </w:p>
        </w:tc>
        <w:tc>
          <w:tcPr>
            <w:tcW w:w="707" w:type="dxa"/>
            <w:tcBorders>
              <w:right w:val="single" w:color="auto" w:sz="4" w:space="0"/>
            </w:tcBorders>
            <w:vAlign w:val="center"/>
          </w:tcPr>
          <w:p w14:paraId="4CB820FB">
            <w:pPr>
              <w:pStyle w:val="283"/>
              <w:keepNext w:val="0"/>
              <w:adjustRightInd/>
              <w:spacing w:before="0" w:after="0" w:line="240" w:lineRule="auto"/>
              <w:textAlignment w:val="auto"/>
              <w:rPr>
                <w:rFonts w:hint="eastAsia" w:ascii="宋体" w:hAnsi="宋体"/>
                <w:snapToGrid/>
                <w:spacing w:val="0"/>
                <w:kern w:val="2"/>
                <w:sz w:val="21"/>
                <w:szCs w:val="21"/>
                <w:highlight w:val="none"/>
              </w:rPr>
            </w:pPr>
          </w:p>
        </w:tc>
        <w:tc>
          <w:tcPr>
            <w:tcW w:w="649" w:type="dxa"/>
            <w:tcBorders>
              <w:left w:val="single" w:color="auto" w:sz="4" w:space="0"/>
            </w:tcBorders>
            <w:vAlign w:val="center"/>
          </w:tcPr>
          <w:p w14:paraId="4ED61EF7">
            <w:pPr>
              <w:pStyle w:val="283"/>
              <w:keepNext w:val="0"/>
              <w:adjustRightInd/>
              <w:spacing w:before="0" w:after="0" w:line="240" w:lineRule="auto"/>
              <w:textAlignment w:val="auto"/>
              <w:rPr>
                <w:rFonts w:hint="eastAsia" w:ascii="宋体" w:hAnsi="宋体"/>
                <w:snapToGrid/>
                <w:spacing w:val="0"/>
                <w:kern w:val="2"/>
                <w:sz w:val="21"/>
                <w:szCs w:val="21"/>
                <w:highlight w:val="none"/>
              </w:rPr>
            </w:pPr>
          </w:p>
        </w:tc>
        <w:tc>
          <w:tcPr>
            <w:tcW w:w="1010" w:type="dxa"/>
            <w:tcBorders>
              <w:right w:val="single" w:color="auto" w:sz="4" w:space="0"/>
            </w:tcBorders>
            <w:vAlign w:val="center"/>
          </w:tcPr>
          <w:p w14:paraId="076EC526">
            <w:pPr>
              <w:pStyle w:val="283"/>
              <w:rPr>
                <w:rFonts w:hint="eastAsia" w:ascii="宋体" w:hAnsi="宋体"/>
                <w:szCs w:val="21"/>
                <w:highlight w:val="none"/>
              </w:rPr>
            </w:pPr>
          </w:p>
        </w:tc>
        <w:tc>
          <w:tcPr>
            <w:tcW w:w="986" w:type="dxa"/>
            <w:tcBorders>
              <w:left w:val="single" w:color="auto" w:sz="4" w:space="0"/>
            </w:tcBorders>
            <w:vAlign w:val="center"/>
          </w:tcPr>
          <w:p w14:paraId="3F8DE6FF">
            <w:pPr>
              <w:jc w:val="center"/>
              <w:rPr>
                <w:rFonts w:hint="eastAsia"/>
                <w:szCs w:val="21"/>
                <w:highlight w:val="none"/>
              </w:rPr>
            </w:pPr>
          </w:p>
        </w:tc>
        <w:tc>
          <w:tcPr>
            <w:tcW w:w="1000" w:type="dxa"/>
            <w:vAlign w:val="center"/>
          </w:tcPr>
          <w:p w14:paraId="41E39436">
            <w:pPr>
              <w:ind w:firstLine="12"/>
              <w:jc w:val="center"/>
              <w:rPr>
                <w:rFonts w:hint="eastAsia"/>
                <w:szCs w:val="21"/>
                <w:highlight w:val="none"/>
              </w:rPr>
            </w:pPr>
          </w:p>
        </w:tc>
        <w:tc>
          <w:tcPr>
            <w:tcW w:w="885" w:type="dxa"/>
            <w:vAlign w:val="center"/>
          </w:tcPr>
          <w:p w14:paraId="52B9B1B5">
            <w:pPr>
              <w:ind w:firstLine="12"/>
              <w:jc w:val="center"/>
              <w:rPr>
                <w:rFonts w:hint="eastAsia"/>
                <w:szCs w:val="21"/>
                <w:highlight w:val="none"/>
              </w:rPr>
            </w:pPr>
          </w:p>
        </w:tc>
      </w:tr>
      <w:tr w14:paraId="0B01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625B835">
            <w:pPr>
              <w:jc w:val="center"/>
              <w:rPr>
                <w:rFonts w:hint="eastAsia"/>
                <w:szCs w:val="21"/>
                <w:highlight w:val="none"/>
              </w:rPr>
            </w:pPr>
            <w:r>
              <w:rPr>
                <w:rFonts w:hint="eastAsia"/>
                <w:szCs w:val="21"/>
                <w:highlight w:val="none"/>
              </w:rPr>
              <w:t>其他人员</w:t>
            </w:r>
          </w:p>
        </w:tc>
        <w:tc>
          <w:tcPr>
            <w:tcW w:w="869" w:type="dxa"/>
            <w:vAlign w:val="center"/>
          </w:tcPr>
          <w:p w14:paraId="701884BF">
            <w:pPr>
              <w:jc w:val="center"/>
              <w:rPr>
                <w:rFonts w:hint="eastAsia"/>
                <w:szCs w:val="21"/>
                <w:highlight w:val="none"/>
              </w:rPr>
            </w:pPr>
          </w:p>
        </w:tc>
        <w:tc>
          <w:tcPr>
            <w:tcW w:w="900" w:type="dxa"/>
            <w:vAlign w:val="center"/>
          </w:tcPr>
          <w:p w14:paraId="77A975C4">
            <w:pPr>
              <w:jc w:val="center"/>
              <w:rPr>
                <w:rFonts w:hint="eastAsia"/>
                <w:szCs w:val="21"/>
                <w:highlight w:val="none"/>
              </w:rPr>
            </w:pPr>
          </w:p>
        </w:tc>
        <w:tc>
          <w:tcPr>
            <w:tcW w:w="707" w:type="dxa"/>
            <w:tcBorders>
              <w:right w:val="single" w:color="auto" w:sz="4" w:space="0"/>
            </w:tcBorders>
            <w:vAlign w:val="center"/>
          </w:tcPr>
          <w:p w14:paraId="3B17CD13">
            <w:pPr>
              <w:jc w:val="center"/>
              <w:rPr>
                <w:rFonts w:hint="eastAsia"/>
                <w:szCs w:val="21"/>
                <w:highlight w:val="none"/>
              </w:rPr>
            </w:pPr>
          </w:p>
        </w:tc>
        <w:tc>
          <w:tcPr>
            <w:tcW w:w="649" w:type="dxa"/>
            <w:tcBorders>
              <w:left w:val="single" w:color="auto" w:sz="4" w:space="0"/>
            </w:tcBorders>
            <w:vAlign w:val="center"/>
          </w:tcPr>
          <w:p w14:paraId="1B2328E6">
            <w:pPr>
              <w:jc w:val="center"/>
              <w:rPr>
                <w:rFonts w:hint="eastAsia"/>
                <w:szCs w:val="21"/>
                <w:highlight w:val="none"/>
              </w:rPr>
            </w:pPr>
          </w:p>
        </w:tc>
        <w:tc>
          <w:tcPr>
            <w:tcW w:w="1010" w:type="dxa"/>
            <w:tcBorders>
              <w:right w:val="single" w:color="auto" w:sz="4" w:space="0"/>
            </w:tcBorders>
            <w:vAlign w:val="center"/>
          </w:tcPr>
          <w:p w14:paraId="2EE4AE9C">
            <w:pPr>
              <w:jc w:val="center"/>
              <w:rPr>
                <w:rFonts w:hint="eastAsia"/>
                <w:szCs w:val="21"/>
                <w:highlight w:val="none"/>
              </w:rPr>
            </w:pPr>
          </w:p>
        </w:tc>
        <w:tc>
          <w:tcPr>
            <w:tcW w:w="986" w:type="dxa"/>
            <w:tcBorders>
              <w:left w:val="single" w:color="auto" w:sz="4" w:space="0"/>
            </w:tcBorders>
            <w:vAlign w:val="center"/>
          </w:tcPr>
          <w:p w14:paraId="160B7336">
            <w:pPr>
              <w:jc w:val="center"/>
              <w:rPr>
                <w:rFonts w:hint="eastAsia"/>
                <w:szCs w:val="21"/>
                <w:highlight w:val="none"/>
              </w:rPr>
            </w:pPr>
          </w:p>
        </w:tc>
        <w:tc>
          <w:tcPr>
            <w:tcW w:w="1000" w:type="dxa"/>
            <w:vAlign w:val="center"/>
          </w:tcPr>
          <w:p w14:paraId="504F9E9B">
            <w:pPr>
              <w:jc w:val="center"/>
              <w:rPr>
                <w:rFonts w:hint="eastAsia"/>
                <w:szCs w:val="21"/>
                <w:highlight w:val="none"/>
              </w:rPr>
            </w:pPr>
          </w:p>
        </w:tc>
        <w:tc>
          <w:tcPr>
            <w:tcW w:w="885" w:type="dxa"/>
            <w:vAlign w:val="center"/>
          </w:tcPr>
          <w:p w14:paraId="19847ECC">
            <w:pPr>
              <w:jc w:val="center"/>
              <w:rPr>
                <w:rFonts w:hint="eastAsia"/>
                <w:szCs w:val="21"/>
                <w:highlight w:val="none"/>
              </w:rPr>
            </w:pPr>
          </w:p>
        </w:tc>
      </w:tr>
      <w:tr w14:paraId="53C4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26E27EE">
            <w:pPr>
              <w:jc w:val="center"/>
              <w:rPr>
                <w:rFonts w:hint="eastAsia"/>
                <w:szCs w:val="21"/>
                <w:highlight w:val="none"/>
              </w:rPr>
            </w:pPr>
          </w:p>
        </w:tc>
        <w:tc>
          <w:tcPr>
            <w:tcW w:w="869" w:type="dxa"/>
            <w:vAlign w:val="center"/>
          </w:tcPr>
          <w:p w14:paraId="16FEBAEB">
            <w:pPr>
              <w:jc w:val="center"/>
              <w:rPr>
                <w:rFonts w:hint="eastAsia"/>
                <w:szCs w:val="21"/>
                <w:highlight w:val="none"/>
              </w:rPr>
            </w:pPr>
          </w:p>
        </w:tc>
        <w:tc>
          <w:tcPr>
            <w:tcW w:w="900" w:type="dxa"/>
            <w:vAlign w:val="center"/>
          </w:tcPr>
          <w:p w14:paraId="45557A99">
            <w:pPr>
              <w:jc w:val="center"/>
              <w:rPr>
                <w:rFonts w:hint="eastAsia"/>
                <w:szCs w:val="21"/>
                <w:highlight w:val="none"/>
              </w:rPr>
            </w:pPr>
          </w:p>
        </w:tc>
        <w:tc>
          <w:tcPr>
            <w:tcW w:w="707" w:type="dxa"/>
            <w:tcBorders>
              <w:right w:val="single" w:color="auto" w:sz="4" w:space="0"/>
            </w:tcBorders>
            <w:vAlign w:val="center"/>
          </w:tcPr>
          <w:p w14:paraId="7B4D2661">
            <w:pPr>
              <w:jc w:val="center"/>
              <w:rPr>
                <w:rFonts w:hint="eastAsia"/>
                <w:szCs w:val="21"/>
                <w:highlight w:val="none"/>
              </w:rPr>
            </w:pPr>
          </w:p>
        </w:tc>
        <w:tc>
          <w:tcPr>
            <w:tcW w:w="649" w:type="dxa"/>
            <w:tcBorders>
              <w:left w:val="single" w:color="auto" w:sz="4" w:space="0"/>
            </w:tcBorders>
            <w:vAlign w:val="center"/>
          </w:tcPr>
          <w:p w14:paraId="59C65F88">
            <w:pPr>
              <w:jc w:val="center"/>
              <w:rPr>
                <w:rFonts w:hint="eastAsia"/>
                <w:szCs w:val="21"/>
                <w:highlight w:val="none"/>
              </w:rPr>
            </w:pPr>
          </w:p>
        </w:tc>
        <w:tc>
          <w:tcPr>
            <w:tcW w:w="1010" w:type="dxa"/>
            <w:tcBorders>
              <w:right w:val="single" w:color="auto" w:sz="4" w:space="0"/>
            </w:tcBorders>
            <w:vAlign w:val="center"/>
          </w:tcPr>
          <w:p w14:paraId="2A4BCDD5">
            <w:pPr>
              <w:jc w:val="center"/>
              <w:rPr>
                <w:rFonts w:hint="eastAsia"/>
                <w:szCs w:val="21"/>
                <w:highlight w:val="none"/>
              </w:rPr>
            </w:pPr>
          </w:p>
        </w:tc>
        <w:tc>
          <w:tcPr>
            <w:tcW w:w="986" w:type="dxa"/>
            <w:tcBorders>
              <w:left w:val="single" w:color="auto" w:sz="4" w:space="0"/>
            </w:tcBorders>
            <w:vAlign w:val="center"/>
          </w:tcPr>
          <w:p w14:paraId="39242DA9">
            <w:pPr>
              <w:jc w:val="center"/>
              <w:rPr>
                <w:rFonts w:hint="eastAsia"/>
                <w:szCs w:val="21"/>
                <w:highlight w:val="none"/>
              </w:rPr>
            </w:pPr>
          </w:p>
        </w:tc>
        <w:tc>
          <w:tcPr>
            <w:tcW w:w="1000" w:type="dxa"/>
            <w:vAlign w:val="center"/>
          </w:tcPr>
          <w:p w14:paraId="3BF87899">
            <w:pPr>
              <w:jc w:val="center"/>
              <w:rPr>
                <w:rFonts w:hint="eastAsia"/>
                <w:szCs w:val="21"/>
                <w:highlight w:val="none"/>
              </w:rPr>
            </w:pPr>
          </w:p>
        </w:tc>
        <w:tc>
          <w:tcPr>
            <w:tcW w:w="885" w:type="dxa"/>
            <w:vAlign w:val="center"/>
          </w:tcPr>
          <w:p w14:paraId="46375502">
            <w:pPr>
              <w:jc w:val="center"/>
              <w:rPr>
                <w:rFonts w:hint="eastAsia"/>
                <w:szCs w:val="21"/>
                <w:highlight w:val="none"/>
              </w:rPr>
            </w:pPr>
          </w:p>
        </w:tc>
      </w:tr>
      <w:tr w14:paraId="2746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619B5DE">
            <w:pPr>
              <w:jc w:val="center"/>
              <w:rPr>
                <w:rFonts w:hint="eastAsia"/>
                <w:szCs w:val="21"/>
                <w:highlight w:val="none"/>
              </w:rPr>
            </w:pPr>
          </w:p>
        </w:tc>
        <w:tc>
          <w:tcPr>
            <w:tcW w:w="869" w:type="dxa"/>
            <w:vAlign w:val="center"/>
          </w:tcPr>
          <w:p w14:paraId="6362EC86">
            <w:pPr>
              <w:jc w:val="center"/>
              <w:rPr>
                <w:rFonts w:hint="eastAsia"/>
                <w:szCs w:val="21"/>
                <w:highlight w:val="none"/>
              </w:rPr>
            </w:pPr>
          </w:p>
        </w:tc>
        <w:tc>
          <w:tcPr>
            <w:tcW w:w="900" w:type="dxa"/>
            <w:vAlign w:val="center"/>
          </w:tcPr>
          <w:p w14:paraId="6518B994">
            <w:pPr>
              <w:jc w:val="center"/>
              <w:rPr>
                <w:rFonts w:hint="eastAsia"/>
                <w:szCs w:val="21"/>
                <w:highlight w:val="none"/>
              </w:rPr>
            </w:pPr>
          </w:p>
        </w:tc>
        <w:tc>
          <w:tcPr>
            <w:tcW w:w="707" w:type="dxa"/>
            <w:tcBorders>
              <w:right w:val="single" w:color="auto" w:sz="4" w:space="0"/>
            </w:tcBorders>
            <w:vAlign w:val="center"/>
          </w:tcPr>
          <w:p w14:paraId="009447FF">
            <w:pPr>
              <w:jc w:val="center"/>
              <w:rPr>
                <w:rFonts w:hint="eastAsia"/>
                <w:szCs w:val="21"/>
                <w:highlight w:val="none"/>
              </w:rPr>
            </w:pPr>
          </w:p>
        </w:tc>
        <w:tc>
          <w:tcPr>
            <w:tcW w:w="649" w:type="dxa"/>
            <w:tcBorders>
              <w:left w:val="single" w:color="auto" w:sz="4" w:space="0"/>
            </w:tcBorders>
            <w:vAlign w:val="center"/>
          </w:tcPr>
          <w:p w14:paraId="539AC452">
            <w:pPr>
              <w:jc w:val="center"/>
              <w:rPr>
                <w:rFonts w:hint="eastAsia"/>
                <w:szCs w:val="21"/>
                <w:highlight w:val="none"/>
              </w:rPr>
            </w:pPr>
          </w:p>
        </w:tc>
        <w:tc>
          <w:tcPr>
            <w:tcW w:w="1010" w:type="dxa"/>
            <w:tcBorders>
              <w:right w:val="single" w:color="auto" w:sz="4" w:space="0"/>
            </w:tcBorders>
            <w:vAlign w:val="center"/>
          </w:tcPr>
          <w:p w14:paraId="736A70F4">
            <w:pPr>
              <w:jc w:val="center"/>
              <w:rPr>
                <w:rFonts w:hint="eastAsia"/>
                <w:szCs w:val="21"/>
                <w:highlight w:val="none"/>
              </w:rPr>
            </w:pPr>
          </w:p>
        </w:tc>
        <w:tc>
          <w:tcPr>
            <w:tcW w:w="986" w:type="dxa"/>
            <w:tcBorders>
              <w:left w:val="single" w:color="auto" w:sz="4" w:space="0"/>
            </w:tcBorders>
            <w:vAlign w:val="center"/>
          </w:tcPr>
          <w:p w14:paraId="557C2CE9">
            <w:pPr>
              <w:jc w:val="center"/>
              <w:rPr>
                <w:rFonts w:hint="eastAsia"/>
                <w:szCs w:val="21"/>
                <w:highlight w:val="none"/>
              </w:rPr>
            </w:pPr>
          </w:p>
        </w:tc>
        <w:tc>
          <w:tcPr>
            <w:tcW w:w="1000" w:type="dxa"/>
            <w:vAlign w:val="center"/>
          </w:tcPr>
          <w:p w14:paraId="17D3D29E">
            <w:pPr>
              <w:jc w:val="center"/>
              <w:rPr>
                <w:rFonts w:hint="eastAsia"/>
                <w:szCs w:val="21"/>
                <w:highlight w:val="none"/>
              </w:rPr>
            </w:pPr>
          </w:p>
        </w:tc>
        <w:tc>
          <w:tcPr>
            <w:tcW w:w="885" w:type="dxa"/>
            <w:vAlign w:val="center"/>
          </w:tcPr>
          <w:p w14:paraId="3443C76C">
            <w:pPr>
              <w:jc w:val="center"/>
              <w:rPr>
                <w:rFonts w:hint="eastAsia"/>
                <w:szCs w:val="21"/>
                <w:highlight w:val="none"/>
              </w:rPr>
            </w:pPr>
          </w:p>
        </w:tc>
      </w:tr>
      <w:tr w14:paraId="1DC4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008AF17">
            <w:pPr>
              <w:jc w:val="center"/>
              <w:rPr>
                <w:rFonts w:hint="eastAsia"/>
                <w:szCs w:val="21"/>
                <w:highlight w:val="none"/>
              </w:rPr>
            </w:pPr>
          </w:p>
        </w:tc>
        <w:tc>
          <w:tcPr>
            <w:tcW w:w="869" w:type="dxa"/>
            <w:vAlign w:val="center"/>
          </w:tcPr>
          <w:p w14:paraId="7831EF3A">
            <w:pPr>
              <w:jc w:val="center"/>
              <w:rPr>
                <w:rFonts w:hint="eastAsia"/>
                <w:szCs w:val="21"/>
                <w:highlight w:val="none"/>
              </w:rPr>
            </w:pPr>
          </w:p>
        </w:tc>
        <w:tc>
          <w:tcPr>
            <w:tcW w:w="900" w:type="dxa"/>
            <w:vAlign w:val="center"/>
          </w:tcPr>
          <w:p w14:paraId="2EB37729">
            <w:pPr>
              <w:jc w:val="center"/>
              <w:rPr>
                <w:rFonts w:hint="eastAsia"/>
                <w:szCs w:val="21"/>
                <w:highlight w:val="none"/>
              </w:rPr>
            </w:pPr>
          </w:p>
        </w:tc>
        <w:tc>
          <w:tcPr>
            <w:tcW w:w="707" w:type="dxa"/>
            <w:tcBorders>
              <w:right w:val="single" w:color="auto" w:sz="4" w:space="0"/>
            </w:tcBorders>
            <w:vAlign w:val="center"/>
          </w:tcPr>
          <w:p w14:paraId="35EF39BC">
            <w:pPr>
              <w:jc w:val="center"/>
              <w:rPr>
                <w:rFonts w:hint="eastAsia"/>
                <w:szCs w:val="21"/>
                <w:highlight w:val="none"/>
              </w:rPr>
            </w:pPr>
          </w:p>
        </w:tc>
        <w:tc>
          <w:tcPr>
            <w:tcW w:w="649" w:type="dxa"/>
            <w:tcBorders>
              <w:left w:val="single" w:color="auto" w:sz="4" w:space="0"/>
            </w:tcBorders>
            <w:vAlign w:val="center"/>
          </w:tcPr>
          <w:p w14:paraId="3586B2F8">
            <w:pPr>
              <w:jc w:val="center"/>
              <w:rPr>
                <w:rFonts w:hint="eastAsia"/>
                <w:szCs w:val="21"/>
                <w:highlight w:val="none"/>
              </w:rPr>
            </w:pPr>
          </w:p>
        </w:tc>
        <w:tc>
          <w:tcPr>
            <w:tcW w:w="1010" w:type="dxa"/>
            <w:tcBorders>
              <w:right w:val="single" w:color="auto" w:sz="4" w:space="0"/>
            </w:tcBorders>
            <w:vAlign w:val="center"/>
          </w:tcPr>
          <w:p w14:paraId="0B8CAD7D">
            <w:pPr>
              <w:jc w:val="center"/>
              <w:rPr>
                <w:rFonts w:hint="eastAsia"/>
                <w:szCs w:val="21"/>
                <w:highlight w:val="none"/>
              </w:rPr>
            </w:pPr>
          </w:p>
        </w:tc>
        <w:tc>
          <w:tcPr>
            <w:tcW w:w="986" w:type="dxa"/>
            <w:tcBorders>
              <w:left w:val="single" w:color="auto" w:sz="4" w:space="0"/>
            </w:tcBorders>
            <w:vAlign w:val="center"/>
          </w:tcPr>
          <w:p w14:paraId="2EE83C46">
            <w:pPr>
              <w:jc w:val="center"/>
              <w:rPr>
                <w:rFonts w:hint="eastAsia"/>
                <w:szCs w:val="21"/>
                <w:highlight w:val="none"/>
              </w:rPr>
            </w:pPr>
          </w:p>
        </w:tc>
        <w:tc>
          <w:tcPr>
            <w:tcW w:w="1000" w:type="dxa"/>
            <w:vAlign w:val="center"/>
          </w:tcPr>
          <w:p w14:paraId="1E5D152F">
            <w:pPr>
              <w:jc w:val="center"/>
              <w:rPr>
                <w:rFonts w:hint="eastAsia"/>
                <w:szCs w:val="21"/>
                <w:highlight w:val="none"/>
              </w:rPr>
            </w:pPr>
          </w:p>
        </w:tc>
        <w:tc>
          <w:tcPr>
            <w:tcW w:w="885" w:type="dxa"/>
            <w:vAlign w:val="center"/>
          </w:tcPr>
          <w:p w14:paraId="7402780C">
            <w:pPr>
              <w:jc w:val="center"/>
              <w:rPr>
                <w:rFonts w:hint="eastAsia"/>
                <w:szCs w:val="21"/>
                <w:highlight w:val="none"/>
              </w:rPr>
            </w:pPr>
          </w:p>
        </w:tc>
      </w:tr>
      <w:tr w14:paraId="2BDB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360EDE8">
            <w:pPr>
              <w:jc w:val="center"/>
              <w:rPr>
                <w:rFonts w:hint="eastAsia"/>
                <w:szCs w:val="21"/>
                <w:highlight w:val="none"/>
              </w:rPr>
            </w:pPr>
          </w:p>
        </w:tc>
        <w:tc>
          <w:tcPr>
            <w:tcW w:w="869" w:type="dxa"/>
            <w:vAlign w:val="center"/>
          </w:tcPr>
          <w:p w14:paraId="08939388">
            <w:pPr>
              <w:jc w:val="center"/>
              <w:rPr>
                <w:rFonts w:hint="eastAsia"/>
                <w:szCs w:val="21"/>
                <w:highlight w:val="none"/>
              </w:rPr>
            </w:pPr>
          </w:p>
        </w:tc>
        <w:tc>
          <w:tcPr>
            <w:tcW w:w="900" w:type="dxa"/>
            <w:vAlign w:val="center"/>
          </w:tcPr>
          <w:p w14:paraId="208F8F5E">
            <w:pPr>
              <w:jc w:val="center"/>
              <w:rPr>
                <w:rFonts w:hint="eastAsia"/>
                <w:szCs w:val="21"/>
                <w:highlight w:val="none"/>
              </w:rPr>
            </w:pPr>
          </w:p>
        </w:tc>
        <w:tc>
          <w:tcPr>
            <w:tcW w:w="707" w:type="dxa"/>
            <w:tcBorders>
              <w:right w:val="single" w:color="auto" w:sz="4" w:space="0"/>
            </w:tcBorders>
            <w:vAlign w:val="center"/>
          </w:tcPr>
          <w:p w14:paraId="3E7BBD26">
            <w:pPr>
              <w:jc w:val="center"/>
              <w:rPr>
                <w:rFonts w:hint="eastAsia"/>
                <w:szCs w:val="21"/>
                <w:highlight w:val="none"/>
              </w:rPr>
            </w:pPr>
          </w:p>
        </w:tc>
        <w:tc>
          <w:tcPr>
            <w:tcW w:w="649" w:type="dxa"/>
            <w:tcBorders>
              <w:left w:val="single" w:color="auto" w:sz="4" w:space="0"/>
            </w:tcBorders>
            <w:vAlign w:val="center"/>
          </w:tcPr>
          <w:p w14:paraId="2C1436E5">
            <w:pPr>
              <w:jc w:val="center"/>
              <w:rPr>
                <w:rFonts w:hint="eastAsia"/>
                <w:szCs w:val="21"/>
                <w:highlight w:val="none"/>
              </w:rPr>
            </w:pPr>
          </w:p>
        </w:tc>
        <w:tc>
          <w:tcPr>
            <w:tcW w:w="1010" w:type="dxa"/>
            <w:tcBorders>
              <w:right w:val="single" w:color="auto" w:sz="4" w:space="0"/>
            </w:tcBorders>
            <w:vAlign w:val="center"/>
          </w:tcPr>
          <w:p w14:paraId="1E8AABBC">
            <w:pPr>
              <w:jc w:val="center"/>
              <w:rPr>
                <w:rFonts w:hint="eastAsia"/>
                <w:szCs w:val="21"/>
                <w:highlight w:val="none"/>
              </w:rPr>
            </w:pPr>
          </w:p>
        </w:tc>
        <w:tc>
          <w:tcPr>
            <w:tcW w:w="986" w:type="dxa"/>
            <w:tcBorders>
              <w:left w:val="single" w:color="auto" w:sz="4" w:space="0"/>
            </w:tcBorders>
            <w:vAlign w:val="center"/>
          </w:tcPr>
          <w:p w14:paraId="48EB1C25">
            <w:pPr>
              <w:jc w:val="center"/>
              <w:rPr>
                <w:rFonts w:hint="eastAsia"/>
                <w:szCs w:val="21"/>
                <w:highlight w:val="none"/>
              </w:rPr>
            </w:pPr>
          </w:p>
        </w:tc>
        <w:tc>
          <w:tcPr>
            <w:tcW w:w="1000" w:type="dxa"/>
            <w:vAlign w:val="center"/>
          </w:tcPr>
          <w:p w14:paraId="7EA390E7">
            <w:pPr>
              <w:jc w:val="center"/>
              <w:rPr>
                <w:rFonts w:hint="eastAsia"/>
                <w:szCs w:val="21"/>
                <w:highlight w:val="none"/>
              </w:rPr>
            </w:pPr>
          </w:p>
        </w:tc>
        <w:tc>
          <w:tcPr>
            <w:tcW w:w="885" w:type="dxa"/>
            <w:vAlign w:val="center"/>
          </w:tcPr>
          <w:p w14:paraId="63FAE979">
            <w:pPr>
              <w:jc w:val="center"/>
              <w:rPr>
                <w:rFonts w:hint="eastAsia"/>
                <w:szCs w:val="21"/>
                <w:highlight w:val="none"/>
              </w:rPr>
            </w:pPr>
          </w:p>
        </w:tc>
      </w:tr>
      <w:tr w14:paraId="78A4A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26BCA0DD">
            <w:pPr>
              <w:jc w:val="center"/>
              <w:rPr>
                <w:rFonts w:hint="eastAsia"/>
                <w:szCs w:val="21"/>
                <w:highlight w:val="none"/>
              </w:rPr>
            </w:pPr>
          </w:p>
        </w:tc>
        <w:tc>
          <w:tcPr>
            <w:tcW w:w="869" w:type="dxa"/>
            <w:vAlign w:val="center"/>
          </w:tcPr>
          <w:p w14:paraId="2D741787">
            <w:pPr>
              <w:jc w:val="center"/>
              <w:rPr>
                <w:rFonts w:hint="eastAsia"/>
                <w:szCs w:val="21"/>
                <w:highlight w:val="none"/>
              </w:rPr>
            </w:pPr>
          </w:p>
        </w:tc>
        <w:tc>
          <w:tcPr>
            <w:tcW w:w="900" w:type="dxa"/>
            <w:vAlign w:val="center"/>
          </w:tcPr>
          <w:p w14:paraId="59B75655">
            <w:pPr>
              <w:jc w:val="center"/>
              <w:rPr>
                <w:rFonts w:hint="eastAsia"/>
                <w:szCs w:val="21"/>
                <w:highlight w:val="none"/>
              </w:rPr>
            </w:pPr>
          </w:p>
        </w:tc>
        <w:tc>
          <w:tcPr>
            <w:tcW w:w="707" w:type="dxa"/>
            <w:tcBorders>
              <w:right w:val="single" w:color="auto" w:sz="4" w:space="0"/>
            </w:tcBorders>
            <w:vAlign w:val="center"/>
          </w:tcPr>
          <w:p w14:paraId="6977CEDF">
            <w:pPr>
              <w:jc w:val="center"/>
              <w:rPr>
                <w:rFonts w:hint="eastAsia"/>
                <w:szCs w:val="21"/>
                <w:highlight w:val="none"/>
              </w:rPr>
            </w:pPr>
          </w:p>
        </w:tc>
        <w:tc>
          <w:tcPr>
            <w:tcW w:w="649" w:type="dxa"/>
            <w:tcBorders>
              <w:left w:val="single" w:color="auto" w:sz="4" w:space="0"/>
            </w:tcBorders>
            <w:vAlign w:val="center"/>
          </w:tcPr>
          <w:p w14:paraId="3448329B">
            <w:pPr>
              <w:jc w:val="center"/>
              <w:rPr>
                <w:rFonts w:hint="eastAsia"/>
                <w:szCs w:val="21"/>
                <w:highlight w:val="none"/>
              </w:rPr>
            </w:pPr>
          </w:p>
        </w:tc>
        <w:tc>
          <w:tcPr>
            <w:tcW w:w="1010" w:type="dxa"/>
            <w:tcBorders>
              <w:right w:val="single" w:color="auto" w:sz="4" w:space="0"/>
            </w:tcBorders>
            <w:vAlign w:val="center"/>
          </w:tcPr>
          <w:p w14:paraId="50CA25DF">
            <w:pPr>
              <w:jc w:val="center"/>
              <w:rPr>
                <w:rFonts w:hint="eastAsia"/>
                <w:szCs w:val="21"/>
                <w:highlight w:val="none"/>
              </w:rPr>
            </w:pPr>
          </w:p>
        </w:tc>
        <w:tc>
          <w:tcPr>
            <w:tcW w:w="986" w:type="dxa"/>
            <w:tcBorders>
              <w:left w:val="single" w:color="auto" w:sz="4" w:space="0"/>
            </w:tcBorders>
            <w:vAlign w:val="center"/>
          </w:tcPr>
          <w:p w14:paraId="761BB360">
            <w:pPr>
              <w:jc w:val="center"/>
              <w:rPr>
                <w:rFonts w:hint="eastAsia"/>
                <w:szCs w:val="21"/>
                <w:highlight w:val="none"/>
              </w:rPr>
            </w:pPr>
          </w:p>
        </w:tc>
        <w:tc>
          <w:tcPr>
            <w:tcW w:w="1000" w:type="dxa"/>
            <w:vAlign w:val="center"/>
          </w:tcPr>
          <w:p w14:paraId="1FBD6223">
            <w:pPr>
              <w:jc w:val="center"/>
              <w:rPr>
                <w:rFonts w:hint="eastAsia"/>
                <w:szCs w:val="21"/>
                <w:highlight w:val="none"/>
              </w:rPr>
            </w:pPr>
          </w:p>
        </w:tc>
        <w:tc>
          <w:tcPr>
            <w:tcW w:w="885" w:type="dxa"/>
            <w:vAlign w:val="center"/>
          </w:tcPr>
          <w:p w14:paraId="3F6AA0B9">
            <w:pPr>
              <w:jc w:val="center"/>
              <w:rPr>
                <w:rFonts w:hint="eastAsia"/>
                <w:szCs w:val="21"/>
                <w:highlight w:val="none"/>
              </w:rPr>
            </w:pPr>
          </w:p>
        </w:tc>
      </w:tr>
      <w:tr w14:paraId="671A1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EE92263">
            <w:pPr>
              <w:jc w:val="center"/>
              <w:rPr>
                <w:rFonts w:hint="eastAsia"/>
                <w:szCs w:val="21"/>
                <w:highlight w:val="none"/>
              </w:rPr>
            </w:pPr>
          </w:p>
        </w:tc>
        <w:tc>
          <w:tcPr>
            <w:tcW w:w="869" w:type="dxa"/>
            <w:vAlign w:val="center"/>
          </w:tcPr>
          <w:p w14:paraId="30D91831">
            <w:pPr>
              <w:jc w:val="center"/>
              <w:rPr>
                <w:rFonts w:hint="eastAsia"/>
                <w:szCs w:val="21"/>
                <w:highlight w:val="none"/>
              </w:rPr>
            </w:pPr>
          </w:p>
        </w:tc>
        <w:tc>
          <w:tcPr>
            <w:tcW w:w="900" w:type="dxa"/>
            <w:vAlign w:val="center"/>
          </w:tcPr>
          <w:p w14:paraId="1381DCAE">
            <w:pPr>
              <w:jc w:val="center"/>
              <w:rPr>
                <w:rFonts w:hint="eastAsia"/>
                <w:szCs w:val="21"/>
                <w:highlight w:val="none"/>
              </w:rPr>
            </w:pPr>
          </w:p>
        </w:tc>
        <w:tc>
          <w:tcPr>
            <w:tcW w:w="707" w:type="dxa"/>
            <w:tcBorders>
              <w:right w:val="single" w:color="auto" w:sz="4" w:space="0"/>
            </w:tcBorders>
            <w:vAlign w:val="center"/>
          </w:tcPr>
          <w:p w14:paraId="77FBC09F">
            <w:pPr>
              <w:jc w:val="center"/>
              <w:rPr>
                <w:rFonts w:hint="eastAsia"/>
                <w:szCs w:val="21"/>
                <w:highlight w:val="none"/>
              </w:rPr>
            </w:pPr>
          </w:p>
        </w:tc>
        <w:tc>
          <w:tcPr>
            <w:tcW w:w="649" w:type="dxa"/>
            <w:tcBorders>
              <w:left w:val="single" w:color="auto" w:sz="4" w:space="0"/>
            </w:tcBorders>
            <w:vAlign w:val="center"/>
          </w:tcPr>
          <w:p w14:paraId="1019838F">
            <w:pPr>
              <w:jc w:val="center"/>
              <w:rPr>
                <w:rFonts w:hint="eastAsia"/>
                <w:szCs w:val="21"/>
                <w:highlight w:val="none"/>
              </w:rPr>
            </w:pPr>
          </w:p>
        </w:tc>
        <w:tc>
          <w:tcPr>
            <w:tcW w:w="1010" w:type="dxa"/>
            <w:tcBorders>
              <w:right w:val="single" w:color="auto" w:sz="4" w:space="0"/>
            </w:tcBorders>
            <w:vAlign w:val="center"/>
          </w:tcPr>
          <w:p w14:paraId="3DD8B8BA">
            <w:pPr>
              <w:jc w:val="center"/>
              <w:rPr>
                <w:rFonts w:hint="eastAsia"/>
                <w:szCs w:val="21"/>
                <w:highlight w:val="none"/>
              </w:rPr>
            </w:pPr>
          </w:p>
        </w:tc>
        <w:tc>
          <w:tcPr>
            <w:tcW w:w="986" w:type="dxa"/>
            <w:tcBorders>
              <w:left w:val="single" w:color="auto" w:sz="4" w:space="0"/>
            </w:tcBorders>
            <w:vAlign w:val="center"/>
          </w:tcPr>
          <w:p w14:paraId="3E337EC1">
            <w:pPr>
              <w:jc w:val="center"/>
              <w:rPr>
                <w:rFonts w:hint="eastAsia"/>
                <w:szCs w:val="21"/>
                <w:highlight w:val="none"/>
              </w:rPr>
            </w:pPr>
          </w:p>
        </w:tc>
        <w:tc>
          <w:tcPr>
            <w:tcW w:w="1000" w:type="dxa"/>
            <w:vAlign w:val="center"/>
          </w:tcPr>
          <w:p w14:paraId="58927B04">
            <w:pPr>
              <w:jc w:val="center"/>
              <w:rPr>
                <w:rFonts w:hint="eastAsia"/>
                <w:szCs w:val="21"/>
                <w:highlight w:val="none"/>
              </w:rPr>
            </w:pPr>
          </w:p>
        </w:tc>
        <w:tc>
          <w:tcPr>
            <w:tcW w:w="885" w:type="dxa"/>
            <w:vAlign w:val="center"/>
          </w:tcPr>
          <w:p w14:paraId="06863E8B">
            <w:pPr>
              <w:jc w:val="center"/>
              <w:rPr>
                <w:rFonts w:hint="eastAsia"/>
                <w:szCs w:val="21"/>
                <w:highlight w:val="none"/>
              </w:rPr>
            </w:pPr>
          </w:p>
        </w:tc>
      </w:tr>
      <w:tr w14:paraId="390B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F1DC98A">
            <w:pPr>
              <w:jc w:val="center"/>
              <w:rPr>
                <w:rFonts w:hint="eastAsia"/>
                <w:szCs w:val="21"/>
                <w:highlight w:val="none"/>
              </w:rPr>
            </w:pPr>
          </w:p>
        </w:tc>
        <w:tc>
          <w:tcPr>
            <w:tcW w:w="869" w:type="dxa"/>
            <w:vAlign w:val="center"/>
          </w:tcPr>
          <w:p w14:paraId="64C99B82">
            <w:pPr>
              <w:jc w:val="center"/>
              <w:rPr>
                <w:rFonts w:hint="eastAsia"/>
                <w:szCs w:val="21"/>
                <w:highlight w:val="none"/>
              </w:rPr>
            </w:pPr>
          </w:p>
        </w:tc>
        <w:tc>
          <w:tcPr>
            <w:tcW w:w="900" w:type="dxa"/>
            <w:vAlign w:val="center"/>
          </w:tcPr>
          <w:p w14:paraId="255FA51E">
            <w:pPr>
              <w:jc w:val="center"/>
              <w:rPr>
                <w:rFonts w:hint="eastAsia"/>
                <w:szCs w:val="21"/>
                <w:highlight w:val="none"/>
              </w:rPr>
            </w:pPr>
          </w:p>
        </w:tc>
        <w:tc>
          <w:tcPr>
            <w:tcW w:w="707" w:type="dxa"/>
            <w:tcBorders>
              <w:right w:val="single" w:color="auto" w:sz="4" w:space="0"/>
            </w:tcBorders>
            <w:vAlign w:val="center"/>
          </w:tcPr>
          <w:p w14:paraId="614E3009">
            <w:pPr>
              <w:jc w:val="center"/>
              <w:rPr>
                <w:rFonts w:hint="eastAsia"/>
                <w:szCs w:val="21"/>
                <w:highlight w:val="none"/>
              </w:rPr>
            </w:pPr>
          </w:p>
        </w:tc>
        <w:tc>
          <w:tcPr>
            <w:tcW w:w="649" w:type="dxa"/>
            <w:tcBorders>
              <w:left w:val="single" w:color="auto" w:sz="4" w:space="0"/>
            </w:tcBorders>
            <w:vAlign w:val="center"/>
          </w:tcPr>
          <w:p w14:paraId="0F95B5B2">
            <w:pPr>
              <w:jc w:val="center"/>
              <w:rPr>
                <w:rFonts w:hint="eastAsia"/>
                <w:szCs w:val="21"/>
                <w:highlight w:val="none"/>
              </w:rPr>
            </w:pPr>
          </w:p>
        </w:tc>
        <w:tc>
          <w:tcPr>
            <w:tcW w:w="1010" w:type="dxa"/>
            <w:tcBorders>
              <w:right w:val="single" w:color="auto" w:sz="4" w:space="0"/>
            </w:tcBorders>
            <w:vAlign w:val="center"/>
          </w:tcPr>
          <w:p w14:paraId="7D681AC4">
            <w:pPr>
              <w:jc w:val="center"/>
              <w:rPr>
                <w:rFonts w:hint="eastAsia"/>
                <w:szCs w:val="21"/>
                <w:highlight w:val="none"/>
              </w:rPr>
            </w:pPr>
          </w:p>
        </w:tc>
        <w:tc>
          <w:tcPr>
            <w:tcW w:w="986" w:type="dxa"/>
            <w:tcBorders>
              <w:left w:val="single" w:color="auto" w:sz="4" w:space="0"/>
            </w:tcBorders>
            <w:vAlign w:val="center"/>
          </w:tcPr>
          <w:p w14:paraId="1DD7DEBF">
            <w:pPr>
              <w:jc w:val="center"/>
              <w:rPr>
                <w:rFonts w:hint="eastAsia"/>
                <w:szCs w:val="21"/>
                <w:highlight w:val="none"/>
              </w:rPr>
            </w:pPr>
          </w:p>
        </w:tc>
        <w:tc>
          <w:tcPr>
            <w:tcW w:w="1000" w:type="dxa"/>
            <w:vAlign w:val="center"/>
          </w:tcPr>
          <w:p w14:paraId="7D88FD81">
            <w:pPr>
              <w:jc w:val="center"/>
              <w:rPr>
                <w:rFonts w:hint="eastAsia"/>
                <w:szCs w:val="21"/>
                <w:highlight w:val="none"/>
              </w:rPr>
            </w:pPr>
          </w:p>
        </w:tc>
        <w:tc>
          <w:tcPr>
            <w:tcW w:w="885" w:type="dxa"/>
            <w:vAlign w:val="center"/>
          </w:tcPr>
          <w:p w14:paraId="0B723FF1">
            <w:pPr>
              <w:jc w:val="center"/>
              <w:rPr>
                <w:rFonts w:hint="eastAsia"/>
                <w:szCs w:val="21"/>
                <w:highlight w:val="none"/>
              </w:rPr>
            </w:pPr>
          </w:p>
        </w:tc>
      </w:tr>
    </w:tbl>
    <w:p w14:paraId="12E92C7E">
      <w:pPr>
        <w:spacing w:line="400" w:lineRule="exact"/>
        <w:ind w:firstLine="480" w:firstLineChars="200"/>
        <w:rPr>
          <w:rFonts w:hint="eastAsia"/>
          <w:highlight w:val="none"/>
        </w:rPr>
      </w:pPr>
      <w:r>
        <w:rPr>
          <w:rFonts w:hint="eastAsia"/>
          <w:highlight w:val="none"/>
        </w:rPr>
        <w:t>注：1、后附全部人员证件复印件、专家介绍，加盖单位公章。</w:t>
      </w:r>
    </w:p>
    <w:p w14:paraId="165C8F01">
      <w:pPr>
        <w:spacing w:line="400" w:lineRule="exact"/>
        <w:rPr>
          <w:rFonts w:hint="eastAsia"/>
          <w:highlight w:val="none"/>
        </w:rPr>
      </w:pPr>
    </w:p>
    <w:p w14:paraId="77E6D9CC">
      <w:pPr>
        <w:spacing w:line="400" w:lineRule="exact"/>
        <w:rPr>
          <w:rFonts w:hint="eastAsia"/>
          <w:highlight w:val="none"/>
        </w:rPr>
      </w:pPr>
    </w:p>
    <w:p w14:paraId="6E3E6F67">
      <w:pPr>
        <w:pStyle w:val="25"/>
        <w:adjustRightInd w:val="0"/>
        <w:snapToGrid w:val="0"/>
        <w:spacing w:line="360" w:lineRule="auto"/>
        <w:rPr>
          <w:rFonts w:hint="eastAsia"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6C44ABD7">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218146D3">
      <w:pPr>
        <w:adjustRightInd w:val="0"/>
        <w:snapToGrid w:val="0"/>
        <w:rPr>
          <w:rFonts w:hint="eastAsia"/>
          <w:szCs w:val="21"/>
          <w:highlight w:val="none"/>
        </w:rPr>
      </w:pPr>
      <w:r>
        <w:rPr>
          <w:rFonts w:hint="eastAsia"/>
          <w:szCs w:val="21"/>
          <w:highlight w:val="none"/>
        </w:rPr>
        <w:t xml:space="preserve">日      期： </w:t>
      </w:r>
      <w:r>
        <w:rPr>
          <w:rFonts w:hint="eastAsia"/>
          <w:szCs w:val="21"/>
          <w:highlight w:val="none"/>
          <w:u w:val="single"/>
        </w:rPr>
        <w:t xml:space="preserve">     </w:t>
      </w:r>
      <w:r>
        <w:rPr>
          <w:rFonts w:hint="eastAsia"/>
          <w:szCs w:val="21"/>
          <w:highlight w:val="none"/>
        </w:rPr>
        <w:t xml:space="preserve"> 年 </w:t>
      </w:r>
      <w:r>
        <w:rPr>
          <w:rFonts w:hint="eastAsia"/>
          <w:szCs w:val="21"/>
          <w:highlight w:val="none"/>
          <w:u w:val="single"/>
        </w:rPr>
        <w:t xml:space="preserve">    </w:t>
      </w:r>
      <w:r>
        <w:rPr>
          <w:rFonts w:hint="eastAsia"/>
          <w:szCs w:val="21"/>
          <w:highlight w:val="none"/>
        </w:rPr>
        <w:t xml:space="preserve"> 月 </w:t>
      </w:r>
      <w:r>
        <w:rPr>
          <w:rFonts w:hint="eastAsia"/>
          <w:szCs w:val="21"/>
          <w:highlight w:val="none"/>
          <w:u w:val="single"/>
        </w:rPr>
        <w:t xml:space="preserve">   </w:t>
      </w:r>
      <w:r>
        <w:rPr>
          <w:rFonts w:hint="eastAsia"/>
          <w:szCs w:val="21"/>
          <w:highlight w:val="none"/>
        </w:rPr>
        <w:t xml:space="preserve"> 日</w:t>
      </w:r>
    </w:p>
    <w:p w14:paraId="7786DFE5">
      <w:pPr>
        <w:spacing w:line="400" w:lineRule="exact"/>
        <w:rPr>
          <w:rFonts w:hint="eastAsia"/>
          <w:highlight w:val="none"/>
        </w:rPr>
      </w:pPr>
    </w:p>
    <w:p w14:paraId="0C484CD4">
      <w:pPr>
        <w:adjustRightInd w:val="0"/>
        <w:snapToGrid w:val="0"/>
        <w:ind w:left="-101" w:leftChars="-42" w:firstLine="360" w:firstLineChars="150"/>
        <w:rPr>
          <w:rFonts w:hint="eastAsia"/>
          <w:highlight w:val="none"/>
        </w:rPr>
      </w:pPr>
    </w:p>
    <w:p w14:paraId="4CB82593">
      <w:pPr>
        <w:adjustRightInd w:val="0"/>
        <w:snapToGrid w:val="0"/>
        <w:rPr>
          <w:rFonts w:hint="eastAsia"/>
          <w:highlight w:val="none"/>
        </w:rPr>
      </w:pPr>
      <w:r>
        <w:rPr>
          <w:highlight w:val="none"/>
        </w:rPr>
        <w:br w:type="page"/>
      </w:r>
      <w:r>
        <w:rPr>
          <w:rFonts w:hint="eastAsia"/>
          <w:bCs/>
          <w:sz w:val="28"/>
          <w:szCs w:val="28"/>
          <w:highlight w:val="none"/>
        </w:rPr>
        <w:t>附件10</w:t>
      </w:r>
    </w:p>
    <w:p w14:paraId="4F8659F5">
      <w:pPr>
        <w:pStyle w:val="24"/>
        <w:snapToGrid w:val="0"/>
        <w:spacing w:before="295" w:after="295"/>
        <w:jc w:val="center"/>
        <w:rPr>
          <w:rFonts w:hint="eastAsia" w:hAnsi="宋体"/>
          <w:sz w:val="28"/>
          <w:szCs w:val="28"/>
          <w:highlight w:val="none"/>
        </w:rPr>
      </w:pPr>
      <w:r>
        <w:rPr>
          <w:rFonts w:hint="eastAsia" w:hAnsi="宋体"/>
          <w:sz w:val="28"/>
          <w:szCs w:val="28"/>
          <w:highlight w:val="none"/>
        </w:rPr>
        <w:t>投标人主要业绩</w:t>
      </w:r>
    </w:p>
    <w:p w14:paraId="7035F8DF">
      <w:pPr>
        <w:jc w:val="center"/>
        <w:rPr>
          <w:rFonts w:hint="eastAsia"/>
          <w:b/>
          <w:szCs w:val="21"/>
          <w:highlight w:val="none"/>
        </w:rPr>
      </w:pPr>
    </w:p>
    <w:p w14:paraId="6199804A">
      <w:pPr>
        <w:numPr>
          <w:ilvl w:val="0"/>
          <w:numId w:val="58"/>
        </w:numPr>
        <w:spacing w:line="240" w:lineRule="auto"/>
        <w:jc w:val="center"/>
        <w:rPr>
          <w:rFonts w:hint="eastAsia"/>
          <w:b/>
          <w:szCs w:val="21"/>
          <w:highlight w:val="none"/>
        </w:rPr>
      </w:pPr>
      <w:r>
        <w:rPr>
          <w:b/>
          <w:szCs w:val="21"/>
          <w:highlight w:val="none"/>
        </w:rPr>
        <w:t>已</w:t>
      </w:r>
      <w:r>
        <w:rPr>
          <w:rFonts w:hint="eastAsia"/>
          <w:b/>
          <w:szCs w:val="21"/>
          <w:highlight w:val="none"/>
        </w:rPr>
        <w:t>完成类似</w:t>
      </w:r>
      <w:r>
        <w:rPr>
          <w:b/>
          <w:szCs w:val="21"/>
          <w:highlight w:val="none"/>
        </w:rPr>
        <w:t>项目一览表</w:t>
      </w:r>
      <w:r>
        <w:rPr>
          <w:rFonts w:hint="eastAsia"/>
          <w:b/>
          <w:szCs w:val="21"/>
          <w:highlight w:val="none"/>
        </w:rPr>
        <w:t xml:space="preserve">        </w:t>
      </w:r>
    </w:p>
    <w:tbl>
      <w:tblPr>
        <w:tblStyle w:val="44"/>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080"/>
        <w:gridCol w:w="1080"/>
      </w:tblGrid>
      <w:tr w14:paraId="1983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58DB8BB2">
            <w:pPr>
              <w:spacing w:line="400" w:lineRule="exact"/>
              <w:jc w:val="center"/>
              <w:rPr>
                <w:rFonts w:hint="eastAsia"/>
                <w:color w:val="000000"/>
                <w:szCs w:val="21"/>
                <w:highlight w:val="none"/>
              </w:rPr>
            </w:pPr>
            <w:r>
              <w:rPr>
                <w:color w:val="000000"/>
                <w:szCs w:val="21"/>
                <w:highlight w:val="none"/>
              </w:rPr>
              <w:t>项目名称</w:t>
            </w:r>
          </w:p>
        </w:tc>
        <w:tc>
          <w:tcPr>
            <w:tcW w:w="900" w:type="dxa"/>
            <w:vAlign w:val="center"/>
          </w:tcPr>
          <w:p w14:paraId="798B0C52">
            <w:pPr>
              <w:spacing w:line="400" w:lineRule="exact"/>
              <w:jc w:val="center"/>
              <w:rPr>
                <w:rFonts w:hint="eastAsia"/>
                <w:color w:val="000000"/>
                <w:szCs w:val="21"/>
                <w:highlight w:val="none"/>
              </w:rPr>
            </w:pPr>
            <w:r>
              <w:rPr>
                <w:rFonts w:hint="eastAsia"/>
                <w:color w:val="000000"/>
                <w:szCs w:val="21"/>
                <w:highlight w:val="none"/>
              </w:rPr>
              <w:t>采购人</w:t>
            </w:r>
          </w:p>
        </w:tc>
        <w:tc>
          <w:tcPr>
            <w:tcW w:w="1620" w:type="dxa"/>
            <w:vAlign w:val="center"/>
          </w:tcPr>
          <w:p w14:paraId="66648BC4">
            <w:pPr>
              <w:spacing w:line="400" w:lineRule="exact"/>
              <w:jc w:val="center"/>
              <w:rPr>
                <w:rFonts w:hint="eastAsia"/>
                <w:color w:val="000000"/>
                <w:szCs w:val="21"/>
                <w:highlight w:val="none"/>
              </w:rPr>
            </w:pPr>
            <w:r>
              <w:rPr>
                <w:rFonts w:hint="eastAsia"/>
                <w:color w:val="000000"/>
                <w:szCs w:val="21"/>
                <w:highlight w:val="none"/>
              </w:rPr>
              <w:t>采购人联系人及联系电话</w:t>
            </w:r>
          </w:p>
        </w:tc>
        <w:tc>
          <w:tcPr>
            <w:tcW w:w="1080" w:type="dxa"/>
            <w:vAlign w:val="center"/>
          </w:tcPr>
          <w:p w14:paraId="3A52C049">
            <w:pPr>
              <w:spacing w:line="400" w:lineRule="exact"/>
              <w:jc w:val="center"/>
              <w:rPr>
                <w:rFonts w:hint="eastAsia"/>
                <w:color w:val="000000"/>
                <w:szCs w:val="21"/>
                <w:highlight w:val="none"/>
              </w:rPr>
            </w:pPr>
            <w:r>
              <w:rPr>
                <w:rFonts w:hint="eastAsia"/>
                <w:color w:val="000000"/>
                <w:szCs w:val="21"/>
                <w:highlight w:val="none"/>
              </w:rPr>
              <w:t>交货期限</w:t>
            </w:r>
          </w:p>
        </w:tc>
        <w:tc>
          <w:tcPr>
            <w:tcW w:w="1080" w:type="dxa"/>
            <w:vAlign w:val="center"/>
          </w:tcPr>
          <w:p w14:paraId="13A78172">
            <w:pPr>
              <w:spacing w:line="400" w:lineRule="exact"/>
              <w:jc w:val="center"/>
              <w:rPr>
                <w:rFonts w:hint="eastAsia"/>
                <w:color w:val="000000"/>
                <w:szCs w:val="21"/>
                <w:highlight w:val="none"/>
              </w:rPr>
            </w:pPr>
            <w:r>
              <w:rPr>
                <w:rFonts w:hint="eastAsia"/>
                <w:color w:val="000000"/>
                <w:szCs w:val="21"/>
                <w:highlight w:val="none"/>
              </w:rPr>
              <w:t>项目地点</w:t>
            </w:r>
          </w:p>
        </w:tc>
        <w:tc>
          <w:tcPr>
            <w:tcW w:w="720" w:type="dxa"/>
            <w:vAlign w:val="center"/>
          </w:tcPr>
          <w:p w14:paraId="1C1DAC7C">
            <w:pPr>
              <w:spacing w:line="400" w:lineRule="exact"/>
              <w:jc w:val="center"/>
              <w:rPr>
                <w:rFonts w:hint="eastAsia"/>
                <w:color w:val="000000"/>
                <w:szCs w:val="21"/>
                <w:highlight w:val="none"/>
              </w:rPr>
            </w:pPr>
            <w:r>
              <w:rPr>
                <w:color w:val="000000"/>
                <w:szCs w:val="21"/>
                <w:highlight w:val="none"/>
              </w:rPr>
              <w:t>规模</w:t>
            </w:r>
          </w:p>
        </w:tc>
        <w:tc>
          <w:tcPr>
            <w:tcW w:w="1080" w:type="dxa"/>
            <w:vAlign w:val="center"/>
          </w:tcPr>
          <w:p w14:paraId="396EE21F">
            <w:pPr>
              <w:spacing w:line="400" w:lineRule="exact"/>
              <w:jc w:val="center"/>
              <w:rPr>
                <w:rFonts w:hint="eastAsia"/>
                <w:spacing w:val="-16"/>
                <w:szCs w:val="21"/>
                <w:highlight w:val="none"/>
              </w:rPr>
            </w:pPr>
            <w:r>
              <w:rPr>
                <w:rFonts w:hint="eastAsia"/>
                <w:spacing w:val="-16"/>
                <w:szCs w:val="21"/>
                <w:highlight w:val="none"/>
              </w:rPr>
              <w:t>签约合同金额</w:t>
            </w:r>
          </w:p>
        </w:tc>
        <w:tc>
          <w:tcPr>
            <w:tcW w:w="1080" w:type="dxa"/>
            <w:vAlign w:val="center"/>
          </w:tcPr>
          <w:p w14:paraId="6DE58744">
            <w:pPr>
              <w:spacing w:line="400" w:lineRule="exact"/>
              <w:jc w:val="center"/>
              <w:rPr>
                <w:rFonts w:hint="eastAsia"/>
                <w:spacing w:val="-16"/>
                <w:szCs w:val="21"/>
                <w:highlight w:val="none"/>
              </w:rPr>
            </w:pPr>
            <w:r>
              <w:rPr>
                <w:rFonts w:hint="eastAsia"/>
                <w:spacing w:val="-16"/>
                <w:szCs w:val="21"/>
                <w:highlight w:val="none"/>
              </w:rPr>
              <w:t>合同内容</w:t>
            </w:r>
          </w:p>
        </w:tc>
      </w:tr>
      <w:tr w14:paraId="6BD6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5811824F">
            <w:pPr>
              <w:spacing w:line="400" w:lineRule="exact"/>
              <w:rPr>
                <w:rFonts w:hint="eastAsia"/>
                <w:szCs w:val="21"/>
                <w:highlight w:val="none"/>
              </w:rPr>
            </w:pPr>
          </w:p>
        </w:tc>
        <w:tc>
          <w:tcPr>
            <w:tcW w:w="900" w:type="dxa"/>
          </w:tcPr>
          <w:p w14:paraId="32C0F8DA">
            <w:pPr>
              <w:spacing w:line="400" w:lineRule="exact"/>
              <w:rPr>
                <w:rFonts w:hint="eastAsia"/>
                <w:szCs w:val="21"/>
                <w:highlight w:val="none"/>
              </w:rPr>
            </w:pPr>
          </w:p>
        </w:tc>
        <w:tc>
          <w:tcPr>
            <w:tcW w:w="1620" w:type="dxa"/>
          </w:tcPr>
          <w:p w14:paraId="3017891B">
            <w:pPr>
              <w:spacing w:line="400" w:lineRule="exact"/>
              <w:rPr>
                <w:rFonts w:hint="eastAsia"/>
                <w:szCs w:val="21"/>
                <w:highlight w:val="none"/>
              </w:rPr>
            </w:pPr>
          </w:p>
        </w:tc>
        <w:tc>
          <w:tcPr>
            <w:tcW w:w="1080" w:type="dxa"/>
          </w:tcPr>
          <w:p w14:paraId="11F39658">
            <w:pPr>
              <w:spacing w:line="400" w:lineRule="exact"/>
              <w:rPr>
                <w:rFonts w:hint="eastAsia"/>
                <w:szCs w:val="21"/>
                <w:highlight w:val="none"/>
              </w:rPr>
            </w:pPr>
          </w:p>
        </w:tc>
        <w:tc>
          <w:tcPr>
            <w:tcW w:w="1080" w:type="dxa"/>
          </w:tcPr>
          <w:p w14:paraId="48DB7706">
            <w:pPr>
              <w:spacing w:line="400" w:lineRule="exact"/>
              <w:rPr>
                <w:rFonts w:hint="eastAsia"/>
                <w:szCs w:val="21"/>
                <w:highlight w:val="none"/>
              </w:rPr>
            </w:pPr>
          </w:p>
        </w:tc>
        <w:tc>
          <w:tcPr>
            <w:tcW w:w="720" w:type="dxa"/>
          </w:tcPr>
          <w:p w14:paraId="2671FED8">
            <w:pPr>
              <w:spacing w:line="400" w:lineRule="exact"/>
              <w:rPr>
                <w:rFonts w:hint="eastAsia"/>
                <w:szCs w:val="21"/>
                <w:highlight w:val="none"/>
              </w:rPr>
            </w:pPr>
          </w:p>
        </w:tc>
        <w:tc>
          <w:tcPr>
            <w:tcW w:w="1080" w:type="dxa"/>
          </w:tcPr>
          <w:p w14:paraId="7E4A59E4">
            <w:pPr>
              <w:spacing w:line="400" w:lineRule="exact"/>
              <w:rPr>
                <w:rFonts w:hint="eastAsia"/>
                <w:szCs w:val="21"/>
                <w:highlight w:val="none"/>
              </w:rPr>
            </w:pPr>
          </w:p>
        </w:tc>
        <w:tc>
          <w:tcPr>
            <w:tcW w:w="1080" w:type="dxa"/>
          </w:tcPr>
          <w:p w14:paraId="05676D3A">
            <w:pPr>
              <w:spacing w:line="400" w:lineRule="exact"/>
              <w:rPr>
                <w:rFonts w:hint="eastAsia"/>
                <w:szCs w:val="21"/>
                <w:highlight w:val="none"/>
              </w:rPr>
            </w:pPr>
          </w:p>
        </w:tc>
      </w:tr>
      <w:tr w14:paraId="4D92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C8C289A">
            <w:pPr>
              <w:spacing w:line="400" w:lineRule="exact"/>
              <w:rPr>
                <w:rFonts w:hint="eastAsia"/>
                <w:szCs w:val="21"/>
                <w:highlight w:val="none"/>
              </w:rPr>
            </w:pPr>
          </w:p>
        </w:tc>
        <w:tc>
          <w:tcPr>
            <w:tcW w:w="900" w:type="dxa"/>
          </w:tcPr>
          <w:p w14:paraId="77FE5902">
            <w:pPr>
              <w:spacing w:line="400" w:lineRule="exact"/>
              <w:rPr>
                <w:rFonts w:hint="eastAsia"/>
                <w:szCs w:val="21"/>
                <w:highlight w:val="none"/>
              </w:rPr>
            </w:pPr>
          </w:p>
        </w:tc>
        <w:tc>
          <w:tcPr>
            <w:tcW w:w="1620" w:type="dxa"/>
          </w:tcPr>
          <w:p w14:paraId="73A9A35A">
            <w:pPr>
              <w:spacing w:line="400" w:lineRule="exact"/>
              <w:rPr>
                <w:rFonts w:hint="eastAsia"/>
                <w:szCs w:val="21"/>
                <w:highlight w:val="none"/>
              </w:rPr>
            </w:pPr>
          </w:p>
        </w:tc>
        <w:tc>
          <w:tcPr>
            <w:tcW w:w="1080" w:type="dxa"/>
          </w:tcPr>
          <w:p w14:paraId="4DEC96D3">
            <w:pPr>
              <w:spacing w:line="400" w:lineRule="exact"/>
              <w:rPr>
                <w:rFonts w:hint="eastAsia"/>
                <w:szCs w:val="21"/>
                <w:highlight w:val="none"/>
              </w:rPr>
            </w:pPr>
          </w:p>
        </w:tc>
        <w:tc>
          <w:tcPr>
            <w:tcW w:w="1080" w:type="dxa"/>
          </w:tcPr>
          <w:p w14:paraId="0863027C">
            <w:pPr>
              <w:spacing w:line="400" w:lineRule="exact"/>
              <w:rPr>
                <w:rFonts w:hint="eastAsia"/>
                <w:szCs w:val="21"/>
                <w:highlight w:val="none"/>
              </w:rPr>
            </w:pPr>
          </w:p>
        </w:tc>
        <w:tc>
          <w:tcPr>
            <w:tcW w:w="720" w:type="dxa"/>
          </w:tcPr>
          <w:p w14:paraId="5962FCC0">
            <w:pPr>
              <w:spacing w:line="400" w:lineRule="exact"/>
              <w:rPr>
                <w:rFonts w:hint="eastAsia"/>
                <w:szCs w:val="21"/>
                <w:highlight w:val="none"/>
              </w:rPr>
            </w:pPr>
          </w:p>
        </w:tc>
        <w:tc>
          <w:tcPr>
            <w:tcW w:w="1080" w:type="dxa"/>
          </w:tcPr>
          <w:p w14:paraId="45874A4F">
            <w:pPr>
              <w:spacing w:line="400" w:lineRule="exact"/>
              <w:rPr>
                <w:rFonts w:hint="eastAsia"/>
                <w:szCs w:val="21"/>
                <w:highlight w:val="none"/>
              </w:rPr>
            </w:pPr>
          </w:p>
        </w:tc>
        <w:tc>
          <w:tcPr>
            <w:tcW w:w="1080" w:type="dxa"/>
          </w:tcPr>
          <w:p w14:paraId="723A9C80">
            <w:pPr>
              <w:spacing w:line="400" w:lineRule="exact"/>
              <w:rPr>
                <w:rFonts w:hint="eastAsia"/>
                <w:szCs w:val="21"/>
                <w:highlight w:val="none"/>
              </w:rPr>
            </w:pPr>
          </w:p>
        </w:tc>
      </w:tr>
      <w:tr w14:paraId="4A4C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58C80C3">
            <w:pPr>
              <w:spacing w:line="400" w:lineRule="exact"/>
              <w:rPr>
                <w:rFonts w:hint="eastAsia"/>
                <w:szCs w:val="21"/>
                <w:highlight w:val="none"/>
              </w:rPr>
            </w:pPr>
          </w:p>
        </w:tc>
        <w:tc>
          <w:tcPr>
            <w:tcW w:w="900" w:type="dxa"/>
          </w:tcPr>
          <w:p w14:paraId="4A347322">
            <w:pPr>
              <w:spacing w:line="400" w:lineRule="exact"/>
              <w:rPr>
                <w:rFonts w:hint="eastAsia"/>
                <w:szCs w:val="21"/>
                <w:highlight w:val="none"/>
              </w:rPr>
            </w:pPr>
          </w:p>
        </w:tc>
        <w:tc>
          <w:tcPr>
            <w:tcW w:w="1620" w:type="dxa"/>
          </w:tcPr>
          <w:p w14:paraId="5931C554">
            <w:pPr>
              <w:spacing w:line="400" w:lineRule="exact"/>
              <w:rPr>
                <w:rFonts w:hint="eastAsia"/>
                <w:szCs w:val="21"/>
                <w:highlight w:val="none"/>
              </w:rPr>
            </w:pPr>
          </w:p>
        </w:tc>
        <w:tc>
          <w:tcPr>
            <w:tcW w:w="1080" w:type="dxa"/>
          </w:tcPr>
          <w:p w14:paraId="656C0985">
            <w:pPr>
              <w:spacing w:line="400" w:lineRule="exact"/>
              <w:rPr>
                <w:rFonts w:hint="eastAsia"/>
                <w:szCs w:val="21"/>
                <w:highlight w:val="none"/>
              </w:rPr>
            </w:pPr>
          </w:p>
        </w:tc>
        <w:tc>
          <w:tcPr>
            <w:tcW w:w="1080" w:type="dxa"/>
          </w:tcPr>
          <w:p w14:paraId="7CB623A1">
            <w:pPr>
              <w:spacing w:line="400" w:lineRule="exact"/>
              <w:rPr>
                <w:rFonts w:hint="eastAsia"/>
                <w:szCs w:val="21"/>
                <w:highlight w:val="none"/>
              </w:rPr>
            </w:pPr>
          </w:p>
        </w:tc>
        <w:tc>
          <w:tcPr>
            <w:tcW w:w="720" w:type="dxa"/>
          </w:tcPr>
          <w:p w14:paraId="7281E267">
            <w:pPr>
              <w:spacing w:line="400" w:lineRule="exact"/>
              <w:rPr>
                <w:rFonts w:hint="eastAsia"/>
                <w:szCs w:val="21"/>
                <w:highlight w:val="none"/>
              </w:rPr>
            </w:pPr>
          </w:p>
        </w:tc>
        <w:tc>
          <w:tcPr>
            <w:tcW w:w="1080" w:type="dxa"/>
          </w:tcPr>
          <w:p w14:paraId="7BD780A0">
            <w:pPr>
              <w:spacing w:line="400" w:lineRule="exact"/>
              <w:rPr>
                <w:rFonts w:hint="eastAsia"/>
                <w:szCs w:val="21"/>
                <w:highlight w:val="none"/>
              </w:rPr>
            </w:pPr>
          </w:p>
        </w:tc>
        <w:tc>
          <w:tcPr>
            <w:tcW w:w="1080" w:type="dxa"/>
          </w:tcPr>
          <w:p w14:paraId="156E7A08">
            <w:pPr>
              <w:spacing w:line="400" w:lineRule="exact"/>
              <w:rPr>
                <w:rFonts w:hint="eastAsia"/>
                <w:szCs w:val="21"/>
                <w:highlight w:val="none"/>
              </w:rPr>
            </w:pPr>
          </w:p>
        </w:tc>
      </w:tr>
      <w:tr w14:paraId="39FF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6977D522">
            <w:pPr>
              <w:spacing w:line="400" w:lineRule="exact"/>
              <w:rPr>
                <w:rFonts w:hint="eastAsia"/>
                <w:szCs w:val="21"/>
                <w:highlight w:val="none"/>
              </w:rPr>
            </w:pPr>
          </w:p>
        </w:tc>
        <w:tc>
          <w:tcPr>
            <w:tcW w:w="900" w:type="dxa"/>
          </w:tcPr>
          <w:p w14:paraId="35386852">
            <w:pPr>
              <w:spacing w:line="400" w:lineRule="exact"/>
              <w:rPr>
                <w:rFonts w:hint="eastAsia"/>
                <w:szCs w:val="21"/>
                <w:highlight w:val="none"/>
              </w:rPr>
            </w:pPr>
          </w:p>
        </w:tc>
        <w:tc>
          <w:tcPr>
            <w:tcW w:w="1620" w:type="dxa"/>
          </w:tcPr>
          <w:p w14:paraId="5006EC01">
            <w:pPr>
              <w:spacing w:line="400" w:lineRule="exact"/>
              <w:rPr>
                <w:rFonts w:hint="eastAsia"/>
                <w:szCs w:val="21"/>
                <w:highlight w:val="none"/>
              </w:rPr>
            </w:pPr>
          </w:p>
        </w:tc>
        <w:tc>
          <w:tcPr>
            <w:tcW w:w="1080" w:type="dxa"/>
          </w:tcPr>
          <w:p w14:paraId="3498B084">
            <w:pPr>
              <w:spacing w:line="400" w:lineRule="exact"/>
              <w:rPr>
                <w:rFonts w:hint="eastAsia"/>
                <w:szCs w:val="21"/>
                <w:highlight w:val="none"/>
              </w:rPr>
            </w:pPr>
          </w:p>
        </w:tc>
        <w:tc>
          <w:tcPr>
            <w:tcW w:w="1080" w:type="dxa"/>
          </w:tcPr>
          <w:p w14:paraId="60B87CBC">
            <w:pPr>
              <w:spacing w:line="400" w:lineRule="exact"/>
              <w:rPr>
                <w:rFonts w:hint="eastAsia"/>
                <w:szCs w:val="21"/>
                <w:highlight w:val="none"/>
              </w:rPr>
            </w:pPr>
          </w:p>
        </w:tc>
        <w:tc>
          <w:tcPr>
            <w:tcW w:w="720" w:type="dxa"/>
          </w:tcPr>
          <w:p w14:paraId="20962EC3">
            <w:pPr>
              <w:spacing w:line="400" w:lineRule="exact"/>
              <w:rPr>
                <w:rFonts w:hint="eastAsia"/>
                <w:szCs w:val="21"/>
                <w:highlight w:val="none"/>
              </w:rPr>
            </w:pPr>
          </w:p>
        </w:tc>
        <w:tc>
          <w:tcPr>
            <w:tcW w:w="1080" w:type="dxa"/>
          </w:tcPr>
          <w:p w14:paraId="3C8CA8FC">
            <w:pPr>
              <w:spacing w:line="400" w:lineRule="exact"/>
              <w:rPr>
                <w:rFonts w:hint="eastAsia"/>
                <w:szCs w:val="21"/>
                <w:highlight w:val="none"/>
              </w:rPr>
            </w:pPr>
          </w:p>
        </w:tc>
        <w:tc>
          <w:tcPr>
            <w:tcW w:w="1080" w:type="dxa"/>
          </w:tcPr>
          <w:p w14:paraId="7B3BA396">
            <w:pPr>
              <w:spacing w:line="400" w:lineRule="exact"/>
              <w:rPr>
                <w:rFonts w:hint="eastAsia"/>
                <w:szCs w:val="21"/>
                <w:highlight w:val="none"/>
              </w:rPr>
            </w:pPr>
          </w:p>
        </w:tc>
      </w:tr>
      <w:tr w14:paraId="3875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tcPr>
          <w:p w14:paraId="1E069161">
            <w:pPr>
              <w:spacing w:line="400" w:lineRule="exact"/>
              <w:rPr>
                <w:rFonts w:hint="eastAsia"/>
                <w:szCs w:val="21"/>
                <w:highlight w:val="none"/>
              </w:rPr>
            </w:pPr>
          </w:p>
        </w:tc>
        <w:tc>
          <w:tcPr>
            <w:tcW w:w="900" w:type="dxa"/>
          </w:tcPr>
          <w:p w14:paraId="7D040968">
            <w:pPr>
              <w:spacing w:line="400" w:lineRule="exact"/>
              <w:rPr>
                <w:rFonts w:hint="eastAsia"/>
                <w:szCs w:val="21"/>
                <w:highlight w:val="none"/>
              </w:rPr>
            </w:pPr>
          </w:p>
        </w:tc>
        <w:tc>
          <w:tcPr>
            <w:tcW w:w="1620" w:type="dxa"/>
          </w:tcPr>
          <w:p w14:paraId="1EE9CC73">
            <w:pPr>
              <w:spacing w:line="400" w:lineRule="exact"/>
              <w:rPr>
                <w:rFonts w:hint="eastAsia"/>
                <w:szCs w:val="21"/>
                <w:highlight w:val="none"/>
              </w:rPr>
            </w:pPr>
          </w:p>
        </w:tc>
        <w:tc>
          <w:tcPr>
            <w:tcW w:w="1080" w:type="dxa"/>
          </w:tcPr>
          <w:p w14:paraId="0A552063">
            <w:pPr>
              <w:spacing w:line="400" w:lineRule="exact"/>
              <w:rPr>
                <w:rFonts w:hint="eastAsia"/>
                <w:szCs w:val="21"/>
                <w:highlight w:val="none"/>
              </w:rPr>
            </w:pPr>
          </w:p>
        </w:tc>
        <w:tc>
          <w:tcPr>
            <w:tcW w:w="1080" w:type="dxa"/>
          </w:tcPr>
          <w:p w14:paraId="7EC829D0">
            <w:pPr>
              <w:spacing w:line="400" w:lineRule="exact"/>
              <w:rPr>
                <w:rFonts w:hint="eastAsia"/>
                <w:szCs w:val="21"/>
                <w:highlight w:val="none"/>
              </w:rPr>
            </w:pPr>
          </w:p>
        </w:tc>
        <w:tc>
          <w:tcPr>
            <w:tcW w:w="720" w:type="dxa"/>
          </w:tcPr>
          <w:p w14:paraId="5FF90513">
            <w:pPr>
              <w:spacing w:line="400" w:lineRule="exact"/>
              <w:rPr>
                <w:rFonts w:hint="eastAsia"/>
                <w:szCs w:val="21"/>
                <w:highlight w:val="none"/>
              </w:rPr>
            </w:pPr>
          </w:p>
        </w:tc>
        <w:tc>
          <w:tcPr>
            <w:tcW w:w="1080" w:type="dxa"/>
          </w:tcPr>
          <w:p w14:paraId="6F44951F">
            <w:pPr>
              <w:spacing w:line="400" w:lineRule="exact"/>
              <w:rPr>
                <w:rFonts w:hint="eastAsia"/>
                <w:szCs w:val="21"/>
                <w:highlight w:val="none"/>
              </w:rPr>
            </w:pPr>
          </w:p>
        </w:tc>
        <w:tc>
          <w:tcPr>
            <w:tcW w:w="1080" w:type="dxa"/>
          </w:tcPr>
          <w:p w14:paraId="3519C3B1">
            <w:pPr>
              <w:spacing w:line="400" w:lineRule="exact"/>
              <w:rPr>
                <w:rFonts w:hint="eastAsia"/>
                <w:szCs w:val="21"/>
                <w:highlight w:val="none"/>
              </w:rPr>
            </w:pPr>
          </w:p>
        </w:tc>
      </w:tr>
      <w:tr w14:paraId="0D55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0438AD19">
            <w:pPr>
              <w:spacing w:line="400" w:lineRule="exact"/>
              <w:rPr>
                <w:rFonts w:hint="eastAsia"/>
                <w:szCs w:val="21"/>
                <w:highlight w:val="none"/>
              </w:rPr>
            </w:pPr>
            <w:r>
              <w:rPr>
                <w:rFonts w:hint="eastAsia"/>
                <w:szCs w:val="21"/>
                <w:highlight w:val="none"/>
              </w:rPr>
              <w:t>说明：附近三年证明材料。提供</w:t>
            </w:r>
            <w:r>
              <w:rPr>
                <w:rFonts w:hint="eastAsia"/>
                <w:color w:val="000000"/>
                <w:szCs w:val="21"/>
                <w:highlight w:val="none"/>
              </w:rPr>
              <w:t>业绩须提供合同、中标通知书（成交通知书）、验收报告扫描件并加盖公章</w:t>
            </w:r>
          </w:p>
        </w:tc>
      </w:tr>
    </w:tbl>
    <w:p w14:paraId="1CF2B69B">
      <w:pPr>
        <w:ind w:left="1" w:hanging="1"/>
        <w:jc w:val="center"/>
        <w:rPr>
          <w:rFonts w:hint="eastAsia"/>
          <w:b/>
          <w:szCs w:val="21"/>
          <w:highlight w:val="none"/>
        </w:rPr>
      </w:pPr>
    </w:p>
    <w:p w14:paraId="26541860">
      <w:pPr>
        <w:ind w:left="1" w:hanging="1"/>
        <w:jc w:val="center"/>
        <w:rPr>
          <w:rFonts w:hint="eastAsia"/>
          <w:b/>
          <w:szCs w:val="21"/>
          <w:highlight w:val="none"/>
        </w:rPr>
      </w:pPr>
    </w:p>
    <w:p w14:paraId="0337D9F8">
      <w:pPr>
        <w:numPr>
          <w:ilvl w:val="0"/>
          <w:numId w:val="58"/>
        </w:numPr>
        <w:jc w:val="center"/>
        <w:rPr>
          <w:rFonts w:hint="eastAsia"/>
          <w:b/>
          <w:szCs w:val="21"/>
          <w:highlight w:val="none"/>
        </w:rPr>
      </w:pPr>
      <w:r>
        <w:rPr>
          <w:b/>
          <w:szCs w:val="21"/>
          <w:highlight w:val="none"/>
        </w:rPr>
        <w:t>目前正在</w:t>
      </w:r>
      <w:r>
        <w:rPr>
          <w:rFonts w:hint="eastAsia"/>
          <w:b/>
          <w:szCs w:val="21"/>
          <w:highlight w:val="none"/>
        </w:rPr>
        <w:t>完成</w:t>
      </w:r>
      <w:r>
        <w:rPr>
          <w:b/>
          <w:szCs w:val="21"/>
          <w:highlight w:val="none"/>
        </w:rPr>
        <w:t>的项目一览表</w:t>
      </w:r>
      <w:r>
        <w:rPr>
          <w:rFonts w:hint="eastAsia"/>
          <w:b/>
          <w:szCs w:val="21"/>
          <w:highlight w:val="none"/>
        </w:rPr>
        <w:t xml:space="preserve">       </w:t>
      </w:r>
    </w:p>
    <w:tbl>
      <w:tblPr>
        <w:tblStyle w:val="44"/>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800"/>
        <w:gridCol w:w="1080"/>
        <w:gridCol w:w="1080"/>
        <w:gridCol w:w="720"/>
        <w:gridCol w:w="900"/>
        <w:gridCol w:w="1080"/>
      </w:tblGrid>
      <w:tr w14:paraId="61AB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10B1B053">
            <w:pPr>
              <w:spacing w:line="400" w:lineRule="exact"/>
              <w:jc w:val="center"/>
              <w:rPr>
                <w:rFonts w:hint="eastAsia"/>
                <w:color w:val="000000"/>
                <w:szCs w:val="21"/>
                <w:highlight w:val="none"/>
              </w:rPr>
            </w:pPr>
            <w:r>
              <w:rPr>
                <w:color w:val="000000"/>
                <w:szCs w:val="21"/>
                <w:highlight w:val="none"/>
              </w:rPr>
              <w:t>项目名称</w:t>
            </w:r>
          </w:p>
        </w:tc>
        <w:tc>
          <w:tcPr>
            <w:tcW w:w="900" w:type="dxa"/>
            <w:vAlign w:val="center"/>
          </w:tcPr>
          <w:p w14:paraId="0BC62099">
            <w:pPr>
              <w:spacing w:line="400" w:lineRule="exact"/>
              <w:jc w:val="center"/>
              <w:rPr>
                <w:rFonts w:hint="eastAsia"/>
                <w:color w:val="000000"/>
                <w:szCs w:val="21"/>
                <w:highlight w:val="none"/>
              </w:rPr>
            </w:pPr>
            <w:r>
              <w:rPr>
                <w:rFonts w:hint="eastAsia"/>
                <w:color w:val="000000"/>
                <w:szCs w:val="21"/>
                <w:highlight w:val="none"/>
              </w:rPr>
              <w:t>采购人</w:t>
            </w:r>
          </w:p>
        </w:tc>
        <w:tc>
          <w:tcPr>
            <w:tcW w:w="1800" w:type="dxa"/>
            <w:vAlign w:val="center"/>
          </w:tcPr>
          <w:p w14:paraId="4ADD39CA">
            <w:pPr>
              <w:spacing w:line="400" w:lineRule="exact"/>
              <w:jc w:val="center"/>
              <w:rPr>
                <w:rFonts w:hint="eastAsia"/>
                <w:color w:val="000000"/>
                <w:szCs w:val="21"/>
                <w:highlight w:val="none"/>
              </w:rPr>
            </w:pPr>
            <w:r>
              <w:rPr>
                <w:rFonts w:hint="eastAsia"/>
                <w:color w:val="000000"/>
                <w:szCs w:val="21"/>
                <w:highlight w:val="none"/>
              </w:rPr>
              <w:t>采购人联系人及联系电话</w:t>
            </w:r>
          </w:p>
        </w:tc>
        <w:tc>
          <w:tcPr>
            <w:tcW w:w="1080" w:type="dxa"/>
            <w:vAlign w:val="center"/>
          </w:tcPr>
          <w:p w14:paraId="23FEDAAB">
            <w:pPr>
              <w:spacing w:line="400" w:lineRule="exact"/>
              <w:jc w:val="center"/>
              <w:rPr>
                <w:rFonts w:hint="eastAsia"/>
                <w:color w:val="000000"/>
                <w:szCs w:val="21"/>
                <w:highlight w:val="none"/>
              </w:rPr>
            </w:pPr>
            <w:r>
              <w:rPr>
                <w:rFonts w:hint="eastAsia"/>
                <w:color w:val="000000"/>
                <w:szCs w:val="21"/>
                <w:highlight w:val="none"/>
              </w:rPr>
              <w:t>交货期限</w:t>
            </w:r>
          </w:p>
        </w:tc>
        <w:tc>
          <w:tcPr>
            <w:tcW w:w="1080" w:type="dxa"/>
            <w:vAlign w:val="center"/>
          </w:tcPr>
          <w:p w14:paraId="03179543">
            <w:pPr>
              <w:spacing w:line="400" w:lineRule="exact"/>
              <w:jc w:val="center"/>
              <w:rPr>
                <w:rFonts w:hint="eastAsia"/>
                <w:color w:val="000000"/>
                <w:szCs w:val="21"/>
                <w:highlight w:val="none"/>
              </w:rPr>
            </w:pPr>
            <w:r>
              <w:rPr>
                <w:rFonts w:hint="eastAsia"/>
                <w:color w:val="000000"/>
                <w:szCs w:val="21"/>
                <w:highlight w:val="none"/>
              </w:rPr>
              <w:t>项目地点</w:t>
            </w:r>
          </w:p>
        </w:tc>
        <w:tc>
          <w:tcPr>
            <w:tcW w:w="720" w:type="dxa"/>
            <w:vAlign w:val="center"/>
          </w:tcPr>
          <w:p w14:paraId="3AC5D53A">
            <w:pPr>
              <w:spacing w:line="400" w:lineRule="exact"/>
              <w:jc w:val="center"/>
              <w:rPr>
                <w:rFonts w:hint="eastAsia"/>
                <w:szCs w:val="21"/>
                <w:highlight w:val="none"/>
              </w:rPr>
            </w:pPr>
            <w:r>
              <w:rPr>
                <w:szCs w:val="21"/>
                <w:highlight w:val="none"/>
              </w:rPr>
              <w:t>规模</w:t>
            </w:r>
          </w:p>
        </w:tc>
        <w:tc>
          <w:tcPr>
            <w:tcW w:w="900" w:type="dxa"/>
            <w:vAlign w:val="center"/>
          </w:tcPr>
          <w:p w14:paraId="5291DA27">
            <w:pPr>
              <w:spacing w:line="400" w:lineRule="exact"/>
              <w:jc w:val="center"/>
              <w:rPr>
                <w:rFonts w:hint="eastAsia"/>
                <w:spacing w:val="-16"/>
                <w:szCs w:val="21"/>
                <w:highlight w:val="none"/>
              </w:rPr>
            </w:pPr>
            <w:r>
              <w:rPr>
                <w:rFonts w:hint="eastAsia"/>
                <w:spacing w:val="-16"/>
                <w:szCs w:val="21"/>
                <w:highlight w:val="none"/>
              </w:rPr>
              <w:t>签约合同金额</w:t>
            </w:r>
          </w:p>
        </w:tc>
        <w:tc>
          <w:tcPr>
            <w:tcW w:w="1080" w:type="dxa"/>
            <w:vAlign w:val="center"/>
          </w:tcPr>
          <w:p w14:paraId="406AF0F8">
            <w:pPr>
              <w:spacing w:line="400" w:lineRule="exact"/>
              <w:jc w:val="center"/>
              <w:rPr>
                <w:rFonts w:hint="eastAsia"/>
                <w:spacing w:val="-16"/>
                <w:szCs w:val="21"/>
                <w:highlight w:val="none"/>
              </w:rPr>
            </w:pPr>
            <w:r>
              <w:rPr>
                <w:rFonts w:hint="eastAsia"/>
                <w:spacing w:val="-16"/>
                <w:szCs w:val="21"/>
                <w:highlight w:val="none"/>
              </w:rPr>
              <w:t>合同内容</w:t>
            </w:r>
          </w:p>
        </w:tc>
      </w:tr>
      <w:tr w14:paraId="50E9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12A9B88">
            <w:pPr>
              <w:spacing w:line="400" w:lineRule="exact"/>
              <w:rPr>
                <w:rFonts w:hint="eastAsia"/>
                <w:szCs w:val="21"/>
                <w:highlight w:val="none"/>
              </w:rPr>
            </w:pPr>
          </w:p>
        </w:tc>
        <w:tc>
          <w:tcPr>
            <w:tcW w:w="900" w:type="dxa"/>
          </w:tcPr>
          <w:p w14:paraId="5A9D72B7">
            <w:pPr>
              <w:spacing w:line="400" w:lineRule="exact"/>
              <w:rPr>
                <w:rFonts w:hint="eastAsia"/>
                <w:szCs w:val="21"/>
                <w:highlight w:val="none"/>
              </w:rPr>
            </w:pPr>
          </w:p>
        </w:tc>
        <w:tc>
          <w:tcPr>
            <w:tcW w:w="1800" w:type="dxa"/>
          </w:tcPr>
          <w:p w14:paraId="6546CD2B">
            <w:pPr>
              <w:spacing w:line="400" w:lineRule="exact"/>
              <w:rPr>
                <w:rFonts w:hint="eastAsia"/>
                <w:szCs w:val="21"/>
                <w:highlight w:val="none"/>
              </w:rPr>
            </w:pPr>
          </w:p>
        </w:tc>
        <w:tc>
          <w:tcPr>
            <w:tcW w:w="1080" w:type="dxa"/>
          </w:tcPr>
          <w:p w14:paraId="6839C522">
            <w:pPr>
              <w:spacing w:line="400" w:lineRule="exact"/>
              <w:rPr>
                <w:rFonts w:hint="eastAsia"/>
                <w:szCs w:val="21"/>
                <w:highlight w:val="none"/>
              </w:rPr>
            </w:pPr>
          </w:p>
        </w:tc>
        <w:tc>
          <w:tcPr>
            <w:tcW w:w="1080" w:type="dxa"/>
          </w:tcPr>
          <w:p w14:paraId="0B4C9361">
            <w:pPr>
              <w:spacing w:line="400" w:lineRule="exact"/>
              <w:rPr>
                <w:rFonts w:hint="eastAsia"/>
                <w:szCs w:val="21"/>
                <w:highlight w:val="none"/>
              </w:rPr>
            </w:pPr>
          </w:p>
        </w:tc>
        <w:tc>
          <w:tcPr>
            <w:tcW w:w="720" w:type="dxa"/>
          </w:tcPr>
          <w:p w14:paraId="13BEA48B">
            <w:pPr>
              <w:spacing w:line="400" w:lineRule="exact"/>
              <w:rPr>
                <w:rFonts w:hint="eastAsia"/>
                <w:szCs w:val="21"/>
                <w:highlight w:val="none"/>
              </w:rPr>
            </w:pPr>
          </w:p>
        </w:tc>
        <w:tc>
          <w:tcPr>
            <w:tcW w:w="900" w:type="dxa"/>
          </w:tcPr>
          <w:p w14:paraId="13BB13BC">
            <w:pPr>
              <w:spacing w:line="400" w:lineRule="exact"/>
              <w:rPr>
                <w:rFonts w:hint="eastAsia"/>
                <w:szCs w:val="21"/>
                <w:highlight w:val="none"/>
              </w:rPr>
            </w:pPr>
          </w:p>
        </w:tc>
        <w:tc>
          <w:tcPr>
            <w:tcW w:w="1080" w:type="dxa"/>
          </w:tcPr>
          <w:p w14:paraId="0AF0BF5C">
            <w:pPr>
              <w:spacing w:line="400" w:lineRule="exact"/>
              <w:rPr>
                <w:rFonts w:hint="eastAsia"/>
                <w:szCs w:val="21"/>
                <w:highlight w:val="none"/>
              </w:rPr>
            </w:pPr>
          </w:p>
        </w:tc>
      </w:tr>
      <w:tr w14:paraId="4CC7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61FD929">
            <w:pPr>
              <w:spacing w:line="400" w:lineRule="exact"/>
              <w:rPr>
                <w:rFonts w:hint="eastAsia"/>
                <w:szCs w:val="21"/>
                <w:highlight w:val="none"/>
              </w:rPr>
            </w:pPr>
          </w:p>
        </w:tc>
        <w:tc>
          <w:tcPr>
            <w:tcW w:w="900" w:type="dxa"/>
          </w:tcPr>
          <w:p w14:paraId="7EDAC964">
            <w:pPr>
              <w:spacing w:line="400" w:lineRule="exact"/>
              <w:rPr>
                <w:rFonts w:hint="eastAsia"/>
                <w:szCs w:val="21"/>
                <w:highlight w:val="none"/>
              </w:rPr>
            </w:pPr>
          </w:p>
        </w:tc>
        <w:tc>
          <w:tcPr>
            <w:tcW w:w="1800" w:type="dxa"/>
          </w:tcPr>
          <w:p w14:paraId="2A6CF6D1">
            <w:pPr>
              <w:spacing w:line="400" w:lineRule="exact"/>
              <w:rPr>
                <w:rFonts w:hint="eastAsia"/>
                <w:szCs w:val="21"/>
                <w:highlight w:val="none"/>
              </w:rPr>
            </w:pPr>
          </w:p>
        </w:tc>
        <w:tc>
          <w:tcPr>
            <w:tcW w:w="1080" w:type="dxa"/>
          </w:tcPr>
          <w:p w14:paraId="31458293">
            <w:pPr>
              <w:spacing w:line="400" w:lineRule="exact"/>
              <w:rPr>
                <w:rFonts w:hint="eastAsia"/>
                <w:szCs w:val="21"/>
                <w:highlight w:val="none"/>
              </w:rPr>
            </w:pPr>
          </w:p>
        </w:tc>
        <w:tc>
          <w:tcPr>
            <w:tcW w:w="1080" w:type="dxa"/>
          </w:tcPr>
          <w:p w14:paraId="52AF024A">
            <w:pPr>
              <w:spacing w:line="400" w:lineRule="exact"/>
              <w:rPr>
                <w:rFonts w:hint="eastAsia"/>
                <w:szCs w:val="21"/>
                <w:highlight w:val="none"/>
              </w:rPr>
            </w:pPr>
          </w:p>
        </w:tc>
        <w:tc>
          <w:tcPr>
            <w:tcW w:w="720" w:type="dxa"/>
          </w:tcPr>
          <w:p w14:paraId="1EF7B643">
            <w:pPr>
              <w:spacing w:line="400" w:lineRule="exact"/>
              <w:rPr>
                <w:rFonts w:hint="eastAsia"/>
                <w:szCs w:val="21"/>
                <w:highlight w:val="none"/>
              </w:rPr>
            </w:pPr>
          </w:p>
        </w:tc>
        <w:tc>
          <w:tcPr>
            <w:tcW w:w="900" w:type="dxa"/>
          </w:tcPr>
          <w:p w14:paraId="2017F8F7">
            <w:pPr>
              <w:spacing w:line="400" w:lineRule="exact"/>
              <w:rPr>
                <w:rFonts w:hint="eastAsia"/>
                <w:szCs w:val="21"/>
                <w:highlight w:val="none"/>
              </w:rPr>
            </w:pPr>
          </w:p>
        </w:tc>
        <w:tc>
          <w:tcPr>
            <w:tcW w:w="1080" w:type="dxa"/>
          </w:tcPr>
          <w:p w14:paraId="52B6E04A">
            <w:pPr>
              <w:spacing w:line="400" w:lineRule="exact"/>
              <w:rPr>
                <w:rFonts w:hint="eastAsia"/>
                <w:szCs w:val="21"/>
                <w:highlight w:val="none"/>
              </w:rPr>
            </w:pPr>
          </w:p>
        </w:tc>
      </w:tr>
      <w:tr w14:paraId="738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698AD90">
            <w:pPr>
              <w:spacing w:line="400" w:lineRule="exact"/>
              <w:rPr>
                <w:rFonts w:hint="eastAsia"/>
                <w:szCs w:val="21"/>
                <w:highlight w:val="none"/>
              </w:rPr>
            </w:pPr>
          </w:p>
        </w:tc>
        <w:tc>
          <w:tcPr>
            <w:tcW w:w="900" w:type="dxa"/>
          </w:tcPr>
          <w:p w14:paraId="7A471DDD">
            <w:pPr>
              <w:spacing w:line="400" w:lineRule="exact"/>
              <w:rPr>
                <w:rFonts w:hint="eastAsia"/>
                <w:szCs w:val="21"/>
                <w:highlight w:val="none"/>
              </w:rPr>
            </w:pPr>
          </w:p>
        </w:tc>
        <w:tc>
          <w:tcPr>
            <w:tcW w:w="1800" w:type="dxa"/>
          </w:tcPr>
          <w:p w14:paraId="15519C1A">
            <w:pPr>
              <w:spacing w:line="400" w:lineRule="exact"/>
              <w:rPr>
                <w:rFonts w:hint="eastAsia"/>
                <w:szCs w:val="21"/>
                <w:highlight w:val="none"/>
              </w:rPr>
            </w:pPr>
          </w:p>
        </w:tc>
        <w:tc>
          <w:tcPr>
            <w:tcW w:w="1080" w:type="dxa"/>
          </w:tcPr>
          <w:p w14:paraId="76DE4BD0">
            <w:pPr>
              <w:spacing w:line="400" w:lineRule="exact"/>
              <w:rPr>
                <w:rFonts w:hint="eastAsia"/>
                <w:szCs w:val="21"/>
                <w:highlight w:val="none"/>
              </w:rPr>
            </w:pPr>
          </w:p>
        </w:tc>
        <w:tc>
          <w:tcPr>
            <w:tcW w:w="1080" w:type="dxa"/>
          </w:tcPr>
          <w:p w14:paraId="490F5782">
            <w:pPr>
              <w:spacing w:line="400" w:lineRule="exact"/>
              <w:rPr>
                <w:rFonts w:hint="eastAsia"/>
                <w:szCs w:val="21"/>
                <w:highlight w:val="none"/>
              </w:rPr>
            </w:pPr>
          </w:p>
        </w:tc>
        <w:tc>
          <w:tcPr>
            <w:tcW w:w="720" w:type="dxa"/>
          </w:tcPr>
          <w:p w14:paraId="6C9CF442">
            <w:pPr>
              <w:spacing w:line="400" w:lineRule="exact"/>
              <w:rPr>
                <w:rFonts w:hint="eastAsia"/>
                <w:szCs w:val="21"/>
                <w:highlight w:val="none"/>
              </w:rPr>
            </w:pPr>
          </w:p>
        </w:tc>
        <w:tc>
          <w:tcPr>
            <w:tcW w:w="900" w:type="dxa"/>
          </w:tcPr>
          <w:p w14:paraId="5C53869B">
            <w:pPr>
              <w:spacing w:line="400" w:lineRule="exact"/>
              <w:rPr>
                <w:rFonts w:hint="eastAsia"/>
                <w:szCs w:val="21"/>
                <w:highlight w:val="none"/>
              </w:rPr>
            </w:pPr>
          </w:p>
        </w:tc>
        <w:tc>
          <w:tcPr>
            <w:tcW w:w="1080" w:type="dxa"/>
          </w:tcPr>
          <w:p w14:paraId="0B5FC141">
            <w:pPr>
              <w:spacing w:line="400" w:lineRule="exact"/>
              <w:rPr>
                <w:rFonts w:hint="eastAsia"/>
                <w:szCs w:val="21"/>
                <w:highlight w:val="none"/>
              </w:rPr>
            </w:pPr>
          </w:p>
        </w:tc>
      </w:tr>
      <w:tr w14:paraId="3FB1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63671405">
            <w:pPr>
              <w:spacing w:line="400" w:lineRule="exact"/>
              <w:rPr>
                <w:rFonts w:hint="eastAsia"/>
                <w:szCs w:val="21"/>
                <w:highlight w:val="none"/>
              </w:rPr>
            </w:pPr>
          </w:p>
        </w:tc>
        <w:tc>
          <w:tcPr>
            <w:tcW w:w="900" w:type="dxa"/>
          </w:tcPr>
          <w:p w14:paraId="0477F3FD">
            <w:pPr>
              <w:spacing w:line="400" w:lineRule="exact"/>
              <w:rPr>
                <w:rFonts w:hint="eastAsia"/>
                <w:szCs w:val="21"/>
                <w:highlight w:val="none"/>
              </w:rPr>
            </w:pPr>
          </w:p>
        </w:tc>
        <w:tc>
          <w:tcPr>
            <w:tcW w:w="1800" w:type="dxa"/>
          </w:tcPr>
          <w:p w14:paraId="08D7E12B">
            <w:pPr>
              <w:spacing w:line="400" w:lineRule="exact"/>
              <w:rPr>
                <w:rFonts w:hint="eastAsia"/>
                <w:szCs w:val="21"/>
                <w:highlight w:val="none"/>
              </w:rPr>
            </w:pPr>
          </w:p>
        </w:tc>
        <w:tc>
          <w:tcPr>
            <w:tcW w:w="1080" w:type="dxa"/>
          </w:tcPr>
          <w:p w14:paraId="5CE5E132">
            <w:pPr>
              <w:spacing w:line="400" w:lineRule="exact"/>
              <w:rPr>
                <w:rFonts w:hint="eastAsia"/>
                <w:szCs w:val="21"/>
                <w:highlight w:val="none"/>
              </w:rPr>
            </w:pPr>
          </w:p>
        </w:tc>
        <w:tc>
          <w:tcPr>
            <w:tcW w:w="1080" w:type="dxa"/>
          </w:tcPr>
          <w:p w14:paraId="79FD2C4D">
            <w:pPr>
              <w:spacing w:line="400" w:lineRule="exact"/>
              <w:rPr>
                <w:rFonts w:hint="eastAsia"/>
                <w:szCs w:val="21"/>
                <w:highlight w:val="none"/>
              </w:rPr>
            </w:pPr>
          </w:p>
        </w:tc>
        <w:tc>
          <w:tcPr>
            <w:tcW w:w="720" w:type="dxa"/>
          </w:tcPr>
          <w:p w14:paraId="009990D2">
            <w:pPr>
              <w:spacing w:line="400" w:lineRule="exact"/>
              <w:rPr>
                <w:rFonts w:hint="eastAsia"/>
                <w:szCs w:val="21"/>
                <w:highlight w:val="none"/>
              </w:rPr>
            </w:pPr>
          </w:p>
        </w:tc>
        <w:tc>
          <w:tcPr>
            <w:tcW w:w="900" w:type="dxa"/>
          </w:tcPr>
          <w:p w14:paraId="1E556BBC">
            <w:pPr>
              <w:spacing w:line="400" w:lineRule="exact"/>
              <w:rPr>
                <w:rFonts w:hint="eastAsia"/>
                <w:szCs w:val="21"/>
                <w:highlight w:val="none"/>
              </w:rPr>
            </w:pPr>
          </w:p>
        </w:tc>
        <w:tc>
          <w:tcPr>
            <w:tcW w:w="1080" w:type="dxa"/>
          </w:tcPr>
          <w:p w14:paraId="4E12BB8D">
            <w:pPr>
              <w:spacing w:line="400" w:lineRule="exact"/>
              <w:rPr>
                <w:rFonts w:hint="eastAsia"/>
                <w:szCs w:val="21"/>
                <w:highlight w:val="none"/>
              </w:rPr>
            </w:pPr>
          </w:p>
        </w:tc>
      </w:tr>
      <w:tr w14:paraId="3A71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tcPr>
          <w:p w14:paraId="2903F739">
            <w:pPr>
              <w:spacing w:line="400" w:lineRule="exact"/>
              <w:rPr>
                <w:rFonts w:hint="eastAsia"/>
                <w:szCs w:val="21"/>
                <w:highlight w:val="none"/>
              </w:rPr>
            </w:pPr>
          </w:p>
        </w:tc>
        <w:tc>
          <w:tcPr>
            <w:tcW w:w="900" w:type="dxa"/>
          </w:tcPr>
          <w:p w14:paraId="18301AE7">
            <w:pPr>
              <w:spacing w:line="400" w:lineRule="exact"/>
              <w:rPr>
                <w:rFonts w:hint="eastAsia"/>
                <w:szCs w:val="21"/>
                <w:highlight w:val="none"/>
              </w:rPr>
            </w:pPr>
          </w:p>
        </w:tc>
        <w:tc>
          <w:tcPr>
            <w:tcW w:w="1800" w:type="dxa"/>
          </w:tcPr>
          <w:p w14:paraId="0884D78E">
            <w:pPr>
              <w:spacing w:line="400" w:lineRule="exact"/>
              <w:rPr>
                <w:rFonts w:hint="eastAsia"/>
                <w:szCs w:val="21"/>
                <w:highlight w:val="none"/>
              </w:rPr>
            </w:pPr>
          </w:p>
        </w:tc>
        <w:tc>
          <w:tcPr>
            <w:tcW w:w="1080" w:type="dxa"/>
          </w:tcPr>
          <w:p w14:paraId="6B4E0893">
            <w:pPr>
              <w:spacing w:line="400" w:lineRule="exact"/>
              <w:rPr>
                <w:rFonts w:hint="eastAsia"/>
                <w:szCs w:val="21"/>
                <w:highlight w:val="none"/>
              </w:rPr>
            </w:pPr>
          </w:p>
        </w:tc>
        <w:tc>
          <w:tcPr>
            <w:tcW w:w="1080" w:type="dxa"/>
          </w:tcPr>
          <w:p w14:paraId="2BABCCC4">
            <w:pPr>
              <w:spacing w:line="400" w:lineRule="exact"/>
              <w:rPr>
                <w:rFonts w:hint="eastAsia"/>
                <w:szCs w:val="21"/>
                <w:highlight w:val="none"/>
              </w:rPr>
            </w:pPr>
          </w:p>
        </w:tc>
        <w:tc>
          <w:tcPr>
            <w:tcW w:w="720" w:type="dxa"/>
          </w:tcPr>
          <w:p w14:paraId="78DB3B44">
            <w:pPr>
              <w:spacing w:line="400" w:lineRule="exact"/>
              <w:rPr>
                <w:rFonts w:hint="eastAsia"/>
                <w:szCs w:val="21"/>
                <w:highlight w:val="none"/>
              </w:rPr>
            </w:pPr>
          </w:p>
        </w:tc>
        <w:tc>
          <w:tcPr>
            <w:tcW w:w="900" w:type="dxa"/>
          </w:tcPr>
          <w:p w14:paraId="0D7D8529">
            <w:pPr>
              <w:spacing w:line="400" w:lineRule="exact"/>
              <w:rPr>
                <w:rFonts w:hint="eastAsia"/>
                <w:szCs w:val="21"/>
                <w:highlight w:val="none"/>
              </w:rPr>
            </w:pPr>
          </w:p>
        </w:tc>
        <w:tc>
          <w:tcPr>
            <w:tcW w:w="1080" w:type="dxa"/>
          </w:tcPr>
          <w:p w14:paraId="236A2746">
            <w:pPr>
              <w:spacing w:line="400" w:lineRule="exact"/>
              <w:rPr>
                <w:rFonts w:hint="eastAsia"/>
                <w:szCs w:val="21"/>
                <w:highlight w:val="none"/>
              </w:rPr>
            </w:pPr>
          </w:p>
        </w:tc>
      </w:tr>
      <w:tr w14:paraId="2886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2DE79687">
            <w:pPr>
              <w:spacing w:line="400" w:lineRule="exact"/>
              <w:rPr>
                <w:rFonts w:hint="eastAsia"/>
                <w:szCs w:val="21"/>
                <w:highlight w:val="none"/>
              </w:rPr>
            </w:pPr>
            <w:r>
              <w:rPr>
                <w:rFonts w:hint="eastAsia"/>
                <w:szCs w:val="21"/>
                <w:highlight w:val="none"/>
              </w:rPr>
              <w:t>说明：附证明材料。提供</w:t>
            </w:r>
            <w:r>
              <w:rPr>
                <w:rFonts w:hint="eastAsia"/>
                <w:color w:val="000000"/>
                <w:szCs w:val="21"/>
                <w:highlight w:val="none"/>
              </w:rPr>
              <w:t>业绩须提供合同、中标通知书（成交通知书）、验收报告扫描件并加盖公章</w:t>
            </w:r>
          </w:p>
        </w:tc>
      </w:tr>
    </w:tbl>
    <w:p w14:paraId="4A6DBFED">
      <w:pPr>
        <w:spacing w:line="440" w:lineRule="exact"/>
        <w:jc w:val="right"/>
        <w:rPr>
          <w:rFonts w:hint="eastAsia"/>
          <w:szCs w:val="21"/>
          <w:highlight w:val="none"/>
        </w:rPr>
      </w:pPr>
    </w:p>
    <w:p w14:paraId="6F68B492">
      <w:pPr>
        <w:spacing w:line="440" w:lineRule="exact"/>
        <w:jc w:val="right"/>
        <w:rPr>
          <w:rFonts w:hint="eastAsia"/>
          <w:szCs w:val="21"/>
          <w:highlight w:val="none"/>
        </w:rPr>
      </w:pPr>
    </w:p>
    <w:p w14:paraId="1EE43E33">
      <w:pPr>
        <w:pStyle w:val="25"/>
        <w:adjustRightInd w:val="0"/>
        <w:snapToGrid w:val="0"/>
        <w:spacing w:line="360" w:lineRule="auto"/>
        <w:rPr>
          <w:rFonts w:hint="eastAsia"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3532F96E">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7F97AEB3">
      <w:pPr>
        <w:adjustRightInd w:val="0"/>
        <w:snapToGrid w:val="0"/>
        <w:rPr>
          <w:rFonts w:hint="eastAsia"/>
          <w:szCs w:val="21"/>
          <w:highlight w:val="none"/>
        </w:rPr>
      </w:pPr>
      <w:r>
        <w:rPr>
          <w:rFonts w:hint="eastAsia"/>
          <w:szCs w:val="21"/>
          <w:highlight w:val="none"/>
        </w:rPr>
        <w:t xml:space="preserve">日          期： </w:t>
      </w:r>
      <w:r>
        <w:rPr>
          <w:rFonts w:hint="eastAsia"/>
          <w:szCs w:val="21"/>
          <w:highlight w:val="none"/>
          <w:u w:val="single"/>
        </w:rPr>
        <w:t xml:space="preserve">     </w:t>
      </w:r>
      <w:r>
        <w:rPr>
          <w:rFonts w:hint="eastAsia"/>
          <w:szCs w:val="21"/>
          <w:highlight w:val="none"/>
        </w:rPr>
        <w:t xml:space="preserve"> 年 </w:t>
      </w:r>
      <w:r>
        <w:rPr>
          <w:rFonts w:hint="eastAsia"/>
          <w:szCs w:val="21"/>
          <w:highlight w:val="none"/>
          <w:u w:val="single"/>
        </w:rPr>
        <w:t xml:space="preserve">    </w:t>
      </w:r>
      <w:r>
        <w:rPr>
          <w:rFonts w:hint="eastAsia"/>
          <w:szCs w:val="21"/>
          <w:highlight w:val="none"/>
        </w:rPr>
        <w:t xml:space="preserve"> 月 </w:t>
      </w:r>
      <w:r>
        <w:rPr>
          <w:rFonts w:hint="eastAsia"/>
          <w:szCs w:val="21"/>
          <w:highlight w:val="none"/>
          <w:u w:val="single"/>
        </w:rPr>
        <w:t xml:space="preserve">   </w:t>
      </w:r>
      <w:r>
        <w:rPr>
          <w:rFonts w:hint="eastAsia"/>
          <w:szCs w:val="21"/>
          <w:highlight w:val="none"/>
        </w:rPr>
        <w:t xml:space="preserve"> 日</w:t>
      </w:r>
    </w:p>
    <w:p w14:paraId="7915FCA3">
      <w:pPr>
        <w:adjustRightInd w:val="0"/>
        <w:snapToGrid w:val="0"/>
        <w:spacing w:line="480" w:lineRule="auto"/>
        <w:jc w:val="left"/>
        <w:rPr>
          <w:rFonts w:hint="eastAsia"/>
          <w:b/>
          <w:bCs/>
          <w:highlight w:val="none"/>
        </w:rPr>
      </w:pPr>
    </w:p>
    <w:p w14:paraId="0AD7396F">
      <w:pPr>
        <w:adjustRightInd w:val="0"/>
        <w:snapToGrid w:val="0"/>
        <w:jc w:val="center"/>
        <w:outlineLvl w:val="1"/>
        <w:rPr>
          <w:rFonts w:hint="eastAsia"/>
          <w:bCs/>
          <w:sz w:val="28"/>
          <w:szCs w:val="28"/>
          <w:highlight w:val="none"/>
        </w:rPr>
        <w:sectPr>
          <w:headerReference r:id="rId12" w:type="default"/>
          <w:footerReference r:id="rId13" w:type="even"/>
          <w:pgSz w:w="11906" w:h="16838"/>
          <w:pgMar w:top="1440" w:right="1800" w:bottom="1440" w:left="1800" w:header="851" w:footer="992" w:gutter="0"/>
          <w:cols w:space="720" w:num="1"/>
          <w:docGrid w:type="lines" w:linePitch="312" w:charSpace="0"/>
        </w:sectPr>
      </w:pPr>
    </w:p>
    <w:p w14:paraId="58C4BD83">
      <w:pPr>
        <w:pStyle w:val="3"/>
        <w:numPr>
          <w:ilvl w:val="0"/>
          <w:numId w:val="0"/>
        </w:numPr>
        <w:ind w:left="576" w:hanging="576"/>
        <w:jc w:val="center"/>
        <w:rPr>
          <w:rFonts w:hint="eastAsia" w:ascii="宋体" w:hAnsi="宋体"/>
          <w:highlight w:val="none"/>
        </w:rPr>
      </w:pPr>
      <w:bookmarkStart w:id="238" w:name="_Toc480804910"/>
      <w:bookmarkStart w:id="239" w:name="_Toc38878805"/>
      <w:r>
        <w:rPr>
          <w:rFonts w:hint="eastAsia" w:ascii="宋体" w:hAnsi="宋体"/>
          <w:highlight w:val="none"/>
        </w:rPr>
        <w:t>五、投标人的资格审查材料</w:t>
      </w:r>
      <w:bookmarkEnd w:id="238"/>
      <w:bookmarkEnd w:id="239"/>
    </w:p>
    <w:p w14:paraId="0EA72974">
      <w:pPr>
        <w:adjustRightInd w:val="0"/>
        <w:snapToGrid w:val="0"/>
        <w:jc w:val="left"/>
        <w:rPr>
          <w:rFonts w:hint="eastAsia"/>
          <w:szCs w:val="21"/>
          <w:highlight w:val="none"/>
        </w:rPr>
      </w:pPr>
    </w:p>
    <w:p w14:paraId="3DEDF8F8">
      <w:pPr>
        <w:adjustRightInd w:val="0"/>
        <w:snapToGrid w:val="0"/>
        <w:ind w:right="-175" w:rightChars="-73"/>
        <w:jc w:val="left"/>
        <w:rPr>
          <w:rFonts w:hint="eastAsia"/>
          <w:szCs w:val="21"/>
          <w:highlight w:val="none"/>
        </w:rPr>
      </w:pPr>
      <w:r>
        <w:rPr>
          <w:rFonts w:hint="eastAsia"/>
          <w:szCs w:val="21"/>
          <w:highlight w:val="none"/>
        </w:rPr>
        <w:t>1）企业法人营业执照副本或事业单位法人证书副本复印件</w:t>
      </w:r>
    </w:p>
    <w:p w14:paraId="6D7513EA">
      <w:pPr>
        <w:adjustRightInd w:val="0"/>
        <w:snapToGrid w:val="0"/>
        <w:ind w:right="-175" w:rightChars="-73"/>
        <w:jc w:val="left"/>
        <w:rPr>
          <w:rFonts w:hint="eastAsia"/>
          <w:szCs w:val="21"/>
          <w:highlight w:val="none"/>
        </w:rPr>
      </w:pPr>
    </w:p>
    <w:p w14:paraId="3F89DF56">
      <w:pPr>
        <w:adjustRightInd w:val="0"/>
        <w:snapToGrid w:val="0"/>
        <w:ind w:right="-175" w:rightChars="-73"/>
        <w:jc w:val="left"/>
        <w:rPr>
          <w:rFonts w:hint="eastAsia"/>
          <w:szCs w:val="21"/>
          <w:highlight w:val="none"/>
        </w:rPr>
      </w:pPr>
      <w:r>
        <w:rPr>
          <w:rFonts w:hint="eastAsia"/>
          <w:szCs w:val="21"/>
          <w:highlight w:val="none"/>
        </w:rPr>
        <w:t>2）税务登记证复印件（营业执照“三证合一”不需提供）</w:t>
      </w:r>
    </w:p>
    <w:p w14:paraId="2749AC4D">
      <w:pPr>
        <w:adjustRightInd w:val="0"/>
        <w:snapToGrid w:val="0"/>
        <w:ind w:right="-175" w:rightChars="-73"/>
        <w:jc w:val="left"/>
        <w:rPr>
          <w:rFonts w:hint="eastAsia"/>
          <w:szCs w:val="21"/>
          <w:highlight w:val="none"/>
        </w:rPr>
      </w:pPr>
    </w:p>
    <w:p w14:paraId="5063D971">
      <w:pPr>
        <w:adjustRightInd w:val="0"/>
        <w:snapToGrid w:val="0"/>
        <w:ind w:right="-175" w:rightChars="-73"/>
        <w:jc w:val="left"/>
        <w:rPr>
          <w:rFonts w:hint="eastAsia"/>
          <w:szCs w:val="21"/>
          <w:highlight w:val="none"/>
        </w:rPr>
      </w:pPr>
      <w:r>
        <w:rPr>
          <w:rFonts w:hint="eastAsia"/>
          <w:szCs w:val="21"/>
          <w:highlight w:val="none"/>
        </w:rPr>
        <w:t>3） 组织机构代码证复印件（营业执照“三证合一”不需提供）</w:t>
      </w:r>
    </w:p>
    <w:p w14:paraId="2199AB3B">
      <w:pPr>
        <w:adjustRightInd w:val="0"/>
        <w:snapToGrid w:val="0"/>
        <w:ind w:right="-175" w:rightChars="-73"/>
        <w:jc w:val="left"/>
        <w:rPr>
          <w:rFonts w:hint="eastAsia"/>
          <w:szCs w:val="21"/>
          <w:highlight w:val="none"/>
        </w:rPr>
      </w:pPr>
    </w:p>
    <w:p w14:paraId="1F4AAE7B">
      <w:pPr>
        <w:adjustRightInd w:val="0"/>
        <w:snapToGrid w:val="0"/>
        <w:ind w:right="-175" w:rightChars="-73"/>
        <w:jc w:val="left"/>
        <w:rPr>
          <w:rFonts w:hint="eastAsia"/>
          <w:szCs w:val="21"/>
          <w:highlight w:val="none"/>
        </w:rPr>
      </w:pPr>
      <w:r>
        <w:rPr>
          <w:rFonts w:hint="eastAsia"/>
          <w:szCs w:val="21"/>
          <w:highlight w:val="none"/>
        </w:rPr>
        <w:t>4）投标人须具有良好的商业信誉和健全的财务会计制度，须提供相关证明材料，其中：</w:t>
      </w:r>
    </w:p>
    <w:p w14:paraId="0F14796E">
      <w:pPr>
        <w:adjustRightInd w:val="0"/>
        <w:snapToGrid w:val="0"/>
        <w:ind w:right="-175" w:rightChars="-73" w:firstLine="360" w:firstLineChars="150"/>
        <w:jc w:val="left"/>
        <w:rPr>
          <w:rFonts w:hint="eastAsia"/>
          <w:szCs w:val="21"/>
          <w:highlight w:val="none"/>
        </w:rPr>
      </w:pPr>
      <w:r>
        <w:rPr>
          <w:rFonts w:hint="eastAsia"/>
          <w:szCs w:val="21"/>
          <w:highlight w:val="none"/>
        </w:rPr>
        <w:t>供应商是法人的，应提供上一年度经审计的财务报告复印件（报告中须包括资产负债表、利润表、现金流量表及财务报表附注），或其基本开户银行出具的资信证明原件；</w:t>
      </w:r>
    </w:p>
    <w:p w14:paraId="1F833526">
      <w:pPr>
        <w:adjustRightInd w:val="0"/>
        <w:snapToGrid w:val="0"/>
        <w:ind w:right="-175" w:rightChars="-73" w:firstLine="360" w:firstLineChars="150"/>
        <w:jc w:val="left"/>
        <w:rPr>
          <w:rFonts w:hint="eastAsia"/>
          <w:szCs w:val="21"/>
          <w:highlight w:val="none"/>
        </w:rPr>
      </w:pPr>
      <w:r>
        <w:rPr>
          <w:rFonts w:hint="eastAsia"/>
          <w:szCs w:val="21"/>
          <w:highlight w:val="none"/>
        </w:rPr>
        <w:t>供应商是其他组织或自然人的，应提供银行出具的资信证明原件。</w:t>
      </w:r>
    </w:p>
    <w:p w14:paraId="079AB186">
      <w:pPr>
        <w:adjustRightInd w:val="0"/>
        <w:snapToGrid w:val="0"/>
        <w:ind w:right="-175" w:rightChars="-73"/>
        <w:jc w:val="left"/>
        <w:rPr>
          <w:rFonts w:hint="eastAsia"/>
          <w:szCs w:val="21"/>
          <w:highlight w:val="none"/>
        </w:rPr>
      </w:pPr>
    </w:p>
    <w:p w14:paraId="5499166E">
      <w:pPr>
        <w:adjustRightInd w:val="0"/>
        <w:snapToGrid w:val="0"/>
        <w:ind w:right="-175" w:rightChars="-73"/>
        <w:jc w:val="left"/>
        <w:rPr>
          <w:rFonts w:hint="eastAsia"/>
          <w:szCs w:val="21"/>
          <w:highlight w:val="none"/>
        </w:rPr>
      </w:pPr>
      <w:r>
        <w:rPr>
          <w:rFonts w:hint="eastAsia"/>
          <w:szCs w:val="21"/>
          <w:highlight w:val="none"/>
        </w:rPr>
        <w:t>5）投标人须具有履行合同所必需的设备和专业技术能力，须附相关证明材料或声明：</w:t>
      </w:r>
    </w:p>
    <w:p w14:paraId="0FFE4F02">
      <w:pPr>
        <w:adjustRightInd w:val="0"/>
        <w:snapToGrid w:val="0"/>
        <w:ind w:right="-175" w:rightChars="-73"/>
        <w:jc w:val="left"/>
        <w:rPr>
          <w:rFonts w:hint="eastAsia"/>
          <w:szCs w:val="21"/>
          <w:highlight w:val="none"/>
        </w:rPr>
      </w:pPr>
    </w:p>
    <w:p w14:paraId="2A29B96C">
      <w:pPr>
        <w:adjustRightInd w:val="0"/>
        <w:snapToGrid w:val="0"/>
        <w:ind w:right="-175" w:rightChars="-73"/>
        <w:jc w:val="left"/>
        <w:rPr>
          <w:rFonts w:hint="eastAsia"/>
          <w:szCs w:val="21"/>
          <w:highlight w:val="none"/>
        </w:rPr>
      </w:pPr>
      <w:r>
        <w:rPr>
          <w:rFonts w:hint="eastAsia"/>
          <w:szCs w:val="21"/>
          <w:highlight w:val="none"/>
        </w:rPr>
        <w:t>6）投标人须具有依法缴纳税收和社会保障资金的良好记录，须提供相关证明材料，其中：</w:t>
      </w:r>
    </w:p>
    <w:p w14:paraId="1DBB38D5">
      <w:pPr>
        <w:adjustRightInd w:val="0"/>
        <w:snapToGrid w:val="0"/>
        <w:ind w:right="-175" w:rightChars="-73"/>
        <w:jc w:val="left"/>
        <w:rPr>
          <w:rFonts w:hint="eastAsia"/>
          <w:szCs w:val="21"/>
          <w:highlight w:val="none"/>
        </w:rPr>
      </w:pPr>
      <w:r>
        <w:rPr>
          <w:rFonts w:hint="eastAsia"/>
          <w:szCs w:val="21"/>
          <w:highlight w:val="none"/>
        </w:rPr>
        <w:t xml:space="preserve">   供应商是法人的，缴纳税收的证明材料，应提供税务登记证复印件或开标前六个月内任意一个月的纳税凭据复印件；；</w:t>
      </w:r>
    </w:p>
    <w:p w14:paraId="327FF9A1">
      <w:pPr>
        <w:adjustRightInd w:val="0"/>
        <w:snapToGrid w:val="0"/>
        <w:ind w:right="-175" w:rightChars="-73"/>
        <w:jc w:val="left"/>
        <w:rPr>
          <w:rFonts w:hint="eastAsia"/>
          <w:szCs w:val="21"/>
          <w:highlight w:val="none"/>
        </w:rPr>
      </w:pPr>
      <w:r>
        <w:rPr>
          <w:rFonts w:hint="eastAsia"/>
          <w:szCs w:val="21"/>
          <w:highlight w:val="none"/>
        </w:rPr>
        <w:t xml:space="preserve">   供应商是法人的，缴纳社会保障资金的证明材料，应提供社会保险登记证或开标前六个月内任意一个月的缴纳社会保险的凭据（专用收据或社会保险缴纳清单）复印件；</w:t>
      </w:r>
    </w:p>
    <w:p w14:paraId="72985C71">
      <w:pPr>
        <w:adjustRightInd w:val="0"/>
        <w:snapToGrid w:val="0"/>
        <w:ind w:right="-175" w:rightChars="-73"/>
        <w:jc w:val="left"/>
        <w:rPr>
          <w:rFonts w:hint="eastAsia"/>
          <w:szCs w:val="21"/>
          <w:highlight w:val="none"/>
        </w:rPr>
      </w:pPr>
      <w:r>
        <w:rPr>
          <w:rFonts w:hint="eastAsia"/>
          <w:szCs w:val="21"/>
          <w:highlight w:val="none"/>
        </w:rPr>
        <w:t xml:space="preserve">    供应商是其他组织和自然人的，需要提供开标前六个月内任意一个月的缴纳税收和社会保险的凭据。</w:t>
      </w:r>
    </w:p>
    <w:p w14:paraId="5A1F5BC7">
      <w:pPr>
        <w:adjustRightInd w:val="0"/>
        <w:snapToGrid w:val="0"/>
        <w:ind w:right="-175" w:rightChars="-73"/>
        <w:jc w:val="left"/>
        <w:rPr>
          <w:rFonts w:hint="eastAsia"/>
          <w:szCs w:val="21"/>
          <w:highlight w:val="none"/>
        </w:rPr>
      </w:pPr>
    </w:p>
    <w:p w14:paraId="0010BD89">
      <w:pPr>
        <w:adjustRightInd w:val="0"/>
        <w:snapToGrid w:val="0"/>
        <w:ind w:right="-175" w:rightChars="-73"/>
        <w:jc w:val="left"/>
        <w:rPr>
          <w:rFonts w:hint="eastAsia"/>
          <w:szCs w:val="21"/>
          <w:highlight w:val="none"/>
        </w:rPr>
      </w:pPr>
      <w:r>
        <w:rPr>
          <w:rFonts w:hint="eastAsia"/>
          <w:szCs w:val="21"/>
          <w:highlight w:val="none"/>
        </w:rPr>
        <w:t>7）近三年内，投标人在经营活动中没有重大违法记录，其中：</w:t>
      </w:r>
    </w:p>
    <w:p w14:paraId="1D43D4E3">
      <w:pPr>
        <w:adjustRightInd w:val="0"/>
        <w:snapToGrid w:val="0"/>
        <w:ind w:right="-175" w:rightChars="-73" w:firstLine="480" w:firstLineChars="200"/>
        <w:jc w:val="left"/>
        <w:rPr>
          <w:rFonts w:hint="eastAsia"/>
          <w:szCs w:val="21"/>
          <w:highlight w:val="none"/>
        </w:rPr>
      </w:pPr>
      <w:r>
        <w:rPr>
          <w:rFonts w:hint="eastAsia"/>
          <w:szCs w:val="21"/>
          <w:highlight w:val="none"/>
        </w:rPr>
        <w:t>重大违法记录是指供应商因违法经营受到刑事处罚或者责令停产停业、吊销许可证或者执照、较大数额罚款等行政处罚；</w:t>
      </w:r>
    </w:p>
    <w:p w14:paraId="4E4AD112">
      <w:pPr>
        <w:adjustRightInd w:val="0"/>
        <w:snapToGrid w:val="0"/>
        <w:ind w:right="-175" w:rightChars="-73" w:firstLine="480" w:firstLineChars="200"/>
        <w:jc w:val="left"/>
        <w:rPr>
          <w:rFonts w:hint="eastAsia"/>
          <w:szCs w:val="21"/>
          <w:highlight w:val="none"/>
        </w:rPr>
      </w:pPr>
      <w:r>
        <w:rPr>
          <w:rFonts w:hint="eastAsia"/>
          <w:szCs w:val="21"/>
          <w:highlight w:val="none"/>
        </w:rPr>
        <w:t>供应商须提供参与本采购活动前三年内在经营活动中没有重大违法记录的书面声明。</w:t>
      </w:r>
    </w:p>
    <w:p w14:paraId="27438764">
      <w:pPr>
        <w:adjustRightInd w:val="0"/>
        <w:snapToGrid w:val="0"/>
        <w:ind w:right="-175" w:rightChars="-73"/>
        <w:jc w:val="left"/>
        <w:rPr>
          <w:rFonts w:hint="eastAsia"/>
          <w:szCs w:val="21"/>
          <w:highlight w:val="none"/>
        </w:rPr>
      </w:pPr>
    </w:p>
    <w:p w14:paraId="64ADD7B9">
      <w:pPr>
        <w:adjustRightInd w:val="0"/>
        <w:snapToGrid w:val="0"/>
        <w:ind w:right="-175" w:rightChars="-73"/>
        <w:jc w:val="left"/>
        <w:rPr>
          <w:rFonts w:hint="eastAsia"/>
          <w:szCs w:val="21"/>
          <w:highlight w:val="none"/>
        </w:rPr>
      </w:pPr>
      <w:r>
        <w:rPr>
          <w:rFonts w:hint="eastAsia"/>
          <w:szCs w:val="21"/>
          <w:highlight w:val="none"/>
        </w:rPr>
        <w:t>8）近三年内（本项目投标截止期前）被“信用中国”网站列入失信被执行人和重大税收违法案件当事人名单的、被“中国政府采购网”网站列入政府采购严重违法失信行为记录名单</w:t>
      </w:r>
      <w:r>
        <w:rPr>
          <w:rFonts w:hint="eastAsia" w:cs="宋体"/>
          <w:kern w:val="0"/>
          <w:szCs w:val="21"/>
          <w:highlight w:val="none"/>
        </w:rPr>
        <w:t>（处罚决定规定的时间和地域范围内）</w:t>
      </w:r>
      <w:r>
        <w:rPr>
          <w:rFonts w:hint="eastAsia"/>
          <w:szCs w:val="21"/>
          <w:highlight w:val="none"/>
        </w:rPr>
        <w:t>，不得参与本项目的政府采购活动，供应商须提供没有上述失信行为和重大税收违法案件记录的证明材料，其中证明材料指：供应商在“信用中国”和“中国政府采购网”网站上的查询记录截图。</w:t>
      </w:r>
    </w:p>
    <w:p w14:paraId="7C39D096">
      <w:pPr>
        <w:adjustRightInd w:val="0"/>
        <w:snapToGrid w:val="0"/>
        <w:ind w:right="-175" w:rightChars="-73"/>
        <w:jc w:val="left"/>
        <w:rPr>
          <w:rFonts w:hint="eastAsia"/>
          <w:szCs w:val="21"/>
          <w:highlight w:val="none"/>
        </w:rPr>
      </w:pPr>
    </w:p>
    <w:p w14:paraId="5103F869">
      <w:pPr>
        <w:adjustRightInd w:val="0"/>
        <w:snapToGrid w:val="0"/>
        <w:ind w:right="-175" w:rightChars="-73"/>
        <w:jc w:val="left"/>
        <w:rPr>
          <w:rFonts w:hint="eastAsia"/>
          <w:b/>
          <w:color w:val="000000"/>
          <w:szCs w:val="21"/>
          <w:highlight w:val="none"/>
        </w:rPr>
      </w:pPr>
    </w:p>
    <w:p w14:paraId="205DBFF8">
      <w:pPr>
        <w:adjustRightInd w:val="0"/>
        <w:snapToGrid w:val="0"/>
        <w:ind w:right="-175" w:rightChars="-73"/>
        <w:jc w:val="left"/>
        <w:rPr>
          <w:rFonts w:hint="eastAsia"/>
          <w:szCs w:val="21"/>
          <w:highlight w:val="none"/>
        </w:rPr>
      </w:pPr>
    </w:p>
    <w:p w14:paraId="479A4F2E">
      <w:pPr>
        <w:adjustRightInd w:val="0"/>
        <w:snapToGrid w:val="0"/>
        <w:ind w:right="-175" w:rightChars="-73"/>
        <w:jc w:val="left"/>
        <w:rPr>
          <w:rFonts w:hint="eastAsia"/>
          <w:szCs w:val="21"/>
          <w:highlight w:val="none"/>
        </w:rPr>
      </w:pPr>
    </w:p>
    <w:p w14:paraId="05DC797F">
      <w:pPr>
        <w:ind w:right="-175" w:rightChars="-73"/>
        <w:rPr>
          <w:rFonts w:hint="eastAsia"/>
          <w:szCs w:val="21"/>
          <w:highlight w:val="none"/>
        </w:rPr>
      </w:pPr>
      <w:r>
        <w:rPr>
          <w:rFonts w:hint="eastAsia"/>
          <w:szCs w:val="21"/>
          <w:highlight w:val="none"/>
        </w:rPr>
        <w:t>注：1、以上复印件均需要加盖投标人行政原章。</w:t>
      </w:r>
    </w:p>
    <w:p w14:paraId="762DB22F">
      <w:pPr>
        <w:ind w:right="-175" w:rightChars="-73" w:firstLine="480" w:firstLineChars="200"/>
        <w:rPr>
          <w:rFonts w:hint="eastAsia"/>
          <w:szCs w:val="21"/>
          <w:highlight w:val="none"/>
        </w:rPr>
      </w:pPr>
      <w:r>
        <w:rPr>
          <w:rFonts w:hint="eastAsia"/>
          <w:szCs w:val="21"/>
          <w:highlight w:val="none"/>
        </w:rPr>
        <w:t>2、依法免税或不需要缴纳社会保障资金的投标人，应提供相应文件证明其依法免税或不需要缴纳社会保障资金。</w:t>
      </w:r>
    </w:p>
    <w:p w14:paraId="5219A5FE">
      <w:pPr>
        <w:ind w:right="-175" w:rightChars="-73" w:firstLine="480" w:firstLineChars="200"/>
        <w:rPr>
          <w:rFonts w:hint="eastAsia"/>
          <w:sz w:val="32"/>
          <w:szCs w:val="21"/>
          <w:highlight w:val="none"/>
        </w:rPr>
      </w:pPr>
      <w:r>
        <w:rPr>
          <w:rFonts w:hint="eastAsia"/>
          <w:szCs w:val="21"/>
          <w:highlight w:val="none"/>
        </w:rPr>
        <w:t>3、部分其他组织和自然人，没有经审计的财务报告，可以提供银行出具的资信证明。</w:t>
      </w:r>
    </w:p>
    <w:p w14:paraId="3D01D0EC">
      <w:pPr>
        <w:adjustRightInd w:val="0"/>
        <w:snapToGrid w:val="0"/>
        <w:ind w:right="24"/>
        <w:rPr>
          <w:rFonts w:hint="eastAsia"/>
          <w:bCs/>
          <w:sz w:val="28"/>
          <w:szCs w:val="28"/>
          <w:highlight w:val="none"/>
        </w:rPr>
      </w:pPr>
      <w:r>
        <w:rPr>
          <w:b/>
          <w:sz w:val="28"/>
          <w:szCs w:val="28"/>
          <w:highlight w:val="none"/>
        </w:rPr>
        <w:br w:type="page"/>
      </w:r>
      <w:r>
        <w:rPr>
          <w:rFonts w:hint="eastAsia"/>
          <w:bCs/>
          <w:sz w:val="28"/>
          <w:szCs w:val="28"/>
          <w:highlight w:val="none"/>
        </w:rPr>
        <w:t>附件11</w:t>
      </w:r>
    </w:p>
    <w:p w14:paraId="09B8CACD">
      <w:pPr>
        <w:adjustRightInd w:val="0"/>
        <w:snapToGrid w:val="0"/>
        <w:spacing w:before="156" w:beforeLines="50"/>
        <w:jc w:val="center"/>
        <w:rPr>
          <w:rFonts w:hint="eastAsia"/>
          <w:b/>
          <w:color w:val="000000"/>
          <w:sz w:val="28"/>
          <w:szCs w:val="28"/>
          <w:highlight w:val="none"/>
        </w:rPr>
      </w:pPr>
      <w:r>
        <w:rPr>
          <w:rFonts w:hint="eastAsia"/>
          <w:b/>
          <w:color w:val="000000"/>
          <w:sz w:val="28"/>
          <w:szCs w:val="28"/>
          <w:highlight w:val="none"/>
        </w:rPr>
        <w:t>近3年内在经营活动中没有重大违法记录的书面声明</w:t>
      </w:r>
    </w:p>
    <w:p w14:paraId="1148BE84">
      <w:pPr>
        <w:adjustRightInd w:val="0"/>
        <w:snapToGrid w:val="0"/>
        <w:spacing w:before="156" w:beforeLines="50"/>
        <w:jc w:val="center"/>
        <w:rPr>
          <w:rFonts w:hint="eastAsia"/>
          <w:color w:val="000000"/>
          <w:sz w:val="28"/>
          <w:szCs w:val="28"/>
          <w:highlight w:val="none"/>
        </w:rPr>
      </w:pPr>
    </w:p>
    <w:p w14:paraId="2EC18F97">
      <w:pPr>
        <w:adjustRightInd w:val="0"/>
        <w:snapToGrid w:val="0"/>
        <w:spacing w:line="480" w:lineRule="auto"/>
        <w:ind w:firstLine="480" w:firstLineChars="200"/>
        <w:rPr>
          <w:rFonts w:hint="eastAsia"/>
          <w:color w:val="000000"/>
          <w:szCs w:val="21"/>
          <w:highlight w:val="none"/>
        </w:rPr>
      </w:pPr>
      <w:r>
        <w:rPr>
          <w:rFonts w:hint="eastAsia"/>
          <w:color w:val="000000"/>
          <w:szCs w:val="21"/>
          <w:highlight w:val="none"/>
        </w:rPr>
        <w:t>我公司参与</w:t>
      </w:r>
      <w:r>
        <w:rPr>
          <w:rFonts w:hint="eastAsia"/>
          <w:color w:val="000000"/>
          <w:szCs w:val="21"/>
          <w:highlight w:val="none"/>
          <w:u w:val="single"/>
        </w:rPr>
        <w:t xml:space="preserve">                          </w:t>
      </w:r>
      <w:r>
        <w:rPr>
          <w:rFonts w:hint="eastAsia"/>
          <w:color w:val="000000"/>
          <w:szCs w:val="21"/>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52AE7230">
      <w:pPr>
        <w:adjustRightInd w:val="0"/>
        <w:snapToGrid w:val="0"/>
        <w:spacing w:line="480" w:lineRule="auto"/>
        <w:ind w:firstLine="480" w:firstLineChars="200"/>
        <w:rPr>
          <w:rFonts w:hint="eastAsia"/>
          <w:bCs/>
          <w:color w:val="000000"/>
          <w:szCs w:val="21"/>
          <w:highlight w:val="none"/>
        </w:rPr>
      </w:pPr>
      <w:r>
        <w:rPr>
          <w:rFonts w:hint="eastAsia"/>
          <w:color w:val="000000"/>
          <w:szCs w:val="21"/>
          <w:highlight w:val="none"/>
        </w:rPr>
        <w:t xml:space="preserve">特此声明  </w:t>
      </w:r>
    </w:p>
    <w:p w14:paraId="095F8F94">
      <w:pPr>
        <w:adjustRightInd w:val="0"/>
        <w:snapToGrid w:val="0"/>
        <w:spacing w:line="480" w:lineRule="auto"/>
        <w:ind w:firstLine="3112" w:firstLineChars="1297"/>
        <w:rPr>
          <w:rFonts w:hint="eastAsia"/>
          <w:color w:val="000000"/>
          <w:szCs w:val="21"/>
          <w:highlight w:val="none"/>
        </w:rPr>
      </w:pPr>
    </w:p>
    <w:p w14:paraId="3213E913">
      <w:pPr>
        <w:spacing w:line="480" w:lineRule="auto"/>
        <w:ind w:firstLine="4003" w:firstLineChars="1668"/>
        <w:rPr>
          <w:rFonts w:hint="eastAsia"/>
          <w:color w:val="000000"/>
          <w:szCs w:val="21"/>
          <w:highlight w:val="none"/>
          <w:u w:val="single"/>
        </w:rPr>
      </w:pPr>
      <w:r>
        <w:rPr>
          <w:rFonts w:hint="eastAsia"/>
          <w:color w:val="000000"/>
          <w:highlight w:val="none"/>
        </w:rPr>
        <w:t>投标人</w:t>
      </w:r>
      <w:r>
        <w:rPr>
          <w:rFonts w:hint="eastAsia"/>
          <w:color w:val="000000"/>
          <w:szCs w:val="21"/>
          <w:highlight w:val="none"/>
        </w:rPr>
        <w:t>名称（盖单位公章）：</w:t>
      </w:r>
      <w:r>
        <w:rPr>
          <w:rFonts w:hint="eastAsia"/>
          <w:color w:val="000000"/>
          <w:szCs w:val="21"/>
          <w:highlight w:val="none"/>
          <w:u w:val="single"/>
        </w:rPr>
        <w:t xml:space="preserve">                 </w:t>
      </w:r>
    </w:p>
    <w:p w14:paraId="40E13C3E">
      <w:pPr>
        <w:spacing w:line="480" w:lineRule="auto"/>
        <w:ind w:firstLine="4003" w:firstLineChars="1668"/>
        <w:rPr>
          <w:rFonts w:hint="eastAsia"/>
          <w:color w:val="000000"/>
          <w:szCs w:val="21"/>
          <w:highlight w:val="none"/>
          <w:u w:val="single"/>
        </w:rPr>
      </w:pPr>
      <w:r>
        <w:rPr>
          <w:rFonts w:hint="eastAsia"/>
          <w:color w:val="000000"/>
          <w:szCs w:val="21"/>
          <w:highlight w:val="none"/>
        </w:rPr>
        <w:t>法定代表人（签名）：</w:t>
      </w:r>
      <w:r>
        <w:rPr>
          <w:rFonts w:hint="eastAsia"/>
          <w:color w:val="000000"/>
          <w:szCs w:val="21"/>
          <w:highlight w:val="none"/>
          <w:u w:val="single"/>
        </w:rPr>
        <w:t xml:space="preserve">                </w:t>
      </w:r>
    </w:p>
    <w:p w14:paraId="1BD0F529">
      <w:pPr>
        <w:spacing w:line="480" w:lineRule="auto"/>
        <w:ind w:firstLine="4003" w:firstLineChars="1668"/>
        <w:rPr>
          <w:rFonts w:hint="eastAsia"/>
          <w:color w:val="000000"/>
          <w:szCs w:val="21"/>
          <w:highlight w:val="none"/>
        </w:rPr>
      </w:pPr>
      <w:r>
        <w:rPr>
          <w:rFonts w:hint="eastAsia"/>
          <w:color w:val="000000"/>
          <w:szCs w:val="21"/>
          <w:highlight w:val="none"/>
        </w:rPr>
        <w:t xml:space="preserve">日    期：          </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p>
    <w:p w14:paraId="3A59E92E">
      <w:pPr>
        <w:ind w:firstLine="4003" w:firstLineChars="1668"/>
        <w:rPr>
          <w:rFonts w:hint="eastAsia"/>
          <w:color w:val="000000"/>
          <w:szCs w:val="21"/>
          <w:highlight w:val="none"/>
        </w:rPr>
      </w:pPr>
    </w:p>
    <w:p w14:paraId="265367E6">
      <w:pPr>
        <w:rPr>
          <w:rFonts w:hint="eastAsia"/>
          <w:color w:val="000000"/>
          <w:highlight w:val="none"/>
        </w:rPr>
      </w:pPr>
    </w:p>
    <w:p w14:paraId="68C5A264">
      <w:pPr>
        <w:rPr>
          <w:rFonts w:hint="eastAsia"/>
          <w:color w:val="000000"/>
          <w:highlight w:val="none"/>
        </w:rPr>
      </w:pPr>
    </w:p>
    <w:p w14:paraId="00F3CD3E">
      <w:pPr>
        <w:rPr>
          <w:rFonts w:hint="eastAsia"/>
          <w:color w:val="000000"/>
          <w:highlight w:val="none"/>
        </w:rPr>
      </w:pPr>
      <w:r>
        <w:rPr>
          <w:rFonts w:hint="eastAsia"/>
          <w:color w:val="000000"/>
          <w:highlight w:val="none"/>
        </w:rPr>
        <w:t>注：近三年：成立三年以上的，为提交首次投标文件截止时间前三年内；成立不足三年的，为实际时间</w:t>
      </w:r>
      <w:r>
        <w:rPr>
          <w:rFonts w:hint="eastAsia"/>
          <w:color w:val="000000"/>
          <w:szCs w:val="21"/>
          <w:highlight w:val="none"/>
        </w:rPr>
        <w:t>。</w:t>
      </w:r>
    </w:p>
    <w:p w14:paraId="2415811E">
      <w:pPr>
        <w:adjustRightInd w:val="0"/>
        <w:snapToGrid w:val="0"/>
        <w:ind w:right="24"/>
        <w:rPr>
          <w:rFonts w:hint="eastAsia"/>
          <w:highlight w:val="none"/>
        </w:rPr>
      </w:pPr>
      <w:r>
        <w:rPr>
          <w:bCs/>
          <w:sz w:val="28"/>
          <w:szCs w:val="28"/>
          <w:highlight w:val="none"/>
        </w:rPr>
        <w:br w:type="page"/>
      </w:r>
      <w:r>
        <w:rPr>
          <w:rFonts w:hint="eastAsia"/>
          <w:bCs/>
          <w:sz w:val="28"/>
          <w:szCs w:val="28"/>
          <w:highlight w:val="none"/>
        </w:rPr>
        <w:t>附件12</w:t>
      </w:r>
    </w:p>
    <w:p w14:paraId="68071B36">
      <w:pPr>
        <w:autoSpaceDE w:val="0"/>
        <w:autoSpaceDN w:val="0"/>
        <w:adjustRightInd w:val="0"/>
        <w:jc w:val="center"/>
        <w:rPr>
          <w:rFonts w:hint="eastAsia"/>
          <w:color w:val="000000"/>
          <w:kern w:val="0"/>
          <w:sz w:val="28"/>
          <w:szCs w:val="28"/>
          <w:highlight w:val="none"/>
        </w:rPr>
      </w:pPr>
      <w:r>
        <w:rPr>
          <w:rFonts w:hint="eastAsia"/>
          <w:color w:val="000000"/>
          <w:kern w:val="0"/>
          <w:sz w:val="28"/>
          <w:szCs w:val="28"/>
          <w:highlight w:val="none"/>
        </w:rPr>
        <w:t>信用记录</w:t>
      </w:r>
    </w:p>
    <w:p w14:paraId="73ABDE9D">
      <w:pPr>
        <w:widowControl/>
        <w:adjustRightInd w:val="0"/>
        <w:snapToGrid w:val="0"/>
        <w:ind w:firstLine="504" w:firstLineChars="200"/>
        <w:jc w:val="center"/>
        <w:rPr>
          <w:rFonts w:hint="eastAsia" w:cs="宋体"/>
          <w:color w:val="000000"/>
          <w:spacing w:val="6"/>
          <w:kern w:val="0"/>
          <w:szCs w:val="21"/>
          <w:highlight w:val="none"/>
        </w:rPr>
      </w:pPr>
      <w:r>
        <w:rPr>
          <w:rFonts w:hint="eastAsia" w:cs="宋体"/>
          <w:color w:val="000000"/>
          <w:spacing w:val="6"/>
          <w:kern w:val="0"/>
          <w:szCs w:val="21"/>
          <w:highlight w:val="none"/>
        </w:rPr>
        <w:t>（复印件并加盖投标单位公章）</w:t>
      </w:r>
    </w:p>
    <w:p w14:paraId="23881616">
      <w:pPr>
        <w:widowControl/>
        <w:adjustRightInd w:val="0"/>
        <w:snapToGrid w:val="0"/>
        <w:ind w:firstLine="504" w:firstLineChars="200"/>
        <w:jc w:val="left"/>
        <w:rPr>
          <w:rFonts w:hint="eastAsia" w:cs="宋体"/>
          <w:color w:val="000000"/>
          <w:spacing w:val="6"/>
          <w:kern w:val="0"/>
          <w:szCs w:val="21"/>
          <w:highlight w:val="none"/>
        </w:rPr>
      </w:pPr>
    </w:p>
    <w:p w14:paraId="36C416F2">
      <w:pPr>
        <w:widowControl/>
        <w:adjustRightInd w:val="0"/>
        <w:snapToGrid w:val="0"/>
        <w:ind w:firstLine="504" w:firstLineChars="200"/>
        <w:jc w:val="left"/>
        <w:rPr>
          <w:rFonts w:hint="eastAsia" w:cs="宋体"/>
          <w:color w:val="000000"/>
          <w:spacing w:val="6"/>
          <w:kern w:val="0"/>
          <w:szCs w:val="21"/>
          <w:highlight w:val="none"/>
        </w:rPr>
      </w:pPr>
      <w:r>
        <w:rPr>
          <w:rFonts w:hint="eastAsia" w:cs="宋体"/>
          <w:color w:val="000000"/>
          <w:spacing w:val="6"/>
          <w:kern w:val="0"/>
          <w:szCs w:val="21"/>
          <w:highlight w:val="none"/>
        </w:rPr>
        <w:t>依据财库</w:t>
      </w:r>
      <w:r>
        <w:rPr>
          <w:rFonts w:cs="宋体"/>
          <w:color w:val="000000"/>
          <w:spacing w:val="6"/>
          <w:kern w:val="0"/>
          <w:szCs w:val="21"/>
          <w:highlight w:val="none"/>
        </w:rPr>
        <w:t>[2016]125</w:t>
      </w:r>
      <w:r>
        <w:rPr>
          <w:rFonts w:hint="eastAsia" w:cs="宋体"/>
          <w:color w:val="000000"/>
          <w:spacing w:val="6"/>
          <w:kern w:val="0"/>
          <w:szCs w:val="21"/>
          <w:highlight w:val="none"/>
        </w:rPr>
        <w:t>号文件规定，投标人须符合《关于在政府采购活动中查询及使用信用记录有关问题的通知》的相关要求，即具有良好的信用记录。</w:t>
      </w:r>
    </w:p>
    <w:p w14:paraId="1BB10A4C">
      <w:pPr>
        <w:widowControl/>
        <w:adjustRightInd w:val="0"/>
        <w:snapToGrid w:val="0"/>
        <w:ind w:firstLine="504" w:firstLineChars="200"/>
        <w:jc w:val="left"/>
        <w:rPr>
          <w:rFonts w:hint="eastAsia" w:cs="宋体"/>
          <w:color w:val="000000"/>
          <w:spacing w:val="6"/>
          <w:kern w:val="0"/>
          <w:szCs w:val="21"/>
          <w:highlight w:val="none"/>
        </w:rPr>
      </w:pPr>
      <w:r>
        <w:rPr>
          <w:rFonts w:hint="eastAsia" w:cs="宋体"/>
          <w:color w:val="000000"/>
          <w:spacing w:val="6"/>
          <w:kern w:val="0"/>
          <w:szCs w:val="21"/>
          <w:highlight w:val="none"/>
        </w:rPr>
        <w:t>投标人须提供本单位近</w:t>
      </w:r>
      <w:r>
        <w:rPr>
          <w:rFonts w:cs="宋体"/>
          <w:color w:val="000000"/>
          <w:spacing w:val="6"/>
          <w:kern w:val="0"/>
          <w:szCs w:val="21"/>
          <w:highlight w:val="none"/>
        </w:rPr>
        <w:t>3</w:t>
      </w:r>
      <w:r>
        <w:rPr>
          <w:rFonts w:hint="eastAsia" w:cs="宋体"/>
          <w:color w:val="000000"/>
          <w:spacing w:val="6"/>
          <w:kern w:val="0"/>
          <w:szCs w:val="21"/>
          <w:highlight w:val="none"/>
        </w:rPr>
        <w:t>年（本项目至递交投标文件截止日前）</w:t>
      </w:r>
      <w:r>
        <w:rPr>
          <w:rFonts w:cs="宋体"/>
          <w:color w:val="000000"/>
          <w:spacing w:val="6"/>
          <w:kern w:val="0"/>
          <w:szCs w:val="21"/>
          <w:highlight w:val="none"/>
        </w:rPr>
        <w:t>“</w:t>
      </w:r>
      <w:r>
        <w:rPr>
          <w:rFonts w:hint="eastAsia" w:cs="宋体"/>
          <w:color w:val="000000"/>
          <w:spacing w:val="6"/>
          <w:kern w:val="0"/>
          <w:szCs w:val="21"/>
          <w:highlight w:val="none"/>
        </w:rPr>
        <w:t>信用中国</w:t>
      </w:r>
      <w:r>
        <w:rPr>
          <w:rFonts w:cs="宋体"/>
          <w:color w:val="000000"/>
          <w:spacing w:val="6"/>
          <w:kern w:val="0"/>
          <w:szCs w:val="21"/>
          <w:highlight w:val="none"/>
        </w:rPr>
        <w:t>”</w:t>
      </w:r>
      <w:r>
        <w:rPr>
          <w:rFonts w:hint="eastAsia" w:cs="宋体"/>
          <w:color w:val="000000"/>
          <w:spacing w:val="6"/>
          <w:kern w:val="0"/>
          <w:szCs w:val="21"/>
          <w:highlight w:val="none"/>
        </w:rPr>
        <w:t>网站（</w:t>
      </w:r>
      <w:r>
        <w:rPr>
          <w:rFonts w:cs="宋体"/>
          <w:color w:val="000000"/>
          <w:spacing w:val="6"/>
          <w:kern w:val="0"/>
          <w:szCs w:val="21"/>
          <w:highlight w:val="none"/>
        </w:rPr>
        <w:t>www.creditchina.gov.cn</w:t>
      </w:r>
      <w:r>
        <w:rPr>
          <w:rFonts w:hint="eastAsia" w:cs="宋体"/>
          <w:color w:val="000000"/>
          <w:spacing w:val="6"/>
          <w:kern w:val="0"/>
          <w:szCs w:val="21"/>
          <w:highlight w:val="none"/>
        </w:rPr>
        <w:t>）及中国政府采购网（</w:t>
      </w:r>
      <w:r>
        <w:rPr>
          <w:rFonts w:cs="宋体"/>
          <w:color w:val="000000"/>
          <w:spacing w:val="6"/>
          <w:kern w:val="0"/>
          <w:szCs w:val="21"/>
          <w:highlight w:val="none"/>
        </w:rPr>
        <w:t>www.ccgp.gov.cn</w:t>
      </w:r>
      <w:r>
        <w:rPr>
          <w:rFonts w:hint="eastAsia" w:cs="宋体"/>
          <w:color w:val="000000"/>
          <w:spacing w:val="6"/>
          <w:kern w:val="0"/>
          <w:szCs w:val="21"/>
          <w:highlight w:val="none"/>
        </w:rPr>
        <w:t>）已公布的信用记录查询截图。</w:t>
      </w:r>
    </w:p>
    <w:p w14:paraId="71E4CAEA">
      <w:pPr>
        <w:widowControl/>
        <w:adjustRightInd w:val="0"/>
        <w:snapToGrid w:val="0"/>
        <w:ind w:firstLine="504" w:firstLineChars="200"/>
        <w:jc w:val="left"/>
        <w:rPr>
          <w:rFonts w:hint="eastAsia" w:cs="宋体"/>
          <w:color w:val="000000"/>
          <w:spacing w:val="6"/>
          <w:kern w:val="0"/>
          <w:szCs w:val="21"/>
          <w:highlight w:val="none"/>
        </w:rPr>
      </w:pPr>
      <w:r>
        <w:rPr>
          <w:rFonts w:hint="eastAsia" w:cs="宋体"/>
          <w:color w:val="000000"/>
          <w:spacing w:val="6"/>
          <w:kern w:val="0"/>
          <w:szCs w:val="21"/>
          <w:highlight w:val="none"/>
        </w:rPr>
        <w:t>截图含1）被列入失信被执行人</w:t>
      </w:r>
    </w:p>
    <w:p w14:paraId="714973E2">
      <w:pPr>
        <w:widowControl/>
        <w:adjustRightInd w:val="0"/>
        <w:snapToGrid w:val="0"/>
        <w:ind w:firstLine="1386" w:firstLineChars="550"/>
        <w:jc w:val="left"/>
        <w:rPr>
          <w:rFonts w:hint="eastAsia" w:cs="宋体"/>
          <w:spacing w:val="6"/>
          <w:kern w:val="0"/>
          <w:szCs w:val="21"/>
          <w:highlight w:val="none"/>
        </w:rPr>
      </w:pPr>
      <w:r>
        <w:rPr>
          <w:rFonts w:hint="eastAsia" w:cs="宋体"/>
          <w:spacing w:val="6"/>
          <w:kern w:val="0"/>
          <w:szCs w:val="21"/>
          <w:highlight w:val="none"/>
        </w:rPr>
        <w:t>2）重大税收违法失信主体</w:t>
      </w:r>
    </w:p>
    <w:p w14:paraId="29EF8F20">
      <w:pPr>
        <w:widowControl/>
        <w:adjustRightInd w:val="0"/>
        <w:snapToGrid w:val="0"/>
        <w:ind w:firstLine="1386" w:firstLineChars="550"/>
        <w:jc w:val="left"/>
        <w:rPr>
          <w:rFonts w:hint="eastAsia" w:cs="宋体"/>
          <w:spacing w:val="6"/>
          <w:kern w:val="0"/>
          <w:szCs w:val="21"/>
          <w:highlight w:val="none"/>
        </w:rPr>
      </w:pPr>
      <w:r>
        <w:rPr>
          <w:rFonts w:hint="eastAsia" w:cs="宋体"/>
          <w:spacing w:val="6"/>
          <w:kern w:val="0"/>
          <w:szCs w:val="21"/>
          <w:highlight w:val="none"/>
        </w:rPr>
        <w:t>3）列入政府采购严重违法失信行为记录名单</w:t>
      </w:r>
    </w:p>
    <w:p w14:paraId="6652995C">
      <w:pPr>
        <w:widowControl/>
        <w:adjustRightInd w:val="0"/>
        <w:snapToGrid w:val="0"/>
        <w:ind w:firstLine="504" w:firstLineChars="200"/>
        <w:jc w:val="left"/>
        <w:rPr>
          <w:rFonts w:hint="eastAsia" w:cs="宋体"/>
          <w:spacing w:val="6"/>
          <w:kern w:val="0"/>
          <w:szCs w:val="21"/>
          <w:highlight w:val="none"/>
        </w:rPr>
      </w:pPr>
    </w:p>
    <w:p w14:paraId="1338EBDF">
      <w:pPr>
        <w:widowControl/>
        <w:adjustRightInd w:val="0"/>
        <w:snapToGrid w:val="0"/>
        <w:ind w:firstLine="504" w:firstLineChars="200"/>
        <w:jc w:val="left"/>
        <w:rPr>
          <w:rFonts w:hint="eastAsia" w:cs="宋体"/>
          <w:spacing w:val="6"/>
          <w:kern w:val="0"/>
          <w:szCs w:val="21"/>
          <w:highlight w:val="none"/>
        </w:rPr>
        <w:sectPr>
          <w:pgSz w:w="11906" w:h="16838"/>
          <w:pgMar w:top="1440" w:right="1800" w:bottom="1440" w:left="1800" w:header="851" w:footer="992" w:gutter="0"/>
          <w:cols w:space="720" w:num="1"/>
          <w:docGrid w:type="lines" w:linePitch="312" w:charSpace="0"/>
        </w:sectPr>
      </w:pPr>
      <w:r>
        <w:rPr>
          <w:rFonts w:hint="eastAsia" w:cs="宋体"/>
          <w:spacing w:val="6"/>
          <w:kern w:val="0"/>
          <w:szCs w:val="21"/>
          <w:highlight w:val="none"/>
        </w:rPr>
        <w:t>例如：网站搜索页输入投标单位名称，截图查询结果。</w:t>
      </w:r>
    </w:p>
    <w:bookmarkEnd w:id="231"/>
    <w:p w14:paraId="665413FE">
      <w:pPr>
        <w:pStyle w:val="3"/>
        <w:numPr>
          <w:ilvl w:val="0"/>
          <w:numId w:val="0"/>
        </w:numPr>
        <w:ind w:left="576" w:hanging="576"/>
        <w:jc w:val="center"/>
        <w:rPr>
          <w:rFonts w:hint="eastAsia" w:ascii="宋体" w:hAnsi="宋体"/>
          <w:highlight w:val="none"/>
        </w:rPr>
      </w:pPr>
      <w:bookmarkStart w:id="240" w:name="_Toc420948028"/>
      <w:bookmarkStart w:id="241" w:name="_Toc38878806"/>
      <w:r>
        <w:rPr>
          <w:rFonts w:hint="eastAsia" w:ascii="宋体" w:hAnsi="宋体"/>
          <w:highlight w:val="none"/>
        </w:rPr>
        <w:t>六、产品说明</w:t>
      </w:r>
      <w:bookmarkEnd w:id="240"/>
      <w:bookmarkEnd w:id="241"/>
    </w:p>
    <w:p w14:paraId="428FF05C">
      <w:pPr>
        <w:adjustRightInd w:val="0"/>
        <w:snapToGrid w:val="0"/>
        <w:ind w:left="-101" w:leftChars="-42" w:firstLine="240" w:firstLineChars="100"/>
        <w:rPr>
          <w:rFonts w:hint="eastAsia"/>
          <w:szCs w:val="21"/>
          <w:highlight w:val="none"/>
        </w:rPr>
      </w:pPr>
    </w:p>
    <w:p w14:paraId="2704C148">
      <w:pPr>
        <w:adjustRightInd w:val="0"/>
        <w:snapToGrid w:val="0"/>
        <w:ind w:left="-101" w:leftChars="-42" w:firstLine="240" w:firstLineChars="100"/>
        <w:rPr>
          <w:rFonts w:hint="eastAsia"/>
          <w:szCs w:val="21"/>
          <w:highlight w:val="none"/>
        </w:rPr>
      </w:pPr>
      <w:r>
        <w:rPr>
          <w:rFonts w:hint="eastAsia"/>
          <w:szCs w:val="21"/>
          <w:highlight w:val="none"/>
        </w:rPr>
        <w:t>一、技术参数、标准</w:t>
      </w:r>
    </w:p>
    <w:p w14:paraId="7C77A20C">
      <w:pPr>
        <w:adjustRightInd w:val="0"/>
        <w:snapToGrid w:val="0"/>
        <w:ind w:left="-101" w:leftChars="-42" w:firstLine="240" w:firstLineChars="100"/>
        <w:rPr>
          <w:rFonts w:hint="eastAsia"/>
          <w:szCs w:val="21"/>
          <w:highlight w:val="none"/>
        </w:rPr>
      </w:pPr>
      <w:r>
        <w:rPr>
          <w:rFonts w:hint="eastAsia"/>
          <w:szCs w:val="21"/>
          <w:highlight w:val="none"/>
        </w:rPr>
        <w:t>（1）产品技术参数（指标）、功能等性能描述</w:t>
      </w:r>
    </w:p>
    <w:p w14:paraId="14909DB9">
      <w:pPr>
        <w:adjustRightInd w:val="0"/>
        <w:snapToGrid w:val="0"/>
        <w:ind w:left="-101" w:leftChars="-42" w:firstLine="240" w:firstLineChars="100"/>
        <w:rPr>
          <w:rFonts w:hint="eastAsia"/>
          <w:szCs w:val="21"/>
          <w:highlight w:val="none"/>
        </w:rPr>
      </w:pPr>
      <w:r>
        <w:rPr>
          <w:rFonts w:hint="eastAsia"/>
          <w:szCs w:val="21"/>
          <w:highlight w:val="none"/>
        </w:rPr>
        <w:t>（2）产品的规范资料（要求提供复印件）</w:t>
      </w:r>
    </w:p>
    <w:p w14:paraId="0AFF8353">
      <w:pPr>
        <w:adjustRightInd w:val="0"/>
        <w:snapToGrid w:val="0"/>
        <w:ind w:left="-101" w:leftChars="-42" w:firstLine="240" w:firstLineChars="100"/>
        <w:rPr>
          <w:rFonts w:hint="eastAsia"/>
          <w:szCs w:val="21"/>
          <w:highlight w:val="none"/>
        </w:rPr>
      </w:pPr>
      <w:r>
        <w:rPr>
          <w:rFonts w:hint="eastAsia"/>
          <w:szCs w:val="21"/>
          <w:highlight w:val="none"/>
        </w:rPr>
        <w:t>（3）配置、技术成熟度、安全可靠说明</w:t>
      </w:r>
    </w:p>
    <w:p w14:paraId="075DB4B6">
      <w:pPr>
        <w:adjustRightInd w:val="0"/>
        <w:snapToGrid w:val="0"/>
        <w:ind w:left="-101" w:leftChars="-42" w:firstLine="240" w:firstLineChars="100"/>
        <w:rPr>
          <w:rFonts w:hint="eastAsia"/>
          <w:szCs w:val="21"/>
          <w:highlight w:val="none"/>
        </w:rPr>
      </w:pPr>
      <w:r>
        <w:rPr>
          <w:rFonts w:hint="eastAsia"/>
          <w:szCs w:val="21"/>
          <w:highlight w:val="none"/>
        </w:rPr>
        <w:t>（4）货物适用环境和功能描述</w:t>
      </w:r>
    </w:p>
    <w:p w14:paraId="30EA6E61">
      <w:pPr>
        <w:adjustRightInd w:val="0"/>
        <w:snapToGrid w:val="0"/>
        <w:ind w:left="-101" w:leftChars="-42" w:firstLine="240" w:firstLineChars="100"/>
        <w:rPr>
          <w:rFonts w:hint="eastAsia"/>
          <w:szCs w:val="21"/>
          <w:highlight w:val="none"/>
        </w:rPr>
      </w:pPr>
      <w:r>
        <w:rPr>
          <w:rFonts w:hint="eastAsia"/>
          <w:szCs w:val="21"/>
          <w:highlight w:val="none"/>
        </w:rPr>
        <w:t>（5）技术需求逐条应答表</w:t>
      </w:r>
    </w:p>
    <w:p w14:paraId="2C9944EC">
      <w:pPr>
        <w:adjustRightInd w:val="0"/>
        <w:snapToGrid w:val="0"/>
        <w:ind w:left="-101" w:leftChars="-42" w:firstLine="240" w:firstLineChars="100"/>
        <w:rPr>
          <w:rFonts w:hint="eastAsia"/>
          <w:szCs w:val="21"/>
          <w:highlight w:val="none"/>
        </w:rPr>
      </w:pPr>
      <w:r>
        <w:rPr>
          <w:rFonts w:hint="eastAsia"/>
          <w:szCs w:val="21"/>
          <w:highlight w:val="none"/>
        </w:rPr>
        <w:t>（6）供应商认为有必要提供的其他说明材料</w:t>
      </w:r>
    </w:p>
    <w:p w14:paraId="0EF5E8BB">
      <w:pPr>
        <w:adjustRightInd w:val="0"/>
        <w:snapToGrid w:val="0"/>
        <w:ind w:left="-101" w:leftChars="-42" w:firstLine="240" w:firstLineChars="100"/>
        <w:rPr>
          <w:rFonts w:hint="eastAsia"/>
          <w:szCs w:val="21"/>
          <w:highlight w:val="none"/>
        </w:rPr>
      </w:pPr>
    </w:p>
    <w:p w14:paraId="0AEDFCFE">
      <w:pPr>
        <w:pStyle w:val="24"/>
        <w:snapToGrid w:val="0"/>
        <w:spacing w:before="295" w:after="295"/>
        <w:rPr>
          <w:rFonts w:hint="eastAsia" w:hAnsi="宋体"/>
          <w:bCs/>
          <w:sz w:val="28"/>
          <w:szCs w:val="28"/>
          <w:highlight w:val="none"/>
        </w:rPr>
      </w:pPr>
      <w:r>
        <w:rPr>
          <w:rFonts w:hAnsi="宋体"/>
          <w:highlight w:val="none"/>
        </w:rPr>
        <w:br w:type="page"/>
      </w:r>
      <w:r>
        <w:rPr>
          <w:rFonts w:hint="eastAsia" w:hAnsi="宋体"/>
          <w:bCs/>
          <w:sz w:val="28"/>
          <w:szCs w:val="28"/>
          <w:highlight w:val="none"/>
        </w:rPr>
        <w:t>附件13</w:t>
      </w:r>
    </w:p>
    <w:p w14:paraId="670F5272">
      <w:pPr>
        <w:spacing w:line="460" w:lineRule="exact"/>
        <w:jc w:val="center"/>
        <w:rPr>
          <w:rFonts w:hint="eastAsia"/>
          <w:bCs/>
          <w:color w:val="000000"/>
          <w:highlight w:val="none"/>
        </w:rPr>
      </w:pPr>
      <w:r>
        <w:rPr>
          <w:rFonts w:hint="eastAsia"/>
          <w:bCs/>
          <w:color w:val="000000"/>
          <w:highlight w:val="none"/>
        </w:rPr>
        <w:t>投标产品清单</w:t>
      </w:r>
    </w:p>
    <w:p w14:paraId="51DAC5C4">
      <w:pPr>
        <w:spacing w:line="460" w:lineRule="exact"/>
        <w:jc w:val="center"/>
        <w:rPr>
          <w:rFonts w:hint="eastAsia"/>
          <w:bCs/>
          <w:color w:val="000000"/>
          <w:highlight w:val="none"/>
        </w:rPr>
      </w:pPr>
      <w:r>
        <w:rPr>
          <w:rFonts w:hint="eastAsia"/>
          <w:bCs/>
          <w:color w:val="000000"/>
          <w:highlight w:val="none"/>
        </w:rPr>
        <w:t>（不含价格）</w:t>
      </w:r>
    </w:p>
    <w:p w14:paraId="50E1CEB0">
      <w:pPr>
        <w:spacing w:line="460" w:lineRule="exact"/>
        <w:rPr>
          <w:rFonts w:hint="eastAsia"/>
          <w:bCs/>
          <w:color w:val="000000"/>
          <w:sz w:val="22"/>
          <w:szCs w:val="22"/>
          <w:highlight w:val="none"/>
        </w:rPr>
      </w:pPr>
      <w:r>
        <w:rPr>
          <w:rFonts w:hint="eastAsia"/>
          <w:bCs/>
          <w:color w:val="000000"/>
          <w:sz w:val="22"/>
          <w:szCs w:val="22"/>
          <w:highlight w:val="none"/>
        </w:rPr>
        <w:t>项目编号：</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783"/>
        <w:gridCol w:w="900"/>
        <w:gridCol w:w="900"/>
        <w:gridCol w:w="3780"/>
      </w:tblGrid>
      <w:tr w14:paraId="4F3739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1C311A7">
            <w:pPr>
              <w:spacing w:line="380" w:lineRule="exact"/>
              <w:jc w:val="center"/>
              <w:rPr>
                <w:rFonts w:hint="eastAsia" w:cs="Arial"/>
                <w:b/>
                <w:bCs/>
                <w:color w:val="000000"/>
                <w:szCs w:val="21"/>
                <w:highlight w:val="none"/>
              </w:rPr>
            </w:pPr>
            <w:r>
              <w:rPr>
                <w:rFonts w:cs="Arial"/>
                <w:b/>
                <w:bCs/>
                <w:color w:val="000000"/>
                <w:szCs w:val="21"/>
                <w:highlight w:val="none"/>
              </w:rPr>
              <w:t>序号</w:t>
            </w:r>
          </w:p>
        </w:tc>
        <w:tc>
          <w:tcPr>
            <w:tcW w:w="1783" w:type="dxa"/>
            <w:vAlign w:val="center"/>
          </w:tcPr>
          <w:p w14:paraId="3388F3BC">
            <w:pPr>
              <w:spacing w:line="380" w:lineRule="exact"/>
              <w:jc w:val="center"/>
              <w:rPr>
                <w:rFonts w:hint="eastAsia" w:cs="Arial"/>
                <w:b/>
                <w:bCs/>
                <w:color w:val="000000"/>
                <w:szCs w:val="21"/>
                <w:highlight w:val="none"/>
              </w:rPr>
            </w:pPr>
            <w:r>
              <w:rPr>
                <w:rFonts w:cs="Arial"/>
                <w:b/>
                <w:bCs/>
                <w:color w:val="000000"/>
                <w:szCs w:val="21"/>
                <w:highlight w:val="none"/>
              </w:rPr>
              <w:t>名称</w:t>
            </w:r>
          </w:p>
        </w:tc>
        <w:tc>
          <w:tcPr>
            <w:tcW w:w="900" w:type="dxa"/>
            <w:vAlign w:val="center"/>
          </w:tcPr>
          <w:p w14:paraId="27FB3264">
            <w:pPr>
              <w:spacing w:line="380" w:lineRule="exact"/>
              <w:jc w:val="center"/>
              <w:rPr>
                <w:rFonts w:hint="eastAsia" w:cs="Arial"/>
                <w:b/>
                <w:bCs/>
                <w:color w:val="000000"/>
                <w:szCs w:val="21"/>
                <w:highlight w:val="none"/>
              </w:rPr>
            </w:pPr>
            <w:r>
              <w:rPr>
                <w:rFonts w:cs="Arial"/>
                <w:b/>
                <w:bCs/>
                <w:color w:val="000000"/>
                <w:szCs w:val="21"/>
                <w:highlight w:val="none"/>
              </w:rPr>
              <w:t>单位</w:t>
            </w:r>
          </w:p>
        </w:tc>
        <w:tc>
          <w:tcPr>
            <w:tcW w:w="900" w:type="dxa"/>
            <w:vAlign w:val="center"/>
          </w:tcPr>
          <w:p w14:paraId="6AC8EE8F">
            <w:pPr>
              <w:spacing w:line="380" w:lineRule="exact"/>
              <w:jc w:val="center"/>
              <w:rPr>
                <w:rFonts w:hint="eastAsia" w:cs="Arial"/>
                <w:b/>
                <w:bCs/>
                <w:color w:val="000000"/>
                <w:szCs w:val="21"/>
                <w:highlight w:val="none"/>
              </w:rPr>
            </w:pPr>
            <w:r>
              <w:rPr>
                <w:rFonts w:cs="Arial"/>
                <w:b/>
                <w:bCs/>
                <w:color w:val="000000"/>
                <w:szCs w:val="21"/>
                <w:highlight w:val="none"/>
              </w:rPr>
              <w:t>数量</w:t>
            </w:r>
          </w:p>
        </w:tc>
        <w:tc>
          <w:tcPr>
            <w:tcW w:w="3780" w:type="dxa"/>
            <w:vAlign w:val="center"/>
          </w:tcPr>
          <w:p w14:paraId="3974C1AF">
            <w:pPr>
              <w:spacing w:line="380" w:lineRule="exact"/>
              <w:jc w:val="center"/>
              <w:rPr>
                <w:rFonts w:hint="eastAsia" w:cs="Arial"/>
                <w:b/>
                <w:bCs/>
                <w:color w:val="000000"/>
                <w:szCs w:val="21"/>
                <w:highlight w:val="none"/>
              </w:rPr>
            </w:pPr>
            <w:r>
              <w:rPr>
                <w:rFonts w:hint="eastAsia" w:cs="Arial"/>
                <w:b/>
                <w:bCs/>
                <w:color w:val="000000"/>
                <w:szCs w:val="21"/>
                <w:highlight w:val="none"/>
              </w:rPr>
              <w:t>投标设备品牌型号</w:t>
            </w:r>
          </w:p>
        </w:tc>
      </w:tr>
      <w:tr w14:paraId="105BD5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4A214AA">
            <w:pPr>
              <w:spacing w:line="380" w:lineRule="exact"/>
              <w:jc w:val="center"/>
              <w:rPr>
                <w:rFonts w:hint="eastAsia" w:cs="Arial"/>
                <w:b/>
                <w:bCs/>
                <w:color w:val="000000"/>
                <w:szCs w:val="21"/>
                <w:highlight w:val="none"/>
              </w:rPr>
            </w:pPr>
          </w:p>
        </w:tc>
        <w:tc>
          <w:tcPr>
            <w:tcW w:w="1783" w:type="dxa"/>
            <w:vAlign w:val="center"/>
          </w:tcPr>
          <w:p w14:paraId="28FF74FB">
            <w:pPr>
              <w:spacing w:line="380" w:lineRule="exact"/>
              <w:jc w:val="center"/>
              <w:rPr>
                <w:rFonts w:hint="eastAsia" w:cs="Arial"/>
                <w:b/>
                <w:bCs/>
                <w:color w:val="000000"/>
                <w:szCs w:val="21"/>
                <w:highlight w:val="none"/>
              </w:rPr>
            </w:pPr>
          </w:p>
        </w:tc>
        <w:tc>
          <w:tcPr>
            <w:tcW w:w="900" w:type="dxa"/>
            <w:vAlign w:val="center"/>
          </w:tcPr>
          <w:p w14:paraId="6B379600">
            <w:pPr>
              <w:spacing w:line="380" w:lineRule="exact"/>
              <w:jc w:val="center"/>
              <w:rPr>
                <w:rFonts w:hint="eastAsia" w:cs="Arial"/>
                <w:b/>
                <w:bCs/>
                <w:color w:val="000000"/>
                <w:szCs w:val="21"/>
                <w:highlight w:val="none"/>
              </w:rPr>
            </w:pPr>
          </w:p>
        </w:tc>
        <w:tc>
          <w:tcPr>
            <w:tcW w:w="900" w:type="dxa"/>
          </w:tcPr>
          <w:p w14:paraId="4E826F84">
            <w:pPr>
              <w:spacing w:line="380" w:lineRule="exact"/>
              <w:jc w:val="center"/>
              <w:rPr>
                <w:rFonts w:hint="eastAsia" w:cs="Arial"/>
                <w:b/>
                <w:bCs/>
                <w:color w:val="000000"/>
                <w:szCs w:val="21"/>
                <w:highlight w:val="none"/>
              </w:rPr>
            </w:pPr>
          </w:p>
        </w:tc>
        <w:tc>
          <w:tcPr>
            <w:tcW w:w="3780" w:type="dxa"/>
            <w:vAlign w:val="center"/>
          </w:tcPr>
          <w:p w14:paraId="7CFCFBFB">
            <w:pPr>
              <w:spacing w:line="380" w:lineRule="exact"/>
              <w:jc w:val="center"/>
              <w:rPr>
                <w:rFonts w:hint="eastAsia" w:cs="Arial"/>
                <w:b/>
                <w:bCs/>
                <w:color w:val="000000"/>
                <w:szCs w:val="21"/>
                <w:highlight w:val="none"/>
              </w:rPr>
            </w:pPr>
          </w:p>
        </w:tc>
      </w:tr>
      <w:tr w14:paraId="49684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E0754EA">
            <w:pPr>
              <w:spacing w:line="380" w:lineRule="exact"/>
              <w:jc w:val="center"/>
              <w:rPr>
                <w:rFonts w:hint="eastAsia" w:cs="Arial"/>
                <w:b/>
                <w:bCs/>
                <w:color w:val="000000"/>
                <w:szCs w:val="21"/>
                <w:highlight w:val="none"/>
              </w:rPr>
            </w:pPr>
          </w:p>
        </w:tc>
        <w:tc>
          <w:tcPr>
            <w:tcW w:w="1783" w:type="dxa"/>
            <w:vAlign w:val="center"/>
          </w:tcPr>
          <w:p w14:paraId="6A516EC5">
            <w:pPr>
              <w:spacing w:line="380" w:lineRule="exact"/>
              <w:jc w:val="center"/>
              <w:rPr>
                <w:rFonts w:hint="eastAsia" w:cs="Arial"/>
                <w:b/>
                <w:bCs/>
                <w:color w:val="000000"/>
                <w:szCs w:val="21"/>
                <w:highlight w:val="none"/>
              </w:rPr>
            </w:pPr>
          </w:p>
        </w:tc>
        <w:tc>
          <w:tcPr>
            <w:tcW w:w="900" w:type="dxa"/>
            <w:vAlign w:val="center"/>
          </w:tcPr>
          <w:p w14:paraId="51136CA2">
            <w:pPr>
              <w:spacing w:line="380" w:lineRule="exact"/>
              <w:jc w:val="center"/>
              <w:rPr>
                <w:rFonts w:hint="eastAsia" w:cs="Arial"/>
                <w:b/>
                <w:bCs/>
                <w:color w:val="000000"/>
                <w:szCs w:val="21"/>
                <w:highlight w:val="none"/>
              </w:rPr>
            </w:pPr>
          </w:p>
        </w:tc>
        <w:tc>
          <w:tcPr>
            <w:tcW w:w="900" w:type="dxa"/>
          </w:tcPr>
          <w:p w14:paraId="713B605C">
            <w:pPr>
              <w:spacing w:line="380" w:lineRule="exact"/>
              <w:jc w:val="center"/>
              <w:rPr>
                <w:rFonts w:hint="eastAsia" w:cs="Arial"/>
                <w:b/>
                <w:bCs/>
                <w:color w:val="000000"/>
                <w:szCs w:val="21"/>
                <w:highlight w:val="none"/>
              </w:rPr>
            </w:pPr>
          </w:p>
        </w:tc>
        <w:tc>
          <w:tcPr>
            <w:tcW w:w="3780" w:type="dxa"/>
            <w:vAlign w:val="center"/>
          </w:tcPr>
          <w:p w14:paraId="0DEC9DA4">
            <w:pPr>
              <w:spacing w:line="380" w:lineRule="exact"/>
              <w:jc w:val="center"/>
              <w:rPr>
                <w:rFonts w:hint="eastAsia" w:cs="Arial"/>
                <w:b/>
                <w:bCs/>
                <w:color w:val="000000"/>
                <w:szCs w:val="21"/>
                <w:highlight w:val="none"/>
              </w:rPr>
            </w:pPr>
          </w:p>
        </w:tc>
      </w:tr>
      <w:tr w14:paraId="07FB2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40418CDD">
            <w:pPr>
              <w:spacing w:line="380" w:lineRule="exact"/>
              <w:jc w:val="center"/>
              <w:rPr>
                <w:rFonts w:hint="eastAsia" w:cs="Arial"/>
                <w:b/>
                <w:bCs/>
                <w:color w:val="000000"/>
                <w:szCs w:val="21"/>
                <w:highlight w:val="none"/>
              </w:rPr>
            </w:pPr>
          </w:p>
        </w:tc>
        <w:tc>
          <w:tcPr>
            <w:tcW w:w="1783" w:type="dxa"/>
            <w:vAlign w:val="center"/>
          </w:tcPr>
          <w:p w14:paraId="2DC5D52D">
            <w:pPr>
              <w:spacing w:line="380" w:lineRule="exact"/>
              <w:jc w:val="center"/>
              <w:rPr>
                <w:rFonts w:hint="eastAsia" w:cs="Arial"/>
                <w:b/>
                <w:bCs/>
                <w:color w:val="000000"/>
                <w:szCs w:val="21"/>
                <w:highlight w:val="none"/>
              </w:rPr>
            </w:pPr>
          </w:p>
        </w:tc>
        <w:tc>
          <w:tcPr>
            <w:tcW w:w="900" w:type="dxa"/>
            <w:vAlign w:val="center"/>
          </w:tcPr>
          <w:p w14:paraId="198FDF7D">
            <w:pPr>
              <w:spacing w:line="380" w:lineRule="exact"/>
              <w:jc w:val="center"/>
              <w:rPr>
                <w:rFonts w:hint="eastAsia" w:cs="Arial"/>
                <w:b/>
                <w:bCs/>
                <w:color w:val="000000"/>
                <w:szCs w:val="21"/>
                <w:highlight w:val="none"/>
              </w:rPr>
            </w:pPr>
          </w:p>
        </w:tc>
        <w:tc>
          <w:tcPr>
            <w:tcW w:w="900" w:type="dxa"/>
          </w:tcPr>
          <w:p w14:paraId="3F7D8478">
            <w:pPr>
              <w:spacing w:line="380" w:lineRule="exact"/>
              <w:jc w:val="center"/>
              <w:rPr>
                <w:rFonts w:hint="eastAsia" w:cs="Arial"/>
                <w:b/>
                <w:bCs/>
                <w:color w:val="000000"/>
                <w:szCs w:val="21"/>
                <w:highlight w:val="none"/>
              </w:rPr>
            </w:pPr>
          </w:p>
        </w:tc>
        <w:tc>
          <w:tcPr>
            <w:tcW w:w="3780" w:type="dxa"/>
            <w:vAlign w:val="center"/>
          </w:tcPr>
          <w:p w14:paraId="4D4FC310">
            <w:pPr>
              <w:spacing w:line="380" w:lineRule="exact"/>
              <w:jc w:val="center"/>
              <w:rPr>
                <w:rFonts w:hint="eastAsia" w:cs="Arial"/>
                <w:b/>
                <w:bCs/>
                <w:color w:val="000000"/>
                <w:szCs w:val="21"/>
                <w:highlight w:val="none"/>
              </w:rPr>
            </w:pPr>
          </w:p>
        </w:tc>
      </w:tr>
      <w:tr w14:paraId="62F369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48A07F52">
            <w:pPr>
              <w:spacing w:line="380" w:lineRule="exact"/>
              <w:jc w:val="center"/>
              <w:rPr>
                <w:rFonts w:hint="eastAsia" w:cs="Arial"/>
                <w:b/>
                <w:bCs/>
                <w:color w:val="000000"/>
                <w:szCs w:val="21"/>
                <w:highlight w:val="none"/>
              </w:rPr>
            </w:pPr>
          </w:p>
        </w:tc>
        <w:tc>
          <w:tcPr>
            <w:tcW w:w="1783" w:type="dxa"/>
            <w:vAlign w:val="center"/>
          </w:tcPr>
          <w:p w14:paraId="50414188">
            <w:pPr>
              <w:spacing w:line="380" w:lineRule="exact"/>
              <w:jc w:val="center"/>
              <w:rPr>
                <w:rFonts w:hint="eastAsia" w:cs="Arial"/>
                <w:b/>
                <w:bCs/>
                <w:color w:val="000000"/>
                <w:szCs w:val="21"/>
                <w:highlight w:val="none"/>
              </w:rPr>
            </w:pPr>
          </w:p>
        </w:tc>
        <w:tc>
          <w:tcPr>
            <w:tcW w:w="900" w:type="dxa"/>
            <w:vAlign w:val="center"/>
          </w:tcPr>
          <w:p w14:paraId="727BE8F4">
            <w:pPr>
              <w:spacing w:line="380" w:lineRule="exact"/>
              <w:jc w:val="center"/>
              <w:rPr>
                <w:rFonts w:hint="eastAsia" w:cs="Arial"/>
                <w:b/>
                <w:bCs/>
                <w:color w:val="000000"/>
                <w:szCs w:val="21"/>
                <w:highlight w:val="none"/>
              </w:rPr>
            </w:pPr>
          </w:p>
        </w:tc>
        <w:tc>
          <w:tcPr>
            <w:tcW w:w="900" w:type="dxa"/>
          </w:tcPr>
          <w:p w14:paraId="16A4BDB9">
            <w:pPr>
              <w:spacing w:line="380" w:lineRule="exact"/>
              <w:jc w:val="center"/>
              <w:rPr>
                <w:rFonts w:hint="eastAsia" w:cs="Arial"/>
                <w:b/>
                <w:bCs/>
                <w:color w:val="000000"/>
                <w:szCs w:val="21"/>
                <w:highlight w:val="none"/>
              </w:rPr>
            </w:pPr>
          </w:p>
        </w:tc>
        <w:tc>
          <w:tcPr>
            <w:tcW w:w="3780" w:type="dxa"/>
            <w:vAlign w:val="center"/>
          </w:tcPr>
          <w:p w14:paraId="490F1708">
            <w:pPr>
              <w:spacing w:line="380" w:lineRule="exact"/>
              <w:jc w:val="center"/>
              <w:rPr>
                <w:rFonts w:hint="eastAsia" w:cs="Arial"/>
                <w:b/>
                <w:bCs/>
                <w:color w:val="000000"/>
                <w:szCs w:val="21"/>
                <w:highlight w:val="none"/>
              </w:rPr>
            </w:pPr>
          </w:p>
        </w:tc>
      </w:tr>
      <w:tr w14:paraId="25781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F33384F">
            <w:pPr>
              <w:spacing w:line="380" w:lineRule="exact"/>
              <w:jc w:val="center"/>
              <w:rPr>
                <w:rFonts w:hint="eastAsia" w:cs="Arial"/>
                <w:b/>
                <w:bCs/>
                <w:color w:val="000000"/>
                <w:szCs w:val="21"/>
                <w:highlight w:val="none"/>
              </w:rPr>
            </w:pPr>
          </w:p>
        </w:tc>
        <w:tc>
          <w:tcPr>
            <w:tcW w:w="1783" w:type="dxa"/>
            <w:vAlign w:val="center"/>
          </w:tcPr>
          <w:p w14:paraId="5B0403AB">
            <w:pPr>
              <w:spacing w:line="380" w:lineRule="exact"/>
              <w:jc w:val="center"/>
              <w:rPr>
                <w:rFonts w:hint="eastAsia" w:cs="Arial"/>
                <w:b/>
                <w:bCs/>
                <w:color w:val="000000"/>
                <w:szCs w:val="21"/>
                <w:highlight w:val="none"/>
              </w:rPr>
            </w:pPr>
          </w:p>
        </w:tc>
        <w:tc>
          <w:tcPr>
            <w:tcW w:w="900" w:type="dxa"/>
            <w:vAlign w:val="center"/>
          </w:tcPr>
          <w:p w14:paraId="440D9036">
            <w:pPr>
              <w:spacing w:line="380" w:lineRule="exact"/>
              <w:jc w:val="center"/>
              <w:rPr>
                <w:rFonts w:hint="eastAsia" w:cs="Arial"/>
                <w:b/>
                <w:bCs/>
                <w:color w:val="000000"/>
                <w:szCs w:val="21"/>
                <w:highlight w:val="none"/>
              </w:rPr>
            </w:pPr>
          </w:p>
        </w:tc>
        <w:tc>
          <w:tcPr>
            <w:tcW w:w="900" w:type="dxa"/>
          </w:tcPr>
          <w:p w14:paraId="57624055">
            <w:pPr>
              <w:spacing w:line="380" w:lineRule="exact"/>
              <w:jc w:val="center"/>
              <w:rPr>
                <w:rFonts w:hint="eastAsia" w:cs="Arial"/>
                <w:b/>
                <w:bCs/>
                <w:color w:val="000000"/>
                <w:szCs w:val="21"/>
                <w:highlight w:val="none"/>
              </w:rPr>
            </w:pPr>
          </w:p>
        </w:tc>
        <w:tc>
          <w:tcPr>
            <w:tcW w:w="3780" w:type="dxa"/>
            <w:vAlign w:val="center"/>
          </w:tcPr>
          <w:p w14:paraId="6F4AD91D">
            <w:pPr>
              <w:spacing w:line="380" w:lineRule="exact"/>
              <w:jc w:val="center"/>
              <w:rPr>
                <w:rFonts w:hint="eastAsia" w:cs="Arial"/>
                <w:b/>
                <w:bCs/>
                <w:color w:val="000000"/>
                <w:szCs w:val="21"/>
                <w:highlight w:val="none"/>
              </w:rPr>
            </w:pPr>
          </w:p>
        </w:tc>
      </w:tr>
      <w:tr w14:paraId="485F1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C3237FF">
            <w:pPr>
              <w:spacing w:line="380" w:lineRule="exact"/>
              <w:jc w:val="center"/>
              <w:rPr>
                <w:rFonts w:hint="eastAsia" w:cs="Arial"/>
                <w:b/>
                <w:bCs/>
                <w:color w:val="000000"/>
                <w:szCs w:val="21"/>
                <w:highlight w:val="none"/>
              </w:rPr>
            </w:pPr>
          </w:p>
        </w:tc>
        <w:tc>
          <w:tcPr>
            <w:tcW w:w="1783" w:type="dxa"/>
            <w:vAlign w:val="center"/>
          </w:tcPr>
          <w:p w14:paraId="7D9AF36C">
            <w:pPr>
              <w:spacing w:line="380" w:lineRule="exact"/>
              <w:jc w:val="center"/>
              <w:rPr>
                <w:rFonts w:hint="eastAsia" w:cs="Arial"/>
                <w:b/>
                <w:bCs/>
                <w:color w:val="000000"/>
                <w:szCs w:val="21"/>
                <w:highlight w:val="none"/>
              </w:rPr>
            </w:pPr>
          </w:p>
        </w:tc>
        <w:tc>
          <w:tcPr>
            <w:tcW w:w="900" w:type="dxa"/>
            <w:vAlign w:val="center"/>
          </w:tcPr>
          <w:p w14:paraId="3C796282">
            <w:pPr>
              <w:spacing w:line="380" w:lineRule="exact"/>
              <w:jc w:val="center"/>
              <w:rPr>
                <w:rFonts w:hint="eastAsia" w:cs="Arial"/>
                <w:b/>
                <w:bCs/>
                <w:color w:val="000000"/>
                <w:szCs w:val="21"/>
                <w:highlight w:val="none"/>
              </w:rPr>
            </w:pPr>
          </w:p>
        </w:tc>
        <w:tc>
          <w:tcPr>
            <w:tcW w:w="900" w:type="dxa"/>
          </w:tcPr>
          <w:p w14:paraId="17C4DAD6">
            <w:pPr>
              <w:spacing w:line="380" w:lineRule="exact"/>
              <w:jc w:val="center"/>
              <w:rPr>
                <w:rFonts w:hint="eastAsia" w:cs="Arial"/>
                <w:b/>
                <w:bCs/>
                <w:color w:val="000000"/>
                <w:szCs w:val="21"/>
                <w:highlight w:val="none"/>
              </w:rPr>
            </w:pPr>
          </w:p>
        </w:tc>
        <w:tc>
          <w:tcPr>
            <w:tcW w:w="3780" w:type="dxa"/>
            <w:vAlign w:val="center"/>
          </w:tcPr>
          <w:p w14:paraId="760C13C3">
            <w:pPr>
              <w:spacing w:line="380" w:lineRule="exact"/>
              <w:jc w:val="center"/>
              <w:rPr>
                <w:rFonts w:hint="eastAsia" w:cs="Arial"/>
                <w:b/>
                <w:bCs/>
                <w:color w:val="000000"/>
                <w:szCs w:val="21"/>
                <w:highlight w:val="none"/>
              </w:rPr>
            </w:pPr>
          </w:p>
        </w:tc>
      </w:tr>
      <w:tr w14:paraId="4CF05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4519844">
            <w:pPr>
              <w:spacing w:line="380" w:lineRule="exact"/>
              <w:jc w:val="center"/>
              <w:rPr>
                <w:rFonts w:hint="eastAsia" w:cs="Arial"/>
                <w:b/>
                <w:bCs/>
                <w:color w:val="000000"/>
                <w:szCs w:val="21"/>
                <w:highlight w:val="none"/>
              </w:rPr>
            </w:pPr>
          </w:p>
        </w:tc>
        <w:tc>
          <w:tcPr>
            <w:tcW w:w="1783" w:type="dxa"/>
            <w:vAlign w:val="center"/>
          </w:tcPr>
          <w:p w14:paraId="494B0CD1">
            <w:pPr>
              <w:spacing w:line="380" w:lineRule="exact"/>
              <w:jc w:val="center"/>
              <w:rPr>
                <w:rFonts w:hint="eastAsia" w:cs="Arial"/>
                <w:b/>
                <w:bCs/>
                <w:color w:val="000000"/>
                <w:szCs w:val="21"/>
                <w:highlight w:val="none"/>
              </w:rPr>
            </w:pPr>
          </w:p>
        </w:tc>
        <w:tc>
          <w:tcPr>
            <w:tcW w:w="900" w:type="dxa"/>
            <w:vAlign w:val="center"/>
          </w:tcPr>
          <w:p w14:paraId="5F379CE5">
            <w:pPr>
              <w:spacing w:line="380" w:lineRule="exact"/>
              <w:jc w:val="center"/>
              <w:rPr>
                <w:rFonts w:hint="eastAsia" w:cs="Arial"/>
                <w:b/>
                <w:bCs/>
                <w:color w:val="000000"/>
                <w:szCs w:val="21"/>
                <w:highlight w:val="none"/>
              </w:rPr>
            </w:pPr>
          </w:p>
        </w:tc>
        <w:tc>
          <w:tcPr>
            <w:tcW w:w="900" w:type="dxa"/>
          </w:tcPr>
          <w:p w14:paraId="738AD767">
            <w:pPr>
              <w:spacing w:line="380" w:lineRule="exact"/>
              <w:jc w:val="center"/>
              <w:rPr>
                <w:rFonts w:hint="eastAsia" w:cs="Arial"/>
                <w:b/>
                <w:bCs/>
                <w:color w:val="000000"/>
                <w:szCs w:val="21"/>
                <w:highlight w:val="none"/>
              </w:rPr>
            </w:pPr>
          </w:p>
        </w:tc>
        <w:tc>
          <w:tcPr>
            <w:tcW w:w="3780" w:type="dxa"/>
            <w:vAlign w:val="center"/>
          </w:tcPr>
          <w:p w14:paraId="30767EEF">
            <w:pPr>
              <w:spacing w:line="380" w:lineRule="exact"/>
              <w:jc w:val="center"/>
              <w:rPr>
                <w:rFonts w:hint="eastAsia" w:cs="Arial"/>
                <w:b/>
                <w:bCs/>
                <w:color w:val="000000"/>
                <w:szCs w:val="21"/>
                <w:highlight w:val="none"/>
              </w:rPr>
            </w:pPr>
          </w:p>
        </w:tc>
      </w:tr>
      <w:tr w14:paraId="6C77F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BFA1FA4">
            <w:pPr>
              <w:spacing w:line="380" w:lineRule="exact"/>
              <w:jc w:val="center"/>
              <w:rPr>
                <w:rFonts w:hint="eastAsia" w:cs="Arial"/>
                <w:b/>
                <w:bCs/>
                <w:color w:val="000000"/>
                <w:szCs w:val="21"/>
                <w:highlight w:val="none"/>
              </w:rPr>
            </w:pPr>
          </w:p>
        </w:tc>
        <w:tc>
          <w:tcPr>
            <w:tcW w:w="1783" w:type="dxa"/>
            <w:vAlign w:val="center"/>
          </w:tcPr>
          <w:p w14:paraId="059CB2F8">
            <w:pPr>
              <w:spacing w:line="380" w:lineRule="exact"/>
              <w:jc w:val="center"/>
              <w:rPr>
                <w:rFonts w:hint="eastAsia" w:cs="Arial"/>
                <w:b/>
                <w:bCs/>
                <w:color w:val="000000"/>
                <w:szCs w:val="21"/>
                <w:highlight w:val="none"/>
              </w:rPr>
            </w:pPr>
          </w:p>
        </w:tc>
        <w:tc>
          <w:tcPr>
            <w:tcW w:w="900" w:type="dxa"/>
            <w:vAlign w:val="center"/>
          </w:tcPr>
          <w:p w14:paraId="678A8625">
            <w:pPr>
              <w:spacing w:line="380" w:lineRule="exact"/>
              <w:jc w:val="center"/>
              <w:rPr>
                <w:rFonts w:hint="eastAsia" w:cs="Arial"/>
                <w:b/>
                <w:bCs/>
                <w:color w:val="000000"/>
                <w:szCs w:val="21"/>
                <w:highlight w:val="none"/>
              </w:rPr>
            </w:pPr>
          </w:p>
        </w:tc>
        <w:tc>
          <w:tcPr>
            <w:tcW w:w="900" w:type="dxa"/>
          </w:tcPr>
          <w:p w14:paraId="4849202B">
            <w:pPr>
              <w:spacing w:line="380" w:lineRule="exact"/>
              <w:jc w:val="center"/>
              <w:rPr>
                <w:rFonts w:hint="eastAsia" w:cs="Arial"/>
                <w:b/>
                <w:bCs/>
                <w:color w:val="000000"/>
                <w:szCs w:val="21"/>
                <w:highlight w:val="none"/>
              </w:rPr>
            </w:pPr>
          </w:p>
        </w:tc>
        <w:tc>
          <w:tcPr>
            <w:tcW w:w="3780" w:type="dxa"/>
            <w:vAlign w:val="center"/>
          </w:tcPr>
          <w:p w14:paraId="3863EC96">
            <w:pPr>
              <w:spacing w:line="380" w:lineRule="exact"/>
              <w:jc w:val="center"/>
              <w:rPr>
                <w:rFonts w:hint="eastAsia" w:cs="Arial"/>
                <w:b/>
                <w:bCs/>
                <w:color w:val="000000"/>
                <w:szCs w:val="21"/>
                <w:highlight w:val="none"/>
              </w:rPr>
            </w:pPr>
          </w:p>
        </w:tc>
      </w:tr>
      <w:tr w14:paraId="56B9E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5248BEE2">
            <w:pPr>
              <w:spacing w:line="380" w:lineRule="exact"/>
              <w:jc w:val="center"/>
              <w:rPr>
                <w:rFonts w:hint="eastAsia" w:cs="Arial"/>
                <w:b/>
                <w:bCs/>
                <w:color w:val="000000"/>
                <w:szCs w:val="21"/>
                <w:highlight w:val="none"/>
              </w:rPr>
            </w:pPr>
          </w:p>
        </w:tc>
        <w:tc>
          <w:tcPr>
            <w:tcW w:w="1783" w:type="dxa"/>
            <w:vAlign w:val="center"/>
          </w:tcPr>
          <w:p w14:paraId="4BCFB7F2">
            <w:pPr>
              <w:spacing w:line="380" w:lineRule="exact"/>
              <w:jc w:val="center"/>
              <w:rPr>
                <w:rFonts w:hint="eastAsia" w:cs="Arial"/>
                <w:b/>
                <w:bCs/>
                <w:color w:val="000000"/>
                <w:szCs w:val="21"/>
                <w:highlight w:val="none"/>
              </w:rPr>
            </w:pPr>
          </w:p>
        </w:tc>
        <w:tc>
          <w:tcPr>
            <w:tcW w:w="900" w:type="dxa"/>
            <w:vAlign w:val="center"/>
          </w:tcPr>
          <w:p w14:paraId="7AD0A291">
            <w:pPr>
              <w:spacing w:line="380" w:lineRule="exact"/>
              <w:jc w:val="center"/>
              <w:rPr>
                <w:rFonts w:hint="eastAsia" w:cs="Arial"/>
                <w:b/>
                <w:bCs/>
                <w:color w:val="000000"/>
                <w:szCs w:val="21"/>
                <w:highlight w:val="none"/>
              </w:rPr>
            </w:pPr>
          </w:p>
        </w:tc>
        <w:tc>
          <w:tcPr>
            <w:tcW w:w="900" w:type="dxa"/>
          </w:tcPr>
          <w:p w14:paraId="30F984D8">
            <w:pPr>
              <w:spacing w:line="380" w:lineRule="exact"/>
              <w:jc w:val="center"/>
              <w:rPr>
                <w:rFonts w:hint="eastAsia" w:cs="Arial"/>
                <w:b/>
                <w:bCs/>
                <w:color w:val="000000"/>
                <w:szCs w:val="21"/>
                <w:highlight w:val="none"/>
              </w:rPr>
            </w:pPr>
          </w:p>
        </w:tc>
        <w:tc>
          <w:tcPr>
            <w:tcW w:w="3780" w:type="dxa"/>
            <w:vAlign w:val="center"/>
          </w:tcPr>
          <w:p w14:paraId="6F6A2929">
            <w:pPr>
              <w:spacing w:line="380" w:lineRule="exact"/>
              <w:jc w:val="center"/>
              <w:rPr>
                <w:rFonts w:hint="eastAsia" w:cs="Arial"/>
                <w:b/>
                <w:bCs/>
                <w:color w:val="000000"/>
                <w:szCs w:val="21"/>
                <w:highlight w:val="none"/>
              </w:rPr>
            </w:pPr>
          </w:p>
        </w:tc>
      </w:tr>
      <w:tr w14:paraId="3F3FD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54B4A7F">
            <w:pPr>
              <w:spacing w:line="380" w:lineRule="exact"/>
              <w:jc w:val="center"/>
              <w:rPr>
                <w:rFonts w:hint="eastAsia" w:cs="Arial"/>
                <w:b/>
                <w:bCs/>
                <w:color w:val="000000"/>
                <w:szCs w:val="21"/>
                <w:highlight w:val="none"/>
              </w:rPr>
            </w:pPr>
          </w:p>
        </w:tc>
        <w:tc>
          <w:tcPr>
            <w:tcW w:w="1783" w:type="dxa"/>
            <w:vAlign w:val="center"/>
          </w:tcPr>
          <w:p w14:paraId="2475A8A1">
            <w:pPr>
              <w:spacing w:line="380" w:lineRule="exact"/>
              <w:jc w:val="center"/>
              <w:rPr>
                <w:rFonts w:hint="eastAsia" w:cs="Arial"/>
                <w:b/>
                <w:bCs/>
                <w:color w:val="000000"/>
                <w:szCs w:val="21"/>
                <w:highlight w:val="none"/>
              </w:rPr>
            </w:pPr>
          </w:p>
        </w:tc>
        <w:tc>
          <w:tcPr>
            <w:tcW w:w="900" w:type="dxa"/>
            <w:vAlign w:val="center"/>
          </w:tcPr>
          <w:p w14:paraId="50D2EEB2">
            <w:pPr>
              <w:spacing w:line="380" w:lineRule="exact"/>
              <w:jc w:val="center"/>
              <w:rPr>
                <w:rFonts w:hint="eastAsia" w:cs="Arial"/>
                <w:b/>
                <w:bCs/>
                <w:color w:val="000000"/>
                <w:szCs w:val="21"/>
                <w:highlight w:val="none"/>
              </w:rPr>
            </w:pPr>
          </w:p>
        </w:tc>
        <w:tc>
          <w:tcPr>
            <w:tcW w:w="900" w:type="dxa"/>
          </w:tcPr>
          <w:p w14:paraId="471C0412">
            <w:pPr>
              <w:spacing w:line="380" w:lineRule="exact"/>
              <w:jc w:val="center"/>
              <w:rPr>
                <w:rFonts w:hint="eastAsia" w:cs="Arial"/>
                <w:b/>
                <w:bCs/>
                <w:color w:val="000000"/>
                <w:szCs w:val="21"/>
                <w:highlight w:val="none"/>
              </w:rPr>
            </w:pPr>
          </w:p>
        </w:tc>
        <w:tc>
          <w:tcPr>
            <w:tcW w:w="3780" w:type="dxa"/>
            <w:vAlign w:val="center"/>
          </w:tcPr>
          <w:p w14:paraId="18D5057A">
            <w:pPr>
              <w:spacing w:line="380" w:lineRule="exact"/>
              <w:jc w:val="center"/>
              <w:rPr>
                <w:rFonts w:hint="eastAsia" w:cs="Arial"/>
                <w:b/>
                <w:bCs/>
                <w:color w:val="000000"/>
                <w:szCs w:val="21"/>
                <w:highlight w:val="none"/>
              </w:rPr>
            </w:pPr>
          </w:p>
        </w:tc>
      </w:tr>
      <w:tr w14:paraId="36777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E6C969A">
            <w:pPr>
              <w:spacing w:line="380" w:lineRule="exact"/>
              <w:jc w:val="center"/>
              <w:rPr>
                <w:rFonts w:hint="eastAsia" w:cs="Arial"/>
                <w:b/>
                <w:bCs/>
                <w:color w:val="000000"/>
                <w:szCs w:val="21"/>
                <w:highlight w:val="none"/>
              </w:rPr>
            </w:pPr>
          </w:p>
        </w:tc>
        <w:tc>
          <w:tcPr>
            <w:tcW w:w="1783" w:type="dxa"/>
            <w:vAlign w:val="center"/>
          </w:tcPr>
          <w:p w14:paraId="76DA5348">
            <w:pPr>
              <w:spacing w:line="380" w:lineRule="exact"/>
              <w:jc w:val="center"/>
              <w:rPr>
                <w:rFonts w:hint="eastAsia" w:cs="Arial"/>
                <w:b/>
                <w:bCs/>
                <w:color w:val="000000"/>
                <w:szCs w:val="21"/>
                <w:highlight w:val="none"/>
              </w:rPr>
            </w:pPr>
          </w:p>
        </w:tc>
        <w:tc>
          <w:tcPr>
            <w:tcW w:w="900" w:type="dxa"/>
            <w:vAlign w:val="center"/>
          </w:tcPr>
          <w:p w14:paraId="30B9D9FB">
            <w:pPr>
              <w:spacing w:line="380" w:lineRule="exact"/>
              <w:jc w:val="center"/>
              <w:rPr>
                <w:rFonts w:hint="eastAsia" w:cs="Arial"/>
                <w:b/>
                <w:bCs/>
                <w:color w:val="000000"/>
                <w:szCs w:val="21"/>
                <w:highlight w:val="none"/>
              </w:rPr>
            </w:pPr>
          </w:p>
        </w:tc>
        <w:tc>
          <w:tcPr>
            <w:tcW w:w="900" w:type="dxa"/>
          </w:tcPr>
          <w:p w14:paraId="64EC5084">
            <w:pPr>
              <w:spacing w:line="380" w:lineRule="exact"/>
              <w:jc w:val="center"/>
              <w:rPr>
                <w:rFonts w:hint="eastAsia" w:cs="Arial"/>
                <w:b/>
                <w:bCs/>
                <w:color w:val="000000"/>
                <w:szCs w:val="21"/>
                <w:highlight w:val="none"/>
              </w:rPr>
            </w:pPr>
          </w:p>
        </w:tc>
        <w:tc>
          <w:tcPr>
            <w:tcW w:w="3780" w:type="dxa"/>
            <w:vAlign w:val="center"/>
          </w:tcPr>
          <w:p w14:paraId="58D9CC17">
            <w:pPr>
              <w:spacing w:line="380" w:lineRule="exact"/>
              <w:jc w:val="center"/>
              <w:rPr>
                <w:rFonts w:hint="eastAsia" w:cs="Arial"/>
                <w:b/>
                <w:bCs/>
                <w:color w:val="000000"/>
                <w:szCs w:val="21"/>
                <w:highlight w:val="none"/>
              </w:rPr>
            </w:pPr>
          </w:p>
        </w:tc>
      </w:tr>
      <w:tr w14:paraId="24AA5F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10433E3">
            <w:pPr>
              <w:spacing w:line="380" w:lineRule="exact"/>
              <w:jc w:val="center"/>
              <w:rPr>
                <w:rFonts w:hint="eastAsia" w:cs="Arial"/>
                <w:b/>
                <w:bCs/>
                <w:color w:val="000000"/>
                <w:szCs w:val="21"/>
                <w:highlight w:val="none"/>
              </w:rPr>
            </w:pPr>
          </w:p>
        </w:tc>
        <w:tc>
          <w:tcPr>
            <w:tcW w:w="1783" w:type="dxa"/>
            <w:vAlign w:val="center"/>
          </w:tcPr>
          <w:p w14:paraId="394743BD">
            <w:pPr>
              <w:spacing w:line="380" w:lineRule="exact"/>
              <w:jc w:val="center"/>
              <w:rPr>
                <w:rFonts w:hint="eastAsia" w:cs="Arial"/>
                <w:b/>
                <w:bCs/>
                <w:color w:val="000000"/>
                <w:szCs w:val="21"/>
                <w:highlight w:val="none"/>
              </w:rPr>
            </w:pPr>
          </w:p>
        </w:tc>
        <w:tc>
          <w:tcPr>
            <w:tcW w:w="900" w:type="dxa"/>
            <w:vAlign w:val="center"/>
          </w:tcPr>
          <w:p w14:paraId="7DFE6CF1">
            <w:pPr>
              <w:spacing w:line="380" w:lineRule="exact"/>
              <w:jc w:val="center"/>
              <w:rPr>
                <w:rFonts w:hint="eastAsia" w:cs="Arial"/>
                <w:b/>
                <w:bCs/>
                <w:color w:val="000000"/>
                <w:szCs w:val="21"/>
                <w:highlight w:val="none"/>
              </w:rPr>
            </w:pPr>
          </w:p>
        </w:tc>
        <w:tc>
          <w:tcPr>
            <w:tcW w:w="900" w:type="dxa"/>
          </w:tcPr>
          <w:p w14:paraId="24A65E1A">
            <w:pPr>
              <w:spacing w:line="380" w:lineRule="exact"/>
              <w:jc w:val="center"/>
              <w:rPr>
                <w:rFonts w:hint="eastAsia" w:cs="Arial"/>
                <w:b/>
                <w:bCs/>
                <w:color w:val="000000"/>
                <w:szCs w:val="21"/>
                <w:highlight w:val="none"/>
              </w:rPr>
            </w:pPr>
          </w:p>
        </w:tc>
        <w:tc>
          <w:tcPr>
            <w:tcW w:w="3780" w:type="dxa"/>
            <w:vAlign w:val="center"/>
          </w:tcPr>
          <w:p w14:paraId="1D74CB5D">
            <w:pPr>
              <w:spacing w:line="380" w:lineRule="exact"/>
              <w:jc w:val="center"/>
              <w:rPr>
                <w:rFonts w:hint="eastAsia" w:cs="Arial"/>
                <w:b/>
                <w:bCs/>
                <w:color w:val="000000"/>
                <w:szCs w:val="21"/>
                <w:highlight w:val="none"/>
              </w:rPr>
            </w:pPr>
          </w:p>
        </w:tc>
      </w:tr>
      <w:tr w14:paraId="3998C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72F5A06">
            <w:pPr>
              <w:spacing w:line="380" w:lineRule="exact"/>
              <w:jc w:val="center"/>
              <w:rPr>
                <w:rFonts w:hint="eastAsia" w:cs="Arial"/>
                <w:b/>
                <w:bCs/>
                <w:color w:val="000000"/>
                <w:szCs w:val="21"/>
                <w:highlight w:val="none"/>
              </w:rPr>
            </w:pPr>
          </w:p>
        </w:tc>
        <w:tc>
          <w:tcPr>
            <w:tcW w:w="1783" w:type="dxa"/>
            <w:vAlign w:val="center"/>
          </w:tcPr>
          <w:p w14:paraId="2E9D57DF">
            <w:pPr>
              <w:spacing w:line="380" w:lineRule="exact"/>
              <w:jc w:val="center"/>
              <w:rPr>
                <w:rFonts w:hint="eastAsia" w:cs="Arial"/>
                <w:b/>
                <w:bCs/>
                <w:color w:val="000000"/>
                <w:szCs w:val="21"/>
                <w:highlight w:val="none"/>
              </w:rPr>
            </w:pPr>
          </w:p>
        </w:tc>
        <w:tc>
          <w:tcPr>
            <w:tcW w:w="900" w:type="dxa"/>
            <w:vAlign w:val="center"/>
          </w:tcPr>
          <w:p w14:paraId="6540C89F">
            <w:pPr>
              <w:spacing w:line="380" w:lineRule="exact"/>
              <w:jc w:val="center"/>
              <w:rPr>
                <w:rFonts w:hint="eastAsia" w:cs="Arial"/>
                <w:b/>
                <w:bCs/>
                <w:color w:val="000000"/>
                <w:szCs w:val="21"/>
                <w:highlight w:val="none"/>
              </w:rPr>
            </w:pPr>
          </w:p>
        </w:tc>
        <w:tc>
          <w:tcPr>
            <w:tcW w:w="900" w:type="dxa"/>
          </w:tcPr>
          <w:p w14:paraId="015D67F6">
            <w:pPr>
              <w:spacing w:line="380" w:lineRule="exact"/>
              <w:jc w:val="center"/>
              <w:rPr>
                <w:rFonts w:hint="eastAsia" w:cs="Arial"/>
                <w:b/>
                <w:bCs/>
                <w:color w:val="000000"/>
                <w:szCs w:val="21"/>
                <w:highlight w:val="none"/>
              </w:rPr>
            </w:pPr>
          </w:p>
        </w:tc>
        <w:tc>
          <w:tcPr>
            <w:tcW w:w="3780" w:type="dxa"/>
            <w:vAlign w:val="center"/>
          </w:tcPr>
          <w:p w14:paraId="776A06EE">
            <w:pPr>
              <w:spacing w:line="380" w:lineRule="exact"/>
              <w:jc w:val="center"/>
              <w:rPr>
                <w:rFonts w:hint="eastAsia" w:cs="Arial"/>
                <w:b/>
                <w:bCs/>
                <w:color w:val="000000"/>
                <w:szCs w:val="21"/>
                <w:highlight w:val="none"/>
              </w:rPr>
            </w:pPr>
          </w:p>
        </w:tc>
      </w:tr>
    </w:tbl>
    <w:p w14:paraId="35D704D3">
      <w:pPr>
        <w:ind w:left="-324" w:leftChars="-135"/>
        <w:rPr>
          <w:rFonts w:hint="eastAsia"/>
          <w:b/>
          <w:color w:val="000000"/>
          <w:szCs w:val="21"/>
          <w:highlight w:val="none"/>
        </w:rPr>
      </w:pPr>
      <w:r>
        <w:rPr>
          <w:rFonts w:hint="eastAsia"/>
          <w:color w:val="000000"/>
          <w:szCs w:val="21"/>
          <w:highlight w:val="none"/>
        </w:rPr>
        <w:t>附注：本表必须根据第五部分“采购需求”的内容详细填写及说明，除清单内容外的设备，</w:t>
      </w:r>
      <w:r>
        <w:rPr>
          <w:rFonts w:hint="eastAsia" w:cs="Arial"/>
          <w:color w:val="000000"/>
          <w:szCs w:val="21"/>
          <w:highlight w:val="none"/>
        </w:rPr>
        <w:t>供应商</w:t>
      </w:r>
      <w:r>
        <w:rPr>
          <w:rFonts w:hint="eastAsia"/>
          <w:color w:val="000000"/>
          <w:szCs w:val="21"/>
          <w:highlight w:val="none"/>
        </w:rPr>
        <w:t>可增项。</w:t>
      </w:r>
      <w:r>
        <w:rPr>
          <w:rFonts w:hint="eastAsia"/>
          <w:b/>
          <w:bCs/>
          <w:color w:val="000000"/>
          <w:szCs w:val="21"/>
          <w:highlight w:val="none"/>
        </w:rPr>
        <w:t>（如</w:t>
      </w:r>
      <w:r>
        <w:rPr>
          <w:rFonts w:hint="eastAsia"/>
          <w:b/>
          <w:color w:val="000000"/>
          <w:szCs w:val="21"/>
          <w:highlight w:val="none"/>
        </w:rPr>
        <w:t>果内容提供不全而导致对</w:t>
      </w:r>
      <w:r>
        <w:rPr>
          <w:rFonts w:hint="eastAsia" w:cs="Arial"/>
          <w:b/>
          <w:color w:val="000000"/>
          <w:szCs w:val="21"/>
          <w:highlight w:val="none"/>
        </w:rPr>
        <w:t>供应商</w:t>
      </w:r>
      <w:r>
        <w:rPr>
          <w:rFonts w:hint="eastAsia"/>
          <w:b/>
          <w:color w:val="000000"/>
          <w:szCs w:val="21"/>
          <w:highlight w:val="none"/>
        </w:rPr>
        <w:t>不利评定的风险由</w:t>
      </w:r>
      <w:r>
        <w:rPr>
          <w:rFonts w:hint="eastAsia" w:cs="Arial"/>
          <w:b/>
          <w:color w:val="000000"/>
          <w:szCs w:val="21"/>
          <w:highlight w:val="none"/>
        </w:rPr>
        <w:t>供应商</w:t>
      </w:r>
      <w:r>
        <w:rPr>
          <w:rFonts w:hint="eastAsia"/>
          <w:b/>
          <w:color w:val="000000"/>
          <w:szCs w:val="21"/>
          <w:highlight w:val="none"/>
        </w:rPr>
        <w:t>自行承担）</w:t>
      </w:r>
    </w:p>
    <w:p w14:paraId="14E0F0EA">
      <w:pPr>
        <w:adjustRightInd w:val="0"/>
        <w:snapToGrid w:val="0"/>
        <w:rPr>
          <w:rFonts w:hint="eastAsia"/>
          <w:szCs w:val="21"/>
          <w:highlight w:val="none"/>
        </w:rPr>
      </w:pPr>
    </w:p>
    <w:p w14:paraId="148707D1">
      <w:pPr>
        <w:adjustRightInd w:val="0"/>
        <w:snapToGrid w:val="0"/>
        <w:rPr>
          <w:rFonts w:hint="eastAsia"/>
          <w:szCs w:val="21"/>
          <w:highlight w:val="none"/>
        </w:rPr>
      </w:pPr>
      <w:r>
        <w:rPr>
          <w:rFonts w:hint="eastAsia" w:cs="Arial"/>
          <w:color w:val="000000"/>
          <w:szCs w:val="21"/>
          <w:highlight w:val="none"/>
        </w:rPr>
        <w:t>供应商</w:t>
      </w:r>
      <w:r>
        <w:rPr>
          <w:rFonts w:hint="eastAsia"/>
          <w:szCs w:val="21"/>
          <w:highlight w:val="none"/>
        </w:rPr>
        <w:t>（盖单位章）：</w:t>
      </w:r>
    </w:p>
    <w:p w14:paraId="1B43A95B">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0DC4C607">
      <w:pPr>
        <w:adjustRightInd w:val="0"/>
        <w:snapToGrid w:val="0"/>
        <w:rPr>
          <w:rFonts w:hint="eastAsia"/>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50EDB656">
      <w:pPr>
        <w:pStyle w:val="322"/>
        <w:spacing w:line="360" w:lineRule="auto"/>
        <w:ind w:firstLine="315" w:firstLineChars="150"/>
        <w:rPr>
          <w:rFonts w:hint="eastAsia" w:ascii="宋体" w:hAnsi="宋体"/>
          <w:highlight w:val="none"/>
        </w:rPr>
      </w:pPr>
    </w:p>
    <w:p w14:paraId="5F761B88">
      <w:pPr>
        <w:spacing w:line="460" w:lineRule="exact"/>
        <w:jc w:val="center"/>
        <w:rPr>
          <w:rFonts w:hint="eastAsia"/>
          <w:b/>
          <w:bCs/>
          <w:color w:val="000000"/>
          <w:sz w:val="36"/>
          <w:szCs w:val="36"/>
          <w:highlight w:val="none"/>
        </w:rPr>
        <w:sectPr>
          <w:pgSz w:w="11906" w:h="16838"/>
          <w:pgMar w:top="1440" w:right="1797" w:bottom="1440" w:left="1797" w:header="851" w:footer="992" w:gutter="0"/>
          <w:cols w:space="720" w:num="1"/>
          <w:docGrid w:linePitch="312" w:charSpace="0"/>
        </w:sectPr>
      </w:pPr>
    </w:p>
    <w:p w14:paraId="192EC9AA">
      <w:pPr>
        <w:spacing w:line="460" w:lineRule="exact"/>
        <w:jc w:val="center"/>
        <w:rPr>
          <w:rFonts w:hint="eastAsia"/>
          <w:bCs/>
          <w:color w:val="000000"/>
          <w:highlight w:val="none"/>
        </w:rPr>
      </w:pPr>
      <w:r>
        <w:rPr>
          <w:rFonts w:hint="eastAsia"/>
          <w:bCs/>
          <w:color w:val="000000"/>
          <w:highlight w:val="none"/>
        </w:rPr>
        <w:t>响应产品附件、备品备件和专用工具清单（如有）</w:t>
      </w:r>
    </w:p>
    <w:p w14:paraId="32FB5035">
      <w:pPr>
        <w:spacing w:line="460" w:lineRule="exact"/>
        <w:rPr>
          <w:rFonts w:hint="eastAsia"/>
          <w:bCs/>
          <w:color w:val="000000"/>
          <w:szCs w:val="21"/>
          <w:highlight w:val="none"/>
        </w:rPr>
      </w:pPr>
      <w:r>
        <w:rPr>
          <w:rFonts w:hint="eastAsia"/>
          <w:bCs/>
          <w:color w:val="000000"/>
          <w:szCs w:val="21"/>
          <w:highlight w:val="none"/>
        </w:rPr>
        <w:t>项目编号：</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09"/>
        <w:gridCol w:w="1080"/>
        <w:gridCol w:w="1620"/>
        <w:gridCol w:w="2592"/>
      </w:tblGrid>
      <w:tr w14:paraId="7C10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E40C5BC">
            <w:pPr>
              <w:spacing w:line="380" w:lineRule="exact"/>
              <w:jc w:val="center"/>
              <w:rPr>
                <w:rFonts w:hint="eastAsia"/>
                <w:b/>
                <w:bCs/>
                <w:color w:val="000000"/>
                <w:szCs w:val="21"/>
                <w:highlight w:val="none"/>
              </w:rPr>
            </w:pPr>
            <w:r>
              <w:rPr>
                <w:rFonts w:hint="eastAsia"/>
                <w:b/>
                <w:bCs/>
                <w:color w:val="000000"/>
                <w:szCs w:val="21"/>
                <w:highlight w:val="none"/>
              </w:rPr>
              <w:t>序号</w:t>
            </w:r>
          </w:p>
        </w:tc>
        <w:tc>
          <w:tcPr>
            <w:tcW w:w="2209" w:type="dxa"/>
            <w:vAlign w:val="center"/>
          </w:tcPr>
          <w:p w14:paraId="45EEBE40">
            <w:pPr>
              <w:spacing w:line="380" w:lineRule="exact"/>
              <w:jc w:val="center"/>
              <w:rPr>
                <w:rFonts w:hint="eastAsia"/>
                <w:b/>
                <w:bCs/>
                <w:color w:val="000000"/>
                <w:szCs w:val="21"/>
                <w:highlight w:val="none"/>
              </w:rPr>
            </w:pPr>
            <w:r>
              <w:rPr>
                <w:rFonts w:hint="eastAsia"/>
                <w:b/>
                <w:bCs/>
                <w:color w:val="000000"/>
                <w:szCs w:val="21"/>
                <w:highlight w:val="none"/>
              </w:rPr>
              <w:t>名  称</w:t>
            </w:r>
          </w:p>
        </w:tc>
        <w:tc>
          <w:tcPr>
            <w:tcW w:w="1080" w:type="dxa"/>
            <w:vAlign w:val="center"/>
          </w:tcPr>
          <w:p w14:paraId="730567F3">
            <w:pPr>
              <w:spacing w:line="380" w:lineRule="exact"/>
              <w:jc w:val="center"/>
              <w:rPr>
                <w:rFonts w:hint="eastAsia"/>
                <w:b/>
                <w:bCs/>
                <w:color w:val="000000"/>
                <w:szCs w:val="21"/>
                <w:highlight w:val="none"/>
              </w:rPr>
            </w:pPr>
            <w:r>
              <w:rPr>
                <w:rFonts w:hint="eastAsia"/>
                <w:b/>
                <w:bCs/>
                <w:color w:val="000000"/>
                <w:szCs w:val="21"/>
                <w:highlight w:val="none"/>
              </w:rPr>
              <w:t>单位</w:t>
            </w:r>
          </w:p>
        </w:tc>
        <w:tc>
          <w:tcPr>
            <w:tcW w:w="1620" w:type="dxa"/>
            <w:vAlign w:val="center"/>
          </w:tcPr>
          <w:p w14:paraId="3171D927">
            <w:pPr>
              <w:spacing w:line="380" w:lineRule="exact"/>
              <w:jc w:val="center"/>
              <w:rPr>
                <w:rFonts w:hint="eastAsia"/>
                <w:b/>
                <w:bCs/>
                <w:color w:val="000000"/>
                <w:szCs w:val="21"/>
                <w:highlight w:val="none"/>
              </w:rPr>
            </w:pPr>
            <w:r>
              <w:rPr>
                <w:rFonts w:hint="eastAsia"/>
                <w:b/>
                <w:bCs/>
                <w:color w:val="000000"/>
                <w:szCs w:val="21"/>
                <w:highlight w:val="none"/>
              </w:rPr>
              <w:t>数量/台</w:t>
            </w:r>
          </w:p>
        </w:tc>
        <w:tc>
          <w:tcPr>
            <w:tcW w:w="2592" w:type="dxa"/>
            <w:vAlign w:val="center"/>
          </w:tcPr>
          <w:p w14:paraId="77A47B04">
            <w:pPr>
              <w:spacing w:line="380" w:lineRule="exact"/>
              <w:jc w:val="center"/>
              <w:rPr>
                <w:rFonts w:hint="eastAsia"/>
                <w:b/>
                <w:bCs/>
                <w:color w:val="000000"/>
                <w:szCs w:val="21"/>
                <w:highlight w:val="none"/>
              </w:rPr>
            </w:pPr>
            <w:r>
              <w:rPr>
                <w:rFonts w:hint="eastAsia"/>
                <w:b/>
                <w:bCs/>
                <w:color w:val="000000"/>
                <w:szCs w:val="21"/>
                <w:highlight w:val="none"/>
              </w:rPr>
              <w:t>材质说明</w:t>
            </w:r>
          </w:p>
        </w:tc>
      </w:tr>
      <w:tr w14:paraId="70BA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62AD917">
            <w:pPr>
              <w:spacing w:line="380" w:lineRule="exact"/>
              <w:jc w:val="center"/>
              <w:rPr>
                <w:rFonts w:hint="eastAsia"/>
                <w:b/>
                <w:bCs/>
                <w:color w:val="000000"/>
                <w:szCs w:val="21"/>
                <w:highlight w:val="none"/>
              </w:rPr>
            </w:pPr>
          </w:p>
        </w:tc>
        <w:tc>
          <w:tcPr>
            <w:tcW w:w="2209" w:type="dxa"/>
            <w:vAlign w:val="center"/>
          </w:tcPr>
          <w:p w14:paraId="04D70E04">
            <w:pPr>
              <w:spacing w:line="380" w:lineRule="exact"/>
              <w:jc w:val="center"/>
              <w:rPr>
                <w:rFonts w:hint="eastAsia"/>
                <w:b/>
                <w:bCs/>
                <w:color w:val="000000"/>
                <w:szCs w:val="21"/>
                <w:highlight w:val="none"/>
              </w:rPr>
            </w:pPr>
          </w:p>
        </w:tc>
        <w:tc>
          <w:tcPr>
            <w:tcW w:w="1080" w:type="dxa"/>
            <w:vAlign w:val="center"/>
          </w:tcPr>
          <w:p w14:paraId="49416DF1">
            <w:pPr>
              <w:spacing w:line="380" w:lineRule="exact"/>
              <w:jc w:val="center"/>
              <w:rPr>
                <w:rFonts w:hint="eastAsia"/>
                <w:b/>
                <w:bCs/>
                <w:color w:val="000000"/>
                <w:szCs w:val="21"/>
                <w:highlight w:val="none"/>
              </w:rPr>
            </w:pPr>
          </w:p>
        </w:tc>
        <w:tc>
          <w:tcPr>
            <w:tcW w:w="1620" w:type="dxa"/>
            <w:vAlign w:val="center"/>
          </w:tcPr>
          <w:p w14:paraId="6E23A31F">
            <w:pPr>
              <w:spacing w:line="380" w:lineRule="exact"/>
              <w:jc w:val="center"/>
              <w:rPr>
                <w:rFonts w:hint="eastAsia"/>
                <w:b/>
                <w:bCs/>
                <w:color w:val="000000"/>
                <w:szCs w:val="21"/>
                <w:highlight w:val="none"/>
              </w:rPr>
            </w:pPr>
          </w:p>
        </w:tc>
        <w:tc>
          <w:tcPr>
            <w:tcW w:w="2592" w:type="dxa"/>
            <w:vAlign w:val="center"/>
          </w:tcPr>
          <w:p w14:paraId="6835BDAB">
            <w:pPr>
              <w:spacing w:line="380" w:lineRule="exact"/>
              <w:jc w:val="center"/>
              <w:rPr>
                <w:rFonts w:hint="eastAsia"/>
                <w:b/>
                <w:bCs/>
                <w:color w:val="000000"/>
                <w:szCs w:val="21"/>
                <w:highlight w:val="none"/>
              </w:rPr>
            </w:pPr>
          </w:p>
        </w:tc>
      </w:tr>
      <w:tr w14:paraId="3787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09F803F">
            <w:pPr>
              <w:spacing w:line="380" w:lineRule="exact"/>
              <w:jc w:val="center"/>
              <w:rPr>
                <w:rFonts w:hint="eastAsia"/>
                <w:b/>
                <w:bCs/>
                <w:color w:val="000000"/>
                <w:szCs w:val="21"/>
                <w:highlight w:val="none"/>
              </w:rPr>
            </w:pPr>
          </w:p>
        </w:tc>
        <w:tc>
          <w:tcPr>
            <w:tcW w:w="2209" w:type="dxa"/>
            <w:vAlign w:val="center"/>
          </w:tcPr>
          <w:p w14:paraId="7207BEBC">
            <w:pPr>
              <w:spacing w:line="380" w:lineRule="exact"/>
              <w:jc w:val="center"/>
              <w:rPr>
                <w:rFonts w:hint="eastAsia"/>
                <w:b/>
                <w:bCs/>
                <w:color w:val="000000"/>
                <w:szCs w:val="21"/>
                <w:highlight w:val="none"/>
              </w:rPr>
            </w:pPr>
          </w:p>
        </w:tc>
        <w:tc>
          <w:tcPr>
            <w:tcW w:w="1080" w:type="dxa"/>
            <w:vAlign w:val="center"/>
          </w:tcPr>
          <w:p w14:paraId="2E2D27F0">
            <w:pPr>
              <w:spacing w:line="380" w:lineRule="exact"/>
              <w:jc w:val="center"/>
              <w:rPr>
                <w:rFonts w:hint="eastAsia"/>
                <w:b/>
                <w:bCs/>
                <w:color w:val="000000"/>
                <w:szCs w:val="21"/>
                <w:highlight w:val="none"/>
              </w:rPr>
            </w:pPr>
          </w:p>
        </w:tc>
        <w:tc>
          <w:tcPr>
            <w:tcW w:w="1620" w:type="dxa"/>
            <w:vAlign w:val="center"/>
          </w:tcPr>
          <w:p w14:paraId="1561DC8F">
            <w:pPr>
              <w:spacing w:line="380" w:lineRule="exact"/>
              <w:jc w:val="center"/>
              <w:rPr>
                <w:rFonts w:hint="eastAsia"/>
                <w:b/>
                <w:bCs/>
                <w:color w:val="000000"/>
                <w:szCs w:val="21"/>
                <w:highlight w:val="none"/>
              </w:rPr>
            </w:pPr>
          </w:p>
        </w:tc>
        <w:tc>
          <w:tcPr>
            <w:tcW w:w="2592" w:type="dxa"/>
            <w:vAlign w:val="center"/>
          </w:tcPr>
          <w:p w14:paraId="66572088">
            <w:pPr>
              <w:spacing w:line="380" w:lineRule="exact"/>
              <w:jc w:val="center"/>
              <w:rPr>
                <w:rFonts w:hint="eastAsia"/>
                <w:b/>
                <w:bCs/>
                <w:color w:val="000000"/>
                <w:szCs w:val="21"/>
                <w:highlight w:val="none"/>
              </w:rPr>
            </w:pPr>
          </w:p>
        </w:tc>
      </w:tr>
      <w:tr w14:paraId="0FA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28E0A92">
            <w:pPr>
              <w:spacing w:line="380" w:lineRule="exact"/>
              <w:jc w:val="center"/>
              <w:rPr>
                <w:rFonts w:hint="eastAsia"/>
                <w:b/>
                <w:bCs/>
                <w:color w:val="000000"/>
                <w:szCs w:val="21"/>
                <w:highlight w:val="none"/>
              </w:rPr>
            </w:pPr>
          </w:p>
        </w:tc>
        <w:tc>
          <w:tcPr>
            <w:tcW w:w="2209" w:type="dxa"/>
            <w:vAlign w:val="center"/>
          </w:tcPr>
          <w:p w14:paraId="4E388A6F">
            <w:pPr>
              <w:spacing w:line="380" w:lineRule="exact"/>
              <w:jc w:val="center"/>
              <w:rPr>
                <w:rFonts w:hint="eastAsia"/>
                <w:b/>
                <w:bCs/>
                <w:color w:val="000000"/>
                <w:szCs w:val="21"/>
                <w:highlight w:val="none"/>
              </w:rPr>
            </w:pPr>
          </w:p>
        </w:tc>
        <w:tc>
          <w:tcPr>
            <w:tcW w:w="1080" w:type="dxa"/>
            <w:vAlign w:val="center"/>
          </w:tcPr>
          <w:p w14:paraId="6A23A6DA">
            <w:pPr>
              <w:spacing w:line="380" w:lineRule="exact"/>
              <w:jc w:val="center"/>
              <w:rPr>
                <w:rFonts w:hint="eastAsia"/>
                <w:b/>
                <w:bCs/>
                <w:color w:val="000000"/>
                <w:szCs w:val="21"/>
                <w:highlight w:val="none"/>
              </w:rPr>
            </w:pPr>
          </w:p>
        </w:tc>
        <w:tc>
          <w:tcPr>
            <w:tcW w:w="1620" w:type="dxa"/>
            <w:vAlign w:val="center"/>
          </w:tcPr>
          <w:p w14:paraId="74C4F3ED">
            <w:pPr>
              <w:spacing w:line="380" w:lineRule="exact"/>
              <w:jc w:val="center"/>
              <w:rPr>
                <w:rFonts w:hint="eastAsia"/>
                <w:b/>
                <w:bCs/>
                <w:color w:val="000000"/>
                <w:szCs w:val="21"/>
                <w:highlight w:val="none"/>
              </w:rPr>
            </w:pPr>
          </w:p>
        </w:tc>
        <w:tc>
          <w:tcPr>
            <w:tcW w:w="2592" w:type="dxa"/>
            <w:vAlign w:val="center"/>
          </w:tcPr>
          <w:p w14:paraId="42CEB92B">
            <w:pPr>
              <w:spacing w:line="380" w:lineRule="exact"/>
              <w:jc w:val="center"/>
              <w:rPr>
                <w:rFonts w:hint="eastAsia"/>
                <w:b/>
                <w:bCs/>
                <w:color w:val="000000"/>
                <w:szCs w:val="21"/>
                <w:highlight w:val="none"/>
              </w:rPr>
            </w:pPr>
          </w:p>
        </w:tc>
      </w:tr>
      <w:tr w14:paraId="2766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672FCBA9">
            <w:pPr>
              <w:spacing w:line="380" w:lineRule="exact"/>
              <w:jc w:val="center"/>
              <w:rPr>
                <w:rFonts w:hint="eastAsia"/>
                <w:b/>
                <w:bCs/>
                <w:color w:val="000000"/>
                <w:szCs w:val="21"/>
                <w:highlight w:val="none"/>
              </w:rPr>
            </w:pPr>
          </w:p>
        </w:tc>
        <w:tc>
          <w:tcPr>
            <w:tcW w:w="2209" w:type="dxa"/>
            <w:vAlign w:val="center"/>
          </w:tcPr>
          <w:p w14:paraId="2FA4F4ED">
            <w:pPr>
              <w:spacing w:line="380" w:lineRule="exact"/>
              <w:jc w:val="center"/>
              <w:rPr>
                <w:rFonts w:hint="eastAsia"/>
                <w:b/>
                <w:bCs/>
                <w:color w:val="000000"/>
                <w:szCs w:val="21"/>
                <w:highlight w:val="none"/>
              </w:rPr>
            </w:pPr>
          </w:p>
        </w:tc>
        <w:tc>
          <w:tcPr>
            <w:tcW w:w="1080" w:type="dxa"/>
            <w:vAlign w:val="center"/>
          </w:tcPr>
          <w:p w14:paraId="6654FC77">
            <w:pPr>
              <w:spacing w:line="380" w:lineRule="exact"/>
              <w:jc w:val="center"/>
              <w:rPr>
                <w:rFonts w:hint="eastAsia"/>
                <w:b/>
                <w:bCs/>
                <w:color w:val="000000"/>
                <w:szCs w:val="21"/>
                <w:highlight w:val="none"/>
              </w:rPr>
            </w:pPr>
          </w:p>
        </w:tc>
        <w:tc>
          <w:tcPr>
            <w:tcW w:w="1620" w:type="dxa"/>
            <w:vAlign w:val="center"/>
          </w:tcPr>
          <w:p w14:paraId="65664F4C">
            <w:pPr>
              <w:spacing w:line="380" w:lineRule="exact"/>
              <w:jc w:val="center"/>
              <w:rPr>
                <w:rFonts w:hint="eastAsia"/>
                <w:b/>
                <w:bCs/>
                <w:color w:val="000000"/>
                <w:szCs w:val="21"/>
                <w:highlight w:val="none"/>
              </w:rPr>
            </w:pPr>
          </w:p>
        </w:tc>
        <w:tc>
          <w:tcPr>
            <w:tcW w:w="2592" w:type="dxa"/>
            <w:vAlign w:val="center"/>
          </w:tcPr>
          <w:p w14:paraId="20FD104C">
            <w:pPr>
              <w:spacing w:line="380" w:lineRule="exact"/>
              <w:jc w:val="center"/>
              <w:rPr>
                <w:rFonts w:hint="eastAsia"/>
                <w:b/>
                <w:bCs/>
                <w:color w:val="000000"/>
                <w:szCs w:val="21"/>
                <w:highlight w:val="none"/>
              </w:rPr>
            </w:pPr>
          </w:p>
        </w:tc>
      </w:tr>
      <w:tr w14:paraId="5E6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31A509B3">
            <w:pPr>
              <w:spacing w:line="380" w:lineRule="exact"/>
              <w:jc w:val="center"/>
              <w:rPr>
                <w:rFonts w:hint="eastAsia"/>
                <w:b/>
                <w:bCs/>
                <w:color w:val="000000"/>
                <w:szCs w:val="21"/>
                <w:highlight w:val="none"/>
              </w:rPr>
            </w:pPr>
          </w:p>
        </w:tc>
        <w:tc>
          <w:tcPr>
            <w:tcW w:w="2209" w:type="dxa"/>
            <w:vAlign w:val="center"/>
          </w:tcPr>
          <w:p w14:paraId="2371EC06">
            <w:pPr>
              <w:spacing w:line="380" w:lineRule="exact"/>
              <w:jc w:val="center"/>
              <w:rPr>
                <w:rFonts w:hint="eastAsia"/>
                <w:b/>
                <w:bCs/>
                <w:color w:val="000000"/>
                <w:szCs w:val="21"/>
                <w:highlight w:val="none"/>
              </w:rPr>
            </w:pPr>
          </w:p>
        </w:tc>
        <w:tc>
          <w:tcPr>
            <w:tcW w:w="1080" w:type="dxa"/>
            <w:vAlign w:val="center"/>
          </w:tcPr>
          <w:p w14:paraId="64786D68">
            <w:pPr>
              <w:spacing w:line="380" w:lineRule="exact"/>
              <w:jc w:val="center"/>
              <w:rPr>
                <w:rFonts w:hint="eastAsia"/>
                <w:b/>
                <w:bCs/>
                <w:color w:val="000000"/>
                <w:szCs w:val="21"/>
                <w:highlight w:val="none"/>
              </w:rPr>
            </w:pPr>
          </w:p>
        </w:tc>
        <w:tc>
          <w:tcPr>
            <w:tcW w:w="1620" w:type="dxa"/>
            <w:vAlign w:val="center"/>
          </w:tcPr>
          <w:p w14:paraId="7B0A16B4">
            <w:pPr>
              <w:spacing w:line="380" w:lineRule="exact"/>
              <w:jc w:val="center"/>
              <w:rPr>
                <w:rFonts w:hint="eastAsia"/>
                <w:b/>
                <w:bCs/>
                <w:color w:val="000000"/>
                <w:szCs w:val="21"/>
                <w:highlight w:val="none"/>
              </w:rPr>
            </w:pPr>
          </w:p>
        </w:tc>
        <w:tc>
          <w:tcPr>
            <w:tcW w:w="2592" w:type="dxa"/>
            <w:vAlign w:val="center"/>
          </w:tcPr>
          <w:p w14:paraId="4D15F51F">
            <w:pPr>
              <w:spacing w:line="380" w:lineRule="exact"/>
              <w:jc w:val="center"/>
              <w:rPr>
                <w:rFonts w:hint="eastAsia"/>
                <w:b/>
                <w:bCs/>
                <w:color w:val="000000"/>
                <w:szCs w:val="21"/>
                <w:highlight w:val="none"/>
              </w:rPr>
            </w:pPr>
          </w:p>
        </w:tc>
      </w:tr>
      <w:tr w14:paraId="6149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F394492">
            <w:pPr>
              <w:spacing w:line="380" w:lineRule="exact"/>
              <w:jc w:val="center"/>
              <w:rPr>
                <w:rFonts w:hint="eastAsia"/>
                <w:b/>
                <w:bCs/>
                <w:color w:val="000000"/>
                <w:szCs w:val="21"/>
                <w:highlight w:val="none"/>
              </w:rPr>
            </w:pPr>
          </w:p>
        </w:tc>
        <w:tc>
          <w:tcPr>
            <w:tcW w:w="2209" w:type="dxa"/>
            <w:vAlign w:val="center"/>
          </w:tcPr>
          <w:p w14:paraId="23084EA9">
            <w:pPr>
              <w:spacing w:line="380" w:lineRule="exact"/>
              <w:jc w:val="center"/>
              <w:rPr>
                <w:rFonts w:hint="eastAsia"/>
                <w:b/>
                <w:bCs/>
                <w:color w:val="000000"/>
                <w:szCs w:val="21"/>
                <w:highlight w:val="none"/>
              </w:rPr>
            </w:pPr>
          </w:p>
        </w:tc>
        <w:tc>
          <w:tcPr>
            <w:tcW w:w="1080" w:type="dxa"/>
            <w:vAlign w:val="center"/>
          </w:tcPr>
          <w:p w14:paraId="10BE7706">
            <w:pPr>
              <w:spacing w:line="380" w:lineRule="exact"/>
              <w:jc w:val="center"/>
              <w:rPr>
                <w:rFonts w:hint="eastAsia"/>
                <w:b/>
                <w:bCs/>
                <w:color w:val="000000"/>
                <w:szCs w:val="21"/>
                <w:highlight w:val="none"/>
              </w:rPr>
            </w:pPr>
          </w:p>
        </w:tc>
        <w:tc>
          <w:tcPr>
            <w:tcW w:w="1620" w:type="dxa"/>
            <w:vAlign w:val="center"/>
          </w:tcPr>
          <w:p w14:paraId="75E8DB8C">
            <w:pPr>
              <w:spacing w:line="380" w:lineRule="exact"/>
              <w:jc w:val="center"/>
              <w:rPr>
                <w:rFonts w:hint="eastAsia"/>
                <w:b/>
                <w:bCs/>
                <w:color w:val="000000"/>
                <w:szCs w:val="21"/>
                <w:highlight w:val="none"/>
              </w:rPr>
            </w:pPr>
          </w:p>
        </w:tc>
        <w:tc>
          <w:tcPr>
            <w:tcW w:w="2592" w:type="dxa"/>
            <w:vAlign w:val="center"/>
          </w:tcPr>
          <w:p w14:paraId="013B76CF">
            <w:pPr>
              <w:spacing w:line="380" w:lineRule="exact"/>
              <w:jc w:val="center"/>
              <w:rPr>
                <w:rFonts w:hint="eastAsia"/>
                <w:b/>
                <w:bCs/>
                <w:color w:val="000000"/>
                <w:szCs w:val="21"/>
                <w:highlight w:val="none"/>
              </w:rPr>
            </w:pPr>
          </w:p>
        </w:tc>
      </w:tr>
      <w:tr w14:paraId="6B41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5FC73547">
            <w:pPr>
              <w:spacing w:line="380" w:lineRule="exact"/>
              <w:jc w:val="center"/>
              <w:rPr>
                <w:rFonts w:hint="eastAsia"/>
                <w:b/>
                <w:bCs/>
                <w:color w:val="000000"/>
                <w:szCs w:val="21"/>
                <w:highlight w:val="none"/>
              </w:rPr>
            </w:pPr>
          </w:p>
        </w:tc>
        <w:tc>
          <w:tcPr>
            <w:tcW w:w="2209" w:type="dxa"/>
            <w:vAlign w:val="center"/>
          </w:tcPr>
          <w:p w14:paraId="7853C90B">
            <w:pPr>
              <w:spacing w:line="380" w:lineRule="exact"/>
              <w:jc w:val="center"/>
              <w:rPr>
                <w:rFonts w:hint="eastAsia"/>
                <w:b/>
                <w:bCs/>
                <w:color w:val="000000"/>
                <w:szCs w:val="21"/>
                <w:highlight w:val="none"/>
              </w:rPr>
            </w:pPr>
          </w:p>
        </w:tc>
        <w:tc>
          <w:tcPr>
            <w:tcW w:w="1080" w:type="dxa"/>
            <w:vAlign w:val="center"/>
          </w:tcPr>
          <w:p w14:paraId="4154AC8C">
            <w:pPr>
              <w:spacing w:line="380" w:lineRule="exact"/>
              <w:jc w:val="center"/>
              <w:rPr>
                <w:rFonts w:hint="eastAsia"/>
                <w:b/>
                <w:bCs/>
                <w:color w:val="000000"/>
                <w:szCs w:val="21"/>
                <w:highlight w:val="none"/>
              </w:rPr>
            </w:pPr>
          </w:p>
        </w:tc>
        <w:tc>
          <w:tcPr>
            <w:tcW w:w="1620" w:type="dxa"/>
            <w:vAlign w:val="center"/>
          </w:tcPr>
          <w:p w14:paraId="686C52F2">
            <w:pPr>
              <w:spacing w:line="380" w:lineRule="exact"/>
              <w:jc w:val="center"/>
              <w:rPr>
                <w:rFonts w:hint="eastAsia"/>
                <w:b/>
                <w:bCs/>
                <w:color w:val="000000"/>
                <w:szCs w:val="21"/>
                <w:highlight w:val="none"/>
              </w:rPr>
            </w:pPr>
          </w:p>
        </w:tc>
        <w:tc>
          <w:tcPr>
            <w:tcW w:w="2592" w:type="dxa"/>
            <w:vAlign w:val="center"/>
          </w:tcPr>
          <w:p w14:paraId="1EB6F0D2">
            <w:pPr>
              <w:spacing w:line="380" w:lineRule="exact"/>
              <w:jc w:val="center"/>
              <w:rPr>
                <w:rFonts w:hint="eastAsia"/>
                <w:b/>
                <w:bCs/>
                <w:color w:val="000000"/>
                <w:szCs w:val="21"/>
                <w:highlight w:val="none"/>
              </w:rPr>
            </w:pPr>
          </w:p>
        </w:tc>
      </w:tr>
      <w:tr w14:paraId="7E2C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9D10D2E">
            <w:pPr>
              <w:spacing w:line="380" w:lineRule="exact"/>
              <w:jc w:val="center"/>
              <w:rPr>
                <w:rFonts w:hint="eastAsia"/>
                <w:b/>
                <w:bCs/>
                <w:color w:val="000000"/>
                <w:szCs w:val="21"/>
                <w:highlight w:val="none"/>
              </w:rPr>
            </w:pPr>
          </w:p>
        </w:tc>
        <w:tc>
          <w:tcPr>
            <w:tcW w:w="2209" w:type="dxa"/>
            <w:vAlign w:val="center"/>
          </w:tcPr>
          <w:p w14:paraId="73F3730D">
            <w:pPr>
              <w:spacing w:line="380" w:lineRule="exact"/>
              <w:jc w:val="center"/>
              <w:rPr>
                <w:rFonts w:hint="eastAsia"/>
                <w:b/>
                <w:bCs/>
                <w:color w:val="000000"/>
                <w:szCs w:val="21"/>
                <w:highlight w:val="none"/>
              </w:rPr>
            </w:pPr>
          </w:p>
        </w:tc>
        <w:tc>
          <w:tcPr>
            <w:tcW w:w="1080" w:type="dxa"/>
            <w:vAlign w:val="center"/>
          </w:tcPr>
          <w:p w14:paraId="5D91B5A7">
            <w:pPr>
              <w:spacing w:line="380" w:lineRule="exact"/>
              <w:jc w:val="center"/>
              <w:rPr>
                <w:rFonts w:hint="eastAsia"/>
                <w:b/>
                <w:bCs/>
                <w:color w:val="000000"/>
                <w:szCs w:val="21"/>
                <w:highlight w:val="none"/>
              </w:rPr>
            </w:pPr>
          </w:p>
        </w:tc>
        <w:tc>
          <w:tcPr>
            <w:tcW w:w="1620" w:type="dxa"/>
            <w:vAlign w:val="center"/>
          </w:tcPr>
          <w:p w14:paraId="39F2B24B">
            <w:pPr>
              <w:spacing w:line="380" w:lineRule="exact"/>
              <w:jc w:val="center"/>
              <w:rPr>
                <w:rFonts w:hint="eastAsia"/>
                <w:b/>
                <w:bCs/>
                <w:color w:val="000000"/>
                <w:szCs w:val="21"/>
                <w:highlight w:val="none"/>
              </w:rPr>
            </w:pPr>
          </w:p>
        </w:tc>
        <w:tc>
          <w:tcPr>
            <w:tcW w:w="2592" w:type="dxa"/>
            <w:vAlign w:val="center"/>
          </w:tcPr>
          <w:p w14:paraId="2EAEACEE">
            <w:pPr>
              <w:spacing w:line="380" w:lineRule="exact"/>
              <w:jc w:val="center"/>
              <w:rPr>
                <w:rFonts w:hint="eastAsia"/>
                <w:b/>
                <w:bCs/>
                <w:color w:val="000000"/>
                <w:szCs w:val="21"/>
                <w:highlight w:val="none"/>
              </w:rPr>
            </w:pPr>
          </w:p>
        </w:tc>
      </w:tr>
      <w:tr w14:paraId="29EF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1F042090">
            <w:pPr>
              <w:spacing w:line="380" w:lineRule="exact"/>
              <w:jc w:val="center"/>
              <w:rPr>
                <w:rFonts w:hint="eastAsia"/>
                <w:b/>
                <w:bCs/>
                <w:color w:val="000000"/>
                <w:szCs w:val="21"/>
                <w:highlight w:val="none"/>
              </w:rPr>
            </w:pPr>
          </w:p>
        </w:tc>
        <w:tc>
          <w:tcPr>
            <w:tcW w:w="2209" w:type="dxa"/>
            <w:vAlign w:val="center"/>
          </w:tcPr>
          <w:p w14:paraId="7C61EA7B">
            <w:pPr>
              <w:spacing w:line="380" w:lineRule="exact"/>
              <w:jc w:val="center"/>
              <w:rPr>
                <w:rFonts w:hint="eastAsia"/>
                <w:b/>
                <w:bCs/>
                <w:color w:val="000000"/>
                <w:szCs w:val="21"/>
                <w:highlight w:val="none"/>
              </w:rPr>
            </w:pPr>
          </w:p>
        </w:tc>
        <w:tc>
          <w:tcPr>
            <w:tcW w:w="1080" w:type="dxa"/>
            <w:vAlign w:val="center"/>
          </w:tcPr>
          <w:p w14:paraId="536D7D66">
            <w:pPr>
              <w:spacing w:line="380" w:lineRule="exact"/>
              <w:jc w:val="center"/>
              <w:rPr>
                <w:rFonts w:hint="eastAsia"/>
                <w:b/>
                <w:bCs/>
                <w:color w:val="000000"/>
                <w:szCs w:val="21"/>
                <w:highlight w:val="none"/>
              </w:rPr>
            </w:pPr>
          </w:p>
        </w:tc>
        <w:tc>
          <w:tcPr>
            <w:tcW w:w="1620" w:type="dxa"/>
            <w:vAlign w:val="center"/>
          </w:tcPr>
          <w:p w14:paraId="2A7090B1">
            <w:pPr>
              <w:spacing w:line="380" w:lineRule="exact"/>
              <w:jc w:val="center"/>
              <w:rPr>
                <w:rFonts w:hint="eastAsia"/>
                <w:b/>
                <w:bCs/>
                <w:color w:val="000000"/>
                <w:szCs w:val="21"/>
                <w:highlight w:val="none"/>
              </w:rPr>
            </w:pPr>
          </w:p>
        </w:tc>
        <w:tc>
          <w:tcPr>
            <w:tcW w:w="2592" w:type="dxa"/>
            <w:vAlign w:val="center"/>
          </w:tcPr>
          <w:p w14:paraId="3B6B9996">
            <w:pPr>
              <w:spacing w:line="380" w:lineRule="exact"/>
              <w:jc w:val="center"/>
              <w:rPr>
                <w:rFonts w:hint="eastAsia"/>
                <w:b/>
                <w:bCs/>
                <w:color w:val="000000"/>
                <w:szCs w:val="21"/>
                <w:highlight w:val="none"/>
              </w:rPr>
            </w:pPr>
          </w:p>
        </w:tc>
      </w:tr>
      <w:tr w14:paraId="0CFE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747DEC0C">
            <w:pPr>
              <w:spacing w:line="380" w:lineRule="exact"/>
              <w:jc w:val="center"/>
              <w:rPr>
                <w:rFonts w:hint="eastAsia"/>
                <w:b/>
                <w:bCs/>
                <w:color w:val="000000"/>
                <w:szCs w:val="21"/>
                <w:highlight w:val="none"/>
              </w:rPr>
            </w:pPr>
          </w:p>
        </w:tc>
        <w:tc>
          <w:tcPr>
            <w:tcW w:w="2209" w:type="dxa"/>
            <w:vAlign w:val="center"/>
          </w:tcPr>
          <w:p w14:paraId="1DD57F46">
            <w:pPr>
              <w:spacing w:line="380" w:lineRule="exact"/>
              <w:jc w:val="center"/>
              <w:rPr>
                <w:rFonts w:hint="eastAsia"/>
                <w:b/>
                <w:bCs/>
                <w:color w:val="000000"/>
                <w:szCs w:val="21"/>
                <w:highlight w:val="none"/>
              </w:rPr>
            </w:pPr>
          </w:p>
        </w:tc>
        <w:tc>
          <w:tcPr>
            <w:tcW w:w="1080" w:type="dxa"/>
            <w:vAlign w:val="center"/>
          </w:tcPr>
          <w:p w14:paraId="22805E19">
            <w:pPr>
              <w:spacing w:line="380" w:lineRule="exact"/>
              <w:jc w:val="center"/>
              <w:rPr>
                <w:rFonts w:hint="eastAsia"/>
                <w:b/>
                <w:bCs/>
                <w:color w:val="000000"/>
                <w:szCs w:val="21"/>
                <w:highlight w:val="none"/>
              </w:rPr>
            </w:pPr>
          </w:p>
        </w:tc>
        <w:tc>
          <w:tcPr>
            <w:tcW w:w="1620" w:type="dxa"/>
            <w:vAlign w:val="center"/>
          </w:tcPr>
          <w:p w14:paraId="31A6AB5E">
            <w:pPr>
              <w:spacing w:line="380" w:lineRule="exact"/>
              <w:jc w:val="center"/>
              <w:rPr>
                <w:rFonts w:hint="eastAsia"/>
                <w:b/>
                <w:bCs/>
                <w:color w:val="000000"/>
                <w:szCs w:val="21"/>
                <w:highlight w:val="none"/>
              </w:rPr>
            </w:pPr>
          </w:p>
        </w:tc>
        <w:tc>
          <w:tcPr>
            <w:tcW w:w="2592" w:type="dxa"/>
            <w:vAlign w:val="center"/>
          </w:tcPr>
          <w:p w14:paraId="6208F729">
            <w:pPr>
              <w:spacing w:line="380" w:lineRule="exact"/>
              <w:jc w:val="center"/>
              <w:rPr>
                <w:rFonts w:hint="eastAsia"/>
                <w:b/>
                <w:bCs/>
                <w:color w:val="000000"/>
                <w:szCs w:val="21"/>
                <w:highlight w:val="none"/>
              </w:rPr>
            </w:pPr>
          </w:p>
        </w:tc>
      </w:tr>
      <w:tr w14:paraId="649C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34D914A">
            <w:pPr>
              <w:spacing w:line="380" w:lineRule="exact"/>
              <w:jc w:val="center"/>
              <w:rPr>
                <w:rFonts w:hint="eastAsia"/>
                <w:b/>
                <w:bCs/>
                <w:color w:val="000000"/>
                <w:szCs w:val="21"/>
                <w:highlight w:val="none"/>
              </w:rPr>
            </w:pPr>
          </w:p>
        </w:tc>
        <w:tc>
          <w:tcPr>
            <w:tcW w:w="2209" w:type="dxa"/>
            <w:vAlign w:val="center"/>
          </w:tcPr>
          <w:p w14:paraId="71CB8E0F">
            <w:pPr>
              <w:spacing w:line="380" w:lineRule="exact"/>
              <w:jc w:val="center"/>
              <w:rPr>
                <w:rFonts w:hint="eastAsia"/>
                <w:b/>
                <w:bCs/>
                <w:color w:val="000000"/>
                <w:szCs w:val="21"/>
                <w:highlight w:val="none"/>
              </w:rPr>
            </w:pPr>
          </w:p>
        </w:tc>
        <w:tc>
          <w:tcPr>
            <w:tcW w:w="1080" w:type="dxa"/>
            <w:vAlign w:val="center"/>
          </w:tcPr>
          <w:p w14:paraId="2915CEE9">
            <w:pPr>
              <w:spacing w:line="380" w:lineRule="exact"/>
              <w:jc w:val="center"/>
              <w:rPr>
                <w:rFonts w:hint="eastAsia"/>
                <w:b/>
                <w:bCs/>
                <w:color w:val="000000"/>
                <w:szCs w:val="21"/>
                <w:highlight w:val="none"/>
              </w:rPr>
            </w:pPr>
          </w:p>
        </w:tc>
        <w:tc>
          <w:tcPr>
            <w:tcW w:w="1620" w:type="dxa"/>
            <w:vAlign w:val="center"/>
          </w:tcPr>
          <w:p w14:paraId="44AF850E">
            <w:pPr>
              <w:spacing w:line="380" w:lineRule="exact"/>
              <w:jc w:val="center"/>
              <w:rPr>
                <w:rFonts w:hint="eastAsia"/>
                <w:b/>
                <w:bCs/>
                <w:color w:val="000000"/>
                <w:szCs w:val="21"/>
                <w:highlight w:val="none"/>
              </w:rPr>
            </w:pPr>
          </w:p>
        </w:tc>
        <w:tc>
          <w:tcPr>
            <w:tcW w:w="2592" w:type="dxa"/>
            <w:vAlign w:val="center"/>
          </w:tcPr>
          <w:p w14:paraId="1C903DB5">
            <w:pPr>
              <w:spacing w:line="380" w:lineRule="exact"/>
              <w:jc w:val="center"/>
              <w:rPr>
                <w:rFonts w:hint="eastAsia"/>
                <w:b/>
                <w:bCs/>
                <w:color w:val="000000"/>
                <w:szCs w:val="21"/>
                <w:highlight w:val="none"/>
              </w:rPr>
            </w:pPr>
          </w:p>
        </w:tc>
      </w:tr>
      <w:tr w14:paraId="4C26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533E8608">
            <w:pPr>
              <w:spacing w:line="380" w:lineRule="exact"/>
              <w:jc w:val="center"/>
              <w:rPr>
                <w:rFonts w:hint="eastAsia"/>
                <w:b/>
                <w:bCs/>
                <w:color w:val="000000"/>
                <w:szCs w:val="21"/>
                <w:highlight w:val="none"/>
              </w:rPr>
            </w:pPr>
          </w:p>
        </w:tc>
        <w:tc>
          <w:tcPr>
            <w:tcW w:w="2209" w:type="dxa"/>
            <w:vAlign w:val="center"/>
          </w:tcPr>
          <w:p w14:paraId="20A8B667">
            <w:pPr>
              <w:spacing w:line="380" w:lineRule="exact"/>
              <w:jc w:val="center"/>
              <w:rPr>
                <w:rFonts w:hint="eastAsia"/>
                <w:b/>
                <w:bCs/>
                <w:color w:val="000000"/>
                <w:szCs w:val="21"/>
                <w:highlight w:val="none"/>
              </w:rPr>
            </w:pPr>
          </w:p>
        </w:tc>
        <w:tc>
          <w:tcPr>
            <w:tcW w:w="1080" w:type="dxa"/>
            <w:vAlign w:val="center"/>
          </w:tcPr>
          <w:p w14:paraId="036A4A90">
            <w:pPr>
              <w:spacing w:line="380" w:lineRule="exact"/>
              <w:jc w:val="center"/>
              <w:rPr>
                <w:rFonts w:hint="eastAsia"/>
                <w:b/>
                <w:bCs/>
                <w:color w:val="000000"/>
                <w:szCs w:val="21"/>
                <w:highlight w:val="none"/>
              </w:rPr>
            </w:pPr>
          </w:p>
        </w:tc>
        <w:tc>
          <w:tcPr>
            <w:tcW w:w="1620" w:type="dxa"/>
            <w:vAlign w:val="center"/>
          </w:tcPr>
          <w:p w14:paraId="1FBB322F">
            <w:pPr>
              <w:spacing w:line="380" w:lineRule="exact"/>
              <w:jc w:val="center"/>
              <w:rPr>
                <w:rFonts w:hint="eastAsia"/>
                <w:b/>
                <w:bCs/>
                <w:color w:val="000000"/>
                <w:szCs w:val="21"/>
                <w:highlight w:val="none"/>
              </w:rPr>
            </w:pPr>
          </w:p>
        </w:tc>
        <w:tc>
          <w:tcPr>
            <w:tcW w:w="2592" w:type="dxa"/>
            <w:vAlign w:val="center"/>
          </w:tcPr>
          <w:p w14:paraId="6B80ED91">
            <w:pPr>
              <w:spacing w:line="380" w:lineRule="exact"/>
              <w:jc w:val="center"/>
              <w:rPr>
                <w:rFonts w:hint="eastAsia"/>
                <w:b/>
                <w:bCs/>
                <w:color w:val="000000"/>
                <w:szCs w:val="21"/>
                <w:highlight w:val="none"/>
              </w:rPr>
            </w:pPr>
          </w:p>
        </w:tc>
      </w:tr>
      <w:tr w14:paraId="3C4D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85BF355">
            <w:pPr>
              <w:spacing w:line="380" w:lineRule="exact"/>
              <w:jc w:val="center"/>
              <w:rPr>
                <w:rFonts w:hint="eastAsia"/>
                <w:b/>
                <w:bCs/>
                <w:color w:val="000000"/>
                <w:szCs w:val="21"/>
                <w:highlight w:val="none"/>
              </w:rPr>
            </w:pPr>
          </w:p>
        </w:tc>
        <w:tc>
          <w:tcPr>
            <w:tcW w:w="2209" w:type="dxa"/>
            <w:vAlign w:val="center"/>
          </w:tcPr>
          <w:p w14:paraId="4A92CBCF">
            <w:pPr>
              <w:spacing w:line="380" w:lineRule="exact"/>
              <w:jc w:val="center"/>
              <w:rPr>
                <w:rFonts w:hint="eastAsia"/>
                <w:b/>
                <w:bCs/>
                <w:color w:val="000000"/>
                <w:szCs w:val="21"/>
                <w:highlight w:val="none"/>
              </w:rPr>
            </w:pPr>
          </w:p>
        </w:tc>
        <w:tc>
          <w:tcPr>
            <w:tcW w:w="1080" w:type="dxa"/>
            <w:vAlign w:val="center"/>
          </w:tcPr>
          <w:p w14:paraId="7CA1AC6C">
            <w:pPr>
              <w:spacing w:line="380" w:lineRule="exact"/>
              <w:jc w:val="center"/>
              <w:rPr>
                <w:rFonts w:hint="eastAsia"/>
                <w:b/>
                <w:bCs/>
                <w:color w:val="000000"/>
                <w:szCs w:val="21"/>
                <w:highlight w:val="none"/>
              </w:rPr>
            </w:pPr>
          </w:p>
        </w:tc>
        <w:tc>
          <w:tcPr>
            <w:tcW w:w="1620" w:type="dxa"/>
            <w:vAlign w:val="center"/>
          </w:tcPr>
          <w:p w14:paraId="61609E79">
            <w:pPr>
              <w:spacing w:line="380" w:lineRule="exact"/>
              <w:jc w:val="center"/>
              <w:rPr>
                <w:rFonts w:hint="eastAsia"/>
                <w:b/>
                <w:bCs/>
                <w:color w:val="000000"/>
                <w:szCs w:val="21"/>
                <w:highlight w:val="none"/>
              </w:rPr>
            </w:pPr>
          </w:p>
        </w:tc>
        <w:tc>
          <w:tcPr>
            <w:tcW w:w="2592" w:type="dxa"/>
            <w:vAlign w:val="center"/>
          </w:tcPr>
          <w:p w14:paraId="52AC6FE2">
            <w:pPr>
              <w:spacing w:line="380" w:lineRule="exact"/>
              <w:jc w:val="center"/>
              <w:rPr>
                <w:rFonts w:hint="eastAsia"/>
                <w:b/>
                <w:bCs/>
                <w:color w:val="000000"/>
                <w:szCs w:val="21"/>
                <w:highlight w:val="none"/>
              </w:rPr>
            </w:pPr>
          </w:p>
        </w:tc>
      </w:tr>
      <w:tr w14:paraId="05C5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9" w:type="dxa"/>
            <w:vAlign w:val="center"/>
          </w:tcPr>
          <w:p w14:paraId="724AB57D">
            <w:pPr>
              <w:spacing w:line="380" w:lineRule="exact"/>
              <w:jc w:val="center"/>
              <w:rPr>
                <w:rFonts w:hint="eastAsia"/>
                <w:b/>
                <w:bCs/>
                <w:color w:val="000000"/>
                <w:szCs w:val="21"/>
                <w:highlight w:val="none"/>
              </w:rPr>
            </w:pPr>
          </w:p>
        </w:tc>
        <w:tc>
          <w:tcPr>
            <w:tcW w:w="2209" w:type="dxa"/>
            <w:vAlign w:val="center"/>
          </w:tcPr>
          <w:p w14:paraId="37216AB5">
            <w:pPr>
              <w:spacing w:line="380" w:lineRule="exact"/>
              <w:jc w:val="center"/>
              <w:rPr>
                <w:rFonts w:hint="eastAsia"/>
                <w:b/>
                <w:bCs/>
                <w:color w:val="000000"/>
                <w:szCs w:val="21"/>
                <w:highlight w:val="none"/>
              </w:rPr>
            </w:pPr>
          </w:p>
        </w:tc>
        <w:tc>
          <w:tcPr>
            <w:tcW w:w="1080" w:type="dxa"/>
            <w:vAlign w:val="center"/>
          </w:tcPr>
          <w:p w14:paraId="1807639E">
            <w:pPr>
              <w:spacing w:line="380" w:lineRule="exact"/>
              <w:jc w:val="center"/>
              <w:rPr>
                <w:rFonts w:hint="eastAsia"/>
                <w:b/>
                <w:bCs/>
                <w:color w:val="000000"/>
                <w:szCs w:val="21"/>
                <w:highlight w:val="none"/>
              </w:rPr>
            </w:pPr>
          </w:p>
        </w:tc>
        <w:tc>
          <w:tcPr>
            <w:tcW w:w="1620" w:type="dxa"/>
            <w:vAlign w:val="center"/>
          </w:tcPr>
          <w:p w14:paraId="6E857146">
            <w:pPr>
              <w:spacing w:line="380" w:lineRule="exact"/>
              <w:jc w:val="center"/>
              <w:rPr>
                <w:rFonts w:hint="eastAsia"/>
                <w:b/>
                <w:bCs/>
                <w:color w:val="000000"/>
                <w:szCs w:val="21"/>
                <w:highlight w:val="none"/>
              </w:rPr>
            </w:pPr>
          </w:p>
        </w:tc>
        <w:tc>
          <w:tcPr>
            <w:tcW w:w="2592" w:type="dxa"/>
            <w:vAlign w:val="center"/>
          </w:tcPr>
          <w:p w14:paraId="10577235">
            <w:pPr>
              <w:spacing w:line="380" w:lineRule="exact"/>
              <w:jc w:val="center"/>
              <w:rPr>
                <w:rFonts w:hint="eastAsia"/>
                <w:b/>
                <w:bCs/>
                <w:color w:val="000000"/>
                <w:szCs w:val="21"/>
                <w:highlight w:val="none"/>
              </w:rPr>
            </w:pPr>
          </w:p>
        </w:tc>
      </w:tr>
    </w:tbl>
    <w:p w14:paraId="77200795">
      <w:pPr>
        <w:spacing w:line="380" w:lineRule="exact"/>
        <w:jc w:val="left"/>
        <w:rPr>
          <w:rFonts w:hint="eastAsia"/>
          <w:bCs/>
          <w:color w:val="000000"/>
          <w:szCs w:val="21"/>
          <w:highlight w:val="none"/>
        </w:rPr>
      </w:pPr>
      <w:r>
        <w:rPr>
          <w:rFonts w:hint="eastAsia"/>
          <w:bCs/>
          <w:color w:val="000000"/>
          <w:szCs w:val="21"/>
          <w:highlight w:val="none"/>
        </w:rPr>
        <w:t>附注：</w:t>
      </w:r>
      <w:r>
        <w:rPr>
          <w:rFonts w:hint="eastAsia" w:cs="Arial"/>
          <w:color w:val="000000"/>
          <w:szCs w:val="21"/>
          <w:highlight w:val="none"/>
        </w:rPr>
        <w:t>供应商</w:t>
      </w:r>
      <w:r>
        <w:rPr>
          <w:rFonts w:hint="eastAsia"/>
          <w:bCs/>
          <w:color w:val="000000"/>
          <w:szCs w:val="21"/>
          <w:highlight w:val="none"/>
        </w:rPr>
        <w:t>可按以上表格形式进行复制。</w:t>
      </w:r>
    </w:p>
    <w:p w14:paraId="22CFC88E">
      <w:pPr>
        <w:rPr>
          <w:rFonts w:hint="eastAsia"/>
          <w:szCs w:val="21"/>
          <w:highlight w:val="none"/>
        </w:rPr>
      </w:pPr>
    </w:p>
    <w:p w14:paraId="184DB8F2">
      <w:pPr>
        <w:adjustRightInd w:val="0"/>
        <w:snapToGrid w:val="0"/>
        <w:rPr>
          <w:rFonts w:hint="eastAsia"/>
          <w:szCs w:val="21"/>
          <w:highlight w:val="none"/>
        </w:rPr>
      </w:pPr>
      <w:r>
        <w:rPr>
          <w:rFonts w:hint="eastAsia" w:cs="Arial"/>
          <w:color w:val="000000"/>
          <w:szCs w:val="21"/>
          <w:highlight w:val="none"/>
        </w:rPr>
        <w:t>供应商</w:t>
      </w:r>
      <w:r>
        <w:rPr>
          <w:rFonts w:hint="eastAsia"/>
          <w:szCs w:val="21"/>
          <w:highlight w:val="none"/>
        </w:rPr>
        <w:t>（盖单位章）：</w:t>
      </w:r>
    </w:p>
    <w:p w14:paraId="78BCC8B8">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7D6D2C82">
      <w:pPr>
        <w:adjustRightInd w:val="0"/>
        <w:snapToGrid w:val="0"/>
        <w:rPr>
          <w:rFonts w:hint="eastAsia"/>
          <w:highlight w:val="none"/>
        </w:rPr>
      </w:pPr>
      <w:r>
        <w:rPr>
          <w:rFonts w:hint="eastAsia"/>
          <w:szCs w:val="21"/>
          <w:highlight w:val="none"/>
        </w:rPr>
        <w:t>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0820A682">
      <w:pPr>
        <w:spacing w:before="240" w:beforeLines="100" w:after="120" w:afterLines="50"/>
        <w:ind w:right="482"/>
        <w:rPr>
          <w:rFonts w:hint="eastAsia"/>
          <w:b/>
          <w:bCs/>
          <w:color w:val="000000"/>
          <w:szCs w:val="21"/>
          <w:highlight w:val="none"/>
        </w:rPr>
        <w:sectPr>
          <w:pgSz w:w="11906" w:h="16838"/>
          <w:pgMar w:top="1440" w:right="1797" w:bottom="1440" w:left="1797" w:header="851" w:footer="992" w:gutter="0"/>
          <w:cols w:space="720" w:num="1"/>
          <w:docGrid w:linePitch="312" w:charSpace="0"/>
        </w:sectPr>
      </w:pPr>
    </w:p>
    <w:p w14:paraId="0D6EE2D7">
      <w:pPr>
        <w:spacing w:before="240" w:beforeLines="100" w:after="120" w:afterLines="50"/>
        <w:ind w:right="482"/>
        <w:jc w:val="center"/>
        <w:rPr>
          <w:rFonts w:hint="eastAsia"/>
          <w:bCs/>
          <w:color w:val="000000"/>
          <w:highlight w:val="none"/>
        </w:rPr>
      </w:pPr>
      <w:r>
        <w:rPr>
          <w:rFonts w:hint="eastAsia"/>
          <w:bCs/>
          <w:color w:val="000000"/>
          <w:highlight w:val="none"/>
        </w:rPr>
        <w:t>技术规格条款偏离表</w:t>
      </w:r>
    </w:p>
    <w:p w14:paraId="720108E0">
      <w:pPr>
        <w:autoSpaceDE w:val="0"/>
        <w:autoSpaceDN w:val="0"/>
        <w:ind w:right="471"/>
        <w:textAlignment w:val="bottom"/>
        <w:rPr>
          <w:rFonts w:hint="eastAsia" w:cs="Arial"/>
          <w:color w:val="000000"/>
          <w:highlight w:val="none"/>
          <w:u w:val="singl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25"/>
        <w:gridCol w:w="2730"/>
        <w:gridCol w:w="2160"/>
      </w:tblGrid>
      <w:tr w14:paraId="40D9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40" w:type="dxa"/>
            <w:vAlign w:val="center"/>
          </w:tcPr>
          <w:p w14:paraId="2CBE711D">
            <w:pPr>
              <w:jc w:val="center"/>
              <w:rPr>
                <w:rFonts w:hint="eastAsia"/>
                <w:color w:val="000000"/>
                <w:szCs w:val="21"/>
                <w:highlight w:val="none"/>
              </w:rPr>
            </w:pPr>
            <w:r>
              <w:rPr>
                <w:rFonts w:hint="eastAsia"/>
                <w:color w:val="000000"/>
                <w:szCs w:val="21"/>
                <w:highlight w:val="none"/>
              </w:rPr>
              <w:t>招标文件技术需求条目编号及所要求内容</w:t>
            </w:r>
          </w:p>
        </w:tc>
        <w:tc>
          <w:tcPr>
            <w:tcW w:w="1125" w:type="dxa"/>
            <w:vAlign w:val="center"/>
          </w:tcPr>
          <w:p w14:paraId="21062334">
            <w:pPr>
              <w:jc w:val="center"/>
              <w:rPr>
                <w:rFonts w:hint="eastAsia"/>
                <w:color w:val="000000"/>
                <w:szCs w:val="21"/>
                <w:highlight w:val="none"/>
              </w:rPr>
            </w:pPr>
            <w:r>
              <w:rPr>
                <w:rFonts w:hint="eastAsia"/>
                <w:color w:val="000000"/>
                <w:szCs w:val="21"/>
                <w:highlight w:val="none"/>
              </w:rPr>
              <w:t>响应文件应答内容</w:t>
            </w:r>
          </w:p>
        </w:tc>
        <w:tc>
          <w:tcPr>
            <w:tcW w:w="2730" w:type="dxa"/>
            <w:vAlign w:val="center"/>
          </w:tcPr>
          <w:p w14:paraId="0381482D">
            <w:pPr>
              <w:jc w:val="center"/>
              <w:rPr>
                <w:rFonts w:hint="eastAsia"/>
                <w:color w:val="000000"/>
                <w:szCs w:val="21"/>
                <w:highlight w:val="none"/>
              </w:rPr>
            </w:pPr>
            <w:r>
              <w:rPr>
                <w:rFonts w:hint="eastAsia"/>
                <w:color w:val="000000"/>
                <w:szCs w:val="21"/>
                <w:highlight w:val="none"/>
              </w:rPr>
              <w:t>相关技术证明文件中的描述在响应文件中的具体页码</w:t>
            </w:r>
          </w:p>
        </w:tc>
        <w:tc>
          <w:tcPr>
            <w:tcW w:w="2160" w:type="dxa"/>
            <w:vAlign w:val="center"/>
          </w:tcPr>
          <w:p w14:paraId="11BAA85D">
            <w:pPr>
              <w:jc w:val="center"/>
              <w:rPr>
                <w:rFonts w:hint="eastAsia"/>
                <w:color w:val="000000"/>
                <w:szCs w:val="21"/>
                <w:highlight w:val="none"/>
              </w:rPr>
            </w:pPr>
            <w:r>
              <w:rPr>
                <w:rFonts w:hint="eastAsia"/>
                <w:color w:val="000000"/>
                <w:szCs w:val="21"/>
                <w:highlight w:val="none"/>
              </w:rPr>
              <w:t>偏离说明（无偏离，正/负偏离及偏离情况）</w:t>
            </w:r>
          </w:p>
        </w:tc>
      </w:tr>
      <w:tr w14:paraId="34EC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79B15954">
            <w:pPr>
              <w:ind w:firstLine="592"/>
              <w:jc w:val="center"/>
              <w:rPr>
                <w:rFonts w:hint="eastAsia"/>
                <w:color w:val="000000"/>
                <w:szCs w:val="21"/>
                <w:highlight w:val="none"/>
              </w:rPr>
            </w:pPr>
          </w:p>
        </w:tc>
        <w:tc>
          <w:tcPr>
            <w:tcW w:w="1125" w:type="dxa"/>
          </w:tcPr>
          <w:p w14:paraId="23BCDC0F">
            <w:pPr>
              <w:ind w:firstLine="592"/>
              <w:jc w:val="center"/>
              <w:rPr>
                <w:rFonts w:hint="eastAsia"/>
                <w:color w:val="000000"/>
                <w:szCs w:val="21"/>
                <w:highlight w:val="none"/>
              </w:rPr>
            </w:pPr>
          </w:p>
        </w:tc>
        <w:tc>
          <w:tcPr>
            <w:tcW w:w="2730" w:type="dxa"/>
          </w:tcPr>
          <w:p w14:paraId="1F52FEB2">
            <w:pPr>
              <w:ind w:firstLine="592"/>
              <w:jc w:val="center"/>
              <w:rPr>
                <w:rFonts w:hint="eastAsia"/>
                <w:color w:val="000000"/>
                <w:szCs w:val="21"/>
                <w:highlight w:val="none"/>
              </w:rPr>
            </w:pPr>
          </w:p>
        </w:tc>
        <w:tc>
          <w:tcPr>
            <w:tcW w:w="2160" w:type="dxa"/>
          </w:tcPr>
          <w:p w14:paraId="4E01C4EF">
            <w:pPr>
              <w:ind w:firstLine="592"/>
              <w:jc w:val="center"/>
              <w:rPr>
                <w:rFonts w:hint="eastAsia"/>
                <w:color w:val="000000"/>
                <w:szCs w:val="21"/>
                <w:highlight w:val="none"/>
              </w:rPr>
            </w:pPr>
          </w:p>
        </w:tc>
      </w:tr>
      <w:tr w14:paraId="3DB7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0B09435">
            <w:pPr>
              <w:ind w:firstLine="592"/>
              <w:jc w:val="center"/>
              <w:rPr>
                <w:rFonts w:hint="eastAsia"/>
                <w:color w:val="000000"/>
                <w:szCs w:val="21"/>
                <w:highlight w:val="none"/>
              </w:rPr>
            </w:pPr>
          </w:p>
        </w:tc>
        <w:tc>
          <w:tcPr>
            <w:tcW w:w="1125" w:type="dxa"/>
          </w:tcPr>
          <w:p w14:paraId="11325DA5">
            <w:pPr>
              <w:ind w:firstLine="592"/>
              <w:jc w:val="center"/>
              <w:rPr>
                <w:rFonts w:hint="eastAsia"/>
                <w:color w:val="000000"/>
                <w:szCs w:val="21"/>
                <w:highlight w:val="none"/>
              </w:rPr>
            </w:pPr>
          </w:p>
        </w:tc>
        <w:tc>
          <w:tcPr>
            <w:tcW w:w="2730" w:type="dxa"/>
          </w:tcPr>
          <w:p w14:paraId="543F32BF">
            <w:pPr>
              <w:ind w:firstLine="592"/>
              <w:jc w:val="center"/>
              <w:rPr>
                <w:rFonts w:hint="eastAsia"/>
                <w:color w:val="000000"/>
                <w:szCs w:val="21"/>
                <w:highlight w:val="none"/>
              </w:rPr>
            </w:pPr>
          </w:p>
        </w:tc>
        <w:tc>
          <w:tcPr>
            <w:tcW w:w="2160" w:type="dxa"/>
          </w:tcPr>
          <w:p w14:paraId="178AAA62">
            <w:pPr>
              <w:ind w:firstLine="592"/>
              <w:jc w:val="center"/>
              <w:rPr>
                <w:rFonts w:hint="eastAsia"/>
                <w:color w:val="000000"/>
                <w:szCs w:val="21"/>
                <w:highlight w:val="none"/>
              </w:rPr>
            </w:pPr>
          </w:p>
        </w:tc>
      </w:tr>
      <w:tr w14:paraId="308E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9BC77E8">
            <w:pPr>
              <w:ind w:firstLine="592"/>
              <w:jc w:val="center"/>
              <w:rPr>
                <w:rFonts w:hint="eastAsia"/>
                <w:color w:val="000000"/>
                <w:szCs w:val="21"/>
                <w:highlight w:val="none"/>
              </w:rPr>
            </w:pPr>
          </w:p>
        </w:tc>
        <w:tc>
          <w:tcPr>
            <w:tcW w:w="1125" w:type="dxa"/>
          </w:tcPr>
          <w:p w14:paraId="0E50DC0C">
            <w:pPr>
              <w:ind w:firstLine="592"/>
              <w:jc w:val="center"/>
              <w:rPr>
                <w:rFonts w:hint="eastAsia"/>
                <w:color w:val="000000"/>
                <w:szCs w:val="21"/>
                <w:highlight w:val="none"/>
              </w:rPr>
            </w:pPr>
          </w:p>
        </w:tc>
        <w:tc>
          <w:tcPr>
            <w:tcW w:w="2730" w:type="dxa"/>
          </w:tcPr>
          <w:p w14:paraId="4F1666E4">
            <w:pPr>
              <w:ind w:firstLine="592"/>
              <w:jc w:val="center"/>
              <w:rPr>
                <w:rFonts w:hint="eastAsia"/>
                <w:color w:val="000000"/>
                <w:szCs w:val="21"/>
                <w:highlight w:val="none"/>
              </w:rPr>
            </w:pPr>
          </w:p>
        </w:tc>
        <w:tc>
          <w:tcPr>
            <w:tcW w:w="2160" w:type="dxa"/>
          </w:tcPr>
          <w:p w14:paraId="29760AF4">
            <w:pPr>
              <w:ind w:firstLine="592"/>
              <w:jc w:val="center"/>
              <w:rPr>
                <w:rFonts w:hint="eastAsia"/>
                <w:color w:val="000000"/>
                <w:szCs w:val="21"/>
                <w:highlight w:val="none"/>
              </w:rPr>
            </w:pPr>
          </w:p>
        </w:tc>
      </w:tr>
      <w:tr w14:paraId="074C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2340" w:type="dxa"/>
          </w:tcPr>
          <w:p w14:paraId="7591D965">
            <w:pPr>
              <w:ind w:firstLine="592"/>
              <w:jc w:val="center"/>
              <w:rPr>
                <w:rFonts w:hint="eastAsia"/>
                <w:color w:val="000000"/>
                <w:szCs w:val="21"/>
                <w:highlight w:val="none"/>
              </w:rPr>
            </w:pPr>
          </w:p>
        </w:tc>
        <w:tc>
          <w:tcPr>
            <w:tcW w:w="1125" w:type="dxa"/>
          </w:tcPr>
          <w:p w14:paraId="774DEC0D">
            <w:pPr>
              <w:ind w:firstLine="592"/>
              <w:jc w:val="center"/>
              <w:rPr>
                <w:rFonts w:hint="eastAsia"/>
                <w:color w:val="000000"/>
                <w:szCs w:val="21"/>
                <w:highlight w:val="none"/>
              </w:rPr>
            </w:pPr>
          </w:p>
        </w:tc>
        <w:tc>
          <w:tcPr>
            <w:tcW w:w="2730" w:type="dxa"/>
          </w:tcPr>
          <w:p w14:paraId="0365B260">
            <w:pPr>
              <w:ind w:firstLine="592"/>
              <w:jc w:val="center"/>
              <w:rPr>
                <w:rFonts w:hint="eastAsia"/>
                <w:color w:val="000000"/>
                <w:szCs w:val="21"/>
                <w:highlight w:val="none"/>
              </w:rPr>
            </w:pPr>
          </w:p>
        </w:tc>
        <w:tc>
          <w:tcPr>
            <w:tcW w:w="2160" w:type="dxa"/>
          </w:tcPr>
          <w:p w14:paraId="6F78C5E5">
            <w:pPr>
              <w:ind w:firstLine="592"/>
              <w:jc w:val="center"/>
              <w:rPr>
                <w:rFonts w:hint="eastAsia"/>
                <w:color w:val="000000"/>
                <w:szCs w:val="21"/>
                <w:highlight w:val="none"/>
              </w:rPr>
            </w:pPr>
          </w:p>
        </w:tc>
      </w:tr>
      <w:tr w14:paraId="65A8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726A173">
            <w:pPr>
              <w:ind w:firstLine="592"/>
              <w:jc w:val="center"/>
              <w:rPr>
                <w:rFonts w:hint="eastAsia"/>
                <w:color w:val="000000"/>
                <w:szCs w:val="21"/>
                <w:highlight w:val="none"/>
              </w:rPr>
            </w:pPr>
          </w:p>
        </w:tc>
        <w:tc>
          <w:tcPr>
            <w:tcW w:w="1125" w:type="dxa"/>
          </w:tcPr>
          <w:p w14:paraId="100C7C5E">
            <w:pPr>
              <w:ind w:firstLine="592"/>
              <w:jc w:val="center"/>
              <w:rPr>
                <w:rFonts w:hint="eastAsia"/>
                <w:color w:val="000000"/>
                <w:szCs w:val="21"/>
                <w:highlight w:val="none"/>
              </w:rPr>
            </w:pPr>
          </w:p>
        </w:tc>
        <w:tc>
          <w:tcPr>
            <w:tcW w:w="2730" w:type="dxa"/>
          </w:tcPr>
          <w:p w14:paraId="4A0BCF7B">
            <w:pPr>
              <w:ind w:firstLine="592"/>
              <w:jc w:val="center"/>
              <w:rPr>
                <w:rFonts w:hint="eastAsia"/>
                <w:color w:val="000000"/>
                <w:szCs w:val="21"/>
                <w:highlight w:val="none"/>
              </w:rPr>
            </w:pPr>
          </w:p>
        </w:tc>
        <w:tc>
          <w:tcPr>
            <w:tcW w:w="2160" w:type="dxa"/>
          </w:tcPr>
          <w:p w14:paraId="42237767">
            <w:pPr>
              <w:ind w:firstLine="592"/>
              <w:jc w:val="center"/>
              <w:rPr>
                <w:rFonts w:hint="eastAsia"/>
                <w:color w:val="000000"/>
                <w:szCs w:val="21"/>
                <w:highlight w:val="none"/>
              </w:rPr>
            </w:pPr>
          </w:p>
        </w:tc>
      </w:tr>
      <w:tr w14:paraId="78CF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BBBB71A">
            <w:pPr>
              <w:ind w:firstLine="592"/>
              <w:jc w:val="center"/>
              <w:rPr>
                <w:rFonts w:hint="eastAsia"/>
                <w:color w:val="000000"/>
                <w:szCs w:val="21"/>
                <w:highlight w:val="none"/>
              </w:rPr>
            </w:pPr>
          </w:p>
        </w:tc>
        <w:tc>
          <w:tcPr>
            <w:tcW w:w="1125" w:type="dxa"/>
          </w:tcPr>
          <w:p w14:paraId="3B6C1A11">
            <w:pPr>
              <w:ind w:firstLine="592"/>
              <w:jc w:val="center"/>
              <w:rPr>
                <w:rFonts w:hint="eastAsia"/>
                <w:color w:val="000000"/>
                <w:szCs w:val="21"/>
                <w:highlight w:val="none"/>
              </w:rPr>
            </w:pPr>
          </w:p>
        </w:tc>
        <w:tc>
          <w:tcPr>
            <w:tcW w:w="2730" w:type="dxa"/>
          </w:tcPr>
          <w:p w14:paraId="3D30CBCD">
            <w:pPr>
              <w:ind w:firstLine="592"/>
              <w:jc w:val="center"/>
              <w:rPr>
                <w:rFonts w:hint="eastAsia"/>
                <w:color w:val="000000"/>
                <w:szCs w:val="21"/>
                <w:highlight w:val="none"/>
              </w:rPr>
            </w:pPr>
          </w:p>
        </w:tc>
        <w:tc>
          <w:tcPr>
            <w:tcW w:w="2160" w:type="dxa"/>
          </w:tcPr>
          <w:p w14:paraId="14075835">
            <w:pPr>
              <w:ind w:firstLine="592"/>
              <w:jc w:val="center"/>
              <w:rPr>
                <w:rFonts w:hint="eastAsia"/>
                <w:color w:val="000000"/>
                <w:szCs w:val="21"/>
                <w:highlight w:val="none"/>
              </w:rPr>
            </w:pPr>
          </w:p>
        </w:tc>
      </w:tr>
      <w:tr w14:paraId="4FE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529982A0">
            <w:pPr>
              <w:ind w:firstLine="592"/>
              <w:jc w:val="center"/>
              <w:rPr>
                <w:rFonts w:hint="eastAsia"/>
                <w:color w:val="000000"/>
                <w:szCs w:val="21"/>
                <w:highlight w:val="none"/>
              </w:rPr>
            </w:pPr>
          </w:p>
        </w:tc>
        <w:tc>
          <w:tcPr>
            <w:tcW w:w="1125" w:type="dxa"/>
          </w:tcPr>
          <w:p w14:paraId="663524E4">
            <w:pPr>
              <w:ind w:firstLine="592"/>
              <w:jc w:val="center"/>
              <w:rPr>
                <w:rFonts w:hint="eastAsia"/>
                <w:color w:val="000000"/>
                <w:szCs w:val="21"/>
                <w:highlight w:val="none"/>
              </w:rPr>
            </w:pPr>
          </w:p>
        </w:tc>
        <w:tc>
          <w:tcPr>
            <w:tcW w:w="2730" w:type="dxa"/>
          </w:tcPr>
          <w:p w14:paraId="1FD526D5">
            <w:pPr>
              <w:ind w:firstLine="592"/>
              <w:jc w:val="center"/>
              <w:rPr>
                <w:rFonts w:hint="eastAsia"/>
                <w:color w:val="000000"/>
                <w:szCs w:val="21"/>
                <w:highlight w:val="none"/>
              </w:rPr>
            </w:pPr>
          </w:p>
        </w:tc>
        <w:tc>
          <w:tcPr>
            <w:tcW w:w="2160" w:type="dxa"/>
          </w:tcPr>
          <w:p w14:paraId="4F3F715A">
            <w:pPr>
              <w:ind w:firstLine="592"/>
              <w:jc w:val="center"/>
              <w:rPr>
                <w:rFonts w:hint="eastAsia"/>
                <w:color w:val="000000"/>
                <w:szCs w:val="21"/>
                <w:highlight w:val="none"/>
              </w:rPr>
            </w:pPr>
          </w:p>
        </w:tc>
      </w:tr>
      <w:tr w14:paraId="5C1A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8E48543">
            <w:pPr>
              <w:ind w:firstLine="592"/>
              <w:jc w:val="center"/>
              <w:rPr>
                <w:rFonts w:hint="eastAsia"/>
                <w:color w:val="000000"/>
                <w:szCs w:val="21"/>
                <w:highlight w:val="none"/>
              </w:rPr>
            </w:pPr>
          </w:p>
        </w:tc>
        <w:tc>
          <w:tcPr>
            <w:tcW w:w="1125" w:type="dxa"/>
          </w:tcPr>
          <w:p w14:paraId="31D9400B">
            <w:pPr>
              <w:ind w:firstLine="592"/>
              <w:jc w:val="center"/>
              <w:rPr>
                <w:rFonts w:hint="eastAsia"/>
                <w:color w:val="000000"/>
                <w:szCs w:val="21"/>
                <w:highlight w:val="none"/>
              </w:rPr>
            </w:pPr>
          </w:p>
        </w:tc>
        <w:tc>
          <w:tcPr>
            <w:tcW w:w="2730" w:type="dxa"/>
          </w:tcPr>
          <w:p w14:paraId="767AC4A1">
            <w:pPr>
              <w:ind w:firstLine="592"/>
              <w:jc w:val="center"/>
              <w:rPr>
                <w:rFonts w:hint="eastAsia"/>
                <w:color w:val="000000"/>
                <w:szCs w:val="21"/>
                <w:highlight w:val="none"/>
              </w:rPr>
            </w:pPr>
          </w:p>
        </w:tc>
        <w:tc>
          <w:tcPr>
            <w:tcW w:w="2160" w:type="dxa"/>
          </w:tcPr>
          <w:p w14:paraId="5ED63E23">
            <w:pPr>
              <w:ind w:firstLine="592"/>
              <w:jc w:val="center"/>
              <w:rPr>
                <w:rFonts w:hint="eastAsia"/>
                <w:color w:val="000000"/>
                <w:szCs w:val="21"/>
                <w:highlight w:val="none"/>
              </w:rPr>
            </w:pPr>
          </w:p>
        </w:tc>
      </w:tr>
      <w:tr w14:paraId="78EC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2340" w:type="dxa"/>
          </w:tcPr>
          <w:p w14:paraId="04EDF781">
            <w:pPr>
              <w:ind w:firstLine="592"/>
              <w:jc w:val="center"/>
              <w:rPr>
                <w:rFonts w:hint="eastAsia"/>
                <w:color w:val="000000"/>
                <w:szCs w:val="21"/>
                <w:highlight w:val="none"/>
              </w:rPr>
            </w:pPr>
          </w:p>
        </w:tc>
        <w:tc>
          <w:tcPr>
            <w:tcW w:w="1125" w:type="dxa"/>
          </w:tcPr>
          <w:p w14:paraId="383CB1CE">
            <w:pPr>
              <w:ind w:firstLine="592"/>
              <w:jc w:val="center"/>
              <w:rPr>
                <w:rFonts w:hint="eastAsia"/>
                <w:color w:val="000000"/>
                <w:szCs w:val="21"/>
                <w:highlight w:val="none"/>
              </w:rPr>
            </w:pPr>
          </w:p>
        </w:tc>
        <w:tc>
          <w:tcPr>
            <w:tcW w:w="2730" w:type="dxa"/>
          </w:tcPr>
          <w:p w14:paraId="0B7E108B">
            <w:pPr>
              <w:ind w:firstLine="592"/>
              <w:jc w:val="center"/>
              <w:rPr>
                <w:rFonts w:hint="eastAsia"/>
                <w:color w:val="000000"/>
                <w:szCs w:val="21"/>
                <w:highlight w:val="none"/>
              </w:rPr>
            </w:pPr>
          </w:p>
        </w:tc>
        <w:tc>
          <w:tcPr>
            <w:tcW w:w="2160" w:type="dxa"/>
          </w:tcPr>
          <w:p w14:paraId="7E4D5CC4">
            <w:pPr>
              <w:ind w:firstLine="592"/>
              <w:jc w:val="center"/>
              <w:rPr>
                <w:rFonts w:hint="eastAsia"/>
                <w:color w:val="000000"/>
                <w:szCs w:val="21"/>
                <w:highlight w:val="none"/>
              </w:rPr>
            </w:pPr>
          </w:p>
        </w:tc>
      </w:tr>
    </w:tbl>
    <w:p w14:paraId="2BE2ED88">
      <w:pPr>
        <w:autoSpaceDE w:val="0"/>
        <w:autoSpaceDN w:val="0"/>
        <w:textAlignment w:val="bottom"/>
        <w:rPr>
          <w:rFonts w:hint="eastAsia" w:cs="Arial"/>
          <w:color w:val="000000"/>
          <w:highlight w:val="none"/>
        </w:rPr>
      </w:pPr>
    </w:p>
    <w:p w14:paraId="3BBF4842">
      <w:pPr>
        <w:pStyle w:val="25"/>
        <w:adjustRightInd w:val="0"/>
        <w:snapToGrid w:val="0"/>
        <w:spacing w:line="360" w:lineRule="auto"/>
        <w:rPr>
          <w:rFonts w:hint="eastAsia" w:ascii="宋体" w:hAnsi="宋体"/>
          <w:color w:val="000000"/>
          <w:sz w:val="21"/>
          <w:szCs w:val="21"/>
          <w:highlight w:val="none"/>
        </w:rPr>
      </w:pPr>
    </w:p>
    <w:p w14:paraId="3443DB40">
      <w:pPr>
        <w:pStyle w:val="25"/>
        <w:adjustRightInd w:val="0"/>
        <w:snapToGrid w:val="0"/>
        <w:spacing w:line="360" w:lineRule="auto"/>
        <w:rPr>
          <w:rFonts w:hint="eastAsia" w:ascii="宋体" w:hAnsi="宋体"/>
          <w:bCs/>
          <w:color w:val="000000"/>
          <w:sz w:val="21"/>
          <w:szCs w:val="21"/>
          <w:highlight w:val="none"/>
        </w:rPr>
      </w:pPr>
      <w:r>
        <w:rPr>
          <w:rFonts w:hint="eastAsia" w:ascii="宋体" w:hAnsi="宋体"/>
          <w:color w:val="000000"/>
          <w:sz w:val="21"/>
          <w:szCs w:val="21"/>
          <w:highlight w:val="none"/>
        </w:rPr>
        <w:t>供应商名称：</w:t>
      </w:r>
      <w:r>
        <w:rPr>
          <w:rFonts w:hint="eastAsia" w:ascii="宋体" w:hAnsi="宋体"/>
          <w:color w:val="000000"/>
          <w:sz w:val="21"/>
          <w:szCs w:val="21"/>
          <w:highlight w:val="none"/>
          <w:u w:val="single"/>
        </w:rPr>
        <w:t xml:space="preserve">                </w:t>
      </w:r>
    </w:p>
    <w:p w14:paraId="2A3F06D6">
      <w:pPr>
        <w:adjustRightInd w:val="0"/>
        <w:snapToGrid w:val="0"/>
        <w:rPr>
          <w:rFonts w:hint="eastAsia"/>
          <w:color w:val="000000"/>
          <w:szCs w:val="21"/>
          <w:highlight w:val="none"/>
        </w:rPr>
      </w:pPr>
      <w:r>
        <w:rPr>
          <w:rFonts w:hint="eastAsia"/>
          <w:color w:val="000000"/>
          <w:szCs w:val="21"/>
          <w:highlight w:val="none"/>
        </w:rPr>
        <w:t>法定代表人或其委托代理人(签字或盖章)：</w:t>
      </w:r>
      <w:r>
        <w:rPr>
          <w:rFonts w:hint="eastAsia"/>
          <w:color w:val="000000"/>
          <w:szCs w:val="21"/>
          <w:highlight w:val="none"/>
          <w:u w:val="single"/>
        </w:rPr>
        <w:t xml:space="preserve">              </w:t>
      </w:r>
      <w:r>
        <w:rPr>
          <w:rFonts w:hint="eastAsia"/>
          <w:color w:val="000000"/>
          <w:szCs w:val="21"/>
          <w:highlight w:val="none"/>
        </w:rPr>
        <w:t>_</w:t>
      </w:r>
    </w:p>
    <w:p w14:paraId="4EF5F863">
      <w:pPr>
        <w:spacing w:line="360" w:lineRule="exact"/>
        <w:rPr>
          <w:rFonts w:hint="eastAsia"/>
          <w:color w:val="000000"/>
          <w:highlight w:val="none"/>
        </w:rPr>
      </w:pPr>
      <w:r>
        <w:rPr>
          <w:rFonts w:hint="eastAsia"/>
          <w:color w:val="000000"/>
          <w:szCs w:val="21"/>
          <w:highlight w:val="none"/>
        </w:rPr>
        <w:t xml:space="preserve">日期： </w:t>
      </w:r>
      <w:r>
        <w:rPr>
          <w:rFonts w:hint="eastAsia"/>
          <w:color w:val="000000"/>
          <w:szCs w:val="21"/>
          <w:highlight w:val="none"/>
          <w:u w:val="single"/>
        </w:rPr>
        <w:t xml:space="preserve">     </w:t>
      </w:r>
      <w:r>
        <w:rPr>
          <w:rFonts w:hint="eastAsia"/>
          <w:color w:val="000000"/>
          <w:szCs w:val="21"/>
          <w:highlight w:val="none"/>
        </w:rPr>
        <w:t xml:space="preserve"> 年 </w:t>
      </w:r>
      <w:r>
        <w:rPr>
          <w:rFonts w:hint="eastAsia"/>
          <w:color w:val="000000"/>
          <w:szCs w:val="21"/>
          <w:highlight w:val="none"/>
          <w:u w:val="single"/>
        </w:rPr>
        <w:t xml:space="preserve">    </w:t>
      </w:r>
      <w:r>
        <w:rPr>
          <w:rFonts w:hint="eastAsia"/>
          <w:color w:val="000000"/>
          <w:szCs w:val="21"/>
          <w:highlight w:val="none"/>
        </w:rPr>
        <w:t xml:space="preserve"> 月 </w:t>
      </w:r>
      <w:r>
        <w:rPr>
          <w:rFonts w:hint="eastAsia"/>
          <w:color w:val="000000"/>
          <w:szCs w:val="21"/>
          <w:highlight w:val="none"/>
          <w:u w:val="single"/>
        </w:rPr>
        <w:t xml:space="preserve">   </w:t>
      </w:r>
      <w:r>
        <w:rPr>
          <w:rFonts w:hint="eastAsia"/>
          <w:color w:val="000000"/>
          <w:szCs w:val="21"/>
          <w:highlight w:val="none"/>
        </w:rPr>
        <w:t xml:space="preserve"> 日</w:t>
      </w:r>
    </w:p>
    <w:p w14:paraId="4D46D417">
      <w:pPr>
        <w:pStyle w:val="24"/>
        <w:adjustRightInd w:val="0"/>
        <w:snapToGrid w:val="0"/>
        <w:spacing w:line="360" w:lineRule="auto"/>
        <w:rPr>
          <w:rFonts w:hint="eastAsia" w:hAnsi="宋体"/>
          <w:b/>
          <w:color w:val="000000"/>
          <w:highlight w:val="none"/>
        </w:rPr>
      </w:pPr>
    </w:p>
    <w:p w14:paraId="3143664D">
      <w:pPr>
        <w:pStyle w:val="24"/>
        <w:adjustRightInd w:val="0"/>
        <w:snapToGrid w:val="0"/>
        <w:spacing w:line="360" w:lineRule="auto"/>
        <w:rPr>
          <w:rFonts w:hint="eastAsia" w:hAnsi="宋体"/>
          <w:b/>
          <w:color w:val="000000"/>
          <w:highlight w:val="none"/>
        </w:rPr>
      </w:pPr>
    </w:p>
    <w:p w14:paraId="01B859B0">
      <w:pPr>
        <w:pStyle w:val="24"/>
        <w:adjustRightInd w:val="0"/>
        <w:snapToGrid w:val="0"/>
        <w:spacing w:line="360" w:lineRule="auto"/>
        <w:rPr>
          <w:rFonts w:hint="eastAsia" w:hAnsi="宋体"/>
          <w:b/>
          <w:color w:val="000000"/>
          <w:highlight w:val="none"/>
        </w:rPr>
      </w:pPr>
    </w:p>
    <w:p w14:paraId="185573E1">
      <w:pPr>
        <w:pStyle w:val="24"/>
        <w:adjustRightInd w:val="0"/>
        <w:snapToGrid w:val="0"/>
        <w:spacing w:line="360" w:lineRule="auto"/>
        <w:rPr>
          <w:rFonts w:hint="eastAsia" w:hAnsi="宋体"/>
          <w:b/>
          <w:color w:val="000000"/>
          <w:highlight w:val="none"/>
        </w:rPr>
      </w:pPr>
    </w:p>
    <w:p w14:paraId="214B4866">
      <w:pPr>
        <w:autoSpaceDE w:val="0"/>
        <w:autoSpaceDN w:val="0"/>
        <w:ind w:right="-148"/>
        <w:textAlignment w:val="bottom"/>
        <w:rPr>
          <w:rFonts w:hint="eastAsia" w:cs="Arial"/>
          <w:color w:val="000000"/>
          <w:highlight w:val="none"/>
        </w:rPr>
      </w:pPr>
      <w:r>
        <w:rPr>
          <w:rFonts w:hint="eastAsia" w:cs="Arial"/>
          <w:color w:val="000000"/>
          <w:highlight w:val="none"/>
        </w:rPr>
        <w:t>注：</w:t>
      </w:r>
    </w:p>
    <w:p w14:paraId="4F230D33">
      <w:pPr>
        <w:autoSpaceDE w:val="0"/>
        <w:autoSpaceDN w:val="0"/>
        <w:ind w:right="-148"/>
        <w:textAlignment w:val="bottom"/>
        <w:rPr>
          <w:rFonts w:hint="eastAsia" w:cs="Arial"/>
          <w:szCs w:val="21"/>
          <w:highlight w:val="none"/>
        </w:rPr>
        <w:sectPr>
          <w:pgSz w:w="11906" w:h="16838"/>
          <w:pgMar w:top="1440" w:right="1797" w:bottom="1440" w:left="1797" w:header="851" w:footer="992" w:gutter="0"/>
          <w:cols w:space="720" w:num="1"/>
          <w:docGrid w:linePitch="312" w:charSpace="0"/>
        </w:sectPr>
      </w:pPr>
      <w:r>
        <w:rPr>
          <w:rFonts w:hint="eastAsia" w:cs="仿宋_GB2312"/>
          <w:szCs w:val="21"/>
          <w:highlight w:val="none"/>
        </w:rPr>
        <w:t>1、</w:t>
      </w:r>
      <w:r>
        <w:rPr>
          <w:rFonts w:hint="eastAsia" w:cs="Arial"/>
          <w:szCs w:val="21"/>
          <w:highlight w:val="none"/>
        </w:rPr>
        <w:t>供应商应在响应技术文件中对本技术规格书逐条按顺序响应，做出必要的解释并列出技术偏差表。而不应完全复制招标文件中技术参数要求，统一回答“响应”“无偏离”“正偏离”等。对于没有逐条对照招标文件技术规格，说明所提供货物和服务已对找招标文件的技术规格做出了实质性的响应，或声明与技术规格条文的偏差和例外的条款，或未按照技术文件的要求提供相关证明材料的，将视同为不满足要求。</w:t>
      </w:r>
    </w:p>
    <w:p w14:paraId="0CD77CFE">
      <w:pPr>
        <w:pStyle w:val="3"/>
        <w:numPr>
          <w:ilvl w:val="0"/>
          <w:numId w:val="0"/>
        </w:numPr>
        <w:ind w:left="576" w:hanging="576"/>
        <w:jc w:val="center"/>
        <w:rPr>
          <w:rFonts w:hint="eastAsia" w:ascii="宋体" w:hAnsi="宋体"/>
          <w:highlight w:val="none"/>
        </w:rPr>
      </w:pPr>
      <w:bookmarkStart w:id="242" w:name="_Toc38878807"/>
      <w:r>
        <w:rPr>
          <w:rFonts w:hint="eastAsia" w:ascii="宋体" w:hAnsi="宋体"/>
          <w:highlight w:val="none"/>
        </w:rPr>
        <w:t>七、实施方案</w:t>
      </w:r>
      <w:bookmarkEnd w:id="242"/>
    </w:p>
    <w:p w14:paraId="41E2E721">
      <w:pPr>
        <w:topLinePunct/>
        <w:spacing w:line="440" w:lineRule="exact"/>
        <w:rPr>
          <w:rFonts w:hint="eastAsia"/>
          <w:szCs w:val="21"/>
          <w:highlight w:val="none"/>
        </w:rPr>
      </w:pPr>
    </w:p>
    <w:p w14:paraId="38C9A213">
      <w:pPr>
        <w:rPr>
          <w:rFonts w:hint="eastAsia"/>
          <w:b/>
          <w:color w:val="000000"/>
          <w:szCs w:val="21"/>
          <w:highlight w:val="none"/>
        </w:rPr>
      </w:pPr>
      <w:r>
        <w:rPr>
          <w:rFonts w:hint="eastAsia"/>
          <w:b/>
          <w:color w:val="000000"/>
          <w:szCs w:val="21"/>
          <w:highlight w:val="none"/>
        </w:rPr>
        <w:t>包括不限于：</w:t>
      </w:r>
    </w:p>
    <w:p w14:paraId="2A5B7883">
      <w:pPr>
        <w:adjustRightInd w:val="0"/>
        <w:snapToGrid w:val="0"/>
        <w:ind w:left="-101" w:leftChars="-42" w:firstLine="240" w:firstLineChars="100"/>
        <w:rPr>
          <w:rFonts w:hint="eastAsia"/>
          <w:color w:val="000000"/>
          <w:szCs w:val="21"/>
          <w:highlight w:val="none"/>
        </w:rPr>
      </w:pPr>
    </w:p>
    <w:p w14:paraId="122B099E">
      <w:pPr>
        <w:topLinePunct/>
        <w:spacing w:line="440" w:lineRule="exact"/>
        <w:rPr>
          <w:rFonts w:hint="eastAsia"/>
          <w:szCs w:val="21"/>
          <w:highlight w:val="none"/>
        </w:rPr>
      </w:pPr>
      <w:r>
        <w:rPr>
          <w:rFonts w:hint="eastAsia"/>
          <w:szCs w:val="21"/>
          <w:highlight w:val="none"/>
        </w:rPr>
        <w:t>（1）系统整体方案</w:t>
      </w:r>
    </w:p>
    <w:p w14:paraId="181CA594">
      <w:pPr>
        <w:topLinePunct/>
        <w:spacing w:line="440" w:lineRule="exact"/>
        <w:rPr>
          <w:rFonts w:hint="eastAsia"/>
          <w:szCs w:val="21"/>
          <w:highlight w:val="none"/>
          <w:lang w:bidi="ar"/>
        </w:rPr>
      </w:pPr>
      <w:r>
        <w:rPr>
          <w:rFonts w:hint="eastAsia"/>
          <w:szCs w:val="21"/>
          <w:highlight w:val="none"/>
        </w:rPr>
        <w:t>（2）</w:t>
      </w:r>
      <w:r>
        <w:rPr>
          <w:szCs w:val="21"/>
          <w:highlight w:val="none"/>
          <w:lang w:bidi="ar"/>
        </w:rPr>
        <w:t>应急解决方案</w:t>
      </w:r>
    </w:p>
    <w:p w14:paraId="1E08D491">
      <w:pPr>
        <w:topLinePunct/>
        <w:spacing w:line="440" w:lineRule="exact"/>
        <w:rPr>
          <w:rFonts w:hint="eastAsia"/>
          <w:szCs w:val="21"/>
          <w:highlight w:val="none"/>
        </w:rPr>
      </w:pPr>
      <w:r>
        <w:rPr>
          <w:rFonts w:hint="eastAsia"/>
          <w:szCs w:val="21"/>
          <w:highlight w:val="none"/>
          <w:lang w:bidi="ar"/>
        </w:rPr>
        <w:t>（3）</w:t>
      </w:r>
      <w:r>
        <w:rPr>
          <w:rFonts w:hint="eastAsia"/>
          <w:szCs w:val="21"/>
          <w:highlight w:val="none"/>
        </w:rPr>
        <w:t>项目质量</w:t>
      </w:r>
      <w:r>
        <w:rPr>
          <w:szCs w:val="21"/>
          <w:highlight w:val="none"/>
        </w:rPr>
        <w:t>控制</w:t>
      </w:r>
      <w:r>
        <w:rPr>
          <w:rFonts w:hint="eastAsia"/>
          <w:szCs w:val="21"/>
          <w:highlight w:val="none"/>
        </w:rPr>
        <w:t>保障</w:t>
      </w:r>
    </w:p>
    <w:p w14:paraId="53CF822F">
      <w:pPr>
        <w:topLinePunct/>
        <w:spacing w:line="440" w:lineRule="exact"/>
        <w:rPr>
          <w:rFonts w:hint="eastAsia"/>
          <w:szCs w:val="21"/>
          <w:highlight w:val="none"/>
        </w:rPr>
      </w:pPr>
      <w:r>
        <w:rPr>
          <w:rFonts w:hint="eastAsia"/>
          <w:szCs w:val="21"/>
          <w:highlight w:val="none"/>
        </w:rPr>
        <w:t>（4）售后方案</w:t>
      </w:r>
    </w:p>
    <w:p w14:paraId="5AC2382A">
      <w:pPr>
        <w:topLinePunct/>
        <w:spacing w:line="440" w:lineRule="exact"/>
        <w:rPr>
          <w:rFonts w:hint="eastAsia"/>
          <w:szCs w:val="21"/>
          <w:highlight w:val="none"/>
        </w:rPr>
      </w:pPr>
      <w:r>
        <w:rPr>
          <w:rFonts w:hint="eastAsia"/>
          <w:szCs w:val="21"/>
          <w:highlight w:val="none"/>
        </w:rPr>
        <w:t>（5）培训方案</w:t>
      </w:r>
    </w:p>
    <w:p w14:paraId="67F17D18">
      <w:pPr>
        <w:topLinePunct/>
        <w:spacing w:line="440" w:lineRule="exact"/>
        <w:rPr>
          <w:rFonts w:hint="eastAsia"/>
          <w:szCs w:val="21"/>
          <w:highlight w:val="none"/>
        </w:rPr>
      </w:pPr>
      <w:r>
        <w:rPr>
          <w:rFonts w:hint="eastAsia"/>
          <w:szCs w:val="21"/>
          <w:highlight w:val="none"/>
        </w:rPr>
        <w:t>（6）人员配置方案</w:t>
      </w:r>
    </w:p>
    <w:p w14:paraId="3658F9C1">
      <w:pPr>
        <w:topLinePunct/>
        <w:spacing w:line="440" w:lineRule="exact"/>
        <w:rPr>
          <w:rFonts w:hint="eastAsia"/>
          <w:szCs w:val="21"/>
          <w:highlight w:val="none"/>
        </w:rPr>
      </w:pPr>
      <w:r>
        <w:rPr>
          <w:rFonts w:hint="eastAsia"/>
          <w:szCs w:val="21"/>
          <w:highlight w:val="none"/>
        </w:rPr>
        <w:t>（7</w:t>
      </w:r>
      <w:r>
        <w:rPr>
          <w:szCs w:val="21"/>
          <w:highlight w:val="none"/>
        </w:rPr>
        <w:t>）</w:t>
      </w:r>
      <w:r>
        <w:rPr>
          <w:rFonts w:hint="eastAsia"/>
          <w:szCs w:val="21"/>
          <w:highlight w:val="none"/>
        </w:rPr>
        <w:t>质保期承诺</w:t>
      </w:r>
    </w:p>
    <w:p w14:paraId="0E723A82">
      <w:pPr>
        <w:topLinePunct/>
        <w:spacing w:line="440" w:lineRule="exact"/>
        <w:rPr>
          <w:rFonts w:hint="eastAsia"/>
          <w:szCs w:val="21"/>
          <w:highlight w:val="none"/>
        </w:rPr>
      </w:pPr>
      <w:r>
        <w:rPr>
          <w:rFonts w:hint="eastAsia"/>
          <w:szCs w:val="21"/>
          <w:highlight w:val="none"/>
        </w:rPr>
        <w:t>（8）其他售后服务承诺</w:t>
      </w:r>
    </w:p>
    <w:p w14:paraId="4F3B3516">
      <w:pPr>
        <w:topLinePunct/>
        <w:spacing w:line="440" w:lineRule="exact"/>
        <w:rPr>
          <w:rFonts w:hint="eastAsia"/>
          <w:szCs w:val="21"/>
          <w:highlight w:val="none"/>
        </w:rPr>
      </w:pPr>
    </w:p>
    <w:p w14:paraId="2D707F1C">
      <w:pPr>
        <w:topLinePunct/>
        <w:spacing w:line="440" w:lineRule="exact"/>
        <w:rPr>
          <w:rFonts w:hint="eastAsia"/>
          <w:b/>
          <w:szCs w:val="21"/>
          <w:highlight w:val="none"/>
        </w:rPr>
      </w:pPr>
      <w:r>
        <w:rPr>
          <w:highlight w:val="none"/>
        </w:rPr>
        <w:br w:type="page"/>
      </w:r>
      <w:r>
        <w:rPr>
          <w:rFonts w:hint="eastAsia"/>
          <w:bCs/>
          <w:sz w:val="28"/>
          <w:szCs w:val="28"/>
          <w:highlight w:val="none"/>
        </w:rPr>
        <w:t>附件14</w:t>
      </w:r>
    </w:p>
    <w:p w14:paraId="4FC92126">
      <w:pPr>
        <w:adjustRightInd w:val="0"/>
        <w:snapToGrid w:val="0"/>
        <w:ind w:left="-101" w:leftChars="-42" w:firstLine="280" w:firstLineChars="100"/>
        <w:jc w:val="center"/>
        <w:rPr>
          <w:rFonts w:hint="eastAsia"/>
          <w:bCs/>
          <w:sz w:val="28"/>
          <w:szCs w:val="28"/>
          <w:highlight w:val="none"/>
        </w:rPr>
      </w:pPr>
      <w:r>
        <w:rPr>
          <w:rFonts w:hint="eastAsia"/>
          <w:bCs/>
          <w:sz w:val="28"/>
          <w:szCs w:val="28"/>
          <w:highlight w:val="none"/>
        </w:rPr>
        <w:t>服务附表</w:t>
      </w:r>
    </w:p>
    <w:p w14:paraId="72098FAF">
      <w:pPr>
        <w:topLinePunct/>
        <w:spacing w:line="440" w:lineRule="exact"/>
        <w:rPr>
          <w:rFonts w:hint="eastAsia"/>
          <w:b/>
          <w:szCs w:val="21"/>
          <w:highlight w:val="none"/>
        </w:rPr>
      </w:pPr>
    </w:p>
    <w:p w14:paraId="73DA2774">
      <w:pPr>
        <w:topLinePunct/>
        <w:spacing w:line="440" w:lineRule="exact"/>
        <w:rPr>
          <w:rFonts w:hint="eastAsia"/>
          <w:b/>
          <w:szCs w:val="21"/>
          <w:highlight w:val="none"/>
          <w:u w:val="single"/>
        </w:rPr>
      </w:pPr>
      <w:r>
        <w:rPr>
          <w:rFonts w:hint="eastAsia"/>
          <w:b/>
          <w:szCs w:val="21"/>
          <w:highlight w:val="none"/>
        </w:rPr>
        <w:t>项目编号：</w:t>
      </w:r>
      <w:r>
        <w:rPr>
          <w:rFonts w:hint="eastAsia"/>
          <w:b/>
          <w:szCs w:val="21"/>
          <w:highlight w:val="none"/>
          <w:u w:val="single"/>
        </w:rPr>
        <w:t xml:space="preserve">                           </w:t>
      </w:r>
    </w:p>
    <w:p w14:paraId="13288926">
      <w:pPr>
        <w:topLinePunct/>
        <w:spacing w:line="440" w:lineRule="exact"/>
        <w:rPr>
          <w:rFonts w:hint="eastAsia"/>
          <w:b/>
          <w:szCs w:val="21"/>
          <w:highlight w:val="none"/>
        </w:rPr>
      </w:pPr>
      <w:r>
        <w:rPr>
          <w:rFonts w:hint="eastAsia"/>
          <w:b/>
          <w:szCs w:val="21"/>
          <w:highlight w:val="none"/>
        </w:rPr>
        <w:t>投标人名称：</w:t>
      </w:r>
      <w:r>
        <w:rPr>
          <w:rFonts w:hint="eastAsia"/>
          <w:b/>
          <w:szCs w:val="21"/>
          <w:highlight w:val="none"/>
          <w:u w:val="single"/>
        </w:rPr>
        <w:t xml:space="preserve">                          </w:t>
      </w:r>
      <w:r>
        <w:rPr>
          <w:rFonts w:hint="eastAsia"/>
          <w:b/>
          <w:szCs w:val="21"/>
          <w:highlight w:val="none"/>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C6B4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152241F6">
            <w:pPr>
              <w:snapToGrid w:val="0"/>
              <w:spacing w:before="50" w:after="156" w:afterLines="50" w:line="400" w:lineRule="exact"/>
              <w:rPr>
                <w:rFonts w:hint="eastAsia"/>
                <w:szCs w:val="21"/>
                <w:highlight w:val="none"/>
              </w:rPr>
            </w:pPr>
            <w:r>
              <w:rPr>
                <w:rFonts w:hint="eastAsia"/>
                <w:szCs w:val="21"/>
                <w:highlight w:val="none"/>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5E4934F6">
            <w:pPr>
              <w:snapToGrid w:val="0"/>
              <w:spacing w:before="50" w:after="156" w:afterLines="50" w:line="400" w:lineRule="exact"/>
              <w:jc w:val="center"/>
              <w:rPr>
                <w:rFonts w:hint="eastAsia"/>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39819CDB">
            <w:pPr>
              <w:snapToGrid w:val="0"/>
              <w:spacing w:before="50" w:after="156" w:afterLines="50" w:line="400" w:lineRule="exact"/>
              <w:jc w:val="center"/>
              <w:rPr>
                <w:rFonts w:hint="eastAsia"/>
                <w:szCs w:val="21"/>
                <w:highlight w:val="none"/>
              </w:rPr>
            </w:pPr>
            <w:r>
              <w:rPr>
                <w:rFonts w:hint="eastAsia"/>
                <w:szCs w:val="21"/>
                <w:highlight w:val="none"/>
              </w:rPr>
              <w:t>备注</w:t>
            </w:r>
          </w:p>
        </w:tc>
      </w:tr>
      <w:tr w14:paraId="74291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7BC5A414">
            <w:pPr>
              <w:snapToGrid w:val="0"/>
              <w:spacing w:before="50" w:after="156" w:afterLines="50" w:line="400" w:lineRule="exact"/>
              <w:rPr>
                <w:rFonts w:hint="eastAsia"/>
                <w:szCs w:val="21"/>
                <w:highlight w:val="none"/>
              </w:rPr>
            </w:pPr>
            <w:r>
              <w:rPr>
                <w:rFonts w:hint="eastAsia"/>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68349018">
            <w:pPr>
              <w:snapToGrid w:val="0"/>
              <w:spacing w:before="50" w:after="156" w:afterLines="50" w:line="400" w:lineRule="exact"/>
              <w:jc w:val="center"/>
              <w:rPr>
                <w:rFonts w:hint="eastAsia"/>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4388DA3C">
            <w:pPr>
              <w:jc w:val="center"/>
              <w:rPr>
                <w:rFonts w:hint="eastAsia"/>
                <w:szCs w:val="21"/>
                <w:highlight w:val="none"/>
              </w:rPr>
            </w:pPr>
          </w:p>
        </w:tc>
      </w:tr>
      <w:tr w14:paraId="74AF6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6749799">
            <w:pPr>
              <w:snapToGrid w:val="0"/>
              <w:spacing w:before="50" w:after="156" w:afterLines="50" w:line="400" w:lineRule="exact"/>
              <w:rPr>
                <w:rFonts w:hint="eastAsia"/>
                <w:szCs w:val="21"/>
                <w:highlight w:val="none"/>
              </w:rPr>
            </w:pPr>
            <w:r>
              <w:rPr>
                <w:rFonts w:hint="eastAsia"/>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21E8C08B">
            <w:pPr>
              <w:snapToGrid w:val="0"/>
              <w:spacing w:before="50" w:after="156" w:afterLines="50" w:line="400" w:lineRule="exact"/>
              <w:jc w:val="left"/>
              <w:rPr>
                <w:rFonts w:hint="eastAsia"/>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792F66EA">
            <w:pPr>
              <w:snapToGrid w:val="0"/>
              <w:spacing w:before="50" w:after="156" w:afterLines="50" w:line="400" w:lineRule="exact"/>
              <w:rPr>
                <w:rFonts w:hint="eastAsia"/>
                <w:szCs w:val="21"/>
                <w:highlight w:val="none"/>
              </w:rPr>
            </w:pPr>
            <w:r>
              <w:rPr>
                <w:rFonts w:hint="eastAsia"/>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2A8C17B8">
            <w:pPr>
              <w:snapToGrid w:val="0"/>
              <w:spacing w:before="50" w:after="156" w:afterLines="50" w:line="400" w:lineRule="exact"/>
              <w:jc w:val="left"/>
              <w:rPr>
                <w:rFonts w:hint="eastAsia"/>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5B76B94C">
            <w:pPr>
              <w:snapToGrid w:val="0"/>
              <w:spacing w:before="50" w:after="156" w:afterLines="50" w:line="400" w:lineRule="exact"/>
              <w:rPr>
                <w:rFonts w:hint="eastAsia"/>
                <w:szCs w:val="21"/>
                <w:highlight w:val="none"/>
              </w:rPr>
            </w:pPr>
            <w:r>
              <w:rPr>
                <w:rFonts w:hint="eastAsia"/>
                <w:szCs w:val="21"/>
                <w:highlight w:val="none"/>
              </w:rPr>
              <w:t>提供相关证明材料（如：营业执照或租房合同等）</w:t>
            </w:r>
          </w:p>
        </w:tc>
      </w:tr>
      <w:tr w14:paraId="1BAC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9451D46">
            <w:pPr>
              <w:snapToGrid w:val="0"/>
              <w:spacing w:before="50" w:after="156" w:afterLines="50" w:line="400" w:lineRule="exact"/>
              <w:rPr>
                <w:rFonts w:hint="eastAsia"/>
                <w:szCs w:val="21"/>
                <w:highlight w:val="none"/>
              </w:rPr>
            </w:pPr>
            <w:r>
              <w:rPr>
                <w:rFonts w:hint="eastAsia"/>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3B80B32A">
            <w:pPr>
              <w:snapToGrid w:val="0"/>
              <w:spacing w:before="50" w:after="156" w:afterLines="50" w:line="400" w:lineRule="exact"/>
              <w:jc w:val="left"/>
              <w:rPr>
                <w:rFonts w:hint="eastAsia"/>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53661697">
            <w:pPr>
              <w:snapToGrid w:val="0"/>
              <w:spacing w:before="50" w:after="156" w:afterLines="50" w:line="400" w:lineRule="exact"/>
              <w:rPr>
                <w:rFonts w:hint="eastAsia"/>
                <w:szCs w:val="21"/>
                <w:highlight w:val="none"/>
              </w:rPr>
            </w:pPr>
            <w:r>
              <w:rPr>
                <w:rFonts w:hint="eastAsia"/>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0E7D91E0">
            <w:pPr>
              <w:snapToGrid w:val="0"/>
              <w:spacing w:before="50" w:after="156" w:afterLines="50" w:line="400" w:lineRule="exact"/>
              <w:jc w:val="left"/>
              <w:rPr>
                <w:rFonts w:hint="eastAsia"/>
                <w:szCs w:val="21"/>
                <w:highlight w:val="none"/>
              </w:rPr>
            </w:pPr>
          </w:p>
        </w:tc>
        <w:tc>
          <w:tcPr>
            <w:tcW w:w="2048" w:type="dxa"/>
            <w:vMerge w:val="continue"/>
            <w:tcBorders>
              <w:left w:val="single" w:color="auto" w:sz="4" w:space="0"/>
              <w:right w:val="single" w:color="auto" w:sz="4" w:space="0"/>
            </w:tcBorders>
            <w:vAlign w:val="center"/>
          </w:tcPr>
          <w:p w14:paraId="0251EAE3">
            <w:pPr>
              <w:snapToGrid w:val="0"/>
              <w:spacing w:before="50" w:after="156" w:afterLines="50" w:line="400" w:lineRule="exact"/>
              <w:rPr>
                <w:rFonts w:hint="eastAsia"/>
                <w:szCs w:val="21"/>
                <w:highlight w:val="none"/>
              </w:rPr>
            </w:pPr>
          </w:p>
        </w:tc>
      </w:tr>
      <w:tr w14:paraId="5E4BA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BCAEB35">
            <w:pPr>
              <w:snapToGrid w:val="0"/>
              <w:spacing w:before="50" w:after="156" w:afterLines="50" w:line="400" w:lineRule="exact"/>
              <w:rPr>
                <w:rFonts w:hint="eastAsia"/>
                <w:szCs w:val="21"/>
                <w:highlight w:val="none"/>
              </w:rPr>
            </w:pPr>
            <w:r>
              <w:rPr>
                <w:rFonts w:hint="eastAsia"/>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2AE3901">
            <w:pPr>
              <w:snapToGrid w:val="0"/>
              <w:spacing w:before="50" w:after="156" w:afterLines="50" w:line="400" w:lineRule="exact"/>
              <w:jc w:val="left"/>
              <w:rPr>
                <w:rFonts w:hint="eastAsia"/>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30CDB2A8">
            <w:pPr>
              <w:snapToGrid w:val="0"/>
              <w:spacing w:before="50" w:after="156" w:afterLines="50" w:line="400" w:lineRule="exact"/>
              <w:rPr>
                <w:rFonts w:hint="eastAsia"/>
                <w:szCs w:val="21"/>
                <w:highlight w:val="none"/>
              </w:rPr>
            </w:pPr>
          </w:p>
        </w:tc>
      </w:tr>
      <w:tr w14:paraId="5CA20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691266C">
            <w:pPr>
              <w:snapToGrid w:val="0"/>
              <w:spacing w:before="50" w:after="156" w:afterLines="50" w:line="400" w:lineRule="exact"/>
              <w:rPr>
                <w:rFonts w:hint="eastAsia"/>
                <w:szCs w:val="21"/>
                <w:highlight w:val="none"/>
              </w:rPr>
            </w:pPr>
            <w:r>
              <w:rPr>
                <w:rFonts w:hint="eastAsia"/>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97BBEB8">
            <w:pPr>
              <w:snapToGrid w:val="0"/>
              <w:spacing w:before="50" w:after="156" w:afterLines="50" w:line="400" w:lineRule="exact"/>
              <w:jc w:val="left"/>
              <w:rPr>
                <w:rFonts w:hint="eastAsia"/>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7B508F9A">
            <w:pPr>
              <w:snapToGrid w:val="0"/>
              <w:spacing w:before="50" w:after="156" w:afterLines="50" w:line="400" w:lineRule="exact"/>
              <w:rPr>
                <w:rFonts w:hint="eastAsia"/>
                <w:szCs w:val="21"/>
                <w:highlight w:val="none"/>
              </w:rPr>
            </w:pPr>
            <w:r>
              <w:rPr>
                <w:rFonts w:hint="eastAsia"/>
                <w:szCs w:val="21"/>
                <w:highlight w:val="none"/>
              </w:rPr>
              <w:t>提供相关证明材料</w:t>
            </w:r>
          </w:p>
        </w:tc>
      </w:tr>
      <w:tr w14:paraId="2731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E667512">
            <w:pPr>
              <w:snapToGrid w:val="0"/>
              <w:spacing w:before="50" w:after="156" w:afterLines="50" w:line="400" w:lineRule="exact"/>
              <w:rPr>
                <w:rFonts w:hint="eastAsia"/>
                <w:szCs w:val="21"/>
                <w:highlight w:val="none"/>
              </w:rPr>
            </w:pPr>
            <w:r>
              <w:rPr>
                <w:rFonts w:hint="eastAsia"/>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4BA61F49">
            <w:pPr>
              <w:snapToGrid w:val="0"/>
              <w:spacing w:before="50" w:after="156" w:afterLines="50" w:line="400" w:lineRule="exact"/>
              <w:jc w:val="left"/>
              <w:rPr>
                <w:rFonts w:hint="eastAsia"/>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3F0B1500">
            <w:pPr>
              <w:snapToGrid w:val="0"/>
              <w:spacing w:before="50" w:after="156" w:afterLines="50" w:line="400" w:lineRule="exact"/>
              <w:rPr>
                <w:rFonts w:hint="eastAsia"/>
                <w:szCs w:val="21"/>
                <w:highlight w:val="none"/>
              </w:rPr>
            </w:pPr>
            <w:r>
              <w:rPr>
                <w:rFonts w:hint="eastAsia"/>
                <w:szCs w:val="21"/>
                <w:highlight w:val="none"/>
              </w:rPr>
              <w:t>此部分内容做附件进行详细说明</w:t>
            </w:r>
          </w:p>
        </w:tc>
      </w:tr>
      <w:tr w14:paraId="21AD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21126F5">
            <w:pPr>
              <w:snapToGrid w:val="0"/>
              <w:spacing w:before="50" w:after="156" w:afterLines="50" w:line="400" w:lineRule="exact"/>
              <w:rPr>
                <w:rFonts w:hint="eastAsia"/>
                <w:szCs w:val="21"/>
                <w:highlight w:val="none"/>
              </w:rPr>
            </w:pPr>
            <w:r>
              <w:rPr>
                <w:rFonts w:hint="eastAsia"/>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57105314">
            <w:pPr>
              <w:snapToGrid w:val="0"/>
              <w:spacing w:before="50" w:after="156" w:afterLines="50" w:line="400" w:lineRule="exact"/>
              <w:jc w:val="left"/>
              <w:rPr>
                <w:rFonts w:hint="eastAsia"/>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28500A72">
            <w:pPr>
              <w:snapToGrid w:val="0"/>
              <w:spacing w:before="50" w:after="156" w:afterLines="50" w:line="400" w:lineRule="exact"/>
              <w:rPr>
                <w:rFonts w:hint="eastAsia"/>
                <w:szCs w:val="21"/>
                <w:highlight w:val="none"/>
              </w:rPr>
            </w:pPr>
          </w:p>
        </w:tc>
      </w:tr>
      <w:tr w14:paraId="63F9F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9D2A5FD">
            <w:pPr>
              <w:snapToGrid w:val="0"/>
              <w:spacing w:before="50" w:after="156" w:afterLines="50" w:line="400" w:lineRule="exact"/>
              <w:rPr>
                <w:rFonts w:hint="eastAsia"/>
                <w:szCs w:val="21"/>
                <w:highlight w:val="none"/>
              </w:rPr>
            </w:pPr>
            <w:r>
              <w:rPr>
                <w:rFonts w:hint="eastAsia"/>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4136901C">
            <w:pPr>
              <w:snapToGrid w:val="0"/>
              <w:spacing w:before="50" w:after="156" w:afterLines="50" w:line="400" w:lineRule="exact"/>
              <w:jc w:val="left"/>
              <w:rPr>
                <w:rFonts w:hint="eastAsia"/>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5435AA9">
            <w:pPr>
              <w:snapToGrid w:val="0"/>
              <w:spacing w:before="50" w:after="156" w:afterLines="50" w:line="400" w:lineRule="exact"/>
              <w:rPr>
                <w:rFonts w:hint="eastAsia"/>
                <w:szCs w:val="21"/>
                <w:highlight w:val="none"/>
              </w:rPr>
            </w:pPr>
            <w:r>
              <w:rPr>
                <w:rFonts w:hint="eastAsia"/>
                <w:szCs w:val="21"/>
                <w:highlight w:val="none"/>
              </w:rPr>
              <w:t>提供相关证明材料</w:t>
            </w:r>
          </w:p>
        </w:tc>
      </w:tr>
      <w:tr w14:paraId="27417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6EF9033">
            <w:pPr>
              <w:snapToGrid w:val="0"/>
              <w:spacing w:before="50" w:after="156" w:afterLines="50" w:line="400" w:lineRule="exact"/>
              <w:rPr>
                <w:rFonts w:hint="eastAsia"/>
                <w:szCs w:val="21"/>
                <w:highlight w:val="none"/>
              </w:rPr>
            </w:pPr>
            <w:r>
              <w:rPr>
                <w:rFonts w:hint="eastAsia"/>
                <w:szCs w:val="21"/>
                <w:highlight w:val="none"/>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2F7BBC03">
            <w:pPr>
              <w:snapToGrid w:val="0"/>
              <w:spacing w:before="50" w:after="156" w:afterLines="50" w:line="400" w:lineRule="exact"/>
              <w:jc w:val="left"/>
              <w:rPr>
                <w:rFonts w:hint="eastAsia"/>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38E87D82">
            <w:pPr>
              <w:snapToGrid w:val="0"/>
              <w:spacing w:before="50" w:after="156" w:afterLines="50" w:line="400" w:lineRule="exact"/>
              <w:ind w:firstLine="240" w:firstLineChars="100"/>
              <w:jc w:val="left"/>
              <w:rPr>
                <w:rFonts w:hint="eastAsia"/>
                <w:szCs w:val="21"/>
                <w:highlight w:val="none"/>
              </w:rPr>
            </w:pPr>
            <w:r>
              <w:rPr>
                <w:rFonts w:hint="eastAsia"/>
                <w:szCs w:val="21"/>
                <w:highlight w:val="none"/>
              </w:rPr>
              <w:t>传</w:t>
            </w:r>
            <w:r>
              <w:rPr>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4A23A377">
            <w:pPr>
              <w:snapToGrid w:val="0"/>
              <w:spacing w:before="50" w:after="156" w:afterLines="50" w:line="400" w:lineRule="exact"/>
              <w:jc w:val="left"/>
              <w:rPr>
                <w:rFonts w:hint="eastAsia"/>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5442F1C2">
            <w:pPr>
              <w:snapToGrid w:val="0"/>
              <w:spacing w:before="50" w:after="156" w:afterLines="50" w:line="400" w:lineRule="exact"/>
              <w:rPr>
                <w:rFonts w:hint="eastAsia"/>
                <w:szCs w:val="21"/>
                <w:highlight w:val="none"/>
              </w:rPr>
            </w:pPr>
            <w:r>
              <w:rPr>
                <w:rFonts w:hint="eastAsia"/>
                <w:szCs w:val="21"/>
                <w:highlight w:val="none"/>
              </w:rPr>
              <w:t>附人员身份证等相关证件</w:t>
            </w:r>
          </w:p>
        </w:tc>
      </w:tr>
      <w:tr w14:paraId="10F9F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68D01F4">
            <w:pPr>
              <w:snapToGrid w:val="0"/>
              <w:spacing w:before="50" w:after="156" w:afterLines="50" w:line="400" w:lineRule="exact"/>
              <w:rPr>
                <w:rFonts w:hint="eastAsia"/>
                <w:szCs w:val="21"/>
                <w:highlight w:val="none"/>
              </w:rPr>
            </w:pPr>
            <w:r>
              <w:rPr>
                <w:rFonts w:hint="eastAsia"/>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3A90A995">
            <w:pPr>
              <w:snapToGrid w:val="0"/>
              <w:spacing w:before="50" w:after="156" w:afterLines="50" w:line="400" w:lineRule="exact"/>
              <w:jc w:val="left"/>
              <w:rPr>
                <w:rFonts w:hint="eastAsia"/>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AC69EF5">
            <w:pPr>
              <w:snapToGrid w:val="0"/>
              <w:spacing w:before="50" w:after="156" w:afterLines="50" w:line="400" w:lineRule="exact"/>
              <w:jc w:val="left"/>
              <w:rPr>
                <w:rFonts w:hint="eastAsia"/>
                <w:szCs w:val="21"/>
                <w:highlight w:val="none"/>
              </w:rPr>
            </w:pPr>
            <w:r>
              <w:rPr>
                <w:rFonts w:hint="eastAsia"/>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10CCF114">
            <w:pPr>
              <w:snapToGrid w:val="0"/>
              <w:spacing w:before="50" w:after="156" w:afterLines="50" w:line="400" w:lineRule="exact"/>
              <w:jc w:val="left"/>
              <w:rPr>
                <w:rFonts w:hint="eastAsia"/>
                <w:szCs w:val="21"/>
                <w:highlight w:val="none"/>
              </w:rPr>
            </w:pPr>
          </w:p>
        </w:tc>
        <w:tc>
          <w:tcPr>
            <w:tcW w:w="2048" w:type="dxa"/>
            <w:vMerge w:val="continue"/>
            <w:tcBorders>
              <w:left w:val="single" w:color="auto" w:sz="2" w:space="0"/>
              <w:bottom w:val="single" w:color="auto" w:sz="4" w:space="0"/>
              <w:right w:val="single" w:color="auto" w:sz="4" w:space="0"/>
            </w:tcBorders>
          </w:tcPr>
          <w:p w14:paraId="2149381A">
            <w:pPr>
              <w:snapToGrid w:val="0"/>
              <w:spacing w:before="50" w:after="156" w:afterLines="50" w:line="400" w:lineRule="exact"/>
              <w:jc w:val="left"/>
              <w:rPr>
                <w:rFonts w:hint="eastAsia"/>
                <w:szCs w:val="21"/>
                <w:highlight w:val="none"/>
              </w:rPr>
            </w:pPr>
          </w:p>
        </w:tc>
      </w:tr>
    </w:tbl>
    <w:p w14:paraId="611AAE34">
      <w:pPr>
        <w:spacing w:line="440" w:lineRule="exact"/>
        <w:jc w:val="right"/>
        <w:rPr>
          <w:rFonts w:hint="eastAsia"/>
          <w:szCs w:val="21"/>
          <w:highlight w:val="none"/>
        </w:rPr>
      </w:pPr>
    </w:p>
    <w:p w14:paraId="5799F5A1">
      <w:pPr>
        <w:pStyle w:val="25"/>
        <w:adjustRightInd w:val="0"/>
        <w:snapToGrid w:val="0"/>
        <w:spacing w:line="360" w:lineRule="auto"/>
        <w:rPr>
          <w:rFonts w:hint="eastAsia"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4870FB2D">
      <w:pPr>
        <w:adjustRightInd w:val="0"/>
        <w:snapToGrid w:val="0"/>
        <w:rPr>
          <w:rFonts w:hint="eastAsia"/>
          <w:szCs w:val="21"/>
          <w:highlight w:val="none"/>
        </w:rPr>
      </w:pPr>
      <w:r>
        <w:rPr>
          <w:rFonts w:hint="eastAsia"/>
          <w:szCs w:val="21"/>
          <w:highlight w:val="none"/>
        </w:rPr>
        <w:t>法定代表人或其委托代理人(签字或盖章)：</w:t>
      </w:r>
      <w:r>
        <w:rPr>
          <w:rFonts w:hint="eastAsia"/>
          <w:szCs w:val="21"/>
          <w:highlight w:val="none"/>
          <w:u w:val="single"/>
        </w:rPr>
        <w:t xml:space="preserve">                   </w:t>
      </w:r>
    </w:p>
    <w:p w14:paraId="3160D773">
      <w:pPr>
        <w:pStyle w:val="24"/>
        <w:adjustRightInd w:val="0"/>
        <w:snapToGrid w:val="0"/>
        <w:spacing w:line="360" w:lineRule="auto"/>
        <w:jc w:val="center"/>
        <w:rPr>
          <w:rFonts w:hint="eastAsia" w:ascii="宋体" w:hAnsi="宋体"/>
          <w:szCs w:val="21"/>
          <w:highlight w:val="none"/>
        </w:rPr>
      </w:pPr>
      <w:r>
        <w:rPr>
          <w:rFonts w:hint="eastAsia" w:hAnsi="宋体"/>
          <w:highlight w:val="none"/>
        </w:rPr>
        <w:t xml:space="preserve">日          期： </w:t>
      </w:r>
      <w:r>
        <w:rPr>
          <w:rFonts w:hint="eastAsia" w:hAnsi="宋体"/>
          <w:highlight w:val="none"/>
          <w:u w:val="single"/>
        </w:rPr>
        <w:t xml:space="preserve">     </w:t>
      </w:r>
      <w:r>
        <w:rPr>
          <w:rFonts w:hint="eastAsia" w:hAnsi="宋体"/>
          <w:highlight w:val="none"/>
        </w:rPr>
        <w:t xml:space="preserve"> 年 </w:t>
      </w:r>
      <w:r>
        <w:rPr>
          <w:rFonts w:hint="eastAsia" w:hAnsi="宋体"/>
          <w:highlight w:val="none"/>
          <w:u w:val="single"/>
        </w:rPr>
        <w:t xml:space="preserve">    </w:t>
      </w:r>
      <w:r>
        <w:rPr>
          <w:rFonts w:hint="eastAsia" w:hAnsi="宋体"/>
          <w:highlight w:val="none"/>
        </w:rPr>
        <w:t xml:space="preserve"> 月 </w:t>
      </w:r>
      <w:r>
        <w:rPr>
          <w:rFonts w:hint="eastAsia" w:hAnsi="宋体"/>
          <w:highlight w:val="none"/>
          <w:u w:val="single"/>
        </w:rPr>
        <w:t xml:space="preserve">   </w:t>
      </w:r>
      <w:r>
        <w:rPr>
          <w:rFonts w:hint="eastAsia" w:hAnsi="宋体"/>
          <w:highlight w:val="none"/>
        </w:rPr>
        <w:t xml:space="preserve"> 日</w:t>
      </w:r>
      <w:r>
        <w:rPr>
          <w:rFonts w:hint="eastAsia" w:ascii="宋体" w:hAnsi="宋体"/>
          <w:szCs w:val="21"/>
          <w:highlight w:val="none"/>
        </w:rPr>
        <w:t xml:space="preserve"> </w:t>
      </w:r>
    </w:p>
    <w:p w14:paraId="6B36120B">
      <w:pPr>
        <w:pStyle w:val="3"/>
        <w:numPr>
          <w:ilvl w:val="0"/>
          <w:numId w:val="0"/>
        </w:numPr>
        <w:ind w:left="576" w:hanging="576"/>
        <w:jc w:val="center"/>
        <w:rPr>
          <w:rFonts w:hint="eastAsia" w:ascii="宋体" w:hAnsi="宋体"/>
          <w:highlight w:val="none"/>
        </w:rPr>
      </w:pPr>
      <w:r>
        <w:rPr>
          <w:rFonts w:ascii="宋体" w:hAnsi="宋体"/>
          <w:szCs w:val="21"/>
          <w:highlight w:val="none"/>
        </w:rPr>
        <w:br w:type="page"/>
      </w:r>
      <w:bookmarkStart w:id="243" w:name="_Toc38878808"/>
      <w:r>
        <w:rPr>
          <w:rFonts w:hint="eastAsia" w:ascii="宋体" w:hAnsi="宋体"/>
          <w:highlight w:val="none"/>
        </w:rPr>
        <w:t>八、</w:t>
      </w:r>
      <w:bookmarkStart w:id="244" w:name="_Toc420948032"/>
      <w:r>
        <w:rPr>
          <w:rFonts w:hint="eastAsia" w:ascii="宋体" w:hAnsi="宋体"/>
          <w:highlight w:val="none"/>
        </w:rPr>
        <w:t>投标人认为需要提供的其它资料</w:t>
      </w:r>
      <w:bookmarkEnd w:id="243"/>
      <w:bookmarkEnd w:id="244"/>
    </w:p>
    <w:p w14:paraId="52B07146">
      <w:pPr>
        <w:pStyle w:val="24"/>
        <w:snapToGrid w:val="0"/>
        <w:spacing w:before="295" w:after="295"/>
        <w:rPr>
          <w:rFonts w:hint="eastAsia" w:hAnsi="宋体"/>
          <w:bCs/>
          <w:highlight w:val="none"/>
        </w:rPr>
        <w:sectPr>
          <w:headerReference r:id="rId14" w:type="default"/>
          <w:footerReference r:id="rId15" w:type="even"/>
          <w:pgSz w:w="11906" w:h="16838"/>
          <w:pgMar w:top="1440" w:right="1800" w:bottom="1440" w:left="1800" w:header="851" w:footer="992" w:gutter="0"/>
          <w:cols w:space="720" w:num="1"/>
          <w:docGrid w:type="lines" w:linePitch="312" w:charSpace="0"/>
        </w:sectPr>
      </w:pPr>
    </w:p>
    <w:p w14:paraId="20EE9BB1">
      <w:pPr>
        <w:pStyle w:val="3"/>
        <w:numPr>
          <w:ilvl w:val="0"/>
          <w:numId w:val="0"/>
        </w:numPr>
        <w:ind w:left="576" w:hanging="576"/>
        <w:rPr>
          <w:rFonts w:hint="eastAsia" w:ascii="宋体" w:hAnsi="宋体"/>
          <w:highlight w:val="none"/>
        </w:rPr>
      </w:pPr>
    </w:p>
    <w:p w14:paraId="3AC03B02">
      <w:pPr>
        <w:pStyle w:val="86"/>
        <w:ind w:firstLine="0" w:firstLineChars="0"/>
        <w:rPr>
          <w:rFonts w:hint="eastAsia"/>
          <w:highlight w:val="none"/>
        </w:rPr>
      </w:pPr>
    </w:p>
    <w:sectPr>
      <w:headerReference r:id="rId16" w:type="default"/>
      <w:footerReference r:id="rId17" w:type="default"/>
      <w:pgSz w:w="11906" w:h="16838"/>
      <w:pgMar w:top="1134" w:right="1474" w:bottom="1134" w:left="1474" w:header="851" w:footer="680" w:gutter="0"/>
      <w:pgNumType w:start="1"/>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ail">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Adobe 宋体 Std L">
    <w:altName w:val="宋体"/>
    <w:panose1 w:val="00000000000000000000"/>
    <w:charset w:val="86"/>
    <w:family w:val="roman"/>
    <w:pitch w:val="default"/>
    <w:sig w:usb0="00000000" w:usb1="00000000" w:usb2="00000016" w:usb3="00000000" w:csb0="00060007" w:csb1="00000000"/>
  </w:font>
  <w:font w:name="Segoe UI Symbol">
    <w:panose1 w:val="020B0502040204020203"/>
    <w:charset w:val="00"/>
    <w:family w:val="swiss"/>
    <w:pitch w:val="default"/>
    <w:sig w:usb0="8000006F" w:usb1="1200FBEF" w:usb2="0004C000" w:usb3="00000000" w:csb0="00000001" w:csb1="40000000"/>
  </w:font>
  <w:font w:name="Helvetica">
    <w:altName w:val="Arial"/>
    <w:panose1 w:val="020B0504020202020204"/>
    <w:charset w:val="00"/>
    <w:family w:val="swiss"/>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64B0">
    <w:pPr>
      <w:pStyle w:val="28"/>
      <w:framePr w:wrap="around" w:vAnchor="text" w:hAnchor="margin" w:xAlign="center" w:y="1"/>
      <w:rPr>
        <w:rStyle w:val="48"/>
        <w:rFonts w:hint="eastAsia"/>
      </w:rPr>
    </w:pPr>
    <w:r>
      <w:fldChar w:fldCharType="begin"/>
    </w:r>
    <w:r>
      <w:rPr>
        <w:rStyle w:val="48"/>
      </w:rPr>
      <w:instrText xml:space="preserve">PAGE  </w:instrText>
    </w:r>
    <w:r>
      <w:fldChar w:fldCharType="separate"/>
    </w:r>
    <w:r>
      <w:rPr>
        <w:rStyle w:val="48"/>
      </w:rPr>
      <w:t>2</w:t>
    </w:r>
    <w:r>
      <w:fldChar w:fldCharType="end"/>
    </w:r>
  </w:p>
  <w:p w14:paraId="08C076A1">
    <w:pPr>
      <w:pStyle w:val="28"/>
      <w:ind w:left="180" w:hanging="180" w:hangingChars="100"/>
      <w:jc w:val="center"/>
      <w:rPr>
        <w:rFonts w:hint="eastAsia" w:eastAsia="楷体_GB2312"/>
      </w:rPr>
    </w:pPr>
    <w:r>
      <w:rPr>
        <w:rFonts w:eastAsia="楷体_GB2312"/>
      </w:rPr>
      <w:tab/>
    </w:r>
    <w:r>
      <w:rPr>
        <w:rFonts w:eastAsia="楷体_GB2312"/>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339B">
    <w:pPr>
      <w:pStyle w:val="28"/>
      <w:framePr w:wrap="around" w:vAnchor="text" w:hAnchor="margin" w:xAlign="center" w:y="1"/>
      <w:rPr>
        <w:rStyle w:val="48"/>
        <w:rFonts w:hint="eastAsia"/>
      </w:rPr>
    </w:pPr>
    <w:r>
      <w:fldChar w:fldCharType="begin"/>
    </w:r>
    <w:r>
      <w:rPr>
        <w:rStyle w:val="48"/>
      </w:rPr>
      <w:instrText xml:space="preserve">PAGE  </w:instrText>
    </w:r>
    <w:r>
      <w:fldChar w:fldCharType="end"/>
    </w:r>
  </w:p>
  <w:p w14:paraId="40A2A82F">
    <w:pPr>
      <w:pStyle w:val="2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2A39">
    <w:pPr>
      <w:pStyle w:val="28"/>
      <w:framePr w:wrap="around" w:vAnchor="text" w:hAnchor="margin" w:xAlign="center" w:y="1"/>
      <w:rPr>
        <w:rStyle w:val="48"/>
        <w:rFonts w:hint="eastAsia"/>
      </w:rPr>
    </w:pPr>
    <w:r>
      <w:fldChar w:fldCharType="begin"/>
    </w:r>
    <w:r>
      <w:rPr>
        <w:rStyle w:val="48"/>
      </w:rPr>
      <w:instrText xml:space="preserve">PAGE  </w:instrText>
    </w:r>
    <w:r>
      <w:fldChar w:fldCharType="end"/>
    </w:r>
  </w:p>
  <w:p w14:paraId="60937804">
    <w:pPr>
      <w:pStyle w:val="2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E5B3">
    <w:pPr>
      <w:pStyle w:val="28"/>
      <w:jc w:val="center"/>
      <w:rPr>
        <w:rFonts w:hint="eastAsia"/>
      </w:rPr>
    </w:pPr>
    <w:r>
      <w:rPr>
        <w:rFonts w:hint="eastAsia"/>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26EB">
    <w:pPr>
      <w:pStyle w:val="28"/>
      <w:framePr w:wrap="around" w:vAnchor="text" w:hAnchor="margin" w:xAlign="center" w:y="1"/>
      <w:rPr>
        <w:rStyle w:val="48"/>
        <w:rFonts w:hint="eastAsia"/>
      </w:rPr>
    </w:pPr>
    <w:r>
      <w:fldChar w:fldCharType="begin"/>
    </w:r>
    <w:r>
      <w:rPr>
        <w:rStyle w:val="48"/>
      </w:rPr>
      <w:instrText xml:space="preserve">PAGE  </w:instrText>
    </w:r>
    <w:r>
      <w:fldChar w:fldCharType="separate"/>
    </w:r>
    <w:r>
      <w:rPr>
        <w:rStyle w:val="48"/>
      </w:rPr>
      <w:t>5</w:t>
    </w:r>
    <w:r>
      <w:fldChar w:fldCharType="end"/>
    </w:r>
  </w:p>
  <w:p w14:paraId="373CFDEE">
    <w:pPr>
      <w:pStyle w:val="28"/>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8146">
    <w:pPr>
      <w:ind w:right="360" w:firstLine="360"/>
      <w:rPr>
        <w:rFonts w:hint="eastAsia"/>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188</w:t>
    </w:r>
    <w:r>
      <w:rPr>
        <w:kern w:val="0"/>
        <w:sz w:val="28"/>
        <w:szCs w:val="28"/>
      </w:rPr>
      <w:fldChar w:fldCharType="end"/>
    </w:r>
    <w:r>
      <w:rPr>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6B7D">
    <w:pPr>
      <w:ind w:right="360" w:firstLine="360"/>
      <w:rPr>
        <w:rFonts w:hint="eastAsia"/>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188</w:t>
    </w:r>
    <w:r>
      <w:rPr>
        <w:kern w:val="0"/>
        <w:sz w:val="28"/>
        <w:szCs w:val="28"/>
      </w:rPr>
      <w:fldChar w:fldCharType="end"/>
    </w:r>
    <w:r>
      <w:rPr>
        <w:kern w:val="0"/>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FB7F">
    <w:pPr>
      <w:pStyle w:val="28"/>
      <w:pBdr>
        <w:top w:val="single" w:color="auto" w:sz="4" w:space="1"/>
      </w:pBdr>
      <w:tabs>
        <w:tab w:val="left" w:pos="4305"/>
        <w:tab w:val="center" w:pos="4659"/>
      </w:tabs>
      <w:ind w:firstLine="360"/>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71E1">
    <w:pPr>
      <w:pStyle w:val="29"/>
      <w:pBdr>
        <w:bottom w:val="none" w:color="auto" w:sz="0" w:space="0"/>
      </w:pBdr>
      <w:ind w:right="-94" w:rightChars="-3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F8E7">
    <w:pPr>
      <w:pStyle w:val="29"/>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2350">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B6C0">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05CB">
    <w:pPr>
      <w:pStyle w:val="29"/>
      <w:pBdr>
        <w:bottom w:val="single" w:color="auto" w:sz="6" w:space="0"/>
      </w:pBdr>
      <w:tabs>
        <w:tab w:val="left" w:pos="5700"/>
        <w:tab w:val="right" w:pos="8958"/>
      </w:tabs>
      <w:spacing w:line="240" w:lineRule="auto"/>
      <w:ind w:firstLine="360"/>
      <w:jc w:val="right"/>
      <w:rPr>
        <w:rFonts w:hint="eastAsia"/>
        <w:sz w:val="10"/>
        <w:szCs w:val="10"/>
      </w:rPr>
    </w:pPr>
    <w:r>
      <w:rPr>
        <w:rFonts w:hint="eastAsia"/>
      </w:rPr>
      <w:t>无</w:t>
    </w:r>
    <w:r>
      <w:t>公司标记</w:t>
    </w:r>
    <w:r>
      <w:rPr>
        <w:rFonts w:hint="eastAsia"/>
      </w:rPr>
      <w:t>版方案</w:t>
    </w:r>
    <w: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73F71"/>
    <w:multiLevelType w:val="singleLevel"/>
    <w:tmpl w:val="9CA73F71"/>
    <w:lvl w:ilvl="0" w:tentative="0">
      <w:start w:val="3"/>
      <w:numFmt w:val="decimal"/>
      <w:lvlText w:val="%1."/>
      <w:lvlJc w:val="left"/>
      <w:pPr>
        <w:tabs>
          <w:tab w:val="left" w:pos="312"/>
        </w:tabs>
      </w:pPr>
    </w:lvl>
  </w:abstractNum>
  <w:abstractNum w:abstractNumId="1">
    <w:nsid w:val="B4FDC480"/>
    <w:multiLevelType w:val="multilevel"/>
    <w:tmpl w:val="B4FDC480"/>
    <w:lvl w:ilvl="0" w:tentative="0">
      <w:start w:val="1"/>
      <w:numFmt w:val="decimal"/>
      <w:suff w:val="nothing"/>
      <w:lvlText w:val="%1、"/>
      <w:lvlJc w:val="left"/>
      <w:pPr>
        <w:ind w:left="0" w:firstLine="480"/>
      </w:pPr>
    </w:lvl>
    <w:lvl w:ilvl="1" w:tentative="0">
      <w:start w:val="1"/>
      <w:numFmt w:val="japaneseCounting"/>
      <w:lvlText w:val="%2、"/>
      <w:lvlJc w:val="left"/>
      <w:pPr>
        <w:ind w:left="1620" w:hanging="7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420707E"/>
    <w:multiLevelType w:val="multilevel"/>
    <w:tmpl w:val="0420707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264B54"/>
    <w:multiLevelType w:val="multilevel"/>
    <w:tmpl w:val="04264B5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095F02"/>
    <w:multiLevelType w:val="multilevel"/>
    <w:tmpl w:val="09095F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086E52"/>
    <w:multiLevelType w:val="multilevel"/>
    <w:tmpl w:val="0B086E5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6C1BB6"/>
    <w:multiLevelType w:val="multilevel"/>
    <w:tmpl w:val="146C1B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7C4526"/>
    <w:multiLevelType w:val="multilevel"/>
    <w:tmpl w:val="167C452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D34F1C"/>
    <w:multiLevelType w:val="multilevel"/>
    <w:tmpl w:val="16D34F1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455A25"/>
    <w:multiLevelType w:val="multilevel"/>
    <w:tmpl w:val="17455A2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91E4CA9"/>
    <w:multiLevelType w:val="multilevel"/>
    <w:tmpl w:val="191E4CA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76042F"/>
    <w:multiLevelType w:val="multilevel"/>
    <w:tmpl w:val="1976042F"/>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B4C5971"/>
    <w:multiLevelType w:val="multilevel"/>
    <w:tmpl w:val="1B4C59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8724B07"/>
    <w:multiLevelType w:val="multilevel"/>
    <w:tmpl w:val="28724B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288078CE"/>
    <w:multiLevelType w:val="multilevel"/>
    <w:tmpl w:val="288078CE"/>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29073E07"/>
    <w:multiLevelType w:val="multilevel"/>
    <w:tmpl w:val="29073E07"/>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917077E"/>
    <w:multiLevelType w:val="multilevel"/>
    <w:tmpl w:val="2917077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1A00A2B"/>
    <w:multiLevelType w:val="multilevel"/>
    <w:tmpl w:val="31A00A2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21228B9"/>
    <w:multiLevelType w:val="multilevel"/>
    <w:tmpl w:val="321228B9"/>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32466988"/>
    <w:multiLevelType w:val="multilevel"/>
    <w:tmpl w:val="3246698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335F6F47"/>
    <w:multiLevelType w:val="multilevel"/>
    <w:tmpl w:val="335F6F47"/>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35F37626"/>
    <w:multiLevelType w:val="multilevel"/>
    <w:tmpl w:val="35F376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702008"/>
    <w:multiLevelType w:val="multilevel"/>
    <w:tmpl w:val="36702008"/>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3B2369D2"/>
    <w:multiLevelType w:val="multilevel"/>
    <w:tmpl w:val="3B2369D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FD2C03"/>
    <w:multiLevelType w:val="multilevel"/>
    <w:tmpl w:val="3BFD2C0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3C7F1FBE"/>
    <w:multiLevelType w:val="multilevel"/>
    <w:tmpl w:val="3C7F1FBE"/>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3D0C34A8"/>
    <w:multiLevelType w:val="multilevel"/>
    <w:tmpl w:val="3D0C34A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DE125A5"/>
    <w:multiLevelType w:val="multilevel"/>
    <w:tmpl w:val="3DE125A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E8127CC"/>
    <w:multiLevelType w:val="multilevel"/>
    <w:tmpl w:val="3E8127CC"/>
    <w:lvl w:ilvl="0" w:tentative="0">
      <w:start w:val="1"/>
      <w:numFmt w:val="decimal"/>
      <w:lvlText w:val="%1."/>
      <w:lvlJc w:val="left"/>
      <w:pPr>
        <w:ind w:left="840" w:hanging="360"/>
      </w:pPr>
      <w:rPr>
        <w:rFonts w:hint="default" w:ascii="宋体" w:hAnsi="宋体" w:eastAsia="宋体"/>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3FFC7417"/>
    <w:multiLevelType w:val="multilevel"/>
    <w:tmpl w:val="3FFC7417"/>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40A65D23"/>
    <w:multiLevelType w:val="multilevel"/>
    <w:tmpl w:val="40A65D2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42E76438"/>
    <w:multiLevelType w:val="multilevel"/>
    <w:tmpl w:val="42E76438"/>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446937D7"/>
    <w:multiLevelType w:val="multilevel"/>
    <w:tmpl w:val="446937D7"/>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45146254"/>
    <w:multiLevelType w:val="multilevel"/>
    <w:tmpl w:val="4514625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46987AA2"/>
    <w:multiLevelType w:val="multilevel"/>
    <w:tmpl w:val="46987AA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6F5665D"/>
    <w:multiLevelType w:val="multilevel"/>
    <w:tmpl w:val="46F5665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9102E07"/>
    <w:multiLevelType w:val="multilevel"/>
    <w:tmpl w:val="49102E07"/>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49B73F8E"/>
    <w:multiLevelType w:val="multilevel"/>
    <w:tmpl w:val="49B73F8E"/>
    <w:lvl w:ilvl="0" w:tentative="0">
      <w:start w:val="1"/>
      <w:numFmt w:val="decimal"/>
      <w:pStyle w:val="2"/>
      <w:lvlText w:val="%1"/>
      <w:lvlJc w:val="left"/>
      <w:pPr>
        <w:ind w:left="420" w:hanging="420"/>
      </w:pPr>
      <w:rPr>
        <w:rFonts w:hint="eastAsia"/>
      </w:rPr>
    </w:lvl>
    <w:lvl w:ilvl="1" w:tentative="0">
      <w:start w:val="1"/>
      <w:numFmt w:val="decimal"/>
      <w:pStyle w:val="3"/>
      <w:isLgl/>
      <w:lvlText w:val="%1.%2"/>
      <w:lvlJc w:val="left"/>
      <w:pPr>
        <w:tabs>
          <w:tab w:val="left" w:pos="576"/>
        </w:tabs>
        <w:ind w:left="576" w:hanging="576"/>
      </w:pPr>
      <w:rPr>
        <w:rFonts w:hint="default" w:ascii="Times New Roman" w:hAnsi="Times New Roman" w:eastAsia="黑体"/>
      </w:rPr>
    </w:lvl>
    <w:lvl w:ilvl="2" w:tentative="0">
      <w:start w:val="1"/>
      <w:numFmt w:val="decimal"/>
      <w:pStyle w:val="4"/>
      <w:isLgl/>
      <w:lvlText w:val="%1.%2.%3"/>
      <w:lvlJc w:val="left"/>
      <w:pPr>
        <w:tabs>
          <w:tab w:val="left" w:pos="0"/>
        </w:tabs>
        <w:ind w:left="720" w:hanging="720"/>
      </w:pPr>
      <w:rPr>
        <w:rFonts w:hint="default" w:ascii="Times New Roman" w:hAnsi="Times New Roman" w:eastAsia="黑体"/>
      </w:rPr>
    </w:lvl>
    <w:lvl w:ilvl="3" w:tentative="0">
      <w:start w:val="1"/>
      <w:numFmt w:val="decimal"/>
      <w:pStyle w:val="5"/>
      <w:isLgl/>
      <w:lvlText w:val="%1.%2.%3.%4"/>
      <w:lvlJc w:val="left"/>
      <w:pPr>
        <w:tabs>
          <w:tab w:val="left" w:pos="864"/>
        </w:tabs>
        <w:ind w:left="864" w:hanging="864"/>
      </w:pPr>
      <w:rPr>
        <w:rFonts w:hint="eastAsia"/>
      </w:rPr>
    </w:lvl>
    <w:lvl w:ilvl="4" w:tentative="0">
      <w:start w:val="1"/>
      <w:numFmt w:val="decimal"/>
      <w:pStyle w:val="6"/>
      <w:isLgl/>
      <w:lvlText w:val="%1.%2.%3.%4.%5"/>
      <w:lvlJc w:val="left"/>
      <w:pPr>
        <w:tabs>
          <w:tab w:val="left" w:pos="1008"/>
        </w:tabs>
        <w:ind w:left="1008" w:hanging="1008"/>
      </w:pPr>
      <w:rPr>
        <w:rFonts w:hint="eastAsia"/>
      </w:rPr>
    </w:lvl>
    <w:lvl w:ilvl="5" w:tentative="0">
      <w:start w:val="1"/>
      <w:numFmt w:val="decimal"/>
      <w:pStyle w:val="7"/>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8">
    <w:nsid w:val="4A3E614B"/>
    <w:multiLevelType w:val="multilevel"/>
    <w:tmpl w:val="4A3E614B"/>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4A765E5C"/>
    <w:multiLevelType w:val="multilevel"/>
    <w:tmpl w:val="4A765E5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AF5567E"/>
    <w:multiLevelType w:val="multilevel"/>
    <w:tmpl w:val="4AF5567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4BC925CD"/>
    <w:multiLevelType w:val="multilevel"/>
    <w:tmpl w:val="4BC925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2">
    <w:nsid w:val="505F0A87"/>
    <w:multiLevelType w:val="multilevel"/>
    <w:tmpl w:val="505F0A8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515E4DF7"/>
    <w:multiLevelType w:val="multilevel"/>
    <w:tmpl w:val="515E4DF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533C5E5B"/>
    <w:multiLevelType w:val="multilevel"/>
    <w:tmpl w:val="533C5E5B"/>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5C0E3E88"/>
    <w:multiLevelType w:val="multilevel"/>
    <w:tmpl w:val="5C0E3E88"/>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60EE450E"/>
    <w:multiLevelType w:val="multilevel"/>
    <w:tmpl w:val="60EE45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2132BFA"/>
    <w:multiLevelType w:val="multilevel"/>
    <w:tmpl w:val="62132BF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6467124D"/>
    <w:multiLevelType w:val="multilevel"/>
    <w:tmpl w:val="6467124D"/>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648F20E9"/>
    <w:multiLevelType w:val="multilevel"/>
    <w:tmpl w:val="648F20E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7EE6323"/>
    <w:multiLevelType w:val="multilevel"/>
    <w:tmpl w:val="67EE632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692A3C6A"/>
    <w:multiLevelType w:val="multilevel"/>
    <w:tmpl w:val="692A3C6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B950180"/>
    <w:multiLevelType w:val="multilevel"/>
    <w:tmpl w:val="6B95018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6DDE2068"/>
    <w:multiLevelType w:val="multilevel"/>
    <w:tmpl w:val="6DDE2068"/>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75602C26"/>
    <w:multiLevelType w:val="multilevel"/>
    <w:tmpl w:val="75602C26"/>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79976C08"/>
    <w:multiLevelType w:val="multilevel"/>
    <w:tmpl w:val="79976C0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7C89634F"/>
    <w:multiLevelType w:val="multilevel"/>
    <w:tmpl w:val="7C89634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7F27569F"/>
    <w:multiLevelType w:val="multilevel"/>
    <w:tmpl w:val="7F27569F"/>
    <w:lvl w:ilvl="0" w:tentative="0">
      <w:start w:val="1"/>
      <w:numFmt w:val="chineseCountingThousand"/>
      <w:lvlText w:val="第%1章"/>
      <w:lvlJc w:val="left"/>
      <w:pPr>
        <w:tabs>
          <w:tab w:val="left" w:pos="432"/>
        </w:tabs>
        <w:ind w:left="432" w:hanging="432"/>
      </w:pPr>
      <w:rPr>
        <w:rFonts w:hint="default" w:ascii="Times New Roman" w:hAnsi="Times New Roman" w:eastAsia="黑体"/>
      </w:rPr>
    </w:lvl>
    <w:lvl w:ilvl="1" w:tentative="0">
      <w:start w:val="1"/>
      <w:numFmt w:val="decimal"/>
      <w:pStyle w:val="345"/>
      <w:isLgl/>
      <w:lvlText w:val="%1.%2"/>
      <w:lvlJc w:val="left"/>
      <w:pPr>
        <w:tabs>
          <w:tab w:val="left" w:pos="576"/>
        </w:tabs>
        <w:ind w:left="576" w:hanging="576"/>
      </w:pPr>
      <w:rPr>
        <w:rFonts w:hint="default" w:ascii="Times New Roman" w:hAnsi="Times New Roman" w:eastAsia="黑体"/>
      </w:rPr>
    </w:lvl>
    <w:lvl w:ilvl="2" w:tentative="0">
      <w:start w:val="1"/>
      <w:numFmt w:val="decimal"/>
      <w:isLgl/>
      <w:lvlText w:val="%1.%2.%3"/>
      <w:lvlJc w:val="left"/>
      <w:pPr>
        <w:tabs>
          <w:tab w:val="left" w:pos="0"/>
        </w:tabs>
        <w:ind w:left="720" w:hanging="720"/>
      </w:pPr>
      <w:rPr>
        <w:rFonts w:hint="default" w:ascii="Times New Roman" w:hAnsi="Times New Roman" w:eastAsia="黑体"/>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37"/>
  </w:num>
  <w:num w:numId="2">
    <w:abstractNumId w:val="57"/>
  </w:num>
  <w:num w:numId="3">
    <w:abstractNumId w:val="43"/>
  </w:num>
  <w:num w:numId="4">
    <w:abstractNumId w:val="47"/>
  </w:num>
  <w:num w:numId="5">
    <w:abstractNumId w:val="13"/>
  </w:num>
  <w:num w:numId="6">
    <w:abstractNumId w:val="52"/>
  </w:num>
  <w:num w:numId="7">
    <w:abstractNumId w:val="50"/>
  </w:num>
  <w:num w:numId="8">
    <w:abstractNumId w:val="19"/>
  </w:num>
  <w:num w:numId="9">
    <w:abstractNumId w:val="3"/>
  </w:num>
  <w:num w:numId="10">
    <w:abstractNumId w:val="30"/>
  </w:num>
  <w:num w:numId="11">
    <w:abstractNumId w:val="5"/>
  </w:num>
  <w:num w:numId="12">
    <w:abstractNumId w:val="42"/>
  </w:num>
  <w:num w:numId="13">
    <w:abstractNumId w:val="41"/>
  </w:num>
  <w:num w:numId="14">
    <w:abstractNumId w:val="9"/>
  </w:num>
  <w:num w:numId="15">
    <w:abstractNumId w:val="55"/>
  </w:num>
  <w:num w:numId="16">
    <w:abstractNumId w:val="56"/>
  </w:num>
  <w:num w:numId="17">
    <w:abstractNumId w:val="28"/>
  </w:num>
  <w:num w:numId="18">
    <w:abstractNumId w:val="12"/>
  </w:num>
  <w:num w:numId="19">
    <w:abstractNumId w:val="33"/>
  </w:num>
  <w:num w:numId="20">
    <w:abstractNumId w:val="40"/>
  </w:num>
  <w:num w:numId="21">
    <w:abstractNumId w:val="24"/>
  </w:num>
  <w:num w:numId="22">
    <w:abstractNumId w:val="4"/>
  </w:num>
  <w:num w:numId="23">
    <w:abstractNumId w:val="6"/>
  </w:num>
  <w:num w:numId="24">
    <w:abstractNumId w:val="21"/>
  </w:num>
  <w:num w:numId="25">
    <w:abstractNumId w:val="4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num>
  <w:num w:numId="38">
    <w:abstractNumId w:val="8"/>
  </w:num>
  <w:num w:numId="39">
    <w:abstractNumId w:val="15"/>
  </w:num>
  <w:num w:numId="40">
    <w:abstractNumId w:val="45"/>
  </w:num>
  <w:num w:numId="41">
    <w:abstractNumId w:val="36"/>
  </w:num>
  <w:num w:numId="42">
    <w:abstractNumId w:val="44"/>
  </w:num>
  <w:num w:numId="43">
    <w:abstractNumId w:val="14"/>
  </w:num>
  <w:num w:numId="44">
    <w:abstractNumId w:val="22"/>
  </w:num>
  <w:num w:numId="45">
    <w:abstractNumId w:val="32"/>
  </w:num>
  <w:num w:numId="46">
    <w:abstractNumId w:val="48"/>
  </w:num>
  <w:num w:numId="47">
    <w:abstractNumId w:val="38"/>
  </w:num>
  <w:num w:numId="48">
    <w:abstractNumId w:val="54"/>
  </w:num>
  <w:num w:numId="49">
    <w:abstractNumId w:val="25"/>
  </w:num>
  <w:num w:numId="50">
    <w:abstractNumId w:val="53"/>
  </w:num>
  <w:num w:numId="51">
    <w:abstractNumId w:val="29"/>
  </w:num>
  <w:num w:numId="52">
    <w:abstractNumId w:val="20"/>
  </w:num>
  <w:num w:numId="53">
    <w:abstractNumId w:val="31"/>
  </w:num>
  <w:num w:numId="54">
    <w:abstractNumId w:val="11"/>
  </w:num>
  <w:num w:numId="55">
    <w:abstractNumId w:val="18"/>
  </w:num>
  <w:num w:numId="56">
    <w:abstractNumId w:val="0"/>
  </w:num>
  <w:num w:numId="57">
    <w:abstractNumId w:val="1"/>
  </w:num>
  <w:num w:numId="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62"/>
    <w:rsid w:val="000012F0"/>
    <w:rsid w:val="00003177"/>
    <w:rsid w:val="00005190"/>
    <w:rsid w:val="0001221B"/>
    <w:rsid w:val="00014041"/>
    <w:rsid w:val="00016F6C"/>
    <w:rsid w:val="000269DA"/>
    <w:rsid w:val="0003066B"/>
    <w:rsid w:val="00030E46"/>
    <w:rsid w:val="0003125F"/>
    <w:rsid w:val="000330DF"/>
    <w:rsid w:val="00035C99"/>
    <w:rsid w:val="00037B57"/>
    <w:rsid w:val="00040461"/>
    <w:rsid w:val="0004099A"/>
    <w:rsid w:val="00051749"/>
    <w:rsid w:val="00052F54"/>
    <w:rsid w:val="000574FC"/>
    <w:rsid w:val="00057D6F"/>
    <w:rsid w:val="00062955"/>
    <w:rsid w:val="00065B36"/>
    <w:rsid w:val="00065DBD"/>
    <w:rsid w:val="000701A0"/>
    <w:rsid w:val="00076B23"/>
    <w:rsid w:val="00084EA6"/>
    <w:rsid w:val="00085011"/>
    <w:rsid w:val="000859AD"/>
    <w:rsid w:val="0009330C"/>
    <w:rsid w:val="000959E9"/>
    <w:rsid w:val="0009653F"/>
    <w:rsid w:val="000A03CC"/>
    <w:rsid w:val="000A2B70"/>
    <w:rsid w:val="000A6F32"/>
    <w:rsid w:val="000B514D"/>
    <w:rsid w:val="000B63DB"/>
    <w:rsid w:val="000C5245"/>
    <w:rsid w:val="000D354C"/>
    <w:rsid w:val="000D395B"/>
    <w:rsid w:val="000D4C26"/>
    <w:rsid w:val="000D503E"/>
    <w:rsid w:val="000D552C"/>
    <w:rsid w:val="000D55FA"/>
    <w:rsid w:val="000E3D08"/>
    <w:rsid w:val="000E42AD"/>
    <w:rsid w:val="000F05ED"/>
    <w:rsid w:val="000F1AAA"/>
    <w:rsid w:val="00104D47"/>
    <w:rsid w:val="001127C3"/>
    <w:rsid w:val="001130ED"/>
    <w:rsid w:val="00116ECA"/>
    <w:rsid w:val="001170E9"/>
    <w:rsid w:val="0012233E"/>
    <w:rsid w:val="00124B7E"/>
    <w:rsid w:val="00124BE4"/>
    <w:rsid w:val="00124C5E"/>
    <w:rsid w:val="00125137"/>
    <w:rsid w:val="00127715"/>
    <w:rsid w:val="00135632"/>
    <w:rsid w:val="00135912"/>
    <w:rsid w:val="00137D5F"/>
    <w:rsid w:val="00143CBC"/>
    <w:rsid w:val="00144BF6"/>
    <w:rsid w:val="00147D57"/>
    <w:rsid w:val="00150AE0"/>
    <w:rsid w:val="0015116D"/>
    <w:rsid w:val="001557FE"/>
    <w:rsid w:val="00157931"/>
    <w:rsid w:val="00157A55"/>
    <w:rsid w:val="0016036A"/>
    <w:rsid w:val="001614DC"/>
    <w:rsid w:val="0017033D"/>
    <w:rsid w:val="00177273"/>
    <w:rsid w:val="0018390D"/>
    <w:rsid w:val="00186D78"/>
    <w:rsid w:val="001901F8"/>
    <w:rsid w:val="00196ADA"/>
    <w:rsid w:val="001A114E"/>
    <w:rsid w:val="001A2CC3"/>
    <w:rsid w:val="001A6448"/>
    <w:rsid w:val="001A7EEE"/>
    <w:rsid w:val="001B3ED4"/>
    <w:rsid w:val="001B76D5"/>
    <w:rsid w:val="001C06F8"/>
    <w:rsid w:val="001C5561"/>
    <w:rsid w:val="001D07C8"/>
    <w:rsid w:val="001D1FF1"/>
    <w:rsid w:val="001D5619"/>
    <w:rsid w:val="001E3EAD"/>
    <w:rsid w:val="001E4608"/>
    <w:rsid w:val="001F248C"/>
    <w:rsid w:val="001F2532"/>
    <w:rsid w:val="001F2C41"/>
    <w:rsid w:val="001F5819"/>
    <w:rsid w:val="001F6174"/>
    <w:rsid w:val="00200C46"/>
    <w:rsid w:val="00200C67"/>
    <w:rsid w:val="00203935"/>
    <w:rsid w:val="00205643"/>
    <w:rsid w:val="00206B83"/>
    <w:rsid w:val="00210F05"/>
    <w:rsid w:val="002158B6"/>
    <w:rsid w:val="00216F62"/>
    <w:rsid w:val="002204B7"/>
    <w:rsid w:val="00221857"/>
    <w:rsid w:val="002266A5"/>
    <w:rsid w:val="00230282"/>
    <w:rsid w:val="0023065D"/>
    <w:rsid w:val="002350EF"/>
    <w:rsid w:val="00235304"/>
    <w:rsid w:val="00236640"/>
    <w:rsid w:val="00240887"/>
    <w:rsid w:val="00243FB8"/>
    <w:rsid w:val="002452FD"/>
    <w:rsid w:val="0025126C"/>
    <w:rsid w:val="0025152B"/>
    <w:rsid w:val="002521AD"/>
    <w:rsid w:val="00252FB3"/>
    <w:rsid w:val="00255962"/>
    <w:rsid w:val="002675CB"/>
    <w:rsid w:val="00270FE9"/>
    <w:rsid w:val="00274209"/>
    <w:rsid w:val="00277D2B"/>
    <w:rsid w:val="002909A5"/>
    <w:rsid w:val="00293AF9"/>
    <w:rsid w:val="002957CA"/>
    <w:rsid w:val="00295BF7"/>
    <w:rsid w:val="0029635A"/>
    <w:rsid w:val="00297811"/>
    <w:rsid w:val="002A0C6C"/>
    <w:rsid w:val="002A4AEF"/>
    <w:rsid w:val="002A606A"/>
    <w:rsid w:val="002A7D7E"/>
    <w:rsid w:val="002B0DCB"/>
    <w:rsid w:val="002B21D9"/>
    <w:rsid w:val="002B2D04"/>
    <w:rsid w:val="002B32EF"/>
    <w:rsid w:val="002B4373"/>
    <w:rsid w:val="002B4873"/>
    <w:rsid w:val="002C0599"/>
    <w:rsid w:val="002C570B"/>
    <w:rsid w:val="002C7DC6"/>
    <w:rsid w:val="002E15B0"/>
    <w:rsid w:val="002E4CFA"/>
    <w:rsid w:val="002F0D52"/>
    <w:rsid w:val="002F79DC"/>
    <w:rsid w:val="003029A8"/>
    <w:rsid w:val="00305540"/>
    <w:rsid w:val="00316999"/>
    <w:rsid w:val="00324B17"/>
    <w:rsid w:val="00331857"/>
    <w:rsid w:val="0033687B"/>
    <w:rsid w:val="003369A4"/>
    <w:rsid w:val="00347246"/>
    <w:rsid w:val="00351EBE"/>
    <w:rsid w:val="00355DAF"/>
    <w:rsid w:val="003762A6"/>
    <w:rsid w:val="00377699"/>
    <w:rsid w:val="0038296F"/>
    <w:rsid w:val="00382B23"/>
    <w:rsid w:val="00384539"/>
    <w:rsid w:val="0038531F"/>
    <w:rsid w:val="0039034A"/>
    <w:rsid w:val="003946CD"/>
    <w:rsid w:val="00396AB8"/>
    <w:rsid w:val="003A27CA"/>
    <w:rsid w:val="003A5BB7"/>
    <w:rsid w:val="003A711D"/>
    <w:rsid w:val="003B0015"/>
    <w:rsid w:val="003B0B91"/>
    <w:rsid w:val="003B47F7"/>
    <w:rsid w:val="003C19DE"/>
    <w:rsid w:val="003C37A3"/>
    <w:rsid w:val="003C505F"/>
    <w:rsid w:val="003D453B"/>
    <w:rsid w:val="003E58AC"/>
    <w:rsid w:val="003E70FE"/>
    <w:rsid w:val="003F5E1D"/>
    <w:rsid w:val="003F7471"/>
    <w:rsid w:val="003F75D7"/>
    <w:rsid w:val="003F7EC9"/>
    <w:rsid w:val="00401BA5"/>
    <w:rsid w:val="00402688"/>
    <w:rsid w:val="004044CB"/>
    <w:rsid w:val="00405068"/>
    <w:rsid w:val="00405F42"/>
    <w:rsid w:val="00420F41"/>
    <w:rsid w:val="00424230"/>
    <w:rsid w:val="00432B94"/>
    <w:rsid w:val="00442E24"/>
    <w:rsid w:val="00453DC0"/>
    <w:rsid w:val="00457E3D"/>
    <w:rsid w:val="00460EB0"/>
    <w:rsid w:val="004618DB"/>
    <w:rsid w:val="0046308B"/>
    <w:rsid w:val="00480B3E"/>
    <w:rsid w:val="0048295D"/>
    <w:rsid w:val="00482D56"/>
    <w:rsid w:val="00484195"/>
    <w:rsid w:val="0048526D"/>
    <w:rsid w:val="0048777F"/>
    <w:rsid w:val="004958A6"/>
    <w:rsid w:val="004A1E12"/>
    <w:rsid w:val="004B0C19"/>
    <w:rsid w:val="004B49AF"/>
    <w:rsid w:val="004B6835"/>
    <w:rsid w:val="004C1016"/>
    <w:rsid w:val="004C36A4"/>
    <w:rsid w:val="004C44F7"/>
    <w:rsid w:val="004C4C6A"/>
    <w:rsid w:val="004C4E9A"/>
    <w:rsid w:val="004C5AF6"/>
    <w:rsid w:val="004C603B"/>
    <w:rsid w:val="004C7DB0"/>
    <w:rsid w:val="004D0972"/>
    <w:rsid w:val="004D0B9E"/>
    <w:rsid w:val="004D47D5"/>
    <w:rsid w:val="004D6EC1"/>
    <w:rsid w:val="004D7B79"/>
    <w:rsid w:val="004F03DF"/>
    <w:rsid w:val="004F22BB"/>
    <w:rsid w:val="004F375E"/>
    <w:rsid w:val="00500EA2"/>
    <w:rsid w:val="00512173"/>
    <w:rsid w:val="00512284"/>
    <w:rsid w:val="005131AA"/>
    <w:rsid w:val="00513E7E"/>
    <w:rsid w:val="00520571"/>
    <w:rsid w:val="00521C73"/>
    <w:rsid w:val="00524B76"/>
    <w:rsid w:val="00531290"/>
    <w:rsid w:val="005319E5"/>
    <w:rsid w:val="00531B5E"/>
    <w:rsid w:val="005347DC"/>
    <w:rsid w:val="005428A5"/>
    <w:rsid w:val="00545155"/>
    <w:rsid w:val="005537A8"/>
    <w:rsid w:val="00560C44"/>
    <w:rsid w:val="00560D4E"/>
    <w:rsid w:val="00565217"/>
    <w:rsid w:val="00576150"/>
    <w:rsid w:val="00582C7F"/>
    <w:rsid w:val="00583969"/>
    <w:rsid w:val="00590974"/>
    <w:rsid w:val="00591B09"/>
    <w:rsid w:val="00591B7B"/>
    <w:rsid w:val="005A12DD"/>
    <w:rsid w:val="005A6D80"/>
    <w:rsid w:val="005A6E04"/>
    <w:rsid w:val="005A71D6"/>
    <w:rsid w:val="005B2DF7"/>
    <w:rsid w:val="005B2E46"/>
    <w:rsid w:val="005B36D5"/>
    <w:rsid w:val="005B69A4"/>
    <w:rsid w:val="005C277F"/>
    <w:rsid w:val="005C3940"/>
    <w:rsid w:val="005D274E"/>
    <w:rsid w:val="005D4BFD"/>
    <w:rsid w:val="005E17C9"/>
    <w:rsid w:val="005E1BEB"/>
    <w:rsid w:val="005E30E4"/>
    <w:rsid w:val="005E61AC"/>
    <w:rsid w:val="005E62DD"/>
    <w:rsid w:val="005F2855"/>
    <w:rsid w:val="005F2961"/>
    <w:rsid w:val="005F4909"/>
    <w:rsid w:val="005F59F2"/>
    <w:rsid w:val="00611F58"/>
    <w:rsid w:val="00613203"/>
    <w:rsid w:val="00613CA3"/>
    <w:rsid w:val="00615CAE"/>
    <w:rsid w:val="00616F79"/>
    <w:rsid w:val="00617594"/>
    <w:rsid w:val="00620CD4"/>
    <w:rsid w:val="00620D14"/>
    <w:rsid w:val="00627FE6"/>
    <w:rsid w:val="00632763"/>
    <w:rsid w:val="00635FC3"/>
    <w:rsid w:val="0063685B"/>
    <w:rsid w:val="00637E2A"/>
    <w:rsid w:val="0064045E"/>
    <w:rsid w:val="00655581"/>
    <w:rsid w:val="00656BAB"/>
    <w:rsid w:val="00663A9E"/>
    <w:rsid w:val="00664E13"/>
    <w:rsid w:val="00666571"/>
    <w:rsid w:val="006675C5"/>
    <w:rsid w:val="00670866"/>
    <w:rsid w:val="00671D41"/>
    <w:rsid w:val="00673D1C"/>
    <w:rsid w:val="00674B33"/>
    <w:rsid w:val="00676B6C"/>
    <w:rsid w:val="00680597"/>
    <w:rsid w:val="00680A03"/>
    <w:rsid w:val="00683D15"/>
    <w:rsid w:val="00684A54"/>
    <w:rsid w:val="00684B0F"/>
    <w:rsid w:val="00687628"/>
    <w:rsid w:val="00693EBB"/>
    <w:rsid w:val="00694077"/>
    <w:rsid w:val="00695294"/>
    <w:rsid w:val="006964D7"/>
    <w:rsid w:val="00697295"/>
    <w:rsid w:val="0069751B"/>
    <w:rsid w:val="00697FC7"/>
    <w:rsid w:val="006A729D"/>
    <w:rsid w:val="006C3816"/>
    <w:rsid w:val="006C6E1A"/>
    <w:rsid w:val="006D2FB9"/>
    <w:rsid w:val="006D4D7A"/>
    <w:rsid w:val="006D5A65"/>
    <w:rsid w:val="006D64E4"/>
    <w:rsid w:val="006E1A93"/>
    <w:rsid w:val="006E6452"/>
    <w:rsid w:val="006E66EC"/>
    <w:rsid w:val="006F2E34"/>
    <w:rsid w:val="007015B8"/>
    <w:rsid w:val="00702704"/>
    <w:rsid w:val="00702877"/>
    <w:rsid w:val="007040D7"/>
    <w:rsid w:val="0070727A"/>
    <w:rsid w:val="007077C6"/>
    <w:rsid w:val="007207A8"/>
    <w:rsid w:val="00720836"/>
    <w:rsid w:val="00722718"/>
    <w:rsid w:val="00724FFC"/>
    <w:rsid w:val="00727FC7"/>
    <w:rsid w:val="00741689"/>
    <w:rsid w:val="007423D6"/>
    <w:rsid w:val="00750471"/>
    <w:rsid w:val="00754635"/>
    <w:rsid w:val="00760B1A"/>
    <w:rsid w:val="007625E1"/>
    <w:rsid w:val="00764844"/>
    <w:rsid w:val="00765621"/>
    <w:rsid w:val="0077423D"/>
    <w:rsid w:val="0077461D"/>
    <w:rsid w:val="00780123"/>
    <w:rsid w:val="00781514"/>
    <w:rsid w:val="00783988"/>
    <w:rsid w:val="00791AB8"/>
    <w:rsid w:val="0079229D"/>
    <w:rsid w:val="007A32C5"/>
    <w:rsid w:val="007A4C06"/>
    <w:rsid w:val="007A4FA2"/>
    <w:rsid w:val="007A672B"/>
    <w:rsid w:val="007B0A5E"/>
    <w:rsid w:val="007B18D6"/>
    <w:rsid w:val="007B2E09"/>
    <w:rsid w:val="007B76D1"/>
    <w:rsid w:val="007B77BC"/>
    <w:rsid w:val="007B7B19"/>
    <w:rsid w:val="007C4563"/>
    <w:rsid w:val="007C66B4"/>
    <w:rsid w:val="007D255A"/>
    <w:rsid w:val="007D2A25"/>
    <w:rsid w:val="007D388D"/>
    <w:rsid w:val="007D58A4"/>
    <w:rsid w:val="007D6AE8"/>
    <w:rsid w:val="007E434B"/>
    <w:rsid w:val="007E537A"/>
    <w:rsid w:val="007F0120"/>
    <w:rsid w:val="007F0A21"/>
    <w:rsid w:val="007F1B03"/>
    <w:rsid w:val="008051BD"/>
    <w:rsid w:val="008056BE"/>
    <w:rsid w:val="008119F5"/>
    <w:rsid w:val="00817B7D"/>
    <w:rsid w:val="00817F4F"/>
    <w:rsid w:val="008241FC"/>
    <w:rsid w:val="00831E62"/>
    <w:rsid w:val="00834E66"/>
    <w:rsid w:val="008363CA"/>
    <w:rsid w:val="00842E3A"/>
    <w:rsid w:val="008445E1"/>
    <w:rsid w:val="00845DC7"/>
    <w:rsid w:val="00846428"/>
    <w:rsid w:val="0085307D"/>
    <w:rsid w:val="00853D25"/>
    <w:rsid w:val="0086420A"/>
    <w:rsid w:val="00864469"/>
    <w:rsid w:val="00864480"/>
    <w:rsid w:val="008645AC"/>
    <w:rsid w:val="0086507C"/>
    <w:rsid w:val="0086601D"/>
    <w:rsid w:val="00866B17"/>
    <w:rsid w:val="00872B30"/>
    <w:rsid w:val="00887130"/>
    <w:rsid w:val="00892C79"/>
    <w:rsid w:val="00896422"/>
    <w:rsid w:val="00896514"/>
    <w:rsid w:val="008976F5"/>
    <w:rsid w:val="008A0D52"/>
    <w:rsid w:val="008A12BE"/>
    <w:rsid w:val="008A131F"/>
    <w:rsid w:val="008A21C1"/>
    <w:rsid w:val="008A52BB"/>
    <w:rsid w:val="008A727E"/>
    <w:rsid w:val="008B5DC2"/>
    <w:rsid w:val="008B603F"/>
    <w:rsid w:val="008B6C6D"/>
    <w:rsid w:val="008B6F6A"/>
    <w:rsid w:val="008C0D63"/>
    <w:rsid w:val="008C32A5"/>
    <w:rsid w:val="008C5741"/>
    <w:rsid w:val="008D14C5"/>
    <w:rsid w:val="008D48AD"/>
    <w:rsid w:val="008D6946"/>
    <w:rsid w:val="008D6D57"/>
    <w:rsid w:val="008D6F8E"/>
    <w:rsid w:val="008D7267"/>
    <w:rsid w:val="008E25CB"/>
    <w:rsid w:val="008E683B"/>
    <w:rsid w:val="008E7C83"/>
    <w:rsid w:val="008F491E"/>
    <w:rsid w:val="008F7F31"/>
    <w:rsid w:val="009050D2"/>
    <w:rsid w:val="00905116"/>
    <w:rsid w:val="00906091"/>
    <w:rsid w:val="009169DD"/>
    <w:rsid w:val="009229F3"/>
    <w:rsid w:val="0093122C"/>
    <w:rsid w:val="009408CF"/>
    <w:rsid w:val="00943501"/>
    <w:rsid w:val="00945A24"/>
    <w:rsid w:val="009472C5"/>
    <w:rsid w:val="00947994"/>
    <w:rsid w:val="009541C3"/>
    <w:rsid w:val="009554EE"/>
    <w:rsid w:val="00955A8E"/>
    <w:rsid w:val="00956BA8"/>
    <w:rsid w:val="00960C81"/>
    <w:rsid w:val="009660DC"/>
    <w:rsid w:val="00966F59"/>
    <w:rsid w:val="009670E9"/>
    <w:rsid w:val="009678E4"/>
    <w:rsid w:val="00970EA9"/>
    <w:rsid w:val="009726BE"/>
    <w:rsid w:val="009772AD"/>
    <w:rsid w:val="009776BA"/>
    <w:rsid w:val="00977C97"/>
    <w:rsid w:val="00982681"/>
    <w:rsid w:val="009848C2"/>
    <w:rsid w:val="00986E76"/>
    <w:rsid w:val="009911FD"/>
    <w:rsid w:val="00992BAC"/>
    <w:rsid w:val="00995953"/>
    <w:rsid w:val="00995E5A"/>
    <w:rsid w:val="009967A5"/>
    <w:rsid w:val="00996E8E"/>
    <w:rsid w:val="009A0474"/>
    <w:rsid w:val="009A38D8"/>
    <w:rsid w:val="009A3EB4"/>
    <w:rsid w:val="009B6051"/>
    <w:rsid w:val="009C002A"/>
    <w:rsid w:val="009C1C6F"/>
    <w:rsid w:val="009C2783"/>
    <w:rsid w:val="009C39BA"/>
    <w:rsid w:val="009C3DF1"/>
    <w:rsid w:val="009C4300"/>
    <w:rsid w:val="009C5925"/>
    <w:rsid w:val="009C5B6E"/>
    <w:rsid w:val="009D2B5E"/>
    <w:rsid w:val="009D394C"/>
    <w:rsid w:val="009D6AF1"/>
    <w:rsid w:val="009D75A5"/>
    <w:rsid w:val="009E0B8B"/>
    <w:rsid w:val="009F1BAE"/>
    <w:rsid w:val="009F2D2E"/>
    <w:rsid w:val="009F5C67"/>
    <w:rsid w:val="009F64F2"/>
    <w:rsid w:val="00A01A6A"/>
    <w:rsid w:val="00A04AA1"/>
    <w:rsid w:val="00A05466"/>
    <w:rsid w:val="00A06A85"/>
    <w:rsid w:val="00A072E8"/>
    <w:rsid w:val="00A16C9B"/>
    <w:rsid w:val="00A2247A"/>
    <w:rsid w:val="00A230DD"/>
    <w:rsid w:val="00A231EF"/>
    <w:rsid w:val="00A24CB9"/>
    <w:rsid w:val="00A2569C"/>
    <w:rsid w:val="00A27479"/>
    <w:rsid w:val="00A372C9"/>
    <w:rsid w:val="00A5108B"/>
    <w:rsid w:val="00A511E0"/>
    <w:rsid w:val="00A51F30"/>
    <w:rsid w:val="00A55224"/>
    <w:rsid w:val="00A56FFF"/>
    <w:rsid w:val="00A61077"/>
    <w:rsid w:val="00A62F37"/>
    <w:rsid w:val="00A6305C"/>
    <w:rsid w:val="00A648FB"/>
    <w:rsid w:val="00A64982"/>
    <w:rsid w:val="00A66541"/>
    <w:rsid w:val="00A670C3"/>
    <w:rsid w:val="00A67ADD"/>
    <w:rsid w:val="00A74FD5"/>
    <w:rsid w:val="00A75DC8"/>
    <w:rsid w:val="00A76CFF"/>
    <w:rsid w:val="00A81EB3"/>
    <w:rsid w:val="00A82145"/>
    <w:rsid w:val="00A86ABB"/>
    <w:rsid w:val="00A87542"/>
    <w:rsid w:val="00A879C1"/>
    <w:rsid w:val="00A916EC"/>
    <w:rsid w:val="00A92528"/>
    <w:rsid w:val="00A9411D"/>
    <w:rsid w:val="00A943D9"/>
    <w:rsid w:val="00A95567"/>
    <w:rsid w:val="00A96BC4"/>
    <w:rsid w:val="00AA3901"/>
    <w:rsid w:val="00AB0EFB"/>
    <w:rsid w:val="00AB0F3D"/>
    <w:rsid w:val="00AB5D80"/>
    <w:rsid w:val="00AC1BAF"/>
    <w:rsid w:val="00AD1A85"/>
    <w:rsid w:val="00AD54A7"/>
    <w:rsid w:val="00AE15C1"/>
    <w:rsid w:val="00AF1DEB"/>
    <w:rsid w:val="00B01FBA"/>
    <w:rsid w:val="00B02432"/>
    <w:rsid w:val="00B04783"/>
    <w:rsid w:val="00B064AD"/>
    <w:rsid w:val="00B11762"/>
    <w:rsid w:val="00B11E84"/>
    <w:rsid w:val="00B121EF"/>
    <w:rsid w:val="00B166A6"/>
    <w:rsid w:val="00B20EBA"/>
    <w:rsid w:val="00B21987"/>
    <w:rsid w:val="00B22B33"/>
    <w:rsid w:val="00B24B1E"/>
    <w:rsid w:val="00B27D63"/>
    <w:rsid w:val="00B302CD"/>
    <w:rsid w:val="00B350D0"/>
    <w:rsid w:val="00B3547E"/>
    <w:rsid w:val="00B37307"/>
    <w:rsid w:val="00B405F7"/>
    <w:rsid w:val="00B40967"/>
    <w:rsid w:val="00B44592"/>
    <w:rsid w:val="00B567A1"/>
    <w:rsid w:val="00B657D5"/>
    <w:rsid w:val="00B71328"/>
    <w:rsid w:val="00B72CAC"/>
    <w:rsid w:val="00B72CF9"/>
    <w:rsid w:val="00B82F47"/>
    <w:rsid w:val="00B95426"/>
    <w:rsid w:val="00BA216D"/>
    <w:rsid w:val="00BA2A48"/>
    <w:rsid w:val="00BA5006"/>
    <w:rsid w:val="00BA63F8"/>
    <w:rsid w:val="00BA6D4D"/>
    <w:rsid w:val="00BB3E26"/>
    <w:rsid w:val="00BB6C17"/>
    <w:rsid w:val="00BB7B8A"/>
    <w:rsid w:val="00BC0C35"/>
    <w:rsid w:val="00BC5844"/>
    <w:rsid w:val="00BD325E"/>
    <w:rsid w:val="00BD45B5"/>
    <w:rsid w:val="00BD5B85"/>
    <w:rsid w:val="00BD7151"/>
    <w:rsid w:val="00BD7184"/>
    <w:rsid w:val="00BE1049"/>
    <w:rsid w:val="00BE27CA"/>
    <w:rsid w:val="00BF04F0"/>
    <w:rsid w:val="00BF2335"/>
    <w:rsid w:val="00C02601"/>
    <w:rsid w:val="00C02AAA"/>
    <w:rsid w:val="00C036A4"/>
    <w:rsid w:val="00C12536"/>
    <w:rsid w:val="00C21E2B"/>
    <w:rsid w:val="00C249AA"/>
    <w:rsid w:val="00C3369A"/>
    <w:rsid w:val="00C47480"/>
    <w:rsid w:val="00C50494"/>
    <w:rsid w:val="00C51C20"/>
    <w:rsid w:val="00C52808"/>
    <w:rsid w:val="00C545FC"/>
    <w:rsid w:val="00C63EB9"/>
    <w:rsid w:val="00C64A50"/>
    <w:rsid w:val="00C82149"/>
    <w:rsid w:val="00C82B5F"/>
    <w:rsid w:val="00C94F4E"/>
    <w:rsid w:val="00CA4F81"/>
    <w:rsid w:val="00CA5EC1"/>
    <w:rsid w:val="00CB2A88"/>
    <w:rsid w:val="00CB4770"/>
    <w:rsid w:val="00CB73C5"/>
    <w:rsid w:val="00CC052C"/>
    <w:rsid w:val="00CC094D"/>
    <w:rsid w:val="00CC2874"/>
    <w:rsid w:val="00CD0170"/>
    <w:rsid w:val="00CD01EF"/>
    <w:rsid w:val="00CD595D"/>
    <w:rsid w:val="00CD7950"/>
    <w:rsid w:val="00CE20DD"/>
    <w:rsid w:val="00CE48CB"/>
    <w:rsid w:val="00CE50A7"/>
    <w:rsid w:val="00CF22E1"/>
    <w:rsid w:val="00D03951"/>
    <w:rsid w:val="00D04A1B"/>
    <w:rsid w:val="00D13F0B"/>
    <w:rsid w:val="00D17B57"/>
    <w:rsid w:val="00D20B9F"/>
    <w:rsid w:val="00D22778"/>
    <w:rsid w:val="00D303CD"/>
    <w:rsid w:val="00D3085A"/>
    <w:rsid w:val="00D33656"/>
    <w:rsid w:val="00D36EAF"/>
    <w:rsid w:val="00D40B17"/>
    <w:rsid w:val="00D4300A"/>
    <w:rsid w:val="00D44DAC"/>
    <w:rsid w:val="00D4782D"/>
    <w:rsid w:val="00D5105C"/>
    <w:rsid w:val="00D5112D"/>
    <w:rsid w:val="00D61C35"/>
    <w:rsid w:val="00D66942"/>
    <w:rsid w:val="00D66E9E"/>
    <w:rsid w:val="00D80912"/>
    <w:rsid w:val="00D91B87"/>
    <w:rsid w:val="00D93F5B"/>
    <w:rsid w:val="00D96359"/>
    <w:rsid w:val="00DA085C"/>
    <w:rsid w:val="00DA1D9F"/>
    <w:rsid w:val="00DA2DB5"/>
    <w:rsid w:val="00DB0E24"/>
    <w:rsid w:val="00DB17A2"/>
    <w:rsid w:val="00DB48ED"/>
    <w:rsid w:val="00DB66E8"/>
    <w:rsid w:val="00DB67FA"/>
    <w:rsid w:val="00DB7E20"/>
    <w:rsid w:val="00DC7F8D"/>
    <w:rsid w:val="00DD2BFE"/>
    <w:rsid w:val="00DD7315"/>
    <w:rsid w:val="00DE4046"/>
    <w:rsid w:val="00DE6E7B"/>
    <w:rsid w:val="00DF3E5F"/>
    <w:rsid w:val="00DF5AC0"/>
    <w:rsid w:val="00E0086A"/>
    <w:rsid w:val="00E039CB"/>
    <w:rsid w:val="00E03B2E"/>
    <w:rsid w:val="00E03CC3"/>
    <w:rsid w:val="00E1371C"/>
    <w:rsid w:val="00E14510"/>
    <w:rsid w:val="00E160B1"/>
    <w:rsid w:val="00E20BE3"/>
    <w:rsid w:val="00E227C4"/>
    <w:rsid w:val="00E27DDF"/>
    <w:rsid w:val="00E3277B"/>
    <w:rsid w:val="00E368D2"/>
    <w:rsid w:val="00E36A4A"/>
    <w:rsid w:val="00E3793C"/>
    <w:rsid w:val="00E426F4"/>
    <w:rsid w:val="00E46189"/>
    <w:rsid w:val="00E52B21"/>
    <w:rsid w:val="00E56CBE"/>
    <w:rsid w:val="00E56D0C"/>
    <w:rsid w:val="00E66A8E"/>
    <w:rsid w:val="00E72EE4"/>
    <w:rsid w:val="00E74C00"/>
    <w:rsid w:val="00E769FF"/>
    <w:rsid w:val="00E81672"/>
    <w:rsid w:val="00E86A73"/>
    <w:rsid w:val="00EA0B9A"/>
    <w:rsid w:val="00EA27C8"/>
    <w:rsid w:val="00EA70FC"/>
    <w:rsid w:val="00EB051D"/>
    <w:rsid w:val="00EB347B"/>
    <w:rsid w:val="00EB5BA1"/>
    <w:rsid w:val="00EC052A"/>
    <w:rsid w:val="00EC09B8"/>
    <w:rsid w:val="00EC3A79"/>
    <w:rsid w:val="00EC6D95"/>
    <w:rsid w:val="00ED1FAB"/>
    <w:rsid w:val="00ED3850"/>
    <w:rsid w:val="00ED3D02"/>
    <w:rsid w:val="00EE0822"/>
    <w:rsid w:val="00EE0C87"/>
    <w:rsid w:val="00EE6448"/>
    <w:rsid w:val="00EE7603"/>
    <w:rsid w:val="00EF1270"/>
    <w:rsid w:val="00EF2921"/>
    <w:rsid w:val="00EF63CE"/>
    <w:rsid w:val="00EF67BF"/>
    <w:rsid w:val="00F1014A"/>
    <w:rsid w:val="00F10B2B"/>
    <w:rsid w:val="00F12494"/>
    <w:rsid w:val="00F16D7E"/>
    <w:rsid w:val="00F20150"/>
    <w:rsid w:val="00F2153E"/>
    <w:rsid w:val="00F21753"/>
    <w:rsid w:val="00F222EF"/>
    <w:rsid w:val="00F22D70"/>
    <w:rsid w:val="00F257D5"/>
    <w:rsid w:val="00F3269E"/>
    <w:rsid w:val="00F404D8"/>
    <w:rsid w:val="00F4051A"/>
    <w:rsid w:val="00F54A1D"/>
    <w:rsid w:val="00F553F3"/>
    <w:rsid w:val="00F6094C"/>
    <w:rsid w:val="00F614FE"/>
    <w:rsid w:val="00F776F4"/>
    <w:rsid w:val="00F86ECF"/>
    <w:rsid w:val="00F90731"/>
    <w:rsid w:val="00F91C5C"/>
    <w:rsid w:val="00F91F46"/>
    <w:rsid w:val="00F92747"/>
    <w:rsid w:val="00F93C8E"/>
    <w:rsid w:val="00F95E88"/>
    <w:rsid w:val="00F96FF9"/>
    <w:rsid w:val="00F97098"/>
    <w:rsid w:val="00FA2AD6"/>
    <w:rsid w:val="00FB4DDB"/>
    <w:rsid w:val="00FB6794"/>
    <w:rsid w:val="00FC29EE"/>
    <w:rsid w:val="00FC448C"/>
    <w:rsid w:val="00FC5585"/>
    <w:rsid w:val="00FC7F9B"/>
    <w:rsid w:val="00FD7407"/>
    <w:rsid w:val="00FD7D0A"/>
    <w:rsid w:val="00FE0FDE"/>
    <w:rsid w:val="00FF028D"/>
    <w:rsid w:val="00FF0F5D"/>
    <w:rsid w:val="00FF3D55"/>
    <w:rsid w:val="00FF595A"/>
    <w:rsid w:val="00FF6904"/>
    <w:rsid w:val="04F55174"/>
    <w:rsid w:val="0E190074"/>
    <w:rsid w:val="1C45734C"/>
    <w:rsid w:val="2BF467B8"/>
    <w:rsid w:val="42906C03"/>
    <w:rsid w:val="4657512E"/>
    <w:rsid w:val="554B0A27"/>
    <w:rsid w:val="65717E59"/>
    <w:rsid w:val="69181926"/>
    <w:rsid w:val="6A38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link w:val="108"/>
    <w:qFormat/>
    <w:uiPriority w:val="0"/>
    <w:pPr>
      <w:keepNext/>
      <w:keepLines/>
      <w:pageBreakBefore/>
      <w:numPr>
        <w:ilvl w:val="0"/>
        <w:numId w:val="1"/>
      </w:numPr>
      <w:adjustRightInd w:val="0"/>
      <w:spacing w:before="340" w:after="330"/>
      <w:jc w:val="center"/>
      <w:outlineLvl w:val="0"/>
    </w:pPr>
    <w:rPr>
      <w:rFonts w:ascii="Times New Roman" w:hAnsi="Times New Roman" w:eastAsia="黑体"/>
      <w:b/>
      <w:bCs/>
      <w:kern w:val="44"/>
      <w:sz w:val="32"/>
      <w:szCs w:val="44"/>
    </w:rPr>
  </w:style>
  <w:style w:type="paragraph" w:styleId="3">
    <w:name w:val="heading 2"/>
    <w:basedOn w:val="1"/>
    <w:next w:val="1"/>
    <w:link w:val="89"/>
    <w:qFormat/>
    <w:uiPriority w:val="0"/>
    <w:pPr>
      <w:keepNext/>
      <w:keepLines/>
      <w:numPr>
        <w:ilvl w:val="1"/>
        <w:numId w:val="1"/>
      </w:numPr>
      <w:spacing w:before="260" w:after="260" w:line="416" w:lineRule="auto"/>
      <w:outlineLvl w:val="1"/>
    </w:pPr>
    <w:rPr>
      <w:rFonts w:ascii="Times New Roman" w:hAnsi="Times New Roman" w:eastAsia="黑体"/>
      <w:b/>
      <w:bCs/>
      <w:sz w:val="30"/>
      <w:szCs w:val="32"/>
    </w:rPr>
  </w:style>
  <w:style w:type="paragraph" w:styleId="4">
    <w:name w:val="heading 3"/>
    <w:basedOn w:val="1"/>
    <w:next w:val="1"/>
    <w:link w:val="110"/>
    <w:qFormat/>
    <w:uiPriority w:val="0"/>
    <w:pPr>
      <w:keepNext/>
      <w:keepLines/>
      <w:numPr>
        <w:ilvl w:val="2"/>
        <w:numId w:val="1"/>
      </w:numPr>
      <w:spacing w:before="260" w:after="260" w:line="415" w:lineRule="auto"/>
      <w:outlineLvl w:val="2"/>
    </w:pPr>
    <w:rPr>
      <w:rFonts w:ascii="Times New Roman" w:hAnsi="Times New Roman" w:eastAsia="黑体"/>
      <w:b/>
      <w:bCs/>
      <w:sz w:val="28"/>
      <w:szCs w:val="32"/>
    </w:rPr>
  </w:style>
  <w:style w:type="paragraph" w:styleId="5">
    <w:name w:val="heading 4"/>
    <w:basedOn w:val="1"/>
    <w:next w:val="1"/>
    <w:link w:val="111"/>
    <w:qFormat/>
    <w:uiPriority w:val="0"/>
    <w:pPr>
      <w:keepNext/>
      <w:keepLines/>
      <w:numPr>
        <w:ilvl w:val="3"/>
        <w:numId w:val="1"/>
      </w:numPr>
      <w:spacing w:before="280" w:after="290" w:line="376" w:lineRule="auto"/>
      <w:outlineLvl w:val="3"/>
    </w:pPr>
    <w:rPr>
      <w:rFonts w:ascii="Arial" w:hAnsi="Arial" w:eastAsia="黑体"/>
      <w:b/>
      <w:bCs/>
      <w:szCs w:val="28"/>
    </w:rPr>
  </w:style>
  <w:style w:type="paragraph" w:styleId="6">
    <w:name w:val="heading 5"/>
    <w:basedOn w:val="1"/>
    <w:next w:val="1"/>
    <w:link w:val="112"/>
    <w:qFormat/>
    <w:uiPriority w:val="0"/>
    <w:pPr>
      <w:keepNext/>
      <w:keepLines/>
      <w:numPr>
        <w:ilvl w:val="4"/>
        <w:numId w:val="1"/>
      </w:numPr>
      <w:spacing w:before="280" w:after="290" w:line="376" w:lineRule="auto"/>
      <w:outlineLvl w:val="4"/>
    </w:pPr>
    <w:rPr>
      <w:rFonts w:ascii="Arial" w:hAnsi="Arial" w:eastAsia="黑体"/>
      <w:b/>
      <w:bCs/>
      <w:szCs w:val="28"/>
    </w:rPr>
  </w:style>
  <w:style w:type="paragraph" w:styleId="7">
    <w:name w:val="heading 6"/>
    <w:basedOn w:val="1"/>
    <w:next w:val="1"/>
    <w:link w:val="82"/>
    <w:qFormat/>
    <w:uiPriority w:val="0"/>
    <w:pPr>
      <w:keepNext/>
      <w:keepLines/>
      <w:numPr>
        <w:ilvl w:val="5"/>
        <w:numId w:val="1"/>
      </w:numPr>
      <w:spacing w:before="240" w:after="64" w:line="320" w:lineRule="auto"/>
      <w:outlineLvl w:val="5"/>
    </w:pPr>
    <w:rPr>
      <w:rFonts w:ascii="Arial" w:hAnsi="Arial" w:eastAsia="黑体"/>
      <w:b/>
      <w:bCs/>
    </w:rPr>
  </w:style>
  <w:style w:type="paragraph" w:styleId="8">
    <w:name w:val="heading 7"/>
    <w:basedOn w:val="1"/>
    <w:next w:val="1"/>
    <w:link w:val="105"/>
    <w:unhideWhenUsed/>
    <w:qFormat/>
    <w:uiPriority w:val="0"/>
    <w:pPr>
      <w:keepNext/>
      <w:keepLines/>
      <w:spacing w:before="240" w:after="64" w:line="320" w:lineRule="auto"/>
      <w:outlineLvl w:val="6"/>
    </w:pPr>
    <w:rPr>
      <w:b/>
      <w:bCs/>
    </w:rPr>
  </w:style>
  <w:style w:type="paragraph" w:styleId="9">
    <w:name w:val="heading 8"/>
    <w:basedOn w:val="1"/>
    <w:next w:val="1"/>
    <w:link w:val="115"/>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116"/>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spacing w:line="240" w:lineRule="auto"/>
      <w:ind w:firstLine="420"/>
      <w:jc w:val="left"/>
    </w:pPr>
    <w:rPr>
      <w:rFonts w:ascii="Times New Roman" w:hAnsi="Times New Roman"/>
      <w:kern w:val="0"/>
      <w:sz w:val="20"/>
      <w:szCs w:val="20"/>
    </w:rPr>
  </w:style>
  <w:style w:type="paragraph" w:styleId="12">
    <w:name w:val="caption"/>
    <w:basedOn w:val="1"/>
    <w:next w:val="1"/>
    <w:link w:val="73"/>
    <w:unhideWhenUsed/>
    <w:qFormat/>
    <w:uiPriority w:val="0"/>
    <w:rPr>
      <w:rFonts w:ascii="Cambria" w:hAnsi="Cambria" w:eastAsia="黑体"/>
      <w:sz w:val="20"/>
      <w:szCs w:val="20"/>
    </w:rPr>
  </w:style>
  <w:style w:type="paragraph" w:styleId="13">
    <w:name w:val="Document Map"/>
    <w:basedOn w:val="1"/>
    <w:semiHidden/>
    <w:qFormat/>
    <w:uiPriority w:val="0"/>
    <w:pPr>
      <w:shd w:val="clear" w:color="auto" w:fill="000080"/>
    </w:pPr>
    <w:rPr>
      <w:szCs w:val="21"/>
    </w:rPr>
  </w:style>
  <w:style w:type="paragraph" w:styleId="14">
    <w:name w:val="toa heading"/>
    <w:basedOn w:val="1"/>
    <w:next w:val="1"/>
    <w:qFormat/>
    <w:uiPriority w:val="0"/>
    <w:pPr>
      <w:spacing w:before="120" w:line="240" w:lineRule="auto"/>
    </w:pPr>
    <w:rPr>
      <w:rFonts w:ascii="Arial" w:hAnsi="Arial" w:eastAsia="仿宋"/>
      <w:szCs w:val="20"/>
    </w:rPr>
  </w:style>
  <w:style w:type="paragraph" w:styleId="15">
    <w:name w:val="annotation text"/>
    <w:basedOn w:val="1"/>
    <w:link w:val="67"/>
    <w:unhideWhenUsed/>
    <w:qFormat/>
    <w:uiPriority w:val="99"/>
    <w:pPr>
      <w:jc w:val="left"/>
    </w:pPr>
    <w:rPr>
      <w:rFonts w:ascii="Times New Roman" w:hAnsi="Times New Roman"/>
    </w:rPr>
  </w:style>
  <w:style w:type="paragraph" w:styleId="16">
    <w:name w:val="Salutation"/>
    <w:basedOn w:val="1"/>
    <w:next w:val="1"/>
    <w:link w:val="119"/>
    <w:qFormat/>
    <w:uiPriority w:val="0"/>
    <w:pPr>
      <w:spacing w:line="240" w:lineRule="auto"/>
    </w:pPr>
    <w:rPr>
      <w:rFonts w:ascii="仿宋_GB2312" w:hAnsi="Times New Roman" w:eastAsia="仿宋_GB2312"/>
    </w:rPr>
  </w:style>
  <w:style w:type="paragraph" w:styleId="17">
    <w:name w:val="Body Text 3"/>
    <w:basedOn w:val="1"/>
    <w:link w:val="120"/>
    <w:qFormat/>
    <w:uiPriority w:val="0"/>
    <w:pPr>
      <w:autoSpaceDE w:val="0"/>
      <w:autoSpaceDN w:val="0"/>
      <w:adjustRightInd w:val="0"/>
      <w:spacing w:line="410" w:lineRule="atLeast"/>
      <w:jc w:val="left"/>
    </w:pPr>
    <w:rPr>
      <w:rFonts w:hAnsi="Times New Roman"/>
      <w:color w:val="000000"/>
      <w:kern w:val="0"/>
      <w:szCs w:val="20"/>
    </w:rPr>
  </w:style>
  <w:style w:type="paragraph" w:styleId="18">
    <w:name w:val="Body Text"/>
    <w:basedOn w:val="1"/>
    <w:next w:val="19"/>
    <w:link w:val="91"/>
    <w:unhideWhenUsed/>
    <w:qFormat/>
    <w:uiPriority w:val="0"/>
    <w:pPr>
      <w:spacing w:after="120"/>
    </w:pPr>
  </w:style>
  <w:style w:type="paragraph" w:styleId="19">
    <w:name w:val="Body Text First Indent"/>
    <w:basedOn w:val="18"/>
    <w:next w:val="20"/>
    <w:link w:val="92"/>
    <w:qFormat/>
    <w:uiPriority w:val="0"/>
    <w:pPr>
      <w:ind w:firstLine="420" w:firstLineChars="100"/>
    </w:pPr>
  </w:style>
  <w:style w:type="paragraph" w:styleId="20">
    <w:name w:val="toc 6"/>
    <w:basedOn w:val="1"/>
    <w:next w:val="1"/>
    <w:qFormat/>
    <w:uiPriority w:val="39"/>
    <w:pPr>
      <w:ind w:left="1050"/>
      <w:jc w:val="left"/>
    </w:pPr>
  </w:style>
  <w:style w:type="paragraph" w:styleId="21">
    <w:name w:val="Body Text Indent"/>
    <w:basedOn w:val="1"/>
    <w:link w:val="94"/>
    <w:unhideWhenUsed/>
    <w:qFormat/>
    <w:uiPriority w:val="0"/>
    <w:pPr>
      <w:spacing w:after="120"/>
      <w:ind w:left="420" w:leftChars="200"/>
    </w:pPr>
  </w:style>
  <w:style w:type="paragraph" w:styleId="22">
    <w:name w:val="Block Text"/>
    <w:basedOn w:val="1"/>
    <w:qFormat/>
    <w:uiPriority w:val="0"/>
    <w:pPr>
      <w:spacing w:line="240" w:lineRule="auto"/>
      <w:ind w:left="1171" w:right="91" w:hanging="1080"/>
    </w:pPr>
    <w:rPr>
      <w:rFonts w:ascii="Times New Roman" w:hAnsi="Times New Roman" w:eastAsia="楷体_GB2312"/>
      <w:sz w:val="21"/>
      <w:szCs w:val="20"/>
    </w:rPr>
  </w:style>
  <w:style w:type="paragraph" w:styleId="23">
    <w:name w:val="toc 3"/>
    <w:basedOn w:val="1"/>
    <w:next w:val="1"/>
    <w:autoRedefine/>
    <w:unhideWhenUsed/>
    <w:qFormat/>
    <w:uiPriority w:val="39"/>
    <w:pPr>
      <w:tabs>
        <w:tab w:val="left" w:pos="1276"/>
        <w:tab w:val="right" w:leader="hyphen" w:pos="8948"/>
      </w:tabs>
      <w:spacing w:line="240" w:lineRule="auto"/>
      <w:ind w:left="420"/>
      <w:jc w:val="left"/>
    </w:pPr>
    <w:rPr>
      <w:rFonts w:ascii="Times New Roman" w:hAnsi="Times New Roman"/>
      <w:i/>
      <w:sz w:val="20"/>
    </w:rPr>
  </w:style>
  <w:style w:type="paragraph" w:styleId="24">
    <w:name w:val="Plain Text"/>
    <w:basedOn w:val="1"/>
    <w:link w:val="124"/>
    <w:qFormat/>
    <w:uiPriority w:val="0"/>
    <w:pPr>
      <w:spacing w:line="240" w:lineRule="auto"/>
    </w:pPr>
    <w:rPr>
      <w:rFonts w:ascii="Times New Roman" w:hAnsi="Times New Roman"/>
      <w:szCs w:val="20"/>
    </w:rPr>
  </w:style>
  <w:style w:type="paragraph" w:styleId="25">
    <w:name w:val="Date"/>
    <w:basedOn w:val="1"/>
    <w:next w:val="1"/>
    <w:link w:val="125"/>
    <w:qFormat/>
    <w:uiPriority w:val="0"/>
    <w:pPr>
      <w:spacing w:line="240" w:lineRule="auto"/>
    </w:pPr>
    <w:rPr>
      <w:rFonts w:ascii="Times New Roman" w:hAnsi="Times New Roman"/>
      <w:szCs w:val="20"/>
    </w:rPr>
  </w:style>
  <w:style w:type="paragraph" w:styleId="26">
    <w:name w:val="Body Text Indent 2"/>
    <w:basedOn w:val="1"/>
    <w:link w:val="126"/>
    <w:qFormat/>
    <w:uiPriority w:val="0"/>
    <w:pPr>
      <w:spacing w:after="120" w:line="480" w:lineRule="auto"/>
      <w:ind w:left="420" w:leftChars="200"/>
    </w:pPr>
    <w:rPr>
      <w:rFonts w:ascii="Times New Roman" w:hAnsi="Times New Roman"/>
      <w:sz w:val="21"/>
    </w:rPr>
  </w:style>
  <w:style w:type="paragraph" w:styleId="27">
    <w:name w:val="Balloon Text"/>
    <w:basedOn w:val="1"/>
    <w:link w:val="66"/>
    <w:unhideWhenUsed/>
    <w:qFormat/>
    <w:uiPriority w:val="0"/>
    <w:rPr>
      <w:sz w:val="18"/>
      <w:szCs w:val="18"/>
    </w:rPr>
  </w:style>
  <w:style w:type="paragraph" w:styleId="28">
    <w:name w:val="footer"/>
    <w:basedOn w:val="1"/>
    <w:link w:val="81"/>
    <w:qFormat/>
    <w:uiPriority w:val="0"/>
    <w:pPr>
      <w:tabs>
        <w:tab w:val="center" w:pos="4153"/>
        <w:tab w:val="right" w:pos="8306"/>
      </w:tabs>
      <w:snapToGrid w:val="0"/>
      <w:jc w:val="left"/>
    </w:pPr>
    <w:rPr>
      <w:sz w:val="18"/>
      <w:szCs w:val="18"/>
    </w:rPr>
  </w:style>
  <w:style w:type="paragraph" w:styleId="29">
    <w:name w:val="header"/>
    <w:basedOn w:val="1"/>
    <w:link w:val="12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tabs>
        <w:tab w:val="left" w:pos="420"/>
        <w:tab w:val="right" w:leader="hyphen" w:pos="8948"/>
      </w:tabs>
      <w:spacing w:before="120" w:after="120" w:line="240" w:lineRule="auto"/>
      <w:jc w:val="left"/>
    </w:pPr>
    <w:rPr>
      <w:rFonts w:ascii="Times New Roman" w:hAnsi="Times New Roman"/>
      <w:b/>
      <w:sz w:val="20"/>
    </w:rPr>
  </w:style>
  <w:style w:type="paragraph" w:styleId="31">
    <w:name w:val="Subtitle"/>
    <w:basedOn w:val="1"/>
    <w:next w:val="1"/>
    <w:link w:val="131"/>
    <w:qFormat/>
    <w:uiPriority w:val="0"/>
    <w:pPr>
      <w:spacing w:before="240" w:after="60" w:line="312" w:lineRule="atLeast"/>
      <w:ind w:firstLine="482"/>
      <w:jc w:val="center"/>
      <w:outlineLvl w:val="1"/>
    </w:pPr>
    <w:rPr>
      <w:rFonts w:ascii="Calibri Light" w:hAnsi="Calibri Light"/>
      <w:b/>
      <w:bCs/>
      <w:color w:val="000000"/>
      <w:kern w:val="28"/>
      <w:sz w:val="32"/>
      <w:szCs w:val="32"/>
      <w:lang w:val="zh-CN"/>
    </w:rPr>
  </w:style>
  <w:style w:type="paragraph" w:styleId="32">
    <w:name w:val="List"/>
    <w:basedOn w:val="1"/>
    <w:qFormat/>
    <w:uiPriority w:val="0"/>
    <w:pPr>
      <w:spacing w:line="240" w:lineRule="auto"/>
      <w:ind w:left="200" w:hanging="200" w:hangingChars="200"/>
    </w:pPr>
    <w:rPr>
      <w:rFonts w:ascii="Times New Roman" w:hAnsi="Times New Roman"/>
      <w:sz w:val="28"/>
    </w:rPr>
  </w:style>
  <w:style w:type="paragraph" w:styleId="33">
    <w:name w:val="footnote text"/>
    <w:basedOn w:val="1"/>
    <w:link w:val="133"/>
    <w:qFormat/>
    <w:uiPriority w:val="0"/>
    <w:pPr>
      <w:snapToGrid w:val="0"/>
      <w:spacing w:line="240" w:lineRule="auto"/>
      <w:jc w:val="left"/>
    </w:pPr>
    <w:rPr>
      <w:rFonts w:ascii="Times New Roman" w:hAnsi="Times New Roman"/>
      <w:sz w:val="18"/>
      <w:szCs w:val="18"/>
      <w:lang w:val="zh-CN"/>
    </w:rPr>
  </w:style>
  <w:style w:type="paragraph" w:styleId="34">
    <w:name w:val="Body Text Indent 3"/>
    <w:basedOn w:val="1"/>
    <w:link w:val="135"/>
    <w:qFormat/>
    <w:uiPriority w:val="0"/>
    <w:pPr>
      <w:spacing w:after="120" w:line="240" w:lineRule="auto"/>
      <w:ind w:left="420" w:leftChars="200"/>
    </w:pPr>
    <w:rPr>
      <w:rFonts w:ascii="Times New Roman" w:hAnsi="Times New Roman"/>
      <w:sz w:val="16"/>
      <w:szCs w:val="16"/>
    </w:rPr>
  </w:style>
  <w:style w:type="paragraph" w:styleId="35">
    <w:name w:val="toc 2"/>
    <w:basedOn w:val="1"/>
    <w:next w:val="1"/>
    <w:autoRedefine/>
    <w:unhideWhenUsed/>
    <w:qFormat/>
    <w:uiPriority w:val="39"/>
    <w:pPr>
      <w:tabs>
        <w:tab w:val="left" w:pos="840"/>
        <w:tab w:val="right" w:leader="hyphen" w:pos="8948"/>
      </w:tabs>
      <w:spacing w:line="240" w:lineRule="auto"/>
      <w:ind w:left="210"/>
      <w:jc w:val="left"/>
    </w:pPr>
    <w:rPr>
      <w:rFonts w:ascii="Times New Roman" w:hAnsi="Times New Roman"/>
      <w:sz w:val="20"/>
    </w:rPr>
  </w:style>
  <w:style w:type="paragraph" w:styleId="36">
    <w:name w:val="Body Text 2"/>
    <w:basedOn w:val="1"/>
    <w:link w:val="136"/>
    <w:qFormat/>
    <w:uiPriority w:val="0"/>
    <w:pPr>
      <w:spacing w:after="120" w:line="480" w:lineRule="auto"/>
    </w:pPr>
    <w:rPr>
      <w:rFonts w:ascii="Times New Roman" w:hAnsi="Times New Roman"/>
      <w:sz w:val="21"/>
    </w:rPr>
  </w:style>
  <w:style w:type="paragraph" w:styleId="37">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rPr>
  </w:style>
  <w:style w:type="paragraph" w:styleId="38">
    <w:name w:val="Normal (Web)"/>
    <w:basedOn w:val="1"/>
    <w:qFormat/>
    <w:uiPriority w:val="0"/>
    <w:pPr>
      <w:widowControl/>
      <w:spacing w:before="100" w:beforeAutospacing="1" w:after="100" w:afterAutospacing="1" w:line="240" w:lineRule="auto"/>
      <w:jc w:val="left"/>
    </w:pPr>
    <w:rPr>
      <w:rFonts w:cs="宋体"/>
      <w:kern w:val="0"/>
    </w:rPr>
  </w:style>
  <w:style w:type="paragraph" w:styleId="39">
    <w:name w:val="index 1"/>
    <w:basedOn w:val="1"/>
    <w:next w:val="1"/>
    <w:qFormat/>
    <w:uiPriority w:val="0"/>
    <w:pPr>
      <w:spacing w:line="220" w:lineRule="exact"/>
      <w:jc w:val="center"/>
    </w:pPr>
    <w:rPr>
      <w:rFonts w:ascii="仿宋_GB2312" w:hAnsi="Times New Roman" w:eastAsia="仿宋_GB2312"/>
      <w:sz w:val="21"/>
      <w:szCs w:val="20"/>
    </w:rPr>
  </w:style>
  <w:style w:type="paragraph" w:styleId="40">
    <w:name w:val="Title"/>
    <w:basedOn w:val="1"/>
    <w:next w:val="41"/>
    <w:link w:val="97"/>
    <w:autoRedefine/>
    <w:qFormat/>
    <w:uiPriority w:val="0"/>
    <w:pPr>
      <w:spacing w:before="100" w:after="60"/>
      <w:jc w:val="center"/>
    </w:pPr>
    <w:rPr>
      <w:rFonts w:eastAsia="黑体" w:cs="Arial"/>
      <w:b/>
      <w:bCs/>
      <w:color w:val="000000"/>
      <w:sz w:val="84"/>
      <w:szCs w:val="32"/>
    </w:rPr>
  </w:style>
  <w:style w:type="paragraph" w:customStyle="1" w:styleId="41">
    <w:name w:val="常用正文"/>
    <w:basedOn w:val="1"/>
    <w:qFormat/>
    <w:uiPriority w:val="0"/>
    <w:pPr>
      <w:ind w:left="420" w:leftChars="200"/>
    </w:pPr>
  </w:style>
  <w:style w:type="paragraph" w:styleId="42">
    <w:name w:val="annotation subject"/>
    <w:basedOn w:val="15"/>
    <w:next w:val="15"/>
    <w:link w:val="100"/>
    <w:unhideWhenUsed/>
    <w:qFormat/>
    <w:uiPriority w:val="0"/>
    <w:rPr>
      <w:rFonts w:ascii="宋体" w:hAnsi="宋体"/>
      <w:b/>
      <w:bCs/>
    </w:rPr>
  </w:style>
  <w:style w:type="paragraph" w:styleId="43">
    <w:name w:val="Body Text First Indent 2"/>
    <w:basedOn w:val="21"/>
    <w:link w:val="140"/>
    <w:semiHidden/>
    <w:unhideWhenUsed/>
    <w:qFormat/>
    <w:uiPriority w:val="0"/>
    <w:pPr>
      <w:ind w:firstLine="420" w:firstLineChars="200"/>
    </w:pPr>
    <w:rPr>
      <w:rFonts w:ascii="Times New Roman" w:hAnsi="Times New Roman"/>
      <w:kern w:val="0"/>
      <w:sz w:val="20"/>
      <w:szCs w:val="20"/>
    </w:rPr>
  </w:style>
  <w:style w:type="table" w:styleId="45">
    <w:name w:val="Table Grid"/>
    <w:basedOn w:val="44"/>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semiHidden/>
    <w:unhideWhenUsed/>
    <w:qFormat/>
    <w:uiPriority w:val="0"/>
    <w:rPr>
      <w:color w:val="800080" w:themeColor="followedHyperlink"/>
      <w:u w:val="single"/>
      <w14:textFill>
        <w14:solidFill>
          <w14:schemeClr w14:val="folHlink"/>
        </w14:solidFill>
      </w14:textFill>
    </w:rPr>
  </w:style>
  <w:style w:type="character" w:styleId="50">
    <w:name w:val="Emphasis"/>
    <w:qFormat/>
    <w:uiPriority w:val="0"/>
    <w:rPr>
      <w:rFonts w:ascii="Times New Roman" w:hAnsi="Times New Roman" w:eastAsia="宋体"/>
    </w:rPr>
  </w:style>
  <w:style w:type="character" w:styleId="51">
    <w:name w:val="HTML Definition"/>
    <w:qFormat/>
    <w:uiPriority w:val="0"/>
    <w:rPr>
      <w:rFonts w:ascii="Times New Roman" w:hAnsi="Times New Roman" w:eastAsia="宋体"/>
    </w:rPr>
  </w:style>
  <w:style w:type="character" w:styleId="52">
    <w:name w:val="HTML Variable"/>
    <w:qFormat/>
    <w:uiPriority w:val="0"/>
    <w:rPr>
      <w:rFonts w:ascii="Times New Roman" w:hAnsi="Times New Roman" w:eastAsia="宋体"/>
    </w:rPr>
  </w:style>
  <w:style w:type="character" w:styleId="53">
    <w:name w:val="Hyperlink"/>
    <w:qFormat/>
    <w:uiPriority w:val="0"/>
    <w:rPr>
      <w:color w:val="0000FF"/>
      <w:u w:val="single"/>
    </w:rPr>
  </w:style>
  <w:style w:type="character" w:styleId="54">
    <w:name w:val="HTML Code"/>
    <w:qFormat/>
    <w:uiPriority w:val="0"/>
    <w:rPr>
      <w:rFonts w:ascii="Courier New" w:hAnsi="Courier New" w:eastAsia="Courier New" w:cs="Courier New"/>
      <w:sz w:val="20"/>
    </w:rPr>
  </w:style>
  <w:style w:type="character" w:styleId="55">
    <w:name w:val="annotation reference"/>
    <w:unhideWhenUsed/>
    <w:qFormat/>
    <w:uiPriority w:val="99"/>
    <w:rPr>
      <w:sz w:val="21"/>
      <w:szCs w:val="21"/>
    </w:rPr>
  </w:style>
  <w:style w:type="character" w:styleId="56">
    <w:name w:val="HTML Cite"/>
    <w:qFormat/>
    <w:uiPriority w:val="0"/>
    <w:rPr>
      <w:rFonts w:ascii="Times New Roman" w:hAnsi="Times New Roman" w:eastAsia="宋体"/>
    </w:rPr>
  </w:style>
  <w:style w:type="character" w:styleId="57">
    <w:name w:val="HTML Keyboard"/>
    <w:qFormat/>
    <w:uiPriority w:val="0"/>
    <w:rPr>
      <w:rFonts w:ascii="Courier New" w:hAnsi="Courier New" w:eastAsia="Courier New" w:cs="Courier New"/>
      <w:sz w:val="20"/>
    </w:rPr>
  </w:style>
  <w:style w:type="character" w:styleId="58">
    <w:name w:val="HTML Sample"/>
    <w:qFormat/>
    <w:uiPriority w:val="0"/>
    <w:rPr>
      <w:rFonts w:ascii="Courier New" w:hAnsi="Courier New" w:eastAsia="Courier New" w:cs="Courier New"/>
    </w:rPr>
  </w:style>
  <w:style w:type="paragraph" w:customStyle="1" w:styleId="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常用标题"/>
    <w:basedOn w:val="6"/>
    <w:next w:val="41"/>
    <w:autoRedefine/>
    <w:qFormat/>
    <w:uiPriority w:val="0"/>
    <w:pPr>
      <w:numPr>
        <w:ilvl w:val="0"/>
        <w:numId w:val="0"/>
      </w:numPr>
      <w:tabs>
        <w:tab w:val="left" w:pos="420"/>
      </w:tabs>
      <w:spacing w:before="0" w:after="0" w:line="360" w:lineRule="auto"/>
      <w:ind w:left="420" w:hanging="420"/>
      <w:outlineLvl w:val="3"/>
    </w:pPr>
    <w:rPr>
      <w:rFonts w:ascii="楷体_GB2312" w:eastAsia="楷体_GB2312"/>
      <w:szCs w:val="24"/>
    </w:rPr>
  </w:style>
  <w:style w:type="paragraph" w:customStyle="1" w:styleId="61">
    <w:name w:val="表格正文"/>
    <w:link w:val="62"/>
    <w:qFormat/>
    <w:uiPriority w:val="4"/>
    <w:pPr>
      <w:spacing w:line="276" w:lineRule="auto"/>
      <w:jc w:val="center"/>
    </w:pPr>
    <w:rPr>
      <w:rFonts w:ascii="Calibri" w:hAnsi="Calibri" w:eastAsia="宋体" w:cs="Times New Roman"/>
      <w:kern w:val="2"/>
      <w:sz w:val="21"/>
      <w:szCs w:val="21"/>
      <w:lang w:val="en-US" w:eastAsia="zh-CN" w:bidi="ar-SA"/>
    </w:rPr>
  </w:style>
  <w:style w:type="character" w:customStyle="1" w:styleId="62">
    <w:name w:val="表格正文 Char"/>
    <w:link w:val="61"/>
    <w:qFormat/>
    <w:uiPriority w:val="4"/>
    <w:rPr>
      <w:rFonts w:ascii="Calibri" w:hAnsi="Calibri"/>
      <w:kern w:val="2"/>
      <w:sz w:val="21"/>
      <w:szCs w:val="21"/>
    </w:rPr>
  </w:style>
  <w:style w:type="paragraph" w:customStyle="1" w:styleId="63">
    <w:name w:val="表格标题"/>
    <w:basedOn w:val="1"/>
    <w:link w:val="64"/>
    <w:qFormat/>
    <w:uiPriority w:val="8"/>
    <w:pPr>
      <w:spacing w:line="312" w:lineRule="auto"/>
      <w:ind w:firstLine="200" w:firstLineChars="200"/>
      <w:jc w:val="center"/>
    </w:pPr>
    <w:rPr>
      <w:rFonts w:ascii="Arial" w:hAnsi="Arial"/>
      <w:b/>
      <w:kern w:val="21"/>
      <w:sz w:val="21"/>
      <w:szCs w:val="18"/>
      <w:lang w:val="zh-CN"/>
    </w:rPr>
  </w:style>
  <w:style w:type="character" w:customStyle="1" w:styleId="64">
    <w:name w:val="表格标题 Char"/>
    <w:link w:val="63"/>
    <w:qFormat/>
    <w:uiPriority w:val="8"/>
    <w:rPr>
      <w:rFonts w:ascii="Arial" w:hAnsi="Arial"/>
      <w:b/>
      <w:kern w:val="21"/>
      <w:sz w:val="21"/>
      <w:szCs w:val="18"/>
      <w:lang w:val="zh-CN" w:eastAsia="zh-CN"/>
    </w:rPr>
  </w:style>
  <w:style w:type="paragraph" w:styleId="65">
    <w:name w:val="List Paragraph"/>
    <w:basedOn w:val="1"/>
    <w:qFormat/>
    <w:uiPriority w:val="34"/>
    <w:pPr>
      <w:ind w:firstLine="420" w:firstLineChars="200"/>
    </w:pPr>
  </w:style>
  <w:style w:type="character" w:customStyle="1" w:styleId="66">
    <w:name w:val="批注框文本 字符"/>
    <w:link w:val="27"/>
    <w:semiHidden/>
    <w:qFormat/>
    <w:uiPriority w:val="0"/>
    <w:rPr>
      <w:rFonts w:ascii="宋体" w:hAnsi="宋体"/>
      <w:kern w:val="2"/>
      <w:sz w:val="18"/>
      <w:szCs w:val="18"/>
    </w:rPr>
  </w:style>
  <w:style w:type="character" w:customStyle="1" w:styleId="67">
    <w:name w:val="批注文字 字符"/>
    <w:link w:val="15"/>
    <w:semiHidden/>
    <w:qFormat/>
    <w:uiPriority w:val="99"/>
    <w:rPr>
      <w:kern w:val="2"/>
      <w:sz w:val="24"/>
      <w:szCs w:val="24"/>
    </w:rPr>
  </w:style>
  <w:style w:type="paragraph" w:customStyle="1" w:styleId="68">
    <w:name w:val="图注"/>
    <w:basedOn w:val="1"/>
    <w:next w:val="1"/>
    <w:link w:val="69"/>
    <w:qFormat/>
    <w:uiPriority w:val="0"/>
    <w:pPr>
      <w:autoSpaceDE w:val="0"/>
      <w:autoSpaceDN w:val="0"/>
      <w:adjustRightInd w:val="0"/>
      <w:spacing w:after="50" w:afterLines="50"/>
      <w:jc w:val="center"/>
    </w:pPr>
    <w:rPr>
      <w:rFonts w:ascii="黑体" w:hAnsi="黑体" w:eastAsia="黑体"/>
      <w:kern w:val="0"/>
      <w:sz w:val="20"/>
    </w:rPr>
  </w:style>
  <w:style w:type="character" w:customStyle="1" w:styleId="69">
    <w:name w:val="图注 Char"/>
    <w:link w:val="68"/>
    <w:qFormat/>
    <w:uiPriority w:val="0"/>
    <w:rPr>
      <w:rFonts w:ascii="黑体" w:hAnsi="黑体" w:eastAsia="黑体"/>
      <w:szCs w:val="24"/>
    </w:rPr>
  </w:style>
  <w:style w:type="paragraph" w:customStyle="1" w:styleId="70">
    <w:name w:val="表注"/>
    <w:basedOn w:val="12"/>
    <w:link w:val="71"/>
    <w:qFormat/>
    <w:uiPriority w:val="0"/>
    <w:pPr>
      <w:keepNext/>
      <w:spacing w:before="50" w:beforeLines="50"/>
      <w:ind w:firstLine="403"/>
      <w:jc w:val="center"/>
    </w:pPr>
    <w:rPr>
      <w:rFonts w:ascii="Arial" w:hAnsi="Arial" w:cs="Arial"/>
    </w:rPr>
  </w:style>
  <w:style w:type="character" w:customStyle="1" w:styleId="71">
    <w:name w:val="表注 Char"/>
    <w:link w:val="70"/>
    <w:qFormat/>
    <w:uiPriority w:val="0"/>
    <w:rPr>
      <w:rFonts w:ascii="Arial" w:hAnsi="Arial" w:eastAsia="黑体" w:cs="Arial"/>
      <w:kern w:val="2"/>
    </w:rPr>
  </w:style>
  <w:style w:type="paragraph" w:customStyle="1" w:styleId="72">
    <w:name w:val="样式1"/>
    <w:basedOn w:val="12"/>
    <w:next w:val="70"/>
    <w:link w:val="74"/>
    <w:qFormat/>
    <w:uiPriority w:val="0"/>
    <w:pPr>
      <w:spacing w:before="156"/>
      <w:ind w:left="420"/>
      <w:jc w:val="center"/>
    </w:pPr>
    <w:rPr>
      <w:rFonts w:ascii="黑体" w:hAnsi="黑体"/>
    </w:rPr>
  </w:style>
  <w:style w:type="character" w:customStyle="1" w:styleId="73">
    <w:name w:val="题注 字符"/>
    <w:link w:val="12"/>
    <w:qFormat/>
    <w:uiPriority w:val="0"/>
    <w:rPr>
      <w:rFonts w:ascii="Cambria" w:hAnsi="Cambria" w:eastAsia="黑体" w:cs="Times New Roman"/>
      <w:kern w:val="2"/>
    </w:rPr>
  </w:style>
  <w:style w:type="character" w:customStyle="1" w:styleId="74">
    <w:name w:val="样式1 Char"/>
    <w:link w:val="72"/>
    <w:qFormat/>
    <w:uiPriority w:val="0"/>
    <w:rPr>
      <w:rFonts w:ascii="黑体" w:hAnsi="黑体" w:eastAsia="黑体" w:cs="Times New Roman"/>
      <w:kern w:val="2"/>
    </w:rPr>
  </w:style>
  <w:style w:type="paragraph" w:customStyle="1" w:styleId="75">
    <w:name w:val="TOC 标题1"/>
    <w:basedOn w:val="2"/>
    <w:next w:val="1"/>
    <w:unhideWhenUsed/>
    <w:qFormat/>
    <w:uiPriority w:val="39"/>
    <w:pPr>
      <w:widowControl/>
      <w:numPr>
        <w:numId w:val="0"/>
      </w:numPr>
      <w:spacing w:before="240" w:after="0" w:line="259" w:lineRule="auto"/>
      <w:jc w:val="left"/>
      <w:outlineLvl w:val="9"/>
    </w:pPr>
    <w:rPr>
      <w:rFonts w:ascii="Cambria" w:hAnsi="Cambria" w:eastAsia="宋体"/>
      <w:b w:val="0"/>
      <w:bCs w:val="0"/>
      <w:color w:val="365F91"/>
      <w:kern w:val="0"/>
      <w:szCs w:val="32"/>
    </w:rPr>
  </w:style>
  <w:style w:type="paragraph" w:customStyle="1" w:styleId="76">
    <w:name w:val="Header Left"/>
    <w:basedOn w:val="29"/>
    <w:qFormat/>
    <w:uiPriority w:val="35"/>
    <w:pPr>
      <w:widowControl/>
      <w:pBdr>
        <w:bottom w:val="dashed" w:color="7F7F7F" w:sz="4" w:space="18"/>
      </w:pBdr>
      <w:tabs>
        <w:tab w:val="center" w:pos="4320"/>
        <w:tab w:val="right" w:pos="8640"/>
        <w:tab w:val="clear" w:pos="4153"/>
        <w:tab w:val="clear" w:pos="8306"/>
      </w:tabs>
      <w:snapToGrid/>
      <w:spacing w:after="200" w:line="396" w:lineRule="auto"/>
      <w:jc w:val="left"/>
    </w:pPr>
    <w:rPr>
      <w:rFonts w:ascii="Calibri" w:hAnsi="Calibri"/>
      <w:color w:val="7F7F7F"/>
      <w:kern w:val="0"/>
      <w:sz w:val="20"/>
      <w:szCs w:val="20"/>
    </w:rPr>
  </w:style>
  <w:style w:type="character" w:customStyle="1" w:styleId="77">
    <w:name w:val="Style1"/>
    <w:qFormat/>
    <w:uiPriority w:val="1"/>
    <w:rPr>
      <w:rFonts w:ascii="Calibri" w:hAnsi="宋体" w:eastAsia="宋体" w:cs="Times New Roman"/>
      <w:sz w:val="22"/>
      <w:szCs w:val="22"/>
      <w:lang w:eastAsia="zh-CN"/>
    </w:rPr>
  </w:style>
  <w:style w:type="paragraph" w:customStyle="1" w:styleId="78">
    <w:name w:val="Header Odd"/>
    <w:basedOn w:val="79"/>
    <w:qFormat/>
    <w:uiPriority w:val="0"/>
    <w:pPr>
      <w:widowControl/>
      <w:pBdr>
        <w:bottom w:val="single" w:color="4F81BD" w:sz="4" w:space="1"/>
      </w:pBdr>
      <w:jc w:val="right"/>
    </w:pPr>
    <w:rPr>
      <w:rFonts w:ascii="Calibri" w:hAnsi="Calibri"/>
      <w:b/>
      <w:bCs/>
      <w:color w:val="1F497D"/>
      <w:kern w:val="0"/>
      <w:sz w:val="20"/>
      <w:szCs w:val="23"/>
    </w:rPr>
  </w:style>
  <w:style w:type="paragraph" w:styleId="79">
    <w:name w:val="No Spacing"/>
    <w:qFormat/>
    <w:uiPriority w:val="0"/>
    <w:pPr>
      <w:widowControl w:val="0"/>
      <w:jc w:val="both"/>
    </w:pPr>
    <w:rPr>
      <w:rFonts w:ascii="宋体" w:hAnsi="宋体" w:eastAsia="宋体" w:cs="Times New Roman"/>
      <w:kern w:val="2"/>
      <w:sz w:val="24"/>
      <w:szCs w:val="24"/>
      <w:lang w:val="en-US" w:eastAsia="zh-CN" w:bidi="ar-SA"/>
    </w:rPr>
  </w:style>
  <w:style w:type="character" w:styleId="80">
    <w:name w:val="Placeholder Text"/>
    <w:semiHidden/>
    <w:qFormat/>
    <w:uiPriority w:val="99"/>
    <w:rPr>
      <w:color w:val="808080"/>
    </w:rPr>
  </w:style>
  <w:style w:type="character" w:customStyle="1" w:styleId="81">
    <w:name w:val="页脚 字符"/>
    <w:link w:val="28"/>
    <w:qFormat/>
    <w:uiPriority w:val="99"/>
    <w:rPr>
      <w:rFonts w:ascii="宋体" w:hAnsi="宋体"/>
      <w:kern w:val="2"/>
      <w:sz w:val="18"/>
      <w:szCs w:val="18"/>
    </w:rPr>
  </w:style>
  <w:style w:type="character" w:customStyle="1" w:styleId="82">
    <w:name w:val="标题 6 字符"/>
    <w:link w:val="7"/>
    <w:qFormat/>
    <w:uiPriority w:val="0"/>
    <w:rPr>
      <w:rFonts w:ascii="Arial" w:hAnsi="Arial" w:eastAsia="黑体"/>
      <w:b/>
      <w:bCs/>
      <w:kern w:val="2"/>
      <w:sz w:val="24"/>
      <w:szCs w:val="24"/>
    </w:rPr>
  </w:style>
  <w:style w:type="paragraph" w:customStyle="1" w:styleId="83">
    <w:name w:val="表名"/>
    <w:basedOn w:val="1"/>
    <w:link w:val="85"/>
    <w:qFormat/>
    <w:uiPriority w:val="0"/>
    <w:pPr>
      <w:spacing w:before="156" w:beforeLines="50"/>
      <w:jc w:val="center"/>
    </w:pPr>
    <w:rPr>
      <w:rFonts w:ascii="Arial" w:hAnsi="Arial" w:eastAsia="黑体"/>
      <w:sz w:val="20"/>
      <w:szCs w:val="20"/>
    </w:rPr>
  </w:style>
  <w:style w:type="paragraph" w:customStyle="1" w:styleId="84">
    <w:name w:val="图名"/>
    <w:basedOn w:val="68"/>
    <w:link w:val="87"/>
    <w:qFormat/>
    <w:uiPriority w:val="0"/>
    <w:pPr>
      <w:widowControl/>
      <w:spacing w:after="156"/>
    </w:pPr>
  </w:style>
  <w:style w:type="character" w:customStyle="1" w:styleId="85">
    <w:name w:val="表名 Char"/>
    <w:link w:val="83"/>
    <w:qFormat/>
    <w:uiPriority w:val="0"/>
    <w:rPr>
      <w:rFonts w:ascii="Arial" w:hAnsi="Arial" w:eastAsia="黑体" w:cs="Arial"/>
      <w:kern w:val="2"/>
    </w:rPr>
  </w:style>
  <w:style w:type="paragraph" w:customStyle="1" w:styleId="86">
    <w:name w:val="智业正文"/>
    <w:basedOn w:val="19"/>
    <w:link w:val="90"/>
    <w:qFormat/>
    <w:uiPriority w:val="0"/>
    <w:pPr>
      <w:spacing w:after="0"/>
      <w:ind w:firstLine="200" w:firstLineChars="200"/>
    </w:pPr>
  </w:style>
  <w:style w:type="character" w:customStyle="1" w:styleId="87">
    <w:name w:val="图名 Char"/>
    <w:link w:val="84"/>
    <w:qFormat/>
    <w:uiPriority w:val="0"/>
    <w:rPr>
      <w:rFonts w:ascii="黑体" w:hAnsi="黑体" w:eastAsia="黑体"/>
      <w:szCs w:val="24"/>
    </w:rPr>
  </w:style>
  <w:style w:type="paragraph" w:customStyle="1" w:styleId="88">
    <w:name w:val="样式 正文文本缩进 + 左  0 字符"/>
    <w:basedOn w:val="21"/>
    <w:link w:val="93"/>
    <w:qFormat/>
    <w:uiPriority w:val="0"/>
    <w:pPr>
      <w:spacing w:after="0"/>
      <w:ind w:left="0" w:leftChars="0" w:firstLine="250" w:firstLineChars="250"/>
    </w:pPr>
    <w:rPr>
      <w:rFonts w:ascii="Times New Roman" w:hAnsi="Times New Roman"/>
      <w:szCs w:val="20"/>
    </w:rPr>
  </w:style>
  <w:style w:type="character" w:customStyle="1" w:styleId="89">
    <w:name w:val="标题 2 字符"/>
    <w:link w:val="3"/>
    <w:qFormat/>
    <w:uiPriority w:val="0"/>
    <w:rPr>
      <w:rFonts w:eastAsia="黑体"/>
      <w:b/>
      <w:bCs/>
      <w:kern w:val="2"/>
      <w:sz w:val="30"/>
      <w:szCs w:val="32"/>
    </w:rPr>
  </w:style>
  <w:style w:type="character" w:customStyle="1" w:styleId="90">
    <w:name w:val="智业正文 Char"/>
    <w:link w:val="86"/>
    <w:qFormat/>
    <w:uiPriority w:val="0"/>
    <w:rPr>
      <w:rFonts w:ascii="宋体" w:hAnsi="宋体" w:eastAsia="黑体"/>
      <w:kern w:val="2"/>
      <w:sz w:val="24"/>
      <w:szCs w:val="24"/>
    </w:rPr>
  </w:style>
  <w:style w:type="character" w:customStyle="1" w:styleId="91">
    <w:name w:val="正文文本 字符"/>
    <w:link w:val="18"/>
    <w:semiHidden/>
    <w:qFormat/>
    <w:uiPriority w:val="0"/>
    <w:rPr>
      <w:rFonts w:ascii="宋体" w:hAnsi="宋体"/>
      <w:kern w:val="2"/>
      <w:sz w:val="24"/>
      <w:szCs w:val="24"/>
    </w:rPr>
  </w:style>
  <w:style w:type="character" w:customStyle="1" w:styleId="92">
    <w:name w:val="正文文本首行缩进 字符"/>
    <w:link w:val="19"/>
    <w:qFormat/>
    <w:uiPriority w:val="0"/>
    <w:rPr>
      <w:rFonts w:ascii="宋体" w:hAnsi="宋体"/>
      <w:kern w:val="2"/>
      <w:sz w:val="24"/>
      <w:szCs w:val="24"/>
    </w:rPr>
  </w:style>
  <w:style w:type="character" w:customStyle="1" w:styleId="93">
    <w:name w:val="样式 正文文本缩进 + 左  0 字符 Char"/>
    <w:link w:val="88"/>
    <w:qFormat/>
    <w:uiPriority w:val="0"/>
    <w:rPr>
      <w:kern w:val="2"/>
      <w:sz w:val="24"/>
    </w:rPr>
  </w:style>
  <w:style w:type="character" w:customStyle="1" w:styleId="94">
    <w:name w:val="正文文本缩进 字符"/>
    <w:link w:val="21"/>
    <w:semiHidden/>
    <w:qFormat/>
    <w:uiPriority w:val="0"/>
    <w:rPr>
      <w:rFonts w:ascii="宋体" w:hAnsi="宋体"/>
      <w:kern w:val="2"/>
      <w:sz w:val="24"/>
      <w:szCs w:val="24"/>
    </w:rPr>
  </w:style>
  <w:style w:type="paragraph" w:customStyle="1" w:styleId="95">
    <w:name w:val="标题第二行"/>
    <w:basedOn w:val="40"/>
    <w:link w:val="98"/>
    <w:qFormat/>
    <w:uiPriority w:val="0"/>
  </w:style>
  <w:style w:type="paragraph" w:customStyle="1" w:styleId="96">
    <w:name w:val="标题第三行"/>
    <w:basedOn w:val="95"/>
    <w:link w:val="99"/>
    <w:qFormat/>
    <w:uiPriority w:val="0"/>
  </w:style>
  <w:style w:type="character" w:customStyle="1" w:styleId="97">
    <w:name w:val="标题 字符"/>
    <w:link w:val="40"/>
    <w:qFormat/>
    <w:uiPriority w:val="0"/>
    <w:rPr>
      <w:rFonts w:ascii="宋体" w:hAnsi="宋体" w:eastAsia="黑体" w:cs="Arial"/>
      <w:b/>
      <w:bCs/>
      <w:color w:val="000000"/>
      <w:kern w:val="2"/>
      <w:sz w:val="84"/>
      <w:szCs w:val="32"/>
    </w:rPr>
  </w:style>
  <w:style w:type="character" w:customStyle="1" w:styleId="98">
    <w:name w:val="标题第二行 Char"/>
    <w:link w:val="95"/>
    <w:qFormat/>
    <w:uiPriority w:val="0"/>
    <w:rPr>
      <w:rFonts w:ascii="宋体" w:hAnsi="宋体" w:eastAsia="黑体" w:cs="Arial"/>
      <w:b/>
      <w:bCs/>
      <w:color w:val="44964C"/>
      <w:kern w:val="2"/>
      <w:sz w:val="84"/>
      <w:szCs w:val="32"/>
    </w:rPr>
  </w:style>
  <w:style w:type="character" w:customStyle="1" w:styleId="99">
    <w:name w:val="标题第三行 Char"/>
    <w:link w:val="96"/>
    <w:qFormat/>
    <w:uiPriority w:val="0"/>
    <w:rPr>
      <w:rFonts w:ascii="宋体" w:hAnsi="宋体" w:eastAsia="黑体" w:cs="Arial"/>
      <w:b/>
      <w:bCs/>
      <w:color w:val="44964C"/>
      <w:kern w:val="2"/>
      <w:sz w:val="84"/>
      <w:szCs w:val="32"/>
    </w:rPr>
  </w:style>
  <w:style w:type="character" w:customStyle="1" w:styleId="100">
    <w:name w:val="批注主题 字符"/>
    <w:link w:val="42"/>
    <w:semiHidden/>
    <w:qFormat/>
    <w:uiPriority w:val="0"/>
    <w:rPr>
      <w:rFonts w:ascii="宋体" w:hAnsi="宋体"/>
      <w:b/>
      <w:bCs/>
      <w:kern w:val="2"/>
      <w:sz w:val="24"/>
      <w:szCs w:val="24"/>
    </w:rPr>
  </w:style>
  <w:style w:type="paragraph" w:customStyle="1" w:styleId="101">
    <w:name w:val="正文样式"/>
    <w:basedOn w:val="19"/>
    <w:link w:val="102"/>
    <w:qFormat/>
    <w:uiPriority w:val="0"/>
    <w:pPr>
      <w:spacing w:after="0"/>
      <w:ind w:firstLine="200" w:firstLineChars="200"/>
    </w:pPr>
  </w:style>
  <w:style w:type="character" w:customStyle="1" w:styleId="102">
    <w:name w:val="正文样式 Char"/>
    <w:link w:val="101"/>
    <w:qFormat/>
    <w:uiPriority w:val="0"/>
    <w:rPr>
      <w:rFonts w:ascii="宋体" w:hAnsi="宋体"/>
      <w:kern w:val="2"/>
      <w:sz w:val="24"/>
      <w:szCs w:val="24"/>
    </w:rPr>
  </w:style>
  <w:style w:type="paragraph" w:customStyle="1" w:styleId="103">
    <w:name w:val="引用1"/>
    <w:basedOn w:val="1"/>
    <w:next w:val="1"/>
    <w:link w:val="104"/>
    <w:qFormat/>
    <w:uiPriority w:val="0"/>
    <w:pPr>
      <w:keepNext/>
      <w:spacing w:line="240" w:lineRule="auto"/>
      <w:jc w:val="center"/>
    </w:pPr>
    <w:rPr>
      <w:rFonts w:ascii="Times New Roman" w:hAnsi="Times New Roman"/>
      <w:iCs/>
      <w:color w:val="000000"/>
      <w:sz w:val="21"/>
      <w:lang w:val="zh-CN"/>
    </w:rPr>
  </w:style>
  <w:style w:type="character" w:customStyle="1" w:styleId="104">
    <w:name w:val="引用 Char"/>
    <w:link w:val="103"/>
    <w:qFormat/>
    <w:uiPriority w:val="29"/>
    <w:rPr>
      <w:iCs/>
      <w:color w:val="000000"/>
      <w:kern w:val="2"/>
      <w:sz w:val="21"/>
      <w:szCs w:val="24"/>
      <w:lang w:val="zh-CN" w:eastAsia="zh-CN"/>
    </w:rPr>
  </w:style>
  <w:style w:type="character" w:customStyle="1" w:styleId="105">
    <w:name w:val="标题 7 字符"/>
    <w:basedOn w:val="46"/>
    <w:link w:val="8"/>
    <w:semiHidden/>
    <w:qFormat/>
    <w:uiPriority w:val="0"/>
    <w:rPr>
      <w:rFonts w:ascii="宋体" w:hAnsi="宋体"/>
      <w:b/>
      <w:bCs/>
      <w:kern w:val="2"/>
      <w:sz w:val="24"/>
      <w:szCs w:val="24"/>
    </w:rPr>
  </w:style>
  <w:style w:type="character" w:customStyle="1" w:styleId="106">
    <w:name w:val="标题 8 字符"/>
    <w:basedOn w:val="46"/>
    <w:semiHidden/>
    <w:qFormat/>
    <w:uiPriority w:val="0"/>
    <w:rPr>
      <w:rFonts w:asciiTheme="majorHAnsi" w:hAnsiTheme="majorHAnsi" w:eastAsiaTheme="majorEastAsia" w:cstheme="majorBidi"/>
      <w:kern w:val="2"/>
      <w:sz w:val="24"/>
      <w:szCs w:val="24"/>
    </w:rPr>
  </w:style>
  <w:style w:type="character" w:customStyle="1" w:styleId="107">
    <w:name w:val="标题 9 字符"/>
    <w:basedOn w:val="46"/>
    <w:semiHidden/>
    <w:qFormat/>
    <w:uiPriority w:val="0"/>
    <w:rPr>
      <w:rFonts w:asciiTheme="majorHAnsi" w:hAnsiTheme="majorHAnsi" w:eastAsiaTheme="majorEastAsia" w:cstheme="majorBidi"/>
      <w:kern w:val="2"/>
      <w:sz w:val="21"/>
      <w:szCs w:val="21"/>
    </w:rPr>
  </w:style>
  <w:style w:type="character" w:customStyle="1" w:styleId="108">
    <w:name w:val="标题 1 字符"/>
    <w:link w:val="2"/>
    <w:qFormat/>
    <w:uiPriority w:val="0"/>
    <w:rPr>
      <w:rFonts w:eastAsia="黑体"/>
      <w:b/>
      <w:bCs/>
      <w:kern w:val="44"/>
      <w:sz w:val="32"/>
      <w:szCs w:val="44"/>
    </w:rPr>
  </w:style>
  <w:style w:type="character" w:customStyle="1" w:styleId="109">
    <w:name w:val="标题 2 Char1"/>
    <w:qFormat/>
    <w:uiPriority w:val="0"/>
    <w:rPr>
      <w:rFonts w:ascii="Arial" w:hAnsi="Arial" w:eastAsia="宋体"/>
      <w:b/>
      <w:bCs/>
      <w:kern w:val="2"/>
      <w:sz w:val="24"/>
      <w:szCs w:val="32"/>
      <w:lang w:val="en-US" w:eastAsia="zh-CN" w:bidi="ar-SA"/>
    </w:rPr>
  </w:style>
  <w:style w:type="character" w:customStyle="1" w:styleId="110">
    <w:name w:val="标题 3 字符"/>
    <w:link w:val="4"/>
    <w:qFormat/>
    <w:uiPriority w:val="0"/>
    <w:rPr>
      <w:rFonts w:eastAsia="黑体"/>
      <w:b/>
      <w:bCs/>
      <w:kern w:val="2"/>
      <w:sz w:val="28"/>
      <w:szCs w:val="32"/>
    </w:rPr>
  </w:style>
  <w:style w:type="character" w:customStyle="1" w:styleId="111">
    <w:name w:val="标题 4 字符"/>
    <w:link w:val="5"/>
    <w:qFormat/>
    <w:uiPriority w:val="0"/>
    <w:rPr>
      <w:rFonts w:ascii="Arial" w:hAnsi="Arial" w:eastAsia="黑体"/>
      <w:b/>
      <w:bCs/>
      <w:kern w:val="2"/>
      <w:sz w:val="24"/>
      <w:szCs w:val="28"/>
    </w:rPr>
  </w:style>
  <w:style w:type="character" w:customStyle="1" w:styleId="112">
    <w:name w:val="标题 5 字符"/>
    <w:link w:val="6"/>
    <w:qFormat/>
    <w:uiPriority w:val="0"/>
    <w:rPr>
      <w:rFonts w:ascii="Arial" w:hAnsi="Arial" w:eastAsia="黑体"/>
      <w:b/>
      <w:bCs/>
      <w:kern w:val="2"/>
      <w:sz w:val="24"/>
      <w:szCs w:val="28"/>
    </w:rPr>
  </w:style>
  <w:style w:type="character" w:customStyle="1" w:styleId="113">
    <w:name w:val="标题 6 Char1"/>
    <w:qFormat/>
    <w:uiPriority w:val="0"/>
    <w:rPr>
      <w:rFonts w:ascii="Arial" w:hAnsi="Arial" w:eastAsia="黑体"/>
      <w:b/>
      <w:bCs/>
      <w:sz w:val="24"/>
      <w:szCs w:val="24"/>
      <w:lang w:val="en-US" w:eastAsia="zh-CN" w:bidi="ar-SA"/>
    </w:rPr>
  </w:style>
  <w:style w:type="character" w:customStyle="1" w:styleId="114">
    <w:name w:val="标题 7 Char1"/>
    <w:qFormat/>
    <w:uiPriority w:val="0"/>
    <w:rPr>
      <w:rFonts w:eastAsia="宋体"/>
      <w:b/>
      <w:bCs/>
      <w:sz w:val="24"/>
      <w:szCs w:val="24"/>
      <w:lang w:val="en-US" w:eastAsia="zh-CN" w:bidi="ar-SA"/>
    </w:rPr>
  </w:style>
  <w:style w:type="character" w:customStyle="1" w:styleId="115">
    <w:name w:val="标题 8 字符1"/>
    <w:link w:val="9"/>
    <w:qFormat/>
    <w:uiPriority w:val="0"/>
    <w:rPr>
      <w:rFonts w:ascii="Arial" w:hAnsi="Arial" w:eastAsia="黑体"/>
      <w:sz w:val="24"/>
      <w:szCs w:val="24"/>
    </w:rPr>
  </w:style>
  <w:style w:type="character" w:customStyle="1" w:styleId="116">
    <w:name w:val="标题 9 字符1"/>
    <w:link w:val="10"/>
    <w:qFormat/>
    <w:uiPriority w:val="0"/>
    <w:rPr>
      <w:rFonts w:ascii="Arial" w:hAnsi="Arial" w:eastAsia="黑体"/>
      <w:sz w:val="21"/>
      <w:szCs w:val="21"/>
    </w:rPr>
  </w:style>
  <w:style w:type="paragraph" w:customStyle="1" w:styleId="117">
    <w:name w:val="浅色网格 - 着色 31"/>
    <w:basedOn w:val="1"/>
    <w:next w:val="65"/>
    <w:link w:val="358"/>
    <w:qFormat/>
    <w:uiPriority w:val="99"/>
    <w:pPr>
      <w:spacing w:line="240" w:lineRule="auto"/>
      <w:ind w:firstLine="420" w:firstLineChars="200"/>
    </w:pPr>
    <w:rPr>
      <w:rFonts w:ascii="Calibri" w:hAnsi="Calibri"/>
      <w:sz w:val="21"/>
      <w:szCs w:val="22"/>
    </w:rPr>
  </w:style>
  <w:style w:type="character" w:customStyle="1" w:styleId="118">
    <w:name w:val="批注文字 Char1"/>
    <w:qFormat/>
    <w:uiPriority w:val="0"/>
    <w:rPr>
      <w:rFonts w:eastAsia="宋体"/>
      <w:kern w:val="2"/>
      <w:sz w:val="21"/>
      <w:szCs w:val="24"/>
      <w:lang w:val="en-US" w:eastAsia="zh-CN" w:bidi="ar-SA"/>
    </w:rPr>
  </w:style>
  <w:style w:type="character" w:customStyle="1" w:styleId="119">
    <w:name w:val="称呼 字符"/>
    <w:basedOn w:val="46"/>
    <w:link w:val="16"/>
    <w:qFormat/>
    <w:uiPriority w:val="0"/>
    <w:rPr>
      <w:rFonts w:ascii="仿宋_GB2312" w:eastAsia="仿宋_GB2312"/>
      <w:kern w:val="2"/>
      <w:sz w:val="24"/>
      <w:szCs w:val="24"/>
    </w:rPr>
  </w:style>
  <w:style w:type="character" w:customStyle="1" w:styleId="120">
    <w:name w:val="正文文本 3 字符"/>
    <w:basedOn w:val="46"/>
    <w:link w:val="17"/>
    <w:qFormat/>
    <w:uiPriority w:val="0"/>
    <w:rPr>
      <w:rFonts w:ascii="宋体"/>
      <w:color w:val="000000"/>
      <w:sz w:val="24"/>
    </w:rPr>
  </w:style>
  <w:style w:type="character" w:customStyle="1" w:styleId="121">
    <w:name w:val="正文文本 Char"/>
    <w:qFormat/>
    <w:uiPriority w:val="0"/>
    <w:rPr>
      <w:kern w:val="2"/>
      <w:sz w:val="21"/>
      <w:szCs w:val="24"/>
    </w:rPr>
  </w:style>
  <w:style w:type="character" w:customStyle="1" w:styleId="122">
    <w:name w:val="正文文本缩进 Char"/>
    <w:qFormat/>
    <w:uiPriority w:val="0"/>
    <w:rPr>
      <w:rFonts w:eastAsia="宋体"/>
      <w:kern w:val="2"/>
      <w:sz w:val="21"/>
      <w:szCs w:val="24"/>
      <w:lang w:val="en-US" w:eastAsia="zh-CN" w:bidi="ar-SA"/>
    </w:rPr>
  </w:style>
  <w:style w:type="character" w:customStyle="1" w:styleId="123">
    <w:name w:val="纯文本 字符"/>
    <w:basedOn w:val="46"/>
    <w:semiHidden/>
    <w:qFormat/>
    <w:uiPriority w:val="0"/>
    <w:rPr>
      <w:rFonts w:hAnsi="Courier New" w:cs="Courier New" w:asciiTheme="minorEastAsia" w:eastAsiaTheme="minorEastAsia"/>
      <w:kern w:val="2"/>
      <w:sz w:val="24"/>
      <w:szCs w:val="24"/>
    </w:rPr>
  </w:style>
  <w:style w:type="character" w:customStyle="1" w:styleId="124">
    <w:name w:val="纯文本 字符1"/>
    <w:link w:val="24"/>
    <w:qFormat/>
    <w:uiPriority w:val="0"/>
    <w:rPr>
      <w:kern w:val="2"/>
      <w:sz w:val="24"/>
    </w:rPr>
  </w:style>
  <w:style w:type="character" w:customStyle="1" w:styleId="125">
    <w:name w:val="日期 字符"/>
    <w:basedOn w:val="46"/>
    <w:link w:val="25"/>
    <w:qFormat/>
    <w:uiPriority w:val="0"/>
    <w:rPr>
      <w:kern w:val="2"/>
      <w:sz w:val="24"/>
    </w:rPr>
  </w:style>
  <w:style w:type="character" w:customStyle="1" w:styleId="126">
    <w:name w:val="正文文本缩进 2 字符"/>
    <w:basedOn w:val="46"/>
    <w:link w:val="26"/>
    <w:qFormat/>
    <w:uiPriority w:val="0"/>
    <w:rPr>
      <w:kern w:val="2"/>
      <w:sz w:val="21"/>
      <w:szCs w:val="24"/>
    </w:rPr>
  </w:style>
  <w:style w:type="character" w:customStyle="1" w:styleId="127">
    <w:name w:val="批注框文本 Char1"/>
    <w:semiHidden/>
    <w:qFormat/>
    <w:locked/>
    <w:uiPriority w:val="0"/>
    <w:rPr>
      <w:rFonts w:ascii="Calibri" w:hAnsi="Calibri" w:eastAsia="宋体"/>
      <w:kern w:val="2"/>
      <w:sz w:val="18"/>
      <w:szCs w:val="18"/>
      <w:lang w:val="en-US" w:eastAsia="zh-CN" w:bidi="ar-SA"/>
    </w:rPr>
  </w:style>
  <w:style w:type="character" w:customStyle="1" w:styleId="128">
    <w:name w:val="页脚 Char1"/>
    <w:qFormat/>
    <w:uiPriority w:val="0"/>
    <w:rPr>
      <w:rFonts w:eastAsia="宋体"/>
      <w:kern w:val="2"/>
      <w:sz w:val="18"/>
      <w:szCs w:val="18"/>
      <w:lang w:val="en-US" w:eastAsia="zh-CN" w:bidi="ar-SA"/>
    </w:rPr>
  </w:style>
  <w:style w:type="character" w:customStyle="1" w:styleId="129">
    <w:name w:val="页眉 字符"/>
    <w:link w:val="29"/>
    <w:qFormat/>
    <w:uiPriority w:val="0"/>
    <w:rPr>
      <w:rFonts w:ascii="宋体" w:hAnsi="宋体"/>
      <w:kern w:val="2"/>
      <w:sz w:val="18"/>
      <w:szCs w:val="18"/>
    </w:rPr>
  </w:style>
  <w:style w:type="character" w:customStyle="1" w:styleId="130">
    <w:name w:val="副标题 字符"/>
    <w:basedOn w:val="46"/>
    <w:qFormat/>
    <w:uiPriority w:val="0"/>
    <w:rPr>
      <w:rFonts w:asciiTheme="minorHAnsi" w:hAnsiTheme="minorHAnsi" w:eastAsiaTheme="minorEastAsia" w:cstheme="minorBidi"/>
      <w:b/>
      <w:bCs/>
      <w:kern w:val="28"/>
      <w:sz w:val="32"/>
      <w:szCs w:val="32"/>
    </w:rPr>
  </w:style>
  <w:style w:type="character" w:customStyle="1" w:styleId="131">
    <w:name w:val="副标题 字符1"/>
    <w:link w:val="31"/>
    <w:qFormat/>
    <w:uiPriority w:val="0"/>
    <w:rPr>
      <w:rFonts w:ascii="Calibri Light" w:hAnsi="Calibri Light"/>
      <w:b/>
      <w:bCs/>
      <w:color w:val="000000"/>
      <w:kern w:val="28"/>
      <w:sz w:val="32"/>
      <w:szCs w:val="32"/>
      <w:lang w:val="zh-CN" w:eastAsia="zh-CN"/>
    </w:rPr>
  </w:style>
  <w:style w:type="character" w:customStyle="1" w:styleId="132">
    <w:name w:val="脚注文本 字符"/>
    <w:basedOn w:val="46"/>
    <w:semiHidden/>
    <w:qFormat/>
    <w:uiPriority w:val="0"/>
    <w:rPr>
      <w:rFonts w:ascii="宋体" w:hAnsi="宋体"/>
      <w:kern w:val="2"/>
      <w:sz w:val="18"/>
      <w:szCs w:val="18"/>
    </w:rPr>
  </w:style>
  <w:style w:type="character" w:customStyle="1" w:styleId="133">
    <w:name w:val="脚注文本 字符1"/>
    <w:link w:val="33"/>
    <w:qFormat/>
    <w:uiPriority w:val="0"/>
    <w:rPr>
      <w:kern w:val="2"/>
      <w:sz w:val="18"/>
      <w:szCs w:val="18"/>
      <w:lang w:val="zh-CN" w:eastAsia="zh-CN"/>
    </w:rPr>
  </w:style>
  <w:style w:type="character" w:customStyle="1" w:styleId="134">
    <w:name w:val="正文文本缩进 3 字符"/>
    <w:basedOn w:val="46"/>
    <w:semiHidden/>
    <w:qFormat/>
    <w:uiPriority w:val="0"/>
    <w:rPr>
      <w:rFonts w:ascii="宋体" w:hAnsi="宋体"/>
      <w:kern w:val="2"/>
      <w:sz w:val="16"/>
      <w:szCs w:val="16"/>
    </w:rPr>
  </w:style>
  <w:style w:type="character" w:customStyle="1" w:styleId="135">
    <w:name w:val="正文文本缩进 3 字符1"/>
    <w:link w:val="34"/>
    <w:qFormat/>
    <w:uiPriority w:val="0"/>
    <w:rPr>
      <w:kern w:val="2"/>
      <w:sz w:val="16"/>
      <w:szCs w:val="16"/>
    </w:rPr>
  </w:style>
  <w:style w:type="character" w:customStyle="1" w:styleId="136">
    <w:name w:val="正文文本 2 字符"/>
    <w:basedOn w:val="46"/>
    <w:link w:val="36"/>
    <w:qFormat/>
    <w:uiPriority w:val="0"/>
    <w:rPr>
      <w:kern w:val="2"/>
      <w:sz w:val="21"/>
      <w:szCs w:val="24"/>
    </w:rPr>
  </w:style>
  <w:style w:type="character" w:customStyle="1" w:styleId="137">
    <w:name w:val="HTML 预设格式 字符"/>
    <w:basedOn w:val="46"/>
    <w:link w:val="37"/>
    <w:qFormat/>
    <w:uiPriority w:val="0"/>
    <w:rPr>
      <w:rFonts w:ascii="Arial" w:hAnsi="Arial" w:cs="Arial"/>
      <w:sz w:val="24"/>
      <w:szCs w:val="24"/>
    </w:rPr>
  </w:style>
  <w:style w:type="character" w:customStyle="1" w:styleId="138">
    <w:name w:val="批注主题 Char1"/>
    <w:qFormat/>
    <w:uiPriority w:val="0"/>
    <w:rPr>
      <w:rFonts w:eastAsia="宋体"/>
      <w:b/>
      <w:bCs/>
      <w:kern w:val="2"/>
      <w:sz w:val="21"/>
      <w:szCs w:val="24"/>
      <w:lang w:val="en-US" w:eastAsia="zh-CN" w:bidi="ar-SA"/>
    </w:rPr>
  </w:style>
  <w:style w:type="character" w:customStyle="1" w:styleId="139">
    <w:name w:val="正文首行缩进 Char"/>
    <w:qFormat/>
    <w:uiPriority w:val="0"/>
  </w:style>
  <w:style w:type="character" w:customStyle="1" w:styleId="140">
    <w:name w:val="正文文本首行缩进 2 字符1"/>
    <w:link w:val="43"/>
    <w:qFormat/>
    <w:uiPriority w:val="0"/>
    <w:rPr>
      <w:lang w:val="en-US" w:eastAsia="zh-CN" w:bidi="ar-SA"/>
    </w:rPr>
  </w:style>
  <w:style w:type="character" w:customStyle="1" w:styleId="141">
    <w:name w:val="标题 1 Char"/>
    <w:qFormat/>
    <w:uiPriority w:val="9"/>
    <w:rPr>
      <w:rFonts w:ascii="Cambria" w:hAnsi="Cambria"/>
      <w:b/>
      <w:bCs/>
      <w:kern w:val="32"/>
      <w:sz w:val="32"/>
      <w:szCs w:val="32"/>
    </w:rPr>
  </w:style>
  <w:style w:type="character" w:customStyle="1" w:styleId="142">
    <w:name w:val="font61"/>
    <w:qFormat/>
    <w:uiPriority w:val="0"/>
    <w:rPr>
      <w:rFonts w:hint="eastAsia" w:ascii="宋体" w:hAnsi="宋体" w:eastAsia="宋体" w:cs="宋体"/>
      <w:color w:val="333333"/>
      <w:sz w:val="18"/>
      <w:szCs w:val="18"/>
      <w:u w:val="none"/>
    </w:rPr>
  </w:style>
  <w:style w:type="character" w:customStyle="1" w:styleId="143">
    <w:name w:val="标题 3 Char"/>
    <w:qFormat/>
    <w:uiPriority w:val="9"/>
    <w:rPr>
      <w:b/>
      <w:bCs/>
      <w:sz w:val="24"/>
      <w:szCs w:val="24"/>
    </w:rPr>
  </w:style>
  <w:style w:type="character" w:customStyle="1" w:styleId="144">
    <w:name w:val="sidecatalog-index1"/>
    <w:qFormat/>
    <w:uiPriority w:val="0"/>
    <w:rPr>
      <w:rFonts w:ascii="Arial" w:hAnsi="Arial" w:eastAsia="宋体" w:cs="Arial"/>
      <w:b/>
      <w:color w:val="999999"/>
      <w:sz w:val="21"/>
      <w:szCs w:val="21"/>
    </w:rPr>
  </w:style>
  <w:style w:type="character" w:customStyle="1" w:styleId="145">
    <w:name w:val="sort1"/>
    <w:qFormat/>
    <w:uiPriority w:val="0"/>
    <w:rPr>
      <w:rFonts w:ascii="Times New Roman" w:hAnsi="Times New Roman" w:eastAsia="宋体"/>
    </w:rPr>
  </w:style>
  <w:style w:type="character" w:customStyle="1" w:styleId="146">
    <w:name w:val="sidecatalog-dot"/>
    <w:qFormat/>
    <w:uiPriority w:val="0"/>
    <w:rPr>
      <w:rFonts w:ascii="Times New Roman" w:hAnsi="Times New Roman" w:eastAsia="宋体"/>
    </w:rPr>
  </w:style>
  <w:style w:type="character" w:customStyle="1" w:styleId="147">
    <w:name w:val="Font Style128"/>
    <w:unhideWhenUsed/>
    <w:qFormat/>
    <w:uiPriority w:val="0"/>
    <w:rPr>
      <w:rFonts w:hint="eastAsia" w:ascii="Times New Roman" w:hAnsi="Times New Roman" w:eastAsia="Times New Roman"/>
      <w:sz w:val="16"/>
    </w:rPr>
  </w:style>
  <w:style w:type="character" w:customStyle="1" w:styleId="148">
    <w:name w:val="sort"/>
    <w:qFormat/>
    <w:uiPriority w:val="0"/>
    <w:rPr>
      <w:rFonts w:ascii="Times New Roman" w:hAnsi="Times New Roman" w:eastAsia="宋体"/>
      <w:color w:val="FFFFFF"/>
      <w:bdr w:val="single" w:color="auto" w:sz="24" w:space="0"/>
    </w:rPr>
  </w:style>
  <w:style w:type="character" w:customStyle="1" w:styleId="149">
    <w:name w:val="Char Char15"/>
    <w:qFormat/>
    <w:uiPriority w:val="0"/>
    <w:rPr>
      <w:b/>
      <w:bCs/>
      <w:sz w:val="24"/>
      <w:szCs w:val="24"/>
    </w:rPr>
  </w:style>
  <w:style w:type="character" w:customStyle="1" w:styleId="150">
    <w:name w:val="Font Style116"/>
    <w:unhideWhenUsed/>
    <w:qFormat/>
    <w:uiPriority w:val="0"/>
    <w:rPr>
      <w:rFonts w:hint="eastAsia" w:ascii="宋体" w:hAnsi="宋体" w:eastAsia="宋体"/>
      <w:spacing w:val="-20"/>
      <w:sz w:val="24"/>
    </w:rPr>
  </w:style>
  <w:style w:type="character" w:customStyle="1" w:styleId="151">
    <w:name w:val="apple-converted-space"/>
    <w:qFormat/>
    <w:uiPriority w:val="0"/>
    <w:rPr>
      <w:rFonts w:ascii="Tahoma" w:hAnsi="Tahoma" w:cs="仿宋_GB2312"/>
      <w:sz w:val="24"/>
      <w:szCs w:val="28"/>
    </w:rPr>
  </w:style>
  <w:style w:type="character" w:customStyle="1" w:styleId="152">
    <w:name w:val="纯文本 Char Char Char1"/>
    <w:qFormat/>
    <w:uiPriority w:val="0"/>
    <w:rPr>
      <w:rFonts w:eastAsia="宋体"/>
      <w:kern w:val="2"/>
      <w:sz w:val="24"/>
      <w:lang w:val="en-US" w:eastAsia="zh-CN" w:bidi="ar-SA"/>
    </w:rPr>
  </w:style>
  <w:style w:type="character" w:customStyle="1" w:styleId="153">
    <w:name w:val="p0 Char Char"/>
    <w:qFormat/>
    <w:uiPriority w:val="0"/>
    <w:rPr>
      <w:rFonts w:eastAsia="宋体"/>
      <w:kern w:val="2"/>
      <w:sz w:val="21"/>
      <w:szCs w:val="21"/>
      <w:lang w:val="en-US" w:eastAsia="zh-CN" w:bidi="ar-SA"/>
    </w:rPr>
  </w:style>
  <w:style w:type="character" w:customStyle="1" w:styleId="154">
    <w:name w:val="日期 Char"/>
    <w:qFormat/>
    <w:uiPriority w:val="0"/>
    <w:rPr>
      <w:kern w:val="2"/>
      <w:sz w:val="21"/>
      <w:szCs w:val="24"/>
    </w:rPr>
  </w:style>
  <w:style w:type="character" w:customStyle="1" w:styleId="155">
    <w:name w:val="bds_more10"/>
    <w:uiPriority w:val="0"/>
    <w:rPr>
      <w:rFonts w:ascii="Times New Roman" w:hAnsi="Times New Roman" w:eastAsia="宋体"/>
    </w:rPr>
  </w:style>
  <w:style w:type="character" w:customStyle="1" w:styleId="156">
    <w:name w:val="sidecatalog-index2"/>
    <w:qFormat/>
    <w:uiPriority w:val="0"/>
    <w:rPr>
      <w:rFonts w:ascii="Arail" w:hAnsi="Arail" w:eastAsia="Arail" w:cs="Arail"/>
      <w:color w:val="999999"/>
      <w:sz w:val="21"/>
      <w:szCs w:val="21"/>
    </w:rPr>
  </w:style>
  <w:style w:type="character" w:customStyle="1" w:styleId="157">
    <w:name w:val="标题 4 Char Char"/>
    <w:uiPriority w:val="0"/>
    <w:rPr>
      <w:rFonts w:ascii="Arial" w:hAnsi="Arial" w:eastAsia="宋体"/>
      <w:b/>
      <w:bCs/>
      <w:kern w:val="2"/>
      <w:sz w:val="21"/>
      <w:szCs w:val="28"/>
      <w:lang w:val="en-US" w:eastAsia="zh-CN" w:bidi="ar-SA"/>
    </w:rPr>
  </w:style>
  <w:style w:type="character" w:customStyle="1" w:styleId="158">
    <w:name w:val="font21"/>
    <w:qFormat/>
    <w:uiPriority w:val="0"/>
    <w:rPr>
      <w:rFonts w:hint="eastAsia" w:ascii="宋体" w:hAnsi="宋体" w:eastAsia="宋体" w:cs="宋体"/>
      <w:color w:val="333333"/>
      <w:sz w:val="18"/>
      <w:szCs w:val="18"/>
      <w:u w:val="none"/>
      <w:vertAlign w:val="superscript"/>
    </w:rPr>
  </w:style>
  <w:style w:type="character" w:customStyle="1" w:styleId="159">
    <w:name w:val="普通文字 Char"/>
    <w:semiHidden/>
    <w:locked/>
    <w:uiPriority w:val="0"/>
    <w:rPr>
      <w:rFonts w:ascii="宋体" w:hAnsi="Courier New" w:eastAsia="宋体" w:cs="Courier New"/>
      <w:kern w:val="2"/>
      <w:sz w:val="21"/>
      <w:szCs w:val="21"/>
      <w:lang w:val="en-US" w:eastAsia="zh-CN" w:bidi="ar-SA"/>
    </w:rPr>
  </w:style>
  <w:style w:type="character" w:customStyle="1" w:styleId="160">
    <w:name w:val="批注文字 Char"/>
    <w:uiPriority w:val="0"/>
    <w:rPr>
      <w:kern w:val="2"/>
      <w:sz w:val="21"/>
      <w:szCs w:val="24"/>
    </w:rPr>
  </w:style>
  <w:style w:type="character" w:customStyle="1" w:styleId="161">
    <w:name w:val="页眉 Char"/>
    <w:uiPriority w:val="0"/>
    <w:rPr>
      <w:kern w:val="2"/>
      <w:sz w:val="18"/>
      <w:szCs w:val="18"/>
    </w:rPr>
  </w:style>
  <w:style w:type="character" w:customStyle="1" w:styleId="162">
    <w:name w:val="font11"/>
    <w:uiPriority w:val="0"/>
    <w:rPr>
      <w:rFonts w:hint="default" w:ascii="Times New Roman" w:hAnsi="Times New Roman" w:cs="Times New Roman"/>
      <w:b/>
      <w:color w:val="000000"/>
      <w:sz w:val="21"/>
      <w:szCs w:val="21"/>
      <w:u w:val="none"/>
    </w:rPr>
  </w:style>
  <w:style w:type="character" w:customStyle="1" w:styleId="163">
    <w:name w:val="标题 9 Char"/>
    <w:uiPriority w:val="0"/>
    <w:rPr>
      <w:rFonts w:ascii="Arial" w:hAnsi="Arial" w:eastAsia="黑体"/>
      <w:sz w:val="21"/>
      <w:szCs w:val="21"/>
    </w:rPr>
  </w:style>
  <w:style w:type="character" w:customStyle="1" w:styleId="164">
    <w:name w:val="Font Style86"/>
    <w:unhideWhenUsed/>
    <w:uiPriority w:val="0"/>
    <w:rPr>
      <w:rFonts w:hint="eastAsia" w:ascii="黑体" w:hAnsi="黑体" w:eastAsia="黑体"/>
      <w:spacing w:val="10"/>
      <w:sz w:val="30"/>
    </w:rPr>
  </w:style>
  <w:style w:type="character" w:customStyle="1" w:styleId="165">
    <w:name w:val="Font Style90"/>
    <w:unhideWhenUsed/>
    <w:uiPriority w:val="0"/>
    <w:rPr>
      <w:rFonts w:hint="eastAsia" w:ascii="宋体" w:hAnsi="宋体" w:eastAsia="宋体"/>
      <w:b/>
      <w:spacing w:val="-20"/>
      <w:sz w:val="40"/>
    </w:rPr>
  </w:style>
  <w:style w:type="character" w:customStyle="1" w:styleId="166">
    <w:name w:val="polysemyred"/>
    <w:uiPriority w:val="0"/>
    <w:rPr>
      <w:rFonts w:ascii="Times New Roman" w:hAnsi="Times New Roman" w:eastAsia="宋体"/>
      <w:color w:val="FF6666"/>
      <w:sz w:val="18"/>
      <w:szCs w:val="18"/>
    </w:rPr>
  </w:style>
  <w:style w:type="character" w:customStyle="1" w:styleId="167">
    <w:name w:val="Font Style121"/>
    <w:unhideWhenUsed/>
    <w:uiPriority w:val="0"/>
    <w:rPr>
      <w:rFonts w:hint="eastAsia" w:ascii="宋体" w:hAnsi="宋体" w:eastAsia="宋体"/>
      <w:spacing w:val="-10"/>
      <w:sz w:val="30"/>
    </w:rPr>
  </w:style>
  <w:style w:type="character" w:customStyle="1" w:styleId="168">
    <w:name w:val="morelink-item"/>
    <w:uiPriority w:val="0"/>
    <w:rPr>
      <w:rFonts w:ascii="Times New Roman" w:hAnsi="Times New Roman" w:eastAsia="宋体"/>
    </w:rPr>
  </w:style>
  <w:style w:type="character" w:customStyle="1" w:styleId="169">
    <w:name w:val="正文新 Char"/>
    <w:link w:val="170"/>
    <w:uiPriority w:val="0"/>
    <w:rPr>
      <w:kern w:val="2"/>
      <w:sz w:val="18"/>
      <w:szCs w:val="21"/>
    </w:rPr>
  </w:style>
  <w:style w:type="paragraph" w:customStyle="1" w:styleId="170">
    <w:name w:val="正文新"/>
    <w:basedOn w:val="1"/>
    <w:link w:val="169"/>
    <w:uiPriority w:val="0"/>
    <w:pPr>
      <w:spacing w:line="336" w:lineRule="auto"/>
      <w:ind w:firstLine="200" w:firstLineChars="200"/>
    </w:pPr>
    <w:rPr>
      <w:rFonts w:ascii="Times New Roman" w:hAnsi="Times New Roman"/>
      <w:sz w:val="18"/>
      <w:szCs w:val="21"/>
    </w:rPr>
  </w:style>
  <w:style w:type="character" w:customStyle="1" w:styleId="171">
    <w:name w:val="bds_nopic2"/>
    <w:qFormat/>
    <w:uiPriority w:val="0"/>
    <w:rPr>
      <w:rFonts w:ascii="Times New Roman" w:hAnsi="Times New Roman" w:eastAsia="宋体"/>
    </w:rPr>
  </w:style>
  <w:style w:type="character" w:customStyle="1" w:styleId="172">
    <w:name w:val="正文文本缩进 3 Char"/>
    <w:uiPriority w:val="0"/>
    <w:rPr>
      <w:rFonts w:ascii="宋体" w:hAnsi="MS Sans Serif"/>
      <w:color w:val="000000"/>
      <w:sz w:val="24"/>
    </w:rPr>
  </w:style>
  <w:style w:type="character" w:customStyle="1" w:styleId="173">
    <w:name w:val="desc"/>
    <w:uiPriority w:val="0"/>
    <w:rPr>
      <w:rFonts w:ascii="Times New Roman" w:hAnsi="Times New Roman" w:eastAsia="宋体"/>
      <w:color w:val="000000"/>
      <w:sz w:val="18"/>
      <w:szCs w:val="18"/>
    </w:rPr>
  </w:style>
  <w:style w:type="character" w:customStyle="1" w:styleId="174">
    <w:name w:val="Char Char17"/>
    <w:uiPriority w:val="0"/>
    <w:rPr>
      <w:rFonts w:ascii="宋体" w:hAnsi="Times New Roman" w:eastAsia="宋体"/>
      <w:b/>
      <w:sz w:val="28"/>
      <w:lang w:val="en-US" w:eastAsia="zh-CN" w:bidi="ar-SA"/>
    </w:rPr>
  </w:style>
  <w:style w:type="character" w:customStyle="1" w:styleId="175">
    <w:name w:val="Char Char14"/>
    <w:uiPriority w:val="0"/>
    <w:rPr>
      <w:rFonts w:ascii="Arial" w:hAnsi="Arial" w:eastAsia="黑体"/>
      <w:b/>
      <w:bCs/>
      <w:sz w:val="28"/>
      <w:szCs w:val="28"/>
      <w:lang w:val="en-US" w:eastAsia="zh-CN" w:bidi="ar-SA"/>
    </w:rPr>
  </w:style>
  <w:style w:type="character" w:customStyle="1" w:styleId="176">
    <w:name w:val="标题 4 Char"/>
    <w:uiPriority w:val="0"/>
    <w:rPr>
      <w:rFonts w:ascii="Arial" w:hAnsi="Arial" w:eastAsia="宋体" w:cs="Times New Roman"/>
      <w:b/>
      <w:bCs/>
      <w:szCs w:val="28"/>
    </w:rPr>
  </w:style>
  <w:style w:type="character" w:customStyle="1" w:styleId="177">
    <w:name w:val="Font Style115"/>
    <w:unhideWhenUsed/>
    <w:uiPriority w:val="0"/>
    <w:rPr>
      <w:rFonts w:hint="eastAsia" w:ascii="Times New Roman" w:hAnsi="Times New Roman" w:eastAsia="Times New Roman"/>
      <w:sz w:val="16"/>
    </w:rPr>
  </w:style>
  <w:style w:type="character" w:customStyle="1" w:styleId="178">
    <w:name w:val="bds_more8"/>
    <w:uiPriority w:val="0"/>
    <w:rPr>
      <w:rFonts w:ascii="Times New Roman" w:hAnsi="Times New Roman" w:eastAsia="宋体"/>
    </w:rPr>
  </w:style>
  <w:style w:type="character" w:customStyle="1" w:styleId="179">
    <w:name w:val="标题 7 Char"/>
    <w:uiPriority w:val="0"/>
    <w:rPr>
      <w:b/>
      <w:bCs/>
      <w:sz w:val="24"/>
      <w:szCs w:val="24"/>
    </w:rPr>
  </w:style>
  <w:style w:type="character" w:customStyle="1" w:styleId="180">
    <w:name w:val="Font Style133"/>
    <w:unhideWhenUsed/>
    <w:uiPriority w:val="0"/>
    <w:rPr>
      <w:rFonts w:hint="eastAsia" w:ascii="宋体" w:hAnsi="宋体" w:eastAsia="宋体"/>
      <w:spacing w:val="30"/>
      <w:sz w:val="24"/>
    </w:rPr>
  </w:style>
  <w:style w:type="character" w:customStyle="1" w:styleId="181">
    <w:name w:val="Font Style126"/>
    <w:unhideWhenUsed/>
    <w:uiPriority w:val="0"/>
    <w:rPr>
      <w:rFonts w:hint="eastAsia" w:ascii="宋体" w:hAnsi="宋体" w:eastAsia="宋体"/>
      <w:b/>
      <w:spacing w:val="-30"/>
      <w:sz w:val="28"/>
    </w:rPr>
  </w:style>
  <w:style w:type="character" w:customStyle="1" w:styleId="182">
    <w:name w:val="Font Style119"/>
    <w:unhideWhenUsed/>
    <w:uiPriority w:val="0"/>
    <w:rPr>
      <w:rFonts w:hint="eastAsia" w:ascii="宋体" w:hAnsi="宋体" w:eastAsia="宋体"/>
      <w:sz w:val="24"/>
    </w:rPr>
  </w:style>
  <w:style w:type="character" w:customStyle="1" w:styleId="183">
    <w:name w:val="bds_more9"/>
    <w:uiPriority w:val="0"/>
    <w:rPr>
      <w:rFonts w:ascii="Times New Roman" w:hAnsi="Times New Roman" w:eastAsia="宋体"/>
    </w:rPr>
  </w:style>
  <w:style w:type="character" w:customStyle="1" w:styleId="184">
    <w:name w:val="bds_nopic"/>
    <w:qFormat/>
    <w:uiPriority w:val="0"/>
    <w:rPr>
      <w:rFonts w:ascii="Times New Roman" w:hAnsi="Times New Roman" w:eastAsia="宋体"/>
    </w:rPr>
  </w:style>
  <w:style w:type="character" w:customStyle="1" w:styleId="185">
    <w:name w:val="标题 5 Char"/>
    <w:qFormat/>
    <w:uiPriority w:val="0"/>
    <w:rPr>
      <w:b/>
      <w:bCs/>
      <w:kern w:val="2"/>
      <w:sz w:val="28"/>
      <w:szCs w:val="28"/>
    </w:rPr>
  </w:style>
  <w:style w:type="character" w:customStyle="1" w:styleId="186">
    <w:name w:val="批注文字 Char Char"/>
    <w:qFormat/>
    <w:uiPriority w:val="0"/>
    <w:rPr>
      <w:kern w:val="2"/>
      <w:sz w:val="21"/>
      <w:szCs w:val="24"/>
      <w:lang w:bidi="ar-SA"/>
    </w:rPr>
  </w:style>
  <w:style w:type="character" w:customStyle="1" w:styleId="187">
    <w:name w:val="Font Style131"/>
    <w:unhideWhenUsed/>
    <w:uiPriority w:val="0"/>
    <w:rPr>
      <w:rFonts w:hint="eastAsia" w:ascii="Times New Roman" w:hAnsi="Times New Roman" w:eastAsia="Times New Roman"/>
      <w:sz w:val="18"/>
    </w:rPr>
  </w:style>
  <w:style w:type="character" w:customStyle="1" w:styleId="188">
    <w:name w:val="show-img-bd"/>
    <w:uiPriority w:val="0"/>
  </w:style>
  <w:style w:type="character" w:customStyle="1" w:styleId="189">
    <w:name w:val="polysemyexp"/>
    <w:qFormat/>
    <w:uiPriority w:val="0"/>
    <w:rPr>
      <w:rFonts w:ascii="Times New Roman" w:hAnsi="Times New Roman" w:eastAsia="宋体"/>
      <w:color w:val="AAAAAA"/>
      <w:sz w:val="18"/>
      <w:szCs w:val="18"/>
    </w:rPr>
  </w:style>
  <w:style w:type="character" w:customStyle="1" w:styleId="190">
    <w:name w:val="标题 Char1"/>
    <w:uiPriority w:val="0"/>
    <w:rPr>
      <w:rFonts w:ascii="Cambria" w:hAnsi="Cambria" w:eastAsia="宋体" w:cs="Times New Roman"/>
      <w:b/>
      <w:bCs/>
      <w:sz w:val="32"/>
      <w:szCs w:val="32"/>
    </w:rPr>
  </w:style>
  <w:style w:type="character" w:customStyle="1" w:styleId="191">
    <w:name w:val="lemmatitleh12"/>
    <w:uiPriority w:val="0"/>
    <w:rPr>
      <w:rFonts w:ascii="Times New Roman" w:hAnsi="Times New Roman" w:eastAsia="宋体"/>
    </w:rPr>
  </w:style>
  <w:style w:type="character" w:customStyle="1" w:styleId="192">
    <w:name w:val="bds_more7"/>
    <w:uiPriority w:val="0"/>
    <w:rPr>
      <w:rFonts w:ascii="Times New Roman" w:hAnsi="Times New Roman" w:eastAsia="宋体"/>
    </w:rPr>
  </w:style>
  <w:style w:type="character" w:customStyle="1" w:styleId="193">
    <w:name w:val="Font Style124"/>
    <w:unhideWhenUsed/>
    <w:uiPriority w:val="0"/>
    <w:rPr>
      <w:rFonts w:hint="eastAsia" w:ascii="宋体" w:hAnsi="宋体" w:eastAsia="宋体"/>
      <w:spacing w:val="30"/>
      <w:sz w:val="24"/>
    </w:rPr>
  </w:style>
  <w:style w:type="character" w:customStyle="1" w:styleId="194">
    <w:name w:val="Char Char16"/>
    <w:qFormat/>
    <w:uiPriority w:val="0"/>
    <w:rPr>
      <w:rFonts w:ascii="宋体" w:hAnsi="Times New Roman" w:eastAsia="宋体"/>
      <w:b/>
      <w:sz w:val="24"/>
      <w:lang w:val="en-US" w:eastAsia="zh-CN" w:bidi="ar-SA"/>
    </w:rPr>
  </w:style>
  <w:style w:type="character" w:customStyle="1" w:styleId="195">
    <w:name w:val="标题 8 Char"/>
    <w:qFormat/>
    <w:uiPriority w:val="0"/>
    <w:rPr>
      <w:rFonts w:ascii="Arial" w:hAnsi="Arial" w:eastAsia="黑体"/>
      <w:sz w:val="24"/>
      <w:szCs w:val="24"/>
    </w:rPr>
  </w:style>
  <w:style w:type="character" w:customStyle="1" w:styleId="196">
    <w:name w:val="Char Char6"/>
    <w:qFormat/>
    <w:uiPriority w:val="0"/>
    <w:rPr>
      <w:rFonts w:ascii="Arial" w:hAnsi="Arial" w:eastAsia="黑体"/>
      <w:sz w:val="24"/>
      <w:szCs w:val="24"/>
      <w:lang w:val="en-US" w:eastAsia="zh-CN" w:bidi="ar-SA"/>
    </w:rPr>
  </w:style>
  <w:style w:type="character" w:customStyle="1" w:styleId="197">
    <w:name w:val="样式2 Char Char"/>
    <w:uiPriority w:val="0"/>
    <w:rPr>
      <w:rFonts w:eastAsia="宋体"/>
      <w:kern w:val="2"/>
      <w:sz w:val="18"/>
      <w:szCs w:val="18"/>
      <w:lang w:val="en-US" w:eastAsia="zh-CN" w:bidi="ar-SA"/>
    </w:rPr>
  </w:style>
  <w:style w:type="character" w:customStyle="1" w:styleId="198">
    <w:name w:val="style81"/>
    <w:qFormat/>
    <w:uiPriority w:val="0"/>
    <w:rPr>
      <w:sz w:val="21"/>
      <w:szCs w:val="21"/>
    </w:rPr>
  </w:style>
  <w:style w:type="character" w:customStyle="1" w:styleId="199">
    <w:name w:val="apple-style-span"/>
    <w:qFormat/>
    <w:uiPriority w:val="0"/>
    <w:rPr>
      <w:rFonts w:ascii="Tahoma" w:hAnsi="Tahoma" w:cs="仿宋_GB2312"/>
      <w:sz w:val="24"/>
      <w:szCs w:val="28"/>
    </w:rPr>
  </w:style>
  <w:style w:type="character" w:customStyle="1" w:styleId="200">
    <w:name w:val="bds_nopic1"/>
    <w:uiPriority w:val="0"/>
    <w:rPr>
      <w:rFonts w:ascii="Times New Roman" w:hAnsi="Times New Roman" w:eastAsia="宋体"/>
    </w:rPr>
  </w:style>
  <w:style w:type="character" w:customStyle="1" w:styleId="201">
    <w:name w:val="页脚 Char"/>
    <w:qFormat/>
    <w:uiPriority w:val="99"/>
    <w:rPr>
      <w:kern w:val="2"/>
      <w:sz w:val="18"/>
      <w:szCs w:val="18"/>
    </w:rPr>
  </w:style>
  <w:style w:type="character" w:customStyle="1" w:styleId="202">
    <w:name w:val="Font Style123"/>
    <w:unhideWhenUsed/>
    <w:qFormat/>
    <w:uiPriority w:val="0"/>
    <w:rPr>
      <w:rFonts w:hint="eastAsia" w:ascii="宋体" w:hAnsi="宋体" w:eastAsia="宋体"/>
      <w:b/>
      <w:sz w:val="32"/>
    </w:rPr>
  </w:style>
  <w:style w:type="character" w:customStyle="1" w:styleId="203">
    <w:name w:val="Font Style127"/>
    <w:unhideWhenUsed/>
    <w:uiPriority w:val="0"/>
    <w:rPr>
      <w:rFonts w:hint="eastAsia" w:ascii="Times New Roman" w:hAnsi="Times New Roman" w:eastAsia="Times New Roman"/>
      <w:sz w:val="20"/>
    </w:rPr>
  </w:style>
  <w:style w:type="character" w:customStyle="1" w:styleId="204">
    <w:name w:val="Font Style122"/>
    <w:unhideWhenUsed/>
    <w:qFormat/>
    <w:uiPriority w:val="0"/>
    <w:rPr>
      <w:rFonts w:hint="eastAsia" w:ascii="宋体" w:hAnsi="宋体" w:eastAsia="宋体"/>
      <w:spacing w:val="20"/>
      <w:sz w:val="24"/>
    </w:rPr>
  </w:style>
  <w:style w:type="character" w:customStyle="1" w:styleId="205">
    <w:name w:val="标题 Char"/>
    <w:uiPriority w:val="0"/>
    <w:rPr>
      <w:rFonts w:ascii="Cambria" w:hAnsi="Cambria"/>
      <w:b/>
      <w:kern w:val="2"/>
      <w:sz w:val="32"/>
      <w:szCs w:val="24"/>
    </w:rPr>
  </w:style>
  <w:style w:type="character" w:customStyle="1" w:styleId="206">
    <w:name w:val="Font Style104"/>
    <w:unhideWhenUsed/>
    <w:uiPriority w:val="0"/>
    <w:rPr>
      <w:rFonts w:hint="eastAsia" w:ascii="宋体" w:hAnsi="宋体" w:eastAsia="宋体"/>
      <w:spacing w:val="30"/>
      <w:sz w:val="18"/>
    </w:rPr>
  </w:style>
  <w:style w:type="character" w:customStyle="1" w:styleId="207">
    <w:name w:val="bds_more6"/>
    <w:qFormat/>
    <w:uiPriority w:val="0"/>
    <w:rPr>
      <w:rFonts w:hint="eastAsia" w:ascii="宋体" w:hAnsi="宋体" w:eastAsia="宋体" w:cs="宋体"/>
    </w:rPr>
  </w:style>
  <w:style w:type="character" w:customStyle="1" w:styleId="208">
    <w:name w:val="批注框文本 Char"/>
    <w:qFormat/>
    <w:uiPriority w:val="0"/>
    <w:rPr>
      <w:kern w:val="2"/>
      <w:sz w:val="18"/>
      <w:szCs w:val="18"/>
    </w:rPr>
  </w:style>
  <w:style w:type="character" w:customStyle="1" w:styleId="209">
    <w:name w:val="批注主题 Char"/>
    <w:qFormat/>
    <w:uiPriority w:val="0"/>
    <w:rPr>
      <w:b/>
      <w:bCs/>
      <w:kern w:val="2"/>
      <w:sz w:val="21"/>
      <w:szCs w:val="24"/>
    </w:rPr>
  </w:style>
  <w:style w:type="character" w:customStyle="1" w:styleId="210">
    <w:name w:val="zzi1"/>
    <w:qFormat/>
    <w:uiPriority w:val="0"/>
    <w:rPr>
      <w:rFonts w:ascii="Tahoma" w:hAnsi="Tahoma" w:cs="仿宋_GB2312"/>
      <w:sz w:val="22"/>
      <w:szCs w:val="22"/>
    </w:rPr>
  </w:style>
  <w:style w:type="character" w:customStyle="1" w:styleId="211">
    <w:name w:val="sidecatalog-dot1"/>
    <w:qFormat/>
    <w:uiPriority w:val="0"/>
    <w:rPr>
      <w:rFonts w:ascii="Times New Roman" w:hAnsi="Times New Roman" w:eastAsia="宋体"/>
    </w:rPr>
  </w:style>
  <w:style w:type="character" w:customStyle="1" w:styleId="212">
    <w:name w:val="纯文本 Char1 Char Char Char"/>
    <w:semiHidden/>
    <w:qFormat/>
    <w:locked/>
    <w:uiPriority w:val="0"/>
    <w:rPr>
      <w:rFonts w:ascii="宋体" w:hAnsi="Courier New" w:eastAsia="宋体"/>
      <w:kern w:val="2"/>
      <w:sz w:val="24"/>
      <w:szCs w:val="24"/>
      <w:lang w:val="en-US" w:eastAsia="zh-CN" w:bidi="ar-SA"/>
    </w:rPr>
  </w:style>
  <w:style w:type="character" w:customStyle="1" w:styleId="213">
    <w:name w:val="Font Style134"/>
    <w:unhideWhenUsed/>
    <w:qFormat/>
    <w:uiPriority w:val="0"/>
    <w:rPr>
      <w:rFonts w:hint="eastAsia" w:ascii="宋体" w:hAnsi="宋体" w:eastAsia="宋体"/>
      <w:spacing w:val="20"/>
      <w:sz w:val="22"/>
    </w:rPr>
  </w:style>
  <w:style w:type="character" w:customStyle="1" w:styleId="214">
    <w:name w:val="param-name"/>
    <w:qFormat/>
    <w:uiPriority w:val="0"/>
  </w:style>
  <w:style w:type="character" w:customStyle="1" w:styleId="215">
    <w:name w:val="plus"/>
    <w:qFormat/>
    <w:uiPriority w:val="0"/>
    <w:rPr>
      <w:rFonts w:ascii="Times New Roman" w:hAnsi="Times New Roman" w:eastAsia="宋体"/>
      <w:b/>
      <w:vanish/>
      <w:color w:val="1F8DEF"/>
      <w:sz w:val="24"/>
      <w:szCs w:val="24"/>
    </w:rPr>
  </w:style>
  <w:style w:type="character" w:customStyle="1" w:styleId="216">
    <w:name w:val="Font Style117"/>
    <w:unhideWhenUsed/>
    <w:qFormat/>
    <w:uiPriority w:val="0"/>
    <w:rPr>
      <w:rFonts w:hint="eastAsia" w:ascii="宋体" w:hAnsi="宋体" w:eastAsia="宋体"/>
      <w:spacing w:val="20"/>
      <w:sz w:val="24"/>
    </w:rPr>
  </w:style>
  <w:style w:type="character" w:customStyle="1" w:styleId="217">
    <w:name w:val="Font Style94"/>
    <w:unhideWhenUsed/>
    <w:qFormat/>
    <w:uiPriority w:val="0"/>
    <w:rPr>
      <w:rFonts w:hint="eastAsia" w:ascii="Times New Roman" w:hAnsi="Times New Roman" w:eastAsia="Times New Roman"/>
      <w:sz w:val="28"/>
    </w:rPr>
  </w:style>
  <w:style w:type="character" w:customStyle="1" w:styleId="218">
    <w:name w:val="ca-21"/>
    <w:qFormat/>
    <w:uiPriority w:val="0"/>
    <w:rPr>
      <w:rFonts w:hint="eastAsia" w:ascii="宋体-18030" w:hAnsi="宋体-18030" w:eastAsia="宋体-18030" w:cs="宋体-18030"/>
      <w:sz w:val="24"/>
      <w:szCs w:val="24"/>
    </w:rPr>
  </w:style>
  <w:style w:type="character" w:customStyle="1" w:styleId="219">
    <w:name w:val="标题 6 Char"/>
    <w:qFormat/>
    <w:uiPriority w:val="0"/>
    <w:rPr>
      <w:rFonts w:ascii="Arial" w:hAnsi="Arial" w:eastAsia="黑体"/>
      <w:b/>
      <w:bCs/>
      <w:sz w:val="24"/>
      <w:szCs w:val="24"/>
    </w:rPr>
  </w:style>
  <w:style w:type="character" w:customStyle="1" w:styleId="220">
    <w:name w:val="p0 Char"/>
    <w:link w:val="221"/>
    <w:qFormat/>
    <w:uiPriority w:val="0"/>
    <w:rPr>
      <w:sz w:val="21"/>
      <w:szCs w:val="21"/>
    </w:rPr>
  </w:style>
  <w:style w:type="paragraph" w:customStyle="1" w:styleId="221">
    <w:name w:val="p0"/>
    <w:basedOn w:val="1"/>
    <w:link w:val="220"/>
    <w:qFormat/>
    <w:uiPriority w:val="0"/>
    <w:pPr>
      <w:widowControl/>
      <w:spacing w:line="240" w:lineRule="auto"/>
    </w:pPr>
    <w:rPr>
      <w:rFonts w:ascii="Times New Roman" w:hAnsi="Times New Roman"/>
      <w:kern w:val="0"/>
      <w:sz w:val="21"/>
      <w:szCs w:val="21"/>
    </w:rPr>
  </w:style>
  <w:style w:type="character" w:customStyle="1" w:styleId="222">
    <w:name w:val="param-name param-explain"/>
    <w:qFormat/>
    <w:uiPriority w:val="0"/>
    <w:rPr>
      <w:rFonts w:cs="Times New Roman"/>
    </w:rPr>
  </w:style>
  <w:style w:type="character" w:customStyle="1" w:styleId="223">
    <w:name w:val="标题 2 Char"/>
    <w:qFormat/>
    <w:uiPriority w:val="0"/>
    <w:rPr>
      <w:rFonts w:ascii="Cambria" w:hAnsi="Cambria" w:eastAsia="宋体" w:cs="Times New Roman"/>
      <w:b/>
      <w:bCs/>
      <w:kern w:val="2"/>
      <w:sz w:val="32"/>
      <w:szCs w:val="32"/>
    </w:rPr>
  </w:style>
  <w:style w:type="character" w:customStyle="1" w:styleId="224">
    <w:name w:val="Font Style125"/>
    <w:unhideWhenUsed/>
    <w:qFormat/>
    <w:uiPriority w:val="0"/>
    <w:rPr>
      <w:rFonts w:hint="eastAsia" w:ascii="宋体" w:hAnsi="宋体" w:eastAsia="宋体"/>
      <w:b/>
      <w:sz w:val="26"/>
    </w:rPr>
  </w:style>
  <w:style w:type="character" w:customStyle="1" w:styleId="225">
    <w:name w:val="ca-11"/>
    <w:qFormat/>
    <w:uiPriority w:val="0"/>
    <w:rPr>
      <w:rFonts w:hint="eastAsia" w:ascii="宋体" w:hAnsi="宋体" w:eastAsia="宋体"/>
      <w:sz w:val="24"/>
      <w:szCs w:val="24"/>
    </w:rPr>
  </w:style>
  <w:style w:type="character" w:customStyle="1" w:styleId="226">
    <w:name w:val="Font Style105"/>
    <w:unhideWhenUsed/>
    <w:qFormat/>
    <w:uiPriority w:val="0"/>
    <w:rPr>
      <w:rFonts w:hint="eastAsia" w:ascii="Times New Roman" w:hAnsi="Times New Roman" w:eastAsia="Times New Roman"/>
      <w:w w:val="60"/>
      <w:sz w:val="26"/>
    </w:rPr>
  </w:style>
  <w:style w:type="character" w:customStyle="1" w:styleId="227">
    <w:name w:val="10_2_2"/>
    <w:qFormat/>
    <w:uiPriority w:val="0"/>
    <w:rPr>
      <w:rFonts w:hint="default" w:ascii="Times New Roman" w:hAnsi="Times New Roman" w:cs="Times New Roman"/>
      <w:sz w:val="20"/>
      <w:szCs w:val="20"/>
    </w:rPr>
  </w:style>
  <w:style w:type="character" w:customStyle="1" w:styleId="228">
    <w:name w:val="Char Char19"/>
    <w:qFormat/>
    <w:uiPriority w:val="0"/>
    <w:rPr>
      <w:rFonts w:ascii="Arial" w:hAnsi="Arial" w:eastAsia="宋体"/>
      <w:b/>
      <w:bCs/>
      <w:kern w:val="2"/>
      <w:sz w:val="24"/>
      <w:szCs w:val="32"/>
      <w:lang w:val="en-US" w:eastAsia="zh-CN" w:bidi="ar-SA"/>
    </w:rPr>
  </w:style>
  <w:style w:type="character" w:customStyle="1" w:styleId="229">
    <w:name w:val="我的正文{858D7CFB-ED40-4347-BF05-701D383B685F}"/>
    <w:link w:val="230"/>
    <w:qFormat/>
    <w:uiPriority w:val="0"/>
    <w:rPr>
      <w:rFonts w:ascii="Arial" w:hAnsi="Arial"/>
      <w:sz w:val="24"/>
      <w:szCs w:val="24"/>
    </w:rPr>
  </w:style>
  <w:style w:type="paragraph" w:customStyle="1" w:styleId="230">
    <w:name w:val="我的正文"/>
    <w:basedOn w:val="1"/>
    <w:link w:val="229"/>
    <w:qFormat/>
    <w:uiPriority w:val="0"/>
    <w:pPr>
      <w:spacing w:line="480" w:lineRule="exact"/>
      <w:ind w:firstLine="200" w:firstLineChars="200"/>
    </w:pPr>
    <w:rPr>
      <w:rFonts w:ascii="Arial" w:hAnsi="Arial"/>
      <w:kern w:val="0"/>
    </w:rPr>
  </w:style>
  <w:style w:type="paragraph" w:customStyle="1" w:styleId="231">
    <w:name w:val="Style63"/>
    <w:basedOn w:val="1"/>
    <w:unhideWhenUsed/>
    <w:qFormat/>
    <w:uiPriority w:val="0"/>
    <w:pPr>
      <w:spacing w:line="564" w:lineRule="exact"/>
      <w:ind w:firstLine="682"/>
    </w:pPr>
    <w:rPr>
      <w:rFonts w:ascii="Times New Roman" w:hAnsi="Times New Roman"/>
      <w:sz w:val="21"/>
    </w:rPr>
  </w:style>
  <w:style w:type="paragraph" w:customStyle="1" w:styleId="232">
    <w:name w:val="Style81"/>
    <w:basedOn w:val="1"/>
    <w:unhideWhenUsed/>
    <w:qFormat/>
    <w:uiPriority w:val="0"/>
    <w:pPr>
      <w:spacing w:line="547" w:lineRule="exact"/>
    </w:pPr>
    <w:rPr>
      <w:rFonts w:ascii="Times New Roman" w:hAnsi="Times New Roman"/>
      <w:sz w:val="21"/>
    </w:rPr>
  </w:style>
  <w:style w:type="paragraph" w:customStyle="1" w:styleId="233">
    <w:name w:val="Style53"/>
    <w:basedOn w:val="1"/>
    <w:unhideWhenUsed/>
    <w:qFormat/>
    <w:uiPriority w:val="0"/>
    <w:pPr>
      <w:spacing w:line="533" w:lineRule="exact"/>
      <w:ind w:firstLine="581"/>
    </w:pPr>
    <w:rPr>
      <w:rFonts w:ascii="Times New Roman" w:hAnsi="Times New Roman"/>
      <w:sz w:val="21"/>
    </w:rPr>
  </w:style>
  <w:style w:type="paragraph" w:customStyle="1" w:styleId="234">
    <w:name w:val="Style13"/>
    <w:basedOn w:val="1"/>
    <w:unhideWhenUsed/>
    <w:qFormat/>
    <w:uiPriority w:val="0"/>
    <w:pPr>
      <w:spacing w:line="240" w:lineRule="auto"/>
    </w:pPr>
    <w:rPr>
      <w:rFonts w:ascii="Times New Roman" w:hAnsi="Times New Roman"/>
      <w:sz w:val="21"/>
    </w:rPr>
  </w:style>
  <w:style w:type="paragraph" w:customStyle="1" w:styleId="235">
    <w:name w:val="Style78"/>
    <w:basedOn w:val="1"/>
    <w:unhideWhenUsed/>
    <w:qFormat/>
    <w:uiPriority w:val="0"/>
    <w:pPr>
      <w:spacing w:line="240" w:lineRule="auto"/>
    </w:pPr>
    <w:rPr>
      <w:rFonts w:ascii="Times New Roman" w:hAnsi="Times New Roman"/>
      <w:sz w:val="21"/>
    </w:rPr>
  </w:style>
  <w:style w:type="paragraph" w:customStyle="1" w:styleId="236">
    <w:name w:val="Style50"/>
    <w:basedOn w:val="1"/>
    <w:unhideWhenUsed/>
    <w:qFormat/>
    <w:uiPriority w:val="0"/>
    <w:pPr>
      <w:spacing w:line="240" w:lineRule="auto"/>
    </w:pPr>
    <w:rPr>
      <w:rFonts w:ascii="Times New Roman" w:hAnsi="Times New Roman"/>
      <w:sz w:val="21"/>
    </w:rPr>
  </w:style>
  <w:style w:type="paragraph" w:customStyle="1" w:styleId="237">
    <w:name w:val="Style77"/>
    <w:basedOn w:val="1"/>
    <w:unhideWhenUsed/>
    <w:qFormat/>
    <w:uiPriority w:val="0"/>
    <w:pPr>
      <w:spacing w:line="240" w:lineRule="auto"/>
    </w:pPr>
    <w:rPr>
      <w:rFonts w:ascii="Times New Roman" w:hAnsi="Times New Roman"/>
      <w:sz w:val="21"/>
    </w:rPr>
  </w:style>
  <w:style w:type="paragraph" w:customStyle="1" w:styleId="238">
    <w:name w:val="Char Char1 Char Char Char"/>
    <w:basedOn w:val="1"/>
    <w:qFormat/>
    <w:uiPriority w:val="0"/>
    <w:pPr>
      <w:spacing w:line="240" w:lineRule="auto"/>
    </w:pPr>
    <w:rPr>
      <w:rFonts w:ascii="Times New Roman" w:hAnsi="Times New Roman"/>
      <w:kern w:val="0"/>
      <w:sz w:val="20"/>
      <w:szCs w:val="20"/>
    </w:rPr>
  </w:style>
  <w:style w:type="paragraph" w:customStyle="1" w:styleId="239">
    <w:name w:val="Style8"/>
    <w:basedOn w:val="1"/>
    <w:unhideWhenUsed/>
    <w:qFormat/>
    <w:uiPriority w:val="0"/>
    <w:pPr>
      <w:spacing w:line="566" w:lineRule="exact"/>
      <w:jc w:val="center"/>
    </w:pPr>
    <w:rPr>
      <w:rFonts w:ascii="Times New Roman" w:hAnsi="Times New Roman"/>
      <w:sz w:val="21"/>
    </w:rPr>
  </w:style>
  <w:style w:type="paragraph" w:customStyle="1" w:styleId="240">
    <w:name w:val="Style23"/>
    <w:basedOn w:val="1"/>
    <w:unhideWhenUsed/>
    <w:qFormat/>
    <w:uiPriority w:val="0"/>
    <w:pPr>
      <w:spacing w:line="240" w:lineRule="auto"/>
    </w:pPr>
    <w:rPr>
      <w:rFonts w:ascii="Times New Roman" w:hAnsi="Times New Roman"/>
      <w:sz w:val="21"/>
    </w:rPr>
  </w:style>
  <w:style w:type="paragraph" w:customStyle="1" w:styleId="241">
    <w:name w:val="NO3"/>
    <w:basedOn w:val="1"/>
    <w:qFormat/>
    <w:uiPriority w:val="0"/>
    <w:pPr>
      <w:tabs>
        <w:tab w:val="left" w:pos="907"/>
      </w:tabs>
    </w:pPr>
  </w:style>
  <w:style w:type="paragraph" w:customStyle="1" w:styleId="242">
    <w:name w:val="Style44"/>
    <w:basedOn w:val="1"/>
    <w:unhideWhenUsed/>
    <w:qFormat/>
    <w:uiPriority w:val="0"/>
    <w:pPr>
      <w:spacing w:line="240" w:lineRule="auto"/>
    </w:pPr>
    <w:rPr>
      <w:rFonts w:ascii="Times New Roman" w:hAnsi="Times New Roman"/>
      <w:sz w:val="21"/>
    </w:rPr>
  </w:style>
  <w:style w:type="paragraph" w:customStyle="1" w:styleId="243">
    <w:name w:val="Char Char Char Char Char Char Char"/>
    <w:basedOn w:val="1"/>
    <w:qFormat/>
    <w:uiPriority w:val="0"/>
    <w:pPr>
      <w:snapToGrid w:val="0"/>
      <w:ind w:firstLine="200" w:firstLineChars="200"/>
    </w:pPr>
    <w:rPr>
      <w:rFonts w:ascii="Times New Roman" w:hAnsi="Times New Roman" w:eastAsia="仿宋_GB2312"/>
    </w:rPr>
  </w:style>
  <w:style w:type="paragraph" w:customStyle="1" w:styleId="244">
    <w:name w:val="Style69"/>
    <w:basedOn w:val="1"/>
    <w:unhideWhenUsed/>
    <w:qFormat/>
    <w:uiPriority w:val="0"/>
    <w:pPr>
      <w:spacing w:line="557" w:lineRule="exact"/>
      <w:ind w:firstLine="1666"/>
    </w:pPr>
    <w:rPr>
      <w:rFonts w:ascii="Times New Roman" w:hAnsi="Times New Roman"/>
      <w:sz w:val="21"/>
    </w:rPr>
  </w:style>
  <w:style w:type="paragraph" w:customStyle="1" w:styleId="245">
    <w:name w:val="1 Char Char Char Char"/>
    <w:basedOn w:val="1"/>
    <w:qFormat/>
    <w:uiPriority w:val="0"/>
    <w:pPr>
      <w:spacing w:line="240" w:lineRule="auto"/>
    </w:pPr>
    <w:rPr>
      <w:rFonts w:ascii="Times New Roman" w:hAnsi="Times New Roman"/>
      <w:sz w:val="21"/>
    </w:rPr>
  </w:style>
  <w:style w:type="paragraph" w:customStyle="1" w:styleId="246">
    <w:name w:val="Style76"/>
    <w:basedOn w:val="1"/>
    <w:unhideWhenUsed/>
    <w:qFormat/>
    <w:uiPriority w:val="0"/>
    <w:pPr>
      <w:spacing w:line="240" w:lineRule="auto"/>
    </w:pPr>
    <w:rPr>
      <w:rFonts w:ascii="Times New Roman" w:hAnsi="Times New Roman"/>
      <w:sz w:val="21"/>
    </w:rPr>
  </w:style>
  <w:style w:type="paragraph" w:customStyle="1" w:styleId="247">
    <w:name w:val="Style26"/>
    <w:basedOn w:val="1"/>
    <w:unhideWhenUsed/>
    <w:qFormat/>
    <w:uiPriority w:val="0"/>
    <w:pPr>
      <w:spacing w:line="240" w:lineRule="auto"/>
    </w:pPr>
    <w:rPr>
      <w:rFonts w:ascii="Times New Roman" w:hAnsi="Times New Roman"/>
      <w:sz w:val="21"/>
    </w:rPr>
  </w:style>
  <w:style w:type="paragraph" w:customStyle="1" w:styleId="248">
    <w:name w:val="Style15"/>
    <w:basedOn w:val="1"/>
    <w:unhideWhenUsed/>
    <w:qFormat/>
    <w:uiPriority w:val="0"/>
    <w:pPr>
      <w:spacing w:line="557" w:lineRule="exact"/>
      <w:ind w:firstLine="672"/>
    </w:pPr>
    <w:rPr>
      <w:rFonts w:ascii="Times New Roman" w:hAnsi="Times New Roman"/>
      <w:sz w:val="21"/>
    </w:rPr>
  </w:style>
  <w:style w:type="paragraph" w:customStyle="1" w:styleId="249">
    <w:name w:val="p16"/>
    <w:basedOn w:val="1"/>
    <w:qFormat/>
    <w:uiPriority w:val="0"/>
    <w:pPr>
      <w:widowControl/>
      <w:spacing w:line="240" w:lineRule="auto"/>
      <w:jc w:val="left"/>
    </w:pPr>
    <w:rPr>
      <w:rFonts w:ascii="Times New Roman" w:hAnsi="Times New Roman"/>
      <w:kern w:val="0"/>
      <w:sz w:val="21"/>
      <w:szCs w:val="21"/>
    </w:rPr>
  </w:style>
  <w:style w:type="paragraph" w:customStyle="1" w:styleId="250">
    <w:name w:val="Style42"/>
    <w:basedOn w:val="1"/>
    <w:unhideWhenUsed/>
    <w:qFormat/>
    <w:uiPriority w:val="0"/>
    <w:pPr>
      <w:spacing w:line="542" w:lineRule="exact"/>
      <w:ind w:firstLine="547"/>
    </w:pPr>
    <w:rPr>
      <w:rFonts w:ascii="Times New Roman" w:hAnsi="Times New Roman"/>
      <w:sz w:val="21"/>
    </w:rPr>
  </w:style>
  <w:style w:type="paragraph" w:customStyle="1" w:styleId="251">
    <w:name w:val="Style73"/>
    <w:basedOn w:val="1"/>
    <w:unhideWhenUsed/>
    <w:qFormat/>
    <w:uiPriority w:val="0"/>
    <w:pPr>
      <w:spacing w:line="538" w:lineRule="exact"/>
      <w:ind w:firstLine="533"/>
    </w:pPr>
    <w:rPr>
      <w:rFonts w:ascii="Times New Roman" w:hAnsi="Times New Roman"/>
      <w:sz w:val="21"/>
    </w:rPr>
  </w:style>
  <w:style w:type="paragraph" w:customStyle="1" w:styleId="252">
    <w:name w:val="reader-word-layer reader-word-s1-1"/>
    <w:basedOn w:val="1"/>
    <w:qFormat/>
    <w:uiPriority w:val="0"/>
    <w:pPr>
      <w:widowControl/>
      <w:spacing w:before="100" w:beforeAutospacing="1" w:after="100" w:afterAutospacing="1" w:line="240" w:lineRule="auto"/>
      <w:jc w:val="left"/>
    </w:pPr>
    <w:rPr>
      <w:rFonts w:cs="宋体"/>
      <w:kern w:val="0"/>
    </w:rPr>
  </w:style>
  <w:style w:type="paragraph" w:customStyle="1" w:styleId="253">
    <w:name w:val="Char1 Char Char Char Char Char Char Char Char Char"/>
    <w:basedOn w:val="1"/>
    <w:uiPriority w:val="0"/>
    <w:pPr>
      <w:spacing w:line="240" w:lineRule="auto"/>
    </w:pPr>
    <w:rPr>
      <w:rFonts w:ascii="Times New Roman" w:hAnsi="Times New Roman"/>
      <w:sz w:val="21"/>
      <w:szCs w:val="20"/>
    </w:rPr>
  </w:style>
  <w:style w:type="paragraph" w:customStyle="1" w:styleId="254">
    <w:name w:val="Style48"/>
    <w:basedOn w:val="1"/>
    <w:unhideWhenUsed/>
    <w:uiPriority w:val="0"/>
    <w:pPr>
      <w:spacing w:line="542" w:lineRule="exact"/>
      <w:jc w:val="right"/>
    </w:pPr>
    <w:rPr>
      <w:rFonts w:ascii="Times New Roman" w:hAnsi="Times New Roman"/>
      <w:sz w:val="21"/>
    </w:rPr>
  </w:style>
  <w:style w:type="paragraph" w:customStyle="1" w:styleId="255">
    <w:name w:val="Style27"/>
    <w:basedOn w:val="1"/>
    <w:unhideWhenUsed/>
    <w:uiPriority w:val="0"/>
    <w:pPr>
      <w:spacing w:line="240" w:lineRule="auto"/>
    </w:pPr>
    <w:rPr>
      <w:rFonts w:ascii="Times New Roman" w:hAnsi="Times New Roman"/>
      <w:sz w:val="21"/>
    </w:rPr>
  </w:style>
  <w:style w:type="paragraph" w:customStyle="1" w:styleId="256">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5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rPr>
  </w:style>
  <w:style w:type="paragraph" w:customStyle="1" w:styleId="258">
    <w:name w:val="Style29"/>
    <w:basedOn w:val="1"/>
    <w:unhideWhenUsed/>
    <w:qFormat/>
    <w:uiPriority w:val="0"/>
    <w:pPr>
      <w:spacing w:line="547" w:lineRule="exact"/>
      <w:ind w:firstLine="547"/>
    </w:pPr>
    <w:rPr>
      <w:rFonts w:ascii="Times New Roman" w:hAnsi="Times New Roman"/>
      <w:sz w:val="21"/>
    </w:rPr>
  </w:style>
  <w:style w:type="paragraph" w:customStyle="1" w:styleId="259">
    <w:name w:val="Style12"/>
    <w:basedOn w:val="1"/>
    <w:unhideWhenUsed/>
    <w:qFormat/>
    <w:uiPriority w:val="0"/>
    <w:pPr>
      <w:spacing w:line="564" w:lineRule="exact"/>
      <w:ind w:hanging="115"/>
    </w:pPr>
    <w:rPr>
      <w:rFonts w:ascii="Times New Roman" w:hAnsi="Times New Roman"/>
      <w:sz w:val="21"/>
    </w:rPr>
  </w:style>
  <w:style w:type="paragraph" w:customStyle="1" w:styleId="260">
    <w:name w:val="默认段落字体 Para Char Char Char Char Char Char Char Char Char Char Char Char Char Char Char Char Char Char Char"/>
    <w:basedOn w:val="1"/>
    <w:qFormat/>
    <w:uiPriority w:val="0"/>
    <w:pPr>
      <w:spacing w:line="240" w:lineRule="auto"/>
    </w:pPr>
    <w:rPr>
      <w:rFonts w:ascii="Times New Roman" w:hAnsi="Times New Roman"/>
      <w:sz w:val="21"/>
    </w:rPr>
  </w:style>
  <w:style w:type="paragraph" w:customStyle="1" w:styleId="261">
    <w:name w:val="Style47"/>
    <w:basedOn w:val="1"/>
    <w:unhideWhenUsed/>
    <w:qFormat/>
    <w:uiPriority w:val="0"/>
    <w:pPr>
      <w:spacing w:line="240" w:lineRule="auto"/>
    </w:pPr>
    <w:rPr>
      <w:rFonts w:ascii="Times New Roman" w:hAnsi="Times New Roman"/>
      <w:sz w:val="21"/>
    </w:rPr>
  </w:style>
  <w:style w:type="paragraph" w:customStyle="1" w:styleId="262">
    <w:name w:val="样式 标题 2 + 宋体 五号 行距: 单倍行距"/>
    <w:basedOn w:val="3"/>
    <w:qFormat/>
    <w:uiPriority w:val="0"/>
    <w:pPr>
      <w:numPr>
        <w:ilvl w:val="0"/>
        <w:numId w:val="0"/>
      </w:numPr>
      <w:tabs>
        <w:tab w:val="left" w:pos="2175"/>
      </w:tabs>
      <w:adjustRightInd w:val="0"/>
      <w:spacing w:line="240" w:lineRule="auto"/>
      <w:ind w:left="2175" w:hanging="1275"/>
      <w:jc w:val="left"/>
      <w:textAlignment w:val="baseline"/>
    </w:pPr>
    <w:rPr>
      <w:rFonts w:ascii="宋体" w:hAnsi="宋体" w:eastAsia="宋体"/>
      <w:kern w:val="0"/>
      <w:sz w:val="21"/>
      <w:szCs w:val="20"/>
    </w:rPr>
  </w:style>
  <w:style w:type="paragraph" w:customStyle="1" w:styleId="263">
    <w:name w:val="Style45"/>
    <w:basedOn w:val="1"/>
    <w:unhideWhenUsed/>
    <w:qFormat/>
    <w:uiPriority w:val="0"/>
    <w:pPr>
      <w:spacing w:line="240" w:lineRule="auto"/>
    </w:pPr>
    <w:rPr>
      <w:rFonts w:ascii="Times New Roman" w:hAnsi="Times New Roman"/>
      <w:sz w:val="21"/>
    </w:rPr>
  </w:style>
  <w:style w:type="paragraph" w:customStyle="1" w:styleId="264">
    <w:name w:val="Style58"/>
    <w:basedOn w:val="1"/>
    <w:unhideWhenUsed/>
    <w:qFormat/>
    <w:uiPriority w:val="0"/>
    <w:pPr>
      <w:spacing w:line="413" w:lineRule="exact"/>
    </w:pPr>
    <w:rPr>
      <w:rFonts w:ascii="Times New Roman" w:hAnsi="Times New Roman"/>
      <w:sz w:val="21"/>
    </w:rPr>
  </w:style>
  <w:style w:type="paragraph" w:customStyle="1" w:styleId="265">
    <w:name w:val="p15"/>
    <w:basedOn w:val="1"/>
    <w:qFormat/>
    <w:uiPriority w:val="0"/>
    <w:pPr>
      <w:widowControl/>
      <w:spacing w:line="220" w:lineRule="atLeast"/>
      <w:jc w:val="center"/>
    </w:pPr>
    <w:rPr>
      <w:rFonts w:ascii="仿宋_GB2312" w:eastAsia="仿宋_GB2312" w:cs="宋体"/>
      <w:kern w:val="0"/>
      <w:sz w:val="21"/>
      <w:szCs w:val="21"/>
    </w:rPr>
  </w:style>
  <w:style w:type="paragraph" w:customStyle="1" w:styleId="26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Char Char Char1"/>
    <w:basedOn w:val="1"/>
    <w:qFormat/>
    <w:uiPriority w:val="0"/>
    <w:pPr>
      <w:spacing w:line="240" w:lineRule="auto"/>
    </w:pPr>
    <w:rPr>
      <w:b/>
      <w:sz w:val="28"/>
      <w:szCs w:val="28"/>
    </w:rPr>
  </w:style>
  <w:style w:type="paragraph" w:customStyle="1" w:styleId="268">
    <w:name w:val="表格内容"/>
    <w:basedOn w:val="18"/>
    <w:qFormat/>
    <w:uiPriority w:val="0"/>
  </w:style>
  <w:style w:type="paragraph" w:customStyle="1" w:styleId="269">
    <w:name w:val="列出段落1"/>
    <w:basedOn w:val="1"/>
    <w:qFormat/>
    <w:uiPriority w:val="34"/>
    <w:pPr>
      <w:widowControl/>
      <w:adjustRightInd w:val="0"/>
      <w:snapToGrid w:val="0"/>
      <w:spacing w:after="200" w:line="240" w:lineRule="auto"/>
      <w:ind w:firstLine="420" w:firstLineChars="200"/>
      <w:jc w:val="left"/>
    </w:pPr>
    <w:rPr>
      <w:rFonts w:ascii="Tahoma" w:hAnsi="Tahoma" w:eastAsia="微软雅黑" w:cs="Tahoma"/>
      <w:kern w:val="0"/>
      <w:sz w:val="22"/>
      <w:szCs w:val="22"/>
    </w:rPr>
  </w:style>
  <w:style w:type="paragraph" w:customStyle="1" w:styleId="270">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1">
    <w:name w:val="表内文字"/>
    <w:basedOn w:val="1"/>
    <w:qFormat/>
    <w:uiPriority w:val="0"/>
    <w:pPr>
      <w:tabs>
        <w:tab w:val="left" w:pos="1418"/>
      </w:tabs>
      <w:jc w:val="center"/>
    </w:pPr>
    <w:rPr>
      <w:rFonts w:ascii="仿宋_GB2312" w:hAnsi="Times New Roman" w:eastAsia="仿宋_GB2312"/>
      <w:spacing w:val="-20"/>
      <w:kern w:val="0"/>
    </w:rPr>
  </w:style>
  <w:style w:type="paragraph" w:customStyle="1" w:styleId="272">
    <w:name w:val="1"/>
    <w:basedOn w:val="1"/>
    <w:qFormat/>
    <w:uiPriority w:val="0"/>
    <w:pPr>
      <w:spacing w:after="156" w:afterLines="50"/>
    </w:pPr>
    <w:rPr>
      <w:b/>
      <w:sz w:val="30"/>
      <w:szCs w:val="21"/>
    </w:rPr>
  </w:style>
  <w:style w:type="paragraph" w:customStyle="1" w:styleId="273">
    <w:name w:val="Style70"/>
    <w:basedOn w:val="1"/>
    <w:unhideWhenUsed/>
    <w:qFormat/>
    <w:uiPriority w:val="0"/>
    <w:pPr>
      <w:spacing w:line="549" w:lineRule="exact"/>
      <w:ind w:firstLine="686"/>
    </w:pPr>
    <w:rPr>
      <w:rFonts w:ascii="Times New Roman" w:hAnsi="Times New Roman"/>
      <w:sz w:val="21"/>
    </w:rPr>
  </w:style>
  <w:style w:type="paragraph" w:customStyle="1" w:styleId="274">
    <w:name w:val="Style46"/>
    <w:basedOn w:val="1"/>
    <w:unhideWhenUsed/>
    <w:qFormat/>
    <w:uiPriority w:val="0"/>
    <w:pPr>
      <w:spacing w:line="672" w:lineRule="exact"/>
    </w:pPr>
    <w:rPr>
      <w:rFonts w:ascii="Times New Roman" w:hAnsi="Times New Roman"/>
      <w:sz w:val="21"/>
    </w:rPr>
  </w:style>
  <w:style w:type="paragraph" w:customStyle="1" w:styleId="275">
    <w:name w:val="xl3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kern w:val="0"/>
    </w:rPr>
  </w:style>
  <w:style w:type="paragraph" w:customStyle="1" w:styleId="276">
    <w:name w:val="font5"/>
    <w:basedOn w:val="1"/>
    <w:qFormat/>
    <w:uiPriority w:val="0"/>
    <w:pPr>
      <w:widowControl/>
      <w:spacing w:before="100" w:beforeAutospacing="1" w:after="100" w:afterAutospacing="1" w:line="240" w:lineRule="auto"/>
      <w:jc w:val="left"/>
    </w:pPr>
    <w:rPr>
      <w:rFonts w:cs="宋体"/>
      <w:kern w:val="0"/>
      <w:sz w:val="18"/>
      <w:szCs w:val="18"/>
    </w:rPr>
  </w:style>
  <w:style w:type="paragraph" w:customStyle="1" w:styleId="2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Style62"/>
    <w:basedOn w:val="1"/>
    <w:unhideWhenUsed/>
    <w:qFormat/>
    <w:uiPriority w:val="0"/>
    <w:pPr>
      <w:spacing w:line="240" w:lineRule="auto"/>
    </w:pPr>
    <w:rPr>
      <w:rFonts w:ascii="Times New Roman" w:hAnsi="Times New Roman"/>
      <w:sz w:val="21"/>
    </w:rPr>
  </w:style>
  <w:style w:type="paragraph" w:customStyle="1" w:styleId="279">
    <w:name w:val="Style16"/>
    <w:basedOn w:val="1"/>
    <w:unhideWhenUsed/>
    <w:qFormat/>
    <w:uiPriority w:val="0"/>
    <w:pPr>
      <w:spacing w:line="240" w:lineRule="auto"/>
      <w:jc w:val="right"/>
    </w:pPr>
    <w:rPr>
      <w:rFonts w:ascii="Times New Roman" w:hAnsi="Times New Roman"/>
      <w:sz w:val="21"/>
    </w:rPr>
  </w:style>
  <w:style w:type="paragraph" w:customStyle="1" w:styleId="280">
    <w:name w:val="Style56"/>
    <w:basedOn w:val="1"/>
    <w:unhideWhenUsed/>
    <w:qFormat/>
    <w:uiPriority w:val="0"/>
    <w:pPr>
      <w:spacing w:line="240" w:lineRule="auto"/>
    </w:pPr>
    <w:rPr>
      <w:rFonts w:ascii="Times New Roman" w:hAnsi="Times New Roman"/>
      <w:sz w:val="21"/>
    </w:rPr>
  </w:style>
  <w:style w:type="paragraph" w:customStyle="1" w:styleId="281">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Style5"/>
    <w:basedOn w:val="1"/>
    <w:unhideWhenUsed/>
    <w:qFormat/>
    <w:uiPriority w:val="0"/>
    <w:pPr>
      <w:spacing w:line="240" w:lineRule="auto"/>
    </w:pPr>
    <w:rPr>
      <w:rFonts w:ascii="Times New Roman" w:hAnsi="Times New Roman"/>
      <w:sz w:val="21"/>
    </w:rPr>
  </w:style>
  <w:style w:type="paragraph" w:customStyle="1" w:styleId="28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284">
    <w:name w:val="默认段落字体 Para Char Char Char Char Char Char Char"/>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285">
    <w:name w:val="修订1"/>
    <w:qFormat/>
    <w:uiPriority w:val="0"/>
    <w:rPr>
      <w:rFonts w:ascii="Times New Roman" w:hAnsi="Times New Roman" w:eastAsia="宋体" w:cs="Times New Roman"/>
      <w:kern w:val="2"/>
      <w:sz w:val="21"/>
      <w:szCs w:val="24"/>
      <w:lang w:val="en-US" w:eastAsia="zh-CN" w:bidi="ar-SA"/>
    </w:rPr>
  </w:style>
  <w:style w:type="paragraph" w:customStyle="1" w:styleId="286">
    <w:name w:val="Style52"/>
    <w:basedOn w:val="1"/>
    <w:unhideWhenUsed/>
    <w:qFormat/>
    <w:uiPriority w:val="0"/>
    <w:pPr>
      <w:spacing w:line="682" w:lineRule="exact"/>
      <w:ind w:firstLine="557"/>
    </w:pPr>
    <w:rPr>
      <w:rFonts w:ascii="Times New Roman" w:hAnsi="Times New Roman"/>
      <w:sz w:val="21"/>
    </w:rPr>
  </w:style>
  <w:style w:type="paragraph" w:customStyle="1" w:styleId="287">
    <w:name w:val="Char1 Char Char Char"/>
    <w:basedOn w:val="1"/>
    <w:qFormat/>
    <w:uiPriority w:val="0"/>
    <w:pPr>
      <w:widowControl/>
      <w:spacing w:after="160" w:line="240" w:lineRule="exact"/>
      <w:jc w:val="left"/>
    </w:pPr>
    <w:rPr>
      <w:rFonts w:ascii="Times New Roman" w:hAnsi="Times New Roman"/>
      <w:kern w:val="0"/>
      <w:szCs w:val="20"/>
    </w:rPr>
  </w:style>
  <w:style w:type="paragraph" w:customStyle="1" w:styleId="288">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line="240" w:lineRule="auto"/>
      <w:ind w:left="840" w:hanging="420"/>
      <w:jc w:val="left"/>
      <w:textAlignment w:val="baseline"/>
      <w:outlineLvl w:val="1"/>
    </w:pPr>
    <w:rPr>
      <w:b/>
      <w:bCs/>
      <w:color w:val="000000"/>
      <w:kern w:val="0"/>
      <w:sz w:val="21"/>
      <w:szCs w:val="20"/>
    </w:rPr>
  </w:style>
  <w:style w:type="paragraph" w:customStyle="1" w:styleId="289">
    <w:name w:val="默认段落字体 Para Char Char Char Char Char Char Char Char Char1 Char Char Char Char"/>
    <w:basedOn w:val="1"/>
    <w:qFormat/>
    <w:uiPriority w:val="0"/>
    <w:pPr>
      <w:spacing w:line="240" w:lineRule="auto"/>
    </w:pPr>
    <w:rPr>
      <w:rFonts w:ascii="Tahoma" w:hAnsi="Tahoma"/>
      <w:szCs w:val="20"/>
    </w:rPr>
  </w:style>
  <w:style w:type="paragraph" w:customStyle="1" w:styleId="29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91">
    <w:name w:val="Char Char Char1 Char"/>
    <w:basedOn w:val="1"/>
    <w:qFormat/>
    <w:uiPriority w:val="0"/>
    <w:pPr>
      <w:tabs>
        <w:tab w:val="left" w:pos="360"/>
      </w:tabs>
      <w:snapToGrid w:val="0"/>
    </w:pPr>
    <w:rPr>
      <w:rFonts w:ascii="Times New Roman" w:hAnsi="Times New Roman" w:eastAsia="仿宋_GB2312" w:cs="宋体"/>
    </w:rPr>
  </w:style>
  <w:style w:type="paragraph" w:customStyle="1" w:styleId="292">
    <w:name w:val="Style71"/>
    <w:basedOn w:val="1"/>
    <w:unhideWhenUsed/>
    <w:qFormat/>
    <w:uiPriority w:val="0"/>
    <w:pPr>
      <w:spacing w:line="538" w:lineRule="exact"/>
      <w:ind w:firstLine="101"/>
    </w:pPr>
    <w:rPr>
      <w:rFonts w:ascii="Times New Roman" w:hAnsi="Times New Roman"/>
      <w:sz w:val="21"/>
    </w:rPr>
  </w:style>
  <w:style w:type="paragraph" w:customStyle="1" w:styleId="29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4">
    <w:name w:val="Style68"/>
    <w:basedOn w:val="1"/>
    <w:unhideWhenUsed/>
    <w:qFormat/>
    <w:uiPriority w:val="0"/>
    <w:pPr>
      <w:spacing w:line="547" w:lineRule="exact"/>
    </w:pPr>
    <w:rPr>
      <w:rFonts w:ascii="Times New Roman" w:hAnsi="Times New Roman"/>
      <w:sz w:val="21"/>
    </w:rPr>
  </w:style>
  <w:style w:type="paragraph" w:customStyle="1" w:styleId="295">
    <w:name w:val="Style59"/>
    <w:basedOn w:val="1"/>
    <w:unhideWhenUsed/>
    <w:qFormat/>
    <w:uiPriority w:val="0"/>
    <w:pPr>
      <w:spacing w:line="240" w:lineRule="auto"/>
    </w:pPr>
    <w:rPr>
      <w:rFonts w:ascii="Times New Roman" w:hAnsi="Times New Roman"/>
      <w:sz w:val="21"/>
    </w:rPr>
  </w:style>
  <w:style w:type="paragraph" w:customStyle="1" w:styleId="296">
    <w:name w:val="Style21"/>
    <w:basedOn w:val="1"/>
    <w:unhideWhenUsed/>
    <w:qFormat/>
    <w:uiPriority w:val="0"/>
    <w:pPr>
      <w:spacing w:line="566" w:lineRule="exact"/>
      <w:ind w:firstLine="682"/>
    </w:pPr>
    <w:rPr>
      <w:rFonts w:ascii="Times New Roman" w:hAnsi="Times New Roman"/>
      <w:sz w:val="21"/>
    </w:rPr>
  </w:style>
  <w:style w:type="paragraph" w:customStyle="1" w:styleId="297">
    <w:name w:val="Style64"/>
    <w:basedOn w:val="1"/>
    <w:unhideWhenUsed/>
    <w:qFormat/>
    <w:uiPriority w:val="0"/>
    <w:pPr>
      <w:spacing w:line="240" w:lineRule="auto"/>
    </w:pPr>
    <w:rPr>
      <w:rFonts w:ascii="Times New Roman" w:hAnsi="Times New Roman"/>
      <w:sz w:val="21"/>
    </w:rPr>
  </w:style>
  <w:style w:type="paragraph" w:customStyle="1" w:styleId="298">
    <w:name w:val="Char Char1 Char Char Char Char Char1 Char Char Char Char"/>
    <w:basedOn w:val="13"/>
    <w:qFormat/>
    <w:uiPriority w:val="0"/>
    <w:pPr>
      <w:spacing w:line="240" w:lineRule="auto"/>
    </w:pPr>
    <w:rPr>
      <w:rFonts w:ascii="Tahoma" w:hAnsi="Tahoma"/>
      <w:sz w:val="21"/>
      <w:szCs w:val="24"/>
    </w:rPr>
  </w:style>
  <w:style w:type="paragraph" w:customStyle="1" w:styleId="299">
    <w:name w:val="Style24"/>
    <w:basedOn w:val="1"/>
    <w:unhideWhenUsed/>
    <w:qFormat/>
    <w:uiPriority w:val="0"/>
    <w:pPr>
      <w:spacing w:line="240" w:lineRule="auto"/>
    </w:pPr>
    <w:rPr>
      <w:rFonts w:ascii="Times New Roman" w:hAnsi="Times New Roman"/>
      <w:sz w:val="21"/>
    </w:rPr>
  </w:style>
  <w:style w:type="paragraph" w:customStyle="1" w:styleId="300">
    <w:name w:val="Char1 Char Char Char 字元 Char Char 字元 Char 字元 Char1 Char Char Char"/>
    <w:basedOn w:val="1"/>
    <w:qFormat/>
    <w:uiPriority w:val="0"/>
    <w:pPr>
      <w:spacing w:line="240" w:lineRule="auto"/>
    </w:pPr>
    <w:rPr>
      <w:rFonts w:ascii="Times New Roman" w:hAnsi="Times New Roman"/>
      <w:sz w:val="21"/>
      <w:szCs w:val="20"/>
    </w:rPr>
  </w:style>
  <w:style w:type="paragraph" w:customStyle="1" w:styleId="301">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2">
    <w:name w:val="Style74"/>
    <w:basedOn w:val="1"/>
    <w:unhideWhenUsed/>
    <w:qFormat/>
    <w:uiPriority w:val="0"/>
    <w:pPr>
      <w:spacing w:line="437" w:lineRule="exact"/>
    </w:pPr>
    <w:rPr>
      <w:rFonts w:ascii="Times New Roman" w:hAnsi="Times New Roman"/>
      <w:sz w:val="21"/>
    </w:rPr>
  </w:style>
  <w:style w:type="paragraph" w:customStyle="1" w:styleId="303">
    <w:name w:val="Style60"/>
    <w:basedOn w:val="1"/>
    <w:unhideWhenUsed/>
    <w:qFormat/>
    <w:uiPriority w:val="0"/>
    <w:pPr>
      <w:spacing w:line="566" w:lineRule="exact"/>
    </w:pPr>
    <w:rPr>
      <w:rFonts w:ascii="Times New Roman" w:hAnsi="Times New Roman"/>
      <w:sz w:val="21"/>
    </w:rPr>
  </w:style>
  <w:style w:type="paragraph" w:customStyle="1" w:styleId="304">
    <w:name w:val="Style11"/>
    <w:basedOn w:val="1"/>
    <w:unhideWhenUsed/>
    <w:qFormat/>
    <w:uiPriority w:val="0"/>
    <w:pPr>
      <w:spacing w:line="559" w:lineRule="exact"/>
      <w:ind w:firstLine="590"/>
    </w:pPr>
    <w:rPr>
      <w:rFonts w:ascii="Times New Roman" w:hAnsi="Times New Roman"/>
      <w:sz w:val="21"/>
    </w:rPr>
  </w:style>
  <w:style w:type="paragraph" w:customStyle="1" w:styleId="305">
    <w:name w:val="Style4"/>
    <w:basedOn w:val="1"/>
    <w:unhideWhenUsed/>
    <w:qFormat/>
    <w:uiPriority w:val="0"/>
    <w:pPr>
      <w:spacing w:line="240" w:lineRule="auto"/>
    </w:pPr>
    <w:rPr>
      <w:rFonts w:ascii="Times New Roman" w:hAnsi="Times New Roman"/>
      <w:sz w:val="21"/>
    </w:rPr>
  </w:style>
  <w:style w:type="paragraph" w:customStyle="1" w:styleId="306">
    <w:name w:val="Style54"/>
    <w:basedOn w:val="1"/>
    <w:unhideWhenUsed/>
    <w:qFormat/>
    <w:uiPriority w:val="0"/>
    <w:pPr>
      <w:spacing w:line="240" w:lineRule="auto"/>
    </w:pPr>
    <w:rPr>
      <w:rFonts w:ascii="Times New Roman" w:hAnsi="Times New Roman"/>
      <w:sz w:val="21"/>
    </w:rPr>
  </w:style>
  <w:style w:type="paragraph" w:customStyle="1" w:styleId="307">
    <w:name w:val="Style67"/>
    <w:basedOn w:val="1"/>
    <w:unhideWhenUsed/>
    <w:qFormat/>
    <w:uiPriority w:val="0"/>
    <w:pPr>
      <w:spacing w:line="566" w:lineRule="exact"/>
      <w:ind w:firstLine="552"/>
    </w:pPr>
    <w:rPr>
      <w:rFonts w:ascii="Times New Roman" w:hAnsi="Times New Roman"/>
      <w:sz w:val="21"/>
    </w:rPr>
  </w:style>
  <w:style w:type="paragraph" w:customStyle="1" w:styleId="308">
    <w:name w:val="Style41"/>
    <w:basedOn w:val="1"/>
    <w:unhideWhenUsed/>
    <w:qFormat/>
    <w:uiPriority w:val="0"/>
    <w:pPr>
      <w:spacing w:line="542" w:lineRule="exact"/>
      <w:ind w:firstLine="125"/>
    </w:pPr>
    <w:rPr>
      <w:rFonts w:ascii="Times New Roman" w:hAnsi="Times New Roman"/>
      <w:sz w:val="21"/>
    </w:rPr>
  </w:style>
  <w:style w:type="paragraph" w:customStyle="1" w:styleId="309">
    <w:name w:val="Style72"/>
    <w:basedOn w:val="1"/>
    <w:unhideWhenUsed/>
    <w:qFormat/>
    <w:uiPriority w:val="0"/>
    <w:pPr>
      <w:spacing w:line="240" w:lineRule="auto"/>
    </w:pPr>
    <w:rPr>
      <w:rFonts w:ascii="Times New Roman" w:hAnsi="Times New Roman"/>
      <w:sz w:val="21"/>
    </w:rPr>
  </w:style>
  <w:style w:type="paragraph" w:customStyle="1" w:styleId="310">
    <w:name w:val="Char Char Char Char Char Char Char1"/>
    <w:basedOn w:val="1"/>
    <w:qFormat/>
    <w:uiPriority w:val="0"/>
    <w:pPr>
      <w:snapToGrid w:val="0"/>
      <w:ind w:firstLine="200" w:firstLineChars="200"/>
    </w:pPr>
    <w:rPr>
      <w:rFonts w:ascii="Times New Roman" w:hAnsi="Times New Roman" w:eastAsia="仿宋_GB2312"/>
    </w:rPr>
  </w:style>
  <w:style w:type="paragraph" w:customStyle="1" w:styleId="31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列表段落1"/>
    <w:basedOn w:val="1"/>
    <w:qFormat/>
    <w:uiPriority w:val="0"/>
    <w:pPr>
      <w:spacing w:line="240" w:lineRule="auto"/>
      <w:ind w:firstLine="420" w:firstLineChars="200"/>
    </w:pPr>
    <w:rPr>
      <w:rFonts w:ascii="Calibri" w:hAnsi="Calibri" w:cs="Calibri"/>
      <w:sz w:val="21"/>
      <w:szCs w:val="21"/>
    </w:rPr>
  </w:style>
  <w:style w:type="paragraph" w:customStyle="1" w:styleId="313">
    <w:name w:val="Blockquote"/>
    <w:basedOn w:val="1"/>
    <w:qFormat/>
    <w:uiPriority w:val="0"/>
    <w:pPr>
      <w:autoSpaceDE w:val="0"/>
      <w:autoSpaceDN w:val="0"/>
      <w:adjustRightInd w:val="0"/>
      <w:spacing w:before="100" w:after="100" w:line="240" w:lineRule="auto"/>
      <w:ind w:left="360" w:right="360"/>
      <w:jc w:val="left"/>
    </w:pPr>
    <w:rPr>
      <w:rFonts w:ascii="Times New Roman" w:hAnsi="Times New Roman"/>
      <w:kern w:val="0"/>
      <w:szCs w:val="20"/>
    </w:rPr>
  </w:style>
  <w:style w:type="paragraph" w:customStyle="1" w:styleId="314">
    <w:name w:val="Style34"/>
    <w:basedOn w:val="1"/>
    <w:unhideWhenUsed/>
    <w:qFormat/>
    <w:uiPriority w:val="0"/>
    <w:pPr>
      <w:spacing w:line="375" w:lineRule="exact"/>
    </w:pPr>
    <w:rPr>
      <w:rFonts w:ascii="Times New Roman" w:hAnsi="Times New Roman"/>
      <w:sz w:val="21"/>
    </w:rPr>
  </w:style>
  <w:style w:type="paragraph" w:customStyle="1" w:styleId="315">
    <w:name w:val="附录标识"/>
    <w:basedOn w:val="256"/>
    <w:qFormat/>
    <w:uiPriority w:val="0"/>
    <w:pPr>
      <w:tabs>
        <w:tab w:val="left" w:pos="6405"/>
        <w:tab w:val="clear" w:pos="360"/>
        <w:tab w:val="clear" w:pos="720"/>
      </w:tabs>
      <w:spacing w:after="200"/>
    </w:pPr>
    <w:rPr>
      <w:sz w:val="21"/>
    </w:rPr>
  </w:style>
  <w:style w:type="paragraph" w:customStyle="1" w:styleId="316">
    <w:name w:val="Style80"/>
    <w:basedOn w:val="1"/>
    <w:unhideWhenUsed/>
    <w:qFormat/>
    <w:uiPriority w:val="0"/>
    <w:pPr>
      <w:spacing w:line="240" w:lineRule="auto"/>
    </w:pPr>
    <w:rPr>
      <w:rFonts w:ascii="Times New Roman" w:hAnsi="Times New Roman"/>
      <w:sz w:val="21"/>
    </w:rPr>
  </w:style>
  <w:style w:type="paragraph" w:customStyle="1" w:styleId="317">
    <w:name w:val="Style9"/>
    <w:basedOn w:val="1"/>
    <w:unhideWhenUsed/>
    <w:qFormat/>
    <w:uiPriority w:val="0"/>
    <w:pPr>
      <w:spacing w:line="240" w:lineRule="auto"/>
    </w:pPr>
    <w:rPr>
      <w:rFonts w:ascii="Times New Roman" w:hAnsi="Times New Roman"/>
      <w:sz w:val="21"/>
    </w:rPr>
  </w:style>
  <w:style w:type="paragraph" w:customStyle="1" w:styleId="318">
    <w:name w:val="Style36"/>
    <w:basedOn w:val="1"/>
    <w:unhideWhenUsed/>
    <w:qFormat/>
    <w:uiPriority w:val="0"/>
    <w:pPr>
      <w:spacing w:line="240" w:lineRule="auto"/>
    </w:pPr>
    <w:rPr>
      <w:rFonts w:ascii="Times New Roman" w:hAnsi="Times New Roman"/>
      <w:sz w:val="21"/>
    </w:rPr>
  </w:style>
  <w:style w:type="paragraph" w:customStyle="1" w:styleId="319">
    <w:name w:val="Style65"/>
    <w:basedOn w:val="1"/>
    <w:unhideWhenUsed/>
    <w:qFormat/>
    <w:uiPriority w:val="0"/>
    <w:pPr>
      <w:spacing w:line="240" w:lineRule="auto"/>
    </w:pPr>
    <w:rPr>
      <w:rFonts w:ascii="Times New Roman" w:hAnsi="Times New Roman"/>
      <w:sz w:val="21"/>
    </w:rPr>
  </w:style>
  <w:style w:type="paragraph" w:customStyle="1" w:styleId="320">
    <w:name w:val="xl129"/>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line="240" w:lineRule="auto"/>
      <w:jc w:val="left"/>
    </w:pPr>
    <w:rPr>
      <w:rFonts w:ascii="方正仿宋_GBK" w:eastAsia="方正仿宋_GBK" w:cs="宋体"/>
      <w:color w:val="FF0000"/>
      <w:kern w:val="0"/>
      <w:sz w:val="20"/>
      <w:szCs w:val="20"/>
    </w:rPr>
  </w:style>
  <w:style w:type="paragraph" w:customStyle="1" w:styleId="321">
    <w:name w:val="样式 标题 2 + Times New Roman 四号 非加粗 段前: 5 磅 段后: 0 磅 行距: 固定值 20..."/>
    <w:basedOn w:val="3"/>
    <w:qFormat/>
    <w:uiPriority w:val="0"/>
    <w:pPr>
      <w:numPr>
        <w:ilvl w:val="0"/>
        <w:numId w:val="0"/>
      </w:numPr>
      <w:spacing w:before="100" w:after="0" w:line="400" w:lineRule="exact"/>
    </w:pPr>
    <w:rPr>
      <w:b w:val="0"/>
      <w:bCs w:val="0"/>
      <w:sz w:val="28"/>
      <w:szCs w:val="20"/>
    </w:rPr>
  </w:style>
  <w:style w:type="paragraph" w:customStyle="1" w:styleId="322">
    <w:name w:val="p18_1_2"/>
    <w:basedOn w:val="1"/>
    <w:qFormat/>
    <w:uiPriority w:val="0"/>
    <w:pPr>
      <w:widowControl/>
      <w:spacing w:line="240" w:lineRule="auto"/>
    </w:pPr>
    <w:rPr>
      <w:rFonts w:ascii="Times New Roman" w:hAnsi="Times New Roman"/>
      <w:kern w:val="0"/>
      <w:sz w:val="21"/>
      <w:szCs w:val="21"/>
    </w:rPr>
  </w:style>
  <w:style w:type="paragraph" w:customStyle="1" w:styleId="323">
    <w:name w:val="标题 1 +"/>
    <w:basedOn w:val="2"/>
    <w:next w:val="1"/>
    <w:qFormat/>
    <w:uiPriority w:val="0"/>
    <w:pPr>
      <w:pageBreakBefore w:val="0"/>
      <w:numPr>
        <w:numId w:val="0"/>
      </w:numPr>
      <w:adjustRightInd/>
      <w:spacing w:before="0" w:after="0" w:line="600" w:lineRule="auto"/>
    </w:pPr>
    <w:rPr>
      <w:kern w:val="0"/>
      <w:szCs w:val="32"/>
    </w:rPr>
  </w:style>
  <w:style w:type="paragraph" w:customStyle="1" w:styleId="324">
    <w:name w:val="Style28"/>
    <w:basedOn w:val="1"/>
    <w:unhideWhenUsed/>
    <w:qFormat/>
    <w:uiPriority w:val="0"/>
    <w:pPr>
      <w:spacing w:line="552" w:lineRule="exact"/>
      <w:ind w:firstLine="547"/>
    </w:pPr>
    <w:rPr>
      <w:rFonts w:ascii="Times New Roman" w:hAnsi="Times New Roman"/>
      <w:sz w:val="21"/>
    </w:rPr>
  </w:style>
  <w:style w:type="paragraph" w:customStyle="1" w:styleId="325">
    <w:name w:val="Style61"/>
    <w:basedOn w:val="1"/>
    <w:unhideWhenUsed/>
    <w:qFormat/>
    <w:uiPriority w:val="0"/>
    <w:pPr>
      <w:spacing w:line="240" w:lineRule="auto"/>
    </w:pPr>
    <w:rPr>
      <w:rFonts w:ascii="Times New Roman" w:hAnsi="Times New Roman"/>
      <w:sz w:val="21"/>
    </w:rPr>
  </w:style>
  <w:style w:type="paragraph" w:customStyle="1" w:styleId="326">
    <w:name w:val="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27">
    <w:name w:val="Char Char1 Char Char Char Char Char Char Char"/>
    <w:basedOn w:val="1"/>
    <w:qFormat/>
    <w:uiPriority w:val="0"/>
    <w:pPr>
      <w:widowControl/>
      <w:spacing w:after="160" w:line="240" w:lineRule="exact"/>
      <w:jc w:val="left"/>
    </w:pPr>
    <w:rPr>
      <w:rFonts w:ascii="Times New Roman" w:hAnsi="Times New Roman"/>
      <w:sz w:val="21"/>
    </w:rPr>
  </w:style>
  <w:style w:type="paragraph" w:customStyle="1" w:styleId="328">
    <w:name w:val="Style10"/>
    <w:basedOn w:val="1"/>
    <w:unhideWhenUsed/>
    <w:qFormat/>
    <w:uiPriority w:val="0"/>
    <w:pPr>
      <w:spacing w:line="538" w:lineRule="exact"/>
    </w:pPr>
    <w:rPr>
      <w:rFonts w:ascii="Times New Roman" w:hAnsi="Times New Roman"/>
      <w:sz w:val="21"/>
    </w:rPr>
  </w:style>
  <w:style w:type="paragraph" w:customStyle="1" w:styleId="329">
    <w:name w:val="_Style 39"/>
    <w:basedOn w:val="277"/>
    <w:qFormat/>
    <w:uiPriority w:val="0"/>
  </w:style>
  <w:style w:type="character" w:customStyle="1" w:styleId="330">
    <w:name w:val="font51"/>
    <w:qFormat/>
    <w:uiPriority w:val="0"/>
    <w:rPr>
      <w:rFonts w:hint="eastAsia" w:ascii="宋体" w:hAnsi="宋体" w:eastAsia="宋体" w:cs="宋体"/>
      <w:color w:val="000000"/>
      <w:sz w:val="22"/>
      <w:szCs w:val="22"/>
      <w:u w:val="none"/>
    </w:rPr>
  </w:style>
  <w:style w:type="character" w:customStyle="1" w:styleId="331">
    <w:name w:val="NormalCharacter"/>
    <w:link w:val="332"/>
    <w:qFormat/>
    <w:locked/>
    <w:uiPriority w:val="0"/>
  </w:style>
  <w:style w:type="paragraph" w:customStyle="1" w:styleId="332">
    <w:name w:val="UserStyle_0"/>
    <w:basedOn w:val="1"/>
    <w:link w:val="331"/>
    <w:qFormat/>
    <w:uiPriority w:val="0"/>
    <w:pPr>
      <w:widowControl/>
      <w:spacing w:line="240" w:lineRule="auto"/>
    </w:pPr>
    <w:rPr>
      <w:rFonts w:ascii="Times New Roman" w:hAnsi="Times New Roman"/>
      <w:kern w:val="0"/>
      <w:sz w:val="20"/>
      <w:szCs w:val="20"/>
    </w:rPr>
  </w:style>
  <w:style w:type="character" w:customStyle="1" w:styleId="333">
    <w:name w:val="font41"/>
    <w:qFormat/>
    <w:uiPriority w:val="0"/>
    <w:rPr>
      <w:rFonts w:hint="default" w:ascii="Times New Roman" w:hAnsi="Times New Roman" w:cs="Times New Roman"/>
      <w:color w:val="000000"/>
      <w:sz w:val="24"/>
      <w:szCs w:val="24"/>
      <w:u w:val="none"/>
    </w:rPr>
  </w:style>
  <w:style w:type="character" w:customStyle="1" w:styleId="334">
    <w:name w:val="font91"/>
    <w:qFormat/>
    <w:uiPriority w:val="0"/>
    <w:rPr>
      <w:rFonts w:hint="eastAsia" w:ascii="宋体" w:hAnsi="宋体" w:eastAsia="宋体" w:cs="宋体"/>
      <w:color w:val="000000"/>
      <w:sz w:val="22"/>
      <w:szCs w:val="22"/>
      <w:u w:val="none"/>
    </w:rPr>
  </w:style>
  <w:style w:type="character" w:customStyle="1" w:styleId="335">
    <w:name w:val="font01"/>
    <w:qFormat/>
    <w:uiPriority w:val="0"/>
    <w:rPr>
      <w:rFonts w:hint="default" w:ascii="Arial" w:hAnsi="Arial" w:cs="Arial"/>
      <w:color w:val="000000"/>
      <w:sz w:val="22"/>
      <w:szCs w:val="22"/>
      <w:u w:val="none"/>
    </w:rPr>
  </w:style>
  <w:style w:type="paragraph" w:customStyle="1" w:styleId="33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kern w:val="0"/>
      <w:sz w:val="20"/>
      <w:szCs w:val="20"/>
    </w:rPr>
  </w:style>
  <w:style w:type="paragraph" w:customStyle="1" w:styleId="337">
    <w:name w:val="Normal_10"/>
    <w:qFormat/>
    <w:uiPriority w:val="0"/>
    <w:pPr>
      <w:spacing w:before="120" w:after="240"/>
      <w:jc w:val="both"/>
    </w:pPr>
    <w:rPr>
      <w:rFonts w:ascii="Calibri" w:hAnsi="Calibri" w:eastAsia="宋体" w:cs="Times New Roman"/>
      <w:sz w:val="22"/>
      <w:szCs w:val="22"/>
      <w:lang w:val="en-US" w:eastAsia="en-US" w:bidi="ar-SA"/>
    </w:rPr>
  </w:style>
  <w:style w:type="paragraph" w:customStyle="1" w:styleId="33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39">
    <w:name w:val="Quote"/>
    <w:basedOn w:val="1"/>
    <w:next w:val="1"/>
    <w:qFormat/>
    <w:uiPriority w:val="29"/>
    <w:pPr>
      <w:spacing w:beforeLines="50" w:afterLines="50"/>
    </w:pPr>
    <w:rPr>
      <w:rFonts w:ascii="Calibri" w:hAnsi="Calibri"/>
      <w:i/>
      <w:iCs/>
      <w:color w:val="000000"/>
      <w:sz w:val="21"/>
      <w:lang w:val="zh-CN"/>
    </w:rPr>
  </w:style>
  <w:style w:type="character" w:customStyle="1" w:styleId="340">
    <w:name w:val="引用 字符"/>
    <w:basedOn w:val="46"/>
    <w:qFormat/>
    <w:uiPriority w:val="29"/>
    <w:rPr>
      <w:rFonts w:ascii="宋体" w:hAnsi="宋体"/>
      <w:i/>
      <w:iCs/>
      <w:color w:val="404040" w:themeColor="text1" w:themeTint="BF"/>
      <w:kern w:val="2"/>
      <w:sz w:val="24"/>
      <w:szCs w:val="24"/>
      <w14:textFill>
        <w14:solidFill>
          <w14:schemeClr w14:val="tx1">
            <w14:lumMod w14:val="75000"/>
            <w14:lumOff w14:val="25000"/>
          </w14:schemeClr>
        </w14:solidFill>
      </w14:textFill>
    </w:rPr>
  </w:style>
  <w:style w:type="paragraph" w:customStyle="1" w:styleId="341">
    <w:name w:val="_Style 1"/>
    <w:basedOn w:val="1"/>
    <w:qFormat/>
    <w:uiPriority w:val="0"/>
    <w:pPr>
      <w:spacing w:line="240" w:lineRule="auto"/>
      <w:ind w:firstLine="420" w:firstLineChars="200"/>
    </w:pPr>
    <w:rPr>
      <w:rFonts w:ascii="Calibri" w:hAnsi="Calibri"/>
      <w:sz w:val="21"/>
    </w:rPr>
  </w:style>
  <w:style w:type="paragraph" w:customStyle="1" w:styleId="342">
    <w:name w:val="答复表头"/>
    <w:basedOn w:val="1"/>
    <w:next w:val="1"/>
    <w:qFormat/>
    <w:uiPriority w:val="0"/>
    <w:pPr>
      <w:tabs>
        <w:tab w:val="left" w:pos="480"/>
      </w:tabs>
      <w:autoSpaceDE w:val="0"/>
      <w:autoSpaceDN w:val="0"/>
      <w:adjustRightInd w:val="0"/>
      <w:spacing w:line="240" w:lineRule="auto"/>
      <w:jc w:val="center"/>
      <w:textAlignment w:val="baseline"/>
    </w:pPr>
    <w:rPr>
      <w:rFonts w:hAnsi="Tms Rmn"/>
      <w:b/>
      <w:color w:val="000000"/>
      <w:kern w:val="0"/>
      <w:sz w:val="21"/>
      <w:szCs w:val="20"/>
    </w:rPr>
  </w:style>
  <w:style w:type="character" w:customStyle="1" w:styleId="343">
    <w:name w:val="样式 首行缩进:  2 字符 Char Char"/>
    <w:link w:val="344"/>
    <w:qFormat/>
    <w:uiPriority w:val="0"/>
    <w:rPr>
      <w:rFonts w:cs="宋体"/>
      <w:kern w:val="2"/>
      <w:sz w:val="24"/>
      <w:szCs w:val="28"/>
    </w:rPr>
  </w:style>
  <w:style w:type="paragraph" w:customStyle="1" w:styleId="344">
    <w:name w:val="样式 首行缩进:  2 字符"/>
    <w:basedOn w:val="1"/>
    <w:link w:val="343"/>
    <w:qFormat/>
    <w:uiPriority w:val="0"/>
    <w:pPr>
      <w:spacing w:line="480" w:lineRule="exact"/>
      <w:ind w:firstLine="560" w:firstLineChars="200"/>
    </w:pPr>
    <w:rPr>
      <w:rFonts w:ascii="Times New Roman" w:hAnsi="Times New Roman" w:cs="宋体"/>
      <w:szCs w:val="28"/>
    </w:rPr>
  </w:style>
  <w:style w:type="paragraph" w:customStyle="1" w:styleId="345">
    <w:name w:val="Heading2"/>
    <w:basedOn w:val="1"/>
    <w:next w:val="1"/>
    <w:qFormat/>
    <w:uiPriority w:val="0"/>
    <w:pPr>
      <w:keepNext/>
      <w:keepLines/>
      <w:numPr>
        <w:ilvl w:val="1"/>
        <w:numId w:val="2"/>
      </w:numPr>
      <w:tabs>
        <w:tab w:val="left" w:pos="432"/>
        <w:tab w:val="left" w:pos="840"/>
        <w:tab w:val="left" w:pos="1002"/>
      </w:tabs>
      <w:spacing w:before="260" w:after="260" w:line="416" w:lineRule="auto"/>
    </w:pPr>
    <w:rPr>
      <w:b/>
      <w:bCs/>
      <w:sz w:val="32"/>
      <w:szCs w:val="32"/>
    </w:rPr>
  </w:style>
  <w:style w:type="character" w:customStyle="1" w:styleId="346">
    <w:name w:val="def"/>
    <w:qFormat/>
    <w:uiPriority w:val="0"/>
  </w:style>
  <w:style w:type="character" w:customStyle="1" w:styleId="347">
    <w:name w:val="s1"/>
    <w:qFormat/>
    <w:uiPriority w:val="0"/>
    <w:rPr>
      <w:sz w:val="20"/>
      <w:szCs w:val="20"/>
    </w:rPr>
  </w:style>
  <w:style w:type="character" w:customStyle="1" w:styleId="348">
    <w:name w:val="脚注文本 Char"/>
    <w:qFormat/>
    <w:uiPriority w:val="0"/>
    <w:rPr>
      <w:rFonts w:ascii="Calibri" w:hAnsi="Calibri"/>
      <w:kern w:val="2"/>
      <w:sz w:val="18"/>
      <w:szCs w:val="24"/>
    </w:rPr>
  </w:style>
  <w:style w:type="paragraph" w:customStyle="1" w:styleId="349">
    <w:name w:val="MSG_EN_FONT_STYLE_NAME_TEMPLATE_ROLE_NUMBER MSG_EN_FONT_STYLE_NAME_BY_ROLE_TEXT 2"/>
    <w:basedOn w:val="1"/>
    <w:unhideWhenUsed/>
    <w:qFormat/>
    <w:uiPriority w:val="99"/>
    <w:pPr>
      <w:shd w:val="clear" w:color="auto" w:fill="FFFFFF"/>
      <w:spacing w:line="240" w:lineRule="auto"/>
    </w:pPr>
    <w:rPr>
      <w:rFonts w:hint="eastAsia" w:ascii="Calibri" w:hAnsi="Calibri"/>
      <w:sz w:val="20"/>
    </w:rPr>
  </w:style>
  <w:style w:type="paragraph" w:customStyle="1" w:styleId="350">
    <w:name w:val="列出段落2"/>
    <w:basedOn w:val="1"/>
    <w:qFormat/>
    <w:uiPriority w:val="0"/>
    <w:pPr>
      <w:spacing w:line="240" w:lineRule="auto"/>
      <w:ind w:firstLine="420" w:firstLineChars="200"/>
    </w:pPr>
    <w:rPr>
      <w:rFonts w:ascii="Calibri" w:hAnsi="Calibri"/>
      <w:sz w:val="21"/>
    </w:rPr>
  </w:style>
  <w:style w:type="paragraph" w:customStyle="1" w:styleId="351">
    <w:name w:val="MSG_EN_FONT_STYLE_NAME_TEMPLATE_ROLE_LEVEL MSG_EN_FONT_STYLE_NAME_BY_ROLE_HEADING 1"/>
    <w:basedOn w:val="1"/>
    <w:unhideWhenUsed/>
    <w:qFormat/>
    <w:uiPriority w:val="99"/>
    <w:pPr>
      <w:shd w:val="clear" w:color="auto" w:fill="FFFFFF"/>
      <w:spacing w:line="612" w:lineRule="exact"/>
      <w:outlineLvl w:val="0"/>
    </w:pPr>
    <w:rPr>
      <w:rFonts w:hint="eastAsia" w:ascii="PMingLiU" w:hAnsi="Calibri" w:eastAsia="PMingLiU"/>
      <w:sz w:val="32"/>
    </w:rPr>
  </w:style>
  <w:style w:type="paragraph" w:customStyle="1" w:styleId="352">
    <w:name w:val="Body text|1"/>
    <w:basedOn w:val="1"/>
    <w:qFormat/>
    <w:uiPriority w:val="0"/>
    <w:pPr>
      <w:spacing w:line="240" w:lineRule="auto"/>
      <w:jc w:val="left"/>
    </w:pPr>
    <w:rPr>
      <w:rFonts w:ascii="MingLiU" w:hAnsi="MingLiU" w:eastAsia="MingLiU" w:cs="MingLiU"/>
      <w:kern w:val="0"/>
      <w:sz w:val="22"/>
      <w:szCs w:val="22"/>
      <w:lang w:val="zh-TW" w:eastAsia="zh-TW" w:bidi="zh-TW"/>
    </w:rPr>
  </w:style>
  <w:style w:type="paragraph" w:customStyle="1" w:styleId="353">
    <w:name w:val="Body text|2"/>
    <w:basedOn w:val="1"/>
    <w:qFormat/>
    <w:uiPriority w:val="0"/>
    <w:pPr>
      <w:spacing w:line="306" w:lineRule="exact"/>
      <w:jc w:val="left"/>
    </w:pPr>
    <w:rPr>
      <w:rFonts w:ascii="PMingLiU" w:hAnsi="PMingLiU" w:eastAsia="PMingLiU" w:cs="PMingLiU"/>
      <w:kern w:val="0"/>
      <w:sz w:val="22"/>
      <w:szCs w:val="22"/>
      <w:lang w:val="zh-TW" w:eastAsia="zh-TW" w:bidi="zh-TW"/>
    </w:rPr>
  </w:style>
  <w:style w:type="paragraph" w:customStyle="1" w:styleId="354">
    <w:name w:val="BodyText2"/>
    <w:basedOn w:val="1"/>
    <w:semiHidden/>
    <w:qFormat/>
    <w:uiPriority w:val="0"/>
    <w:pPr>
      <w:widowControl/>
      <w:spacing w:line="240" w:lineRule="auto"/>
      <w:textAlignment w:val="baseline"/>
    </w:pPr>
    <w:rPr>
      <w:rFonts w:hAnsi="Calibri"/>
      <w:color w:val="000000"/>
      <w:sz w:val="28"/>
      <w:lang w:val="en-GB"/>
    </w:rPr>
  </w:style>
  <w:style w:type="paragraph" w:customStyle="1" w:styleId="355">
    <w:name w:val="[基本段落]"/>
    <w:basedOn w:val="1"/>
    <w:unhideWhenUsed/>
    <w:qFormat/>
    <w:uiPriority w:val="99"/>
    <w:pPr>
      <w:autoSpaceDE w:val="0"/>
      <w:autoSpaceDN w:val="0"/>
      <w:adjustRightInd w:val="0"/>
      <w:spacing w:line="288" w:lineRule="auto"/>
      <w:textAlignment w:val="center"/>
    </w:pPr>
    <w:rPr>
      <w:rFonts w:hint="eastAsia" w:ascii="Adobe 宋体 Std L" w:hAnsi="Adobe 宋体 Std L" w:eastAsia="Adobe 宋体 Std L"/>
      <w:color w:val="000000"/>
      <w:kern w:val="0"/>
      <w:szCs w:val="22"/>
      <w:lang w:val="zh-CN"/>
    </w:rPr>
  </w:style>
  <w:style w:type="character" w:customStyle="1" w:styleId="356">
    <w:name w:val="15"/>
    <w:qFormat/>
    <w:uiPriority w:val="0"/>
    <w:rPr>
      <w:rFonts w:hint="default" w:ascii="Times New Roman" w:hAnsi="Times New Roman" w:cs="Times New Roman"/>
    </w:rPr>
  </w:style>
  <w:style w:type="paragraph" w:customStyle="1" w:styleId="357">
    <w:name w:val="null9"/>
    <w:qFormat/>
    <w:uiPriority w:val="0"/>
    <w:rPr>
      <w:rFonts w:hint="eastAsia" w:ascii="Times New Roman" w:hAnsi="Times New Roman" w:eastAsia="宋体" w:cs="Times New Roman"/>
      <w:sz w:val="18"/>
      <w:szCs w:val="18"/>
      <w:lang w:val="en-US" w:eastAsia="zh-CN" w:bidi="ar-SA"/>
    </w:rPr>
  </w:style>
  <w:style w:type="character" w:customStyle="1" w:styleId="358">
    <w:name w:val="列出段落 Char"/>
    <w:link w:val="117"/>
    <w:autoRedefine/>
    <w:qFormat/>
    <w:uiPriority w:val="99"/>
    <w:rPr>
      <w:rFonts w:ascii="Calibri" w:hAnsi="Calibri"/>
      <w:kern w:val="2"/>
      <w:sz w:val="21"/>
      <w:szCs w:val="22"/>
    </w:rPr>
  </w:style>
  <w:style w:type="paragraph" w:customStyle="1" w:styleId="359">
    <w:name w:val="标准正文"/>
    <w:basedOn w:val="1"/>
    <w:qFormat/>
    <w:uiPriority w:val="0"/>
    <w:pPr>
      <w:spacing w:line="240" w:lineRule="auto"/>
      <w:ind w:firstLine="480" w:firstLineChars="200"/>
    </w:pPr>
    <w:rPr>
      <w:rFonts w:ascii="Calibri" w:hAnsi="Calibri"/>
      <w:sz w:val="21"/>
      <w:szCs w:val="20"/>
    </w:rPr>
  </w:style>
  <w:style w:type="paragraph" w:customStyle="1" w:styleId="360">
    <w:name w:val="FC正文"/>
    <w:basedOn w:val="1"/>
    <w:qFormat/>
    <w:uiPriority w:val="0"/>
    <w:pPr>
      <w:snapToGrid w:val="0"/>
      <w:spacing w:beforeLines="50" w:afterLines="50" w:line="240" w:lineRule="auto"/>
      <w:ind w:firstLine="480" w:firstLineChars="200"/>
      <w:contextualSpacing/>
    </w:pPr>
    <w:rPr>
      <w:rFonts w:cs="宋体"/>
      <w:sz w:val="21"/>
      <w:szCs w:val="21"/>
    </w:rPr>
  </w:style>
  <w:style w:type="paragraph" w:customStyle="1" w:styleId="361">
    <w:name w:val="正文2"/>
    <w:basedOn w:val="1"/>
    <w:qFormat/>
    <w:uiPriority w:val="0"/>
    <w:pPr>
      <w:spacing w:line="240" w:lineRule="auto"/>
      <w:ind w:firstLine="200" w:firstLineChars="200"/>
    </w:pPr>
    <w:rPr>
      <w:rFonts w:ascii="Times New Roman" w:hAnsi="Times New Roman"/>
      <w:sz w:val="21"/>
      <w:szCs w:val="20"/>
    </w:rPr>
  </w:style>
  <w:style w:type="paragraph" w:customStyle="1" w:styleId="362">
    <w:name w:val="Table Paragraph"/>
    <w:basedOn w:val="1"/>
    <w:qFormat/>
    <w:uiPriority w:val="0"/>
    <w:pPr>
      <w:spacing w:line="240" w:lineRule="auto"/>
      <w:jc w:val="left"/>
    </w:pPr>
    <w:rPr>
      <w:rFonts w:ascii="Calibri" w:hAnsi="Calibri"/>
      <w:sz w:val="21"/>
      <w:szCs w:val="20"/>
    </w:rPr>
  </w:style>
  <w:style w:type="paragraph" w:customStyle="1" w:styleId="363">
    <w:name w:val="样式 正文缩进 + 首行缩进:  2 字符"/>
    <w:basedOn w:val="11"/>
    <w:qFormat/>
    <w:uiPriority w:val="0"/>
    <w:pPr>
      <w:widowControl w:val="0"/>
      <w:ind w:firstLine="200" w:firstLineChars="200"/>
      <w:jc w:val="both"/>
    </w:pPr>
    <w:rPr>
      <w:rFonts w:ascii="Calibri" w:hAnsi="Calibri"/>
      <w:sz w:val="21"/>
    </w:rPr>
  </w:style>
  <w:style w:type="character" w:customStyle="1" w:styleId="364">
    <w:name w:val="正文文本首行缩进 2 字符"/>
    <w:basedOn w:val="94"/>
    <w:semiHidden/>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329;&#23665;&#20113;&#30424;\publicbox\&#37325;&#35201;&#20449;&#24687;&#20849;&#20139;&#24179;&#21488;\04&#20844;&#21496;&#35268;&#31456;&#21046;&#24230;\05&#26234;&#19994;VI&#35268;&#33539;\2.&#35299;&#20915;&#26041;&#26696;&#32534;&#21046;&#27169;&#26495;\20150210&#24102;&#20844;&#21496;&#26631;&#35760;&#29256;&#26041;&#26696;&#27169;&#26495;&#65288;&#31532;X&#31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C046-E0EE-427A-9B34-05C41305ECAC}">
  <ds:schemaRefs/>
</ds:datastoreItem>
</file>

<file path=docProps/app.xml><?xml version="1.0" encoding="utf-8"?>
<Properties xmlns="http://schemas.openxmlformats.org/officeDocument/2006/extended-properties" xmlns:vt="http://schemas.openxmlformats.org/officeDocument/2006/docPropsVTypes">
  <Template>20150210带公司标记版方案模板（第X章）.dotx</Template>
  <Company>Chinese ORG</Company>
  <Pages>214</Pages>
  <Words>23699</Words>
  <Characters>25118</Characters>
  <Lines>4060</Lines>
  <Paragraphs>3765</Paragraphs>
  <TotalTime>21</TotalTime>
  <ScaleCrop>false</ScaleCrop>
  <LinksUpToDate>false</LinksUpToDate>
  <CharactersWithSpaces>26002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2025-04-01T04:35:00Z</dcterms:created>
  <dc:creator>Windows 用户</dc:creator>
  <cp:lastModifiedBy>Administrator</cp:lastModifiedBy>
  <cp:lastPrinted>2014-10-08T03:56:00Z</cp:lastPrinted>
  <dcterms:modified xsi:type="dcterms:W3CDTF">2025-04-07T08:47:30Z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eyJoZGlkIjoiOGRlMmZkMzBjZTUwZGI3MmFhZjFkZGE5ZTgwOTVlZjgiLCJ1c2VySWQiOiIxNTg2NzQ2Mjk1In0=</vt:lpwstr>
  </property>
  <property fmtid="{D5CDD505-2E9C-101B-9397-08002B2CF9AE}" pid="3" name="KSOProductBuildVer">
    <vt:lpwstr>2052-12.8.2.18205</vt:lpwstr>
  </property>
  <property fmtid="{D5CDD505-2E9C-101B-9397-08002B2CF9AE}" pid="4" name="ICV">
    <vt:lpwstr>857E329EAD924811B5E0C7559DB434A8_12</vt:lpwstr>
  </property>
</Properties>
</file>