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EBCBF">
      <w:pPr>
        <w:pStyle w:val="8"/>
        <w:spacing w:line="360" w:lineRule="auto"/>
        <w:ind w:firstLine="480"/>
      </w:pPr>
    </w:p>
    <w:p w14:paraId="2A2203FA">
      <w:pPr>
        <w:pStyle w:val="10"/>
        <w:spacing w:line="360" w:lineRule="auto"/>
      </w:pPr>
    </w:p>
    <w:p w14:paraId="230C646C">
      <w:pPr>
        <w:spacing w:line="360" w:lineRule="auto"/>
        <w:jc w:val="center"/>
        <w:rPr>
          <w:rFonts w:ascii="宋体" w:hAnsi="宋体"/>
          <w:b/>
          <w:sz w:val="72"/>
          <w:szCs w:val="72"/>
        </w:rPr>
      </w:pPr>
      <w:r>
        <w:rPr>
          <w:rFonts w:hint="eastAsia" w:ascii="宋体" w:hAnsi="宋体"/>
          <w:b/>
          <w:sz w:val="72"/>
          <w:szCs w:val="72"/>
        </w:rPr>
        <w:t>磋 商 文 件</w:t>
      </w:r>
    </w:p>
    <w:p w14:paraId="40B143F6">
      <w:pPr>
        <w:adjustRightInd w:val="0"/>
        <w:snapToGrid w:val="0"/>
        <w:spacing w:line="360" w:lineRule="auto"/>
        <w:jc w:val="center"/>
        <w:rPr>
          <w:rFonts w:ascii="宋体" w:hAnsi="宋体"/>
          <w:b/>
          <w:sz w:val="28"/>
          <w:szCs w:val="18"/>
        </w:rPr>
      </w:pPr>
      <w:r>
        <w:rPr>
          <w:rFonts w:hint="eastAsia" w:ascii="宋体" w:hAnsi="宋体"/>
          <w:b/>
          <w:sz w:val="28"/>
          <w:szCs w:val="18"/>
        </w:rPr>
        <w:t>（项目编号：</w:t>
      </w:r>
      <w:r>
        <w:rPr>
          <w:rFonts w:hint="eastAsia" w:ascii="宋体" w:hAnsi="宋体"/>
          <w:b/>
          <w:sz w:val="28"/>
          <w:szCs w:val="18"/>
          <w:lang w:eastAsia="zh-CN"/>
        </w:rPr>
        <w:t>0724-2511XJ412283</w:t>
      </w:r>
      <w:r>
        <w:rPr>
          <w:rFonts w:hint="eastAsia" w:ascii="宋体" w:hAnsi="宋体"/>
          <w:b/>
          <w:sz w:val="28"/>
          <w:szCs w:val="18"/>
        </w:rPr>
        <w:t>）</w:t>
      </w:r>
    </w:p>
    <w:p w14:paraId="0D1F4024">
      <w:pPr>
        <w:adjustRightInd w:val="0"/>
        <w:snapToGrid w:val="0"/>
        <w:spacing w:line="360" w:lineRule="auto"/>
        <w:rPr>
          <w:rFonts w:ascii="宋体" w:hAnsi="宋体"/>
          <w:b/>
          <w:sz w:val="32"/>
        </w:rPr>
      </w:pPr>
      <w:r>
        <w:rPr>
          <w:rFonts w:hint="eastAsia" w:ascii="宋体" w:hAnsi="宋体"/>
          <w:b/>
          <w:sz w:val="32"/>
        </w:rPr>
        <w:t xml:space="preserve">  </w:t>
      </w:r>
    </w:p>
    <w:p w14:paraId="3FB1F462">
      <w:pPr>
        <w:pStyle w:val="8"/>
        <w:spacing w:line="360" w:lineRule="auto"/>
        <w:ind w:firstLine="480"/>
      </w:pPr>
    </w:p>
    <w:p w14:paraId="031F1447">
      <w:pPr>
        <w:pStyle w:val="8"/>
        <w:spacing w:line="360" w:lineRule="auto"/>
        <w:ind w:firstLine="480"/>
      </w:pPr>
    </w:p>
    <w:p w14:paraId="4B8A1F52">
      <w:pPr>
        <w:pStyle w:val="8"/>
        <w:spacing w:line="360" w:lineRule="auto"/>
        <w:ind w:firstLine="480"/>
      </w:pPr>
    </w:p>
    <w:p w14:paraId="452B8779">
      <w:pPr>
        <w:pStyle w:val="8"/>
        <w:spacing w:line="360" w:lineRule="auto"/>
        <w:ind w:firstLine="480"/>
      </w:pPr>
    </w:p>
    <w:p w14:paraId="118CA2DE">
      <w:pPr>
        <w:pStyle w:val="8"/>
        <w:spacing w:line="360" w:lineRule="auto"/>
        <w:ind w:firstLine="480"/>
      </w:pPr>
    </w:p>
    <w:p w14:paraId="7FDFB346">
      <w:pPr>
        <w:pStyle w:val="8"/>
        <w:spacing w:line="360" w:lineRule="auto"/>
        <w:ind w:firstLine="480"/>
      </w:pPr>
    </w:p>
    <w:p w14:paraId="380BF4CD">
      <w:pPr>
        <w:pStyle w:val="8"/>
        <w:spacing w:line="360" w:lineRule="auto"/>
        <w:ind w:firstLine="480"/>
      </w:pPr>
    </w:p>
    <w:p w14:paraId="09093CA0">
      <w:pPr>
        <w:pStyle w:val="8"/>
        <w:spacing w:line="360" w:lineRule="auto"/>
        <w:ind w:firstLine="480"/>
      </w:pPr>
    </w:p>
    <w:p w14:paraId="051BD47F">
      <w:pPr>
        <w:pStyle w:val="8"/>
        <w:spacing w:line="360" w:lineRule="auto"/>
        <w:ind w:firstLine="480"/>
      </w:pPr>
    </w:p>
    <w:p w14:paraId="45C0F9D2">
      <w:pPr>
        <w:pStyle w:val="8"/>
        <w:spacing w:line="360" w:lineRule="auto"/>
        <w:ind w:firstLine="480"/>
      </w:pPr>
    </w:p>
    <w:p w14:paraId="10758D79">
      <w:pPr>
        <w:pStyle w:val="8"/>
        <w:spacing w:line="360" w:lineRule="auto"/>
        <w:ind w:firstLine="480"/>
      </w:pPr>
    </w:p>
    <w:p w14:paraId="300F8DFC">
      <w:pPr>
        <w:adjustRightInd w:val="0"/>
        <w:snapToGrid w:val="0"/>
        <w:spacing w:line="360" w:lineRule="auto"/>
        <w:ind w:left="2092" w:leftChars="104" w:right="-361" w:rightChars="-172" w:hanging="1874" w:hangingChars="778"/>
        <w:jc w:val="left"/>
        <w:rPr>
          <w:rFonts w:ascii="宋体" w:hAnsi="宋体" w:eastAsia="宋体" w:cs="宋体"/>
          <w:b/>
          <w:bCs/>
          <w:sz w:val="24"/>
          <w:szCs w:val="24"/>
        </w:rPr>
      </w:pPr>
      <w:r>
        <w:rPr>
          <w:rFonts w:hint="eastAsia" w:ascii="宋体" w:hAnsi="宋体" w:eastAsia="宋体" w:cs="宋体"/>
          <w:b/>
          <w:bCs/>
          <w:sz w:val="24"/>
          <w:szCs w:val="24"/>
        </w:rPr>
        <w:t>项目名称:</w:t>
      </w:r>
      <w:r>
        <w:rPr>
          <w:rFonts w:hint="eastAsia" w:ascii="宋体" w:hAnsi="宋体" w:eastAsia="宋体" w:cs="Times New Roman"/>
          <w:szCs w:val="24"/>
        </w:rPr>
        <w:t xml:space="preserve"> </w:t>
      </w:r>
      <w:r>
        <w:rPr>
          <w:rFonts w:hint="eastAsia" w:ascii="宋体" w:hAnsi="宋体" w:eastAsia="宋体" w:cs="Times New Roman"/>
          <w:b/>
          <w:sz w:val="24"/>
          <w:szCs w:val="24"/>
          <w:lang w:eastAsia="zh-CN"/>
        </w:rPr>
        <w:t>新疆医科大学第一附属医院2025年度油烟机清洗服务项目</w:t>
      </w:r>
    </w:p>
    <w:p w14:paraId="3FE1879A">
      <w:pPr>
        <w:adjustRightInd w:val="0"/>
        <w:snapToGrid w:val="0"/>
        <w:spacing w:line="360" w:lineRule="auto"/>
        <w:ind w:left="2092" w:leftChars="104" w:right="-361" w:rightChars="-172" w:hanging="1874" w:hangingChars="778"/>
        <w:jc w:val="left"/>
        <w:rPr>
          <w:rFonts w:hint="eastAsia" w:ascii="宋体" w:hAnsi="宋体" w:eastAsia="宋体" w:cs="宋体"/>
          <w:b/>
          <w:bCs/>
          <w:sz w:val="24"/>
          <w:szCs w:val="24"/>
          <w:lang w:eastAsia="zh-CN"/>
        </w:rPr>
      </w:pPr>
      <w:r>
        <w:rPr>
          <w:rFonts w:hint="eastAsia" w:ascii="宋体" w:hAnsi="宋体" w:eastAsia="宋体" w:cs="宋体"/>
          <w:b/>
          <w:bCs/>
          <w:sz w:val="24"/>
          <w:szCs w:val="24"/>
        </w:rPr>
        <w:t xml:space="preserve">采 购 人（盖章）： </w:t>
      </w:r>
      <w:r>
        <w:rPr>
          <w:rFonts w:hint="eastAsia" w:ascii="宋体" w:hAnsi="宋体" w:eastAsia="宋体" w:cs="Times New Roman"/>
          <w:b/>
          <w:sz w:val="24"/>
          <w:szCs w:val="24"/>
          <w:lang w:eastAsia="zh-CN"/>
        </w:rPr>
        <w:t>新疆医科大学第一附属医院</w:t>
      </w:r>
    </w:p>
    <w:p w14:paraId="197B7911">
      <w:pPr>
        <w:adjustRightInd w:val="0"/>
        <w:snapToGrid w:val="0"/>
        <w:spacing w:line="360" w:lineRule="auto"/>
        <w:ind w:left="2092" w:leftChars="104" w:hanging="1874" w:hangingChars="778"/>
        <w:jc w:val="left"/>
        <w:rPr>
          <w:rFonts w:hint="eastAsia" w:ascii="宋体" w:hAnsi="宋体" w:eastAsia="宋体" w:cs="宋体"/>
          <w:b/>
          <w:bCs/>
          <w:sz w:val="24"/>
          <w:szCs w:val="24"/>
          <w:lang w:eastAsia="zh-CN"/>
        </w:rPr>
      </w:pPr>
      <w:r>
        <w:rPr>
          <w:rFonts w:hint="eastAsia" w:ascii="宋体" w:hAnsi="宋体" w:eastAsia="宋体" w:cs="宋体"/>
          <w:b/>
          <w:bCs/>
          <w:sz w:val="24"/>
          <w:szCs w:val="24"/>
        </w:rPr>
        <w:t>电    话：</w:t>
      </w:r>
      <w:r>
        <w:rPr>
          <w:rFonts w:hint="eastAsia" w:ascii="宋体" w:hAnsi="宋体" w:eastAsia="宋体" w:cs="宋体"/>
          <w:b/>
          <w:bCs/>
          <w:sz w:val="24"/>
          <w:szCs w:val="24"/>
          <w:lang w:eastAsia="zh-CN"/>
        </w:rPr>
        <w:t>0991-4362391</w:t>
      </w:r>
    </w:p>
    <w:p w14:paraId="3FA07C2E">
      <w:pPr>
        <w:adjustRightInd w:val="0"/>
        <w:snapToGrid w:val="0"/>
        <w:spacing w:line="360" w:lineRule="auto"/>
        <w:ind w:left="2092" w:leftChars="104" w:right="-361" w:rightChars="-172" w:hanging="1874" w:hangingChars="778"/>
        <w:jc w:val="left"/>
        <w:rPr>
          <w:rFonts w:ascii="宋体" w:hAnsi="宋体" w:eastAsia="宋体" w:cs="宋体"/>
          <w:b/>
          <w:bCs/>
          <w:sz w:val="24"/>
          <w:szCs w:val="24"/>
        </w:rPr>
      </w:pPr>
      <w:r>
        <w:rPr>
          <w:rFonts w:hint="eastAsia" w:ascii="宋体" w:hAnsi="宋体" w:eastAsia="宋体" w:cs="宋体"/>
          <w:b/>
          <w:bCs/>
          <w:sz w:val="24"/>
          <w:szCs w:val="24"/>
        </w:rPr>
        <mc:AlternateContent>
          <mc:Choice Requires="wps">
            <w:drawing>
              <wp:anchor distT="0" distB="0" distL="114300" distR="114300" simplePos="0" relativeHeight="251659264" behindDoc="0" locked="0" layoutInCell="1" allowOverlap="1">
                <wp:simplePos x="0" y="0"/>
                <wp:positionH relativeFrom="column">
                  <wp:posOffset>94615</wp:posOffset>
                </wp:positionH>
                <wp:positionV relativeFrom="paragraph">
                  <wp:posOffset>93345</wp:posOffset>
                </wp:positionV>
                <wp:extent cx="5626735" cy="0"/>
                <wp:effectExtent l="8890" t="7620" r="12700" b="1143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626735" cy="0"/>
                        </a:xfrm>
                        <a:prstGeom prst="line">
                          <a:avLst/>
                        </a:prstGeom>
                        <a:noFill/>
                        <a:ln w="12700">
                          <a:solidFill>
                            <a:srgbClr val="000000"/>
                          </a:solidFill>
                          <a:prstDash val="sysDot"/>
                          <a:round/>
                        </a:ln>
                      </wps:spPr>
                      <wps:bodyPr/>
                    </wps:wsp>
                  </a:graphicData>
                </a:graphic>
              </wp:anchor>
            </w:drawing>
          </mc:Choice>
          <mc:Fallback>
            <w:pict>
              <v:line id="_x0000_s1026" o:spid="_x0000_s1026" o:spt="20" style="position:absolute;left:0pt;margin-left:7.45pt;margin-top:7.35pt;height:0pt;width:443.05pt;z-index:251659264;mso-width-relative:page;mso-height-relative:page;" filled="f" stroked="t" coordsize="21600,21600" o:gfxdata="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LA68DTAAAACAEAAA8AAAAAAAAAAQAgAAAAIgAAAGRycy9kb3ducmV2LnhtbFBLAQIUABQAAAAI&#10;AIdO4kAzp9s98gEAAMcDAAAOAAAAAAAAAAEAIAAAACIBAABkcnMvZTJvRG9jLnhtbFBLBQYAAAAA&#10;BgAGAFkBAACGBQAAAAA=&#10;">
                <v:fill on="f" focussize="0,0"/>
                <v:stroke weight="1pt" color="#000000" joinstyle="round" dashstyle="1 1"/>
                <v:imagedata o:title=""/>
                <o:lock v:ext="edit" aspectratio="f"/>
              </v:line>
            </w:pict>
          </mc:Fallback>
        </mc:AlternateContent>
      </w:r>
    </w:p>
    <w:p w14:paraId="69BB1C1D">
      <w:pPr>
        <w:adjustRightInd w:val="0"/>
        <w:snapToGrid w:val="0"/>
        <w:spacing w:line="360" w:lineRule="auto"/>
        <w:ind w:left="2092" w:leftChars="104" w:right="-361" w:rightChars="-172" w:hanging="1874" w:hangingChars="778"/>
        <w:jc w:val="left"/>
        <w:rPr>
          <w:rFonts w:ascii="宋体" w:hAnsi="宋体" w:eastAsia="宋体" w:cs="宋体"/>
          <w:b/>
          <w:bCs/>
          <w:sz w:val="24"/>
          <w:szCs w:val="24"/>
        </w:rPr>
      </w:pPr>
      <w:r>
        <w:rPr>
          <w:rFonts w:hint="eastAsia" w:ascii="宋体" w:hAnsi="宋体" w:eastAsia="宋体" w:cs="宋体"/>
          <w:b/>
          <w:bCs/>
          <w:sz w:val="24"/>
          <w:szCs w:val="24"/>
        </w:rPr>
        <w:t>采购代理机构（盖章）： 国义招标股份有限公司</w:t>
      </w:r>
    </w:p>
    <w:p w14:paraId="1E50EDB8">
      <w:pPr>
        <w:adjustRightInd w:val="0"/>
        <w:snapToGrid w:val="0"/>
        <w:spacing w:line="360" w:lineRule="auto"/>
        <w:ind w:left="2092" w:leftChars="104" w:right="-361" w:rightChars="-172" w:hanging="1874" w:hangingChars="778"/>
        <w:jc w:val="left"/>
        <w:rPr>
          <w:rFonts w:hint="eastAsia" w:ascii="宋体" w:hAnsi="宋体" w:eastAsia="宋体" w:cs="宋体"/>
          <w:b/>
          <w:bCs/>
          <w:sz w:val="24"/>
          <w:szCs w:val="24"/>
          <w:lang w:val="en-US" w:eastAsia="zh-CN"/>
        </w:rPr>
      </w:pPr>
      <w:r>
        <w:rPr>
          <w:rFonts w:hint="eastAsia" w:ascii="宋体" w:hAnsi="宋体" w:eastAsia="宋体" w:cs="宋体"/>
          <w:b/>
          <w:bCs/>
          <w:sz w:val="24"/>
          <w:szCs w:val="24"/>
        </w:rPr>
        <w:t xml:space="preserve">联 系 人： </w:t>
      </w:r>
      <w:r>
        <w:rPr>
          <w:rFonts w:hint="eastAsia" w:ascii="宋体" w:hAnsi="宋体" w:eastAsia="宋体" w:cs="宋体"/>
          <w:b/>
          <w:bCs/>
          <w:sz w:val="24"/>
          <w:szCs w:val="24"/>
          <w:lang w:eastAsia="zh-CN"/>
        </w:rPr>
        <w:t>张峪凡、刘立婷、钟晓涵、阿米娜·托汗</w:t>
      </w:r>
    </w:p>
    <w:p w14:paraId="7434DDB2">
      <w:pPr>
        <w:adjustRightInd w:val="0"/>
        <w:snapToGrid w:val="0"/>
        <w:spacing w:line="360" w:lineRule="auto"/>
        <w:ind w:left="2092" w:leftChars="104" w:right="-361" w:rightChars="-172" w:hanging="1874" w:hangingChars="778"/>
        <w:jc w:val="left"/>
        <w:rPr>
          <w:rFonts w:hint="eastAsia" w:ascii="宋体" w:hAnsi="宋体" w:eastAsia="宋体" w:cs="宋体"/>
          <w:b/>
          <w:bCs/>
          <w:sz w:val="24"/>
          <w:szCs w:val="24"/>
          <w:lang w:eastAsia="zh-CN"/>
        </w:rPr>
      </w:pPr>
      <w:r>
        <w:rPr>
          <w:rFonts w:hint="eastAsia" w:ascii="宋体" w:hAnsi="宋体" w:eastAsia="宋体" w:cs="宋体"/>
          <w:b/>
          <w:bCs/>
          <w:sz w:val="24"/>
          <w:szCs w:val="24"/>
        </w:rPr>
        <w:t>电    话：</w:t>
      </w:r>
      <w:r>
        <w:rPr>
          <w:rFonts w:hint="eastAsia" w:ascii="宋体" w:hAnsi="宋体" w:eastAsia="宋体" w:cs="宋体"/>
          <w:b/>
          <w:bCs/>
          <w:sz w:val="24"/>
          <w:szCs w:val="24"/>
          <w:lang w:eastAsia="zh-CN"/>
        </w:rPr>
        <w:t>0991-4664267、13139917609</w:t>
      </w:r>
    </w:p>
    <w:p w14:paraId="509F56B4">
      <w:pPr>
        <w:adjustRightInd w:val="0"/>
        <w:snapToGrid w:val="0"/>
        <w:spacing w:line="360" w:lineRule="auto"/>
        <w:ind w:left="2092" w:leftChars="104" w:right="-361" w:rightChars="-172" w:hanging="1874" w:hangingChars="778"/>
        <w:jc w:val="left"/>
        <w:rPr>
          <w:rFonts w:ascii="宋体" w:hAnsi="宋体" w:eastAsia="宋体" w:cs="宋体"/>
          <w:b/>
          <w:bCs/>
          <w:sz w:val="24"/>
          <w:szCs w:val="24"/>
        </w:rPr>
      </w:pPr>
      <w:r>
        <w:rPr>
          <w:rFonts w:hint="eastAsia" w:ascii="宋体" w:hAnsi="宋体" w:eastAsia="宋体" w:cs="宋体"/>
          <w:b/>
          <w:bCs/>
          <w:sz w:val="24"/>
          <w:szCs w:val="24"/>
        </w:rPr>
        <w:t>详细地址：乌鲁木齐市水磨沟区红光山路8</w:t>
      </w:r>
      <w:r>
        <w:rPr>
          <w:rFonts w:ascii="宋体" w:hAnsi="宋体" w:eastAsia="宋体" w:cs="宋体"/>
          <w:b/>
          <w:bCs/>
          <w:sz w:val="24"/>
          <w:szCs w:val="24"/>
        </w:rPr>
        <w:t>88号绿城广场</w:t>
      </w:r>
      <w:r>
        <w:rPr>
          <w:rFonts w:hint="eastAsia" w:ascii="宋体" w:hAnsi="宋体" w:eastAsia="宋体" w:cs="宋体"/>
          <w:b/>
          <w:bCs/>
          <w:sz w:val="24"/>
          <w:szCs w:val="24"/>
        </w:rPr>
        <w:t>1</w:t>
      </w:r>
      <w:r>
        <w:rPr>
          <w:rFonts w:ascii="宋体" w:hAnsi="宋体" w:eastAsia="宋体" w:cs="宋体"/>
          <w:b/>
          <w:bCs/>
          <w:sz w:val="24"/>
          <w:szCs w:val="24"/>
        </w:rPr>
        <w:t>B-3504室</w:t>
      </w:r>
    </w:p>
    <w:p w14:paraId="30A05EBD">
      <w:pPr>
        <w:widowControl/>
        <w:spacing w:line="360" w:lineRule="auto"/>
        <w:jc w:val="left"/>
        <w:rPr>
          <w:rFonts w:ascii="宋体" w:cs="宋体"/>
          <w:b/>
          <w:bCs/>
        </w:rPr>
      </w:pPr>
    </w:p>
    <w:p w14:paraId="38ADC89E">
      <w:pPr>
        <w:widowControl/>
        <w:spacing w:line="360" w:lineRule="auto"/>
        <w:jc w:val="center"/>
        <w:rPr>
          <w:rFonts w:hint="eastAsia" w:ascii="宋体" w:hAnsi="宋体" w:eastAsia="宋体" w:cs="宋体"/>
          <w:b/>
          <w:bCs/>
          <w:sz w:val="32"/>
          <w:szCs w:val="32"/>
        </w:rPr>
        <w:sectPr>
          <w:footerReference r:id="rId4" w:type="first"/>
          <w:footerReference r:id="rId3" w:type="default"/>
          <w:pgSz w:w="11906" w:h="16838"/>
          <w:pgMar w:top="1134" w:right="1418" w:bottom="1134" w:left="1418" w:header="851" w:footer="992" w:gutter="0"/>
          <w:pgNumType w:start="1"/>
          <w:cols w:space="425" w:num="1"/>
          <w:docGrid w:linePitch="312" w:charSpace="0"/>
        </w:sectPr>
      </w:pPr>
    </w:p>
    <w:p w14:paraId="565FE7DE">
      <w:pPr>
        <w:widowControl/>
        <w:spacing w:line="360" w:lineRule="auto"/>
        <w:jc w:val="center"/>
        <w:rPr>
          <w:rFonts w:ascii="宋体" w:hAnsi="宋体" w:eastAsia="宋体" w:cs="宋体"/>
          <w:b/>
          <w:bCs/>
          <w:sz w:val="32"/>
          <w:szCs w:val="32"/>
        </w:rPr>
      </w:pPr>
      <w:r>
        <w:rPr>
          <w:rFonts w:hint="eastAsia" w:ascii="宋体" w:hAnsi="宋体" w:eastAsia="宋体" w:cs="宋体"/>
          <w:b/>
          <w:bCs/>
          <w:sz w:val="32"/>
          <w:szCs w:val="32"/>
        </w:rPr>
        <w:t>目录</w:t>
      </w:r>
    </w:p>
    <w:p w14:paraId="195FE78D">
      <w:pPr>
        <w:pStyle w:val="23"/>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pPr>
      <w:r>
        <w:rPr>
          <w:rStyle w:val="47"/>
          <w:rFonts w:cs="宋体"/>
          <w:color w:val="auto"/>
        </w:rPr>
        <w:fldChar w:fldCharType="begin"/>
      </w:r>
      <w:r>
        <w:rPr>
          <w:rStyle w:val="47"/>
          <w:rFonts w:cs="宋体"/>
          <w:b/>
          <w:bCs/>
          <w:color w:val="auto"/>
          <w:sz w:val="22"/>
          <w:szCs w:val="28"/>
        </w:rPr>
        <w:instrText xml:space="preserve">TOC \o "1-3" \h \u </w:instrText>
      </w:r>
      <w:r>
        <w:rPr>
          <w:rStyle w:val="47"/>
          <w:rFonts w:cs="宋体"/>
          <w:color w:val="auto"/>
        </w:rPr>
        <w:fldChar w:fldCharType="separate"/>
      </w:r>
      <w:r>
        <w:rPr>
          <w:rFonts w:cs="宋体"/>
          <w:color w:val="auto"/>
        </w:rPr>
        <w:fldChar w:fldCharType="begin"/>
      </w:r>
      <w:r>
        <w:rPr>
          <w:rFonts w:cs="宋体"/>
        </w:rPr>
        <w:instrText xml:space="preserve"> HYPERLINK \l _Toc26558 </w:instrText>
      </w:r>
      <w:r>
        <w:rPr>
          <w:rFonts w:cs="宋体"/>
        </w:rPr>
        <w:fldChar w:fldCharType="separate"/>
      </w:r>
      <w:r>
        <w:rPr>
          <w:rFonts w:hint="eastAsia" w:ascii="宋体" w:hAnsi="宋体" w:cs="宋体"/>
          <w:bCs/>
          <w:szCs w:val="28"/>
        </w:rPr>
        <w:t>竞争性磋商公告</w:t>
      </w:r>
      <w:r>
        <w:tab/>
      </w:r>
      <w:r>
        <w:fldChar w:fldCharType="begin"/>
      </w:r>
      <w:r>
        <w:instrText xml:space="preserve"> PAGEREF _Toc26558 \h </w:instrText>
      </w:r>
      <w:r>
        <w:fldChar w:fldCharType="separate"/>
      </w:r>
      <w:r>
        <w:t>1</w:t>
      </w:r>
      <w:r>
        <w:fldChar w:fldCharType="end"/>
      </w:r>
      <w:r>
        <w:rPr>
          <w:rFonts w:cs="宋体"/>
          <w:color w:val="auto"/>
        </w:rPr>
        <w:fldChar w:fldCharType="end"/>
      </w:r>
    </w:p>
    <w:p w14:paraId="70AAB7CE">
      <w:pPr>
        <w:pStyle w:val="23"/>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pPr>
      <w:r>
        <w:rPr>
          <w:rFonts w:ascii="宋体" w:cs="宋体"/>
          <w:bCs/>
          <w:szCs w:val="28"/>
        </w:rPr>
        <w:fldChar w:fldCharType="begin"/>
      </w:r>
      <w:r>
        <w:rPr>
          <w:rFonts w:ascii="宋体" w:cs="宋体"/>
          <w:bCs/>
          <w:szCs w:val="28"/>
        </w:rPr>
        <w:instrText xml:space="preserve"> HYPERLINK \l _Toc26233 </w:instrText>
      </w:r>
      <w:r>
        <w:rPr>
          <w:rFonts w:ascii="宋体" w:cs="宋体"/>
          <w:bCs/>
          <w:szCs w:val="28"/>
        </w:rPr>
        <w:fldChar w:fldCharType="separate"/>
      </w:r>
      <w:r>
        <w:rPr>
          <w:rFonts w:hint="eastAsia" w:ascii="宋体" w:hAnsi="宋体" w:eastAsia="宋体" w:cs="宋体"/>
          <w:szCs w:val="24"/>
        </w:rPr>
        <w:t>第一章 供应商须知</w:t>
      </w:r>
      <w:r>
        <w:tab/>
      </w:r>
      <w:r>
        <w:fldChar w:fldCharType="begin"/>
      </w:r>
      <w:r>
        <w:instrText xml:space="preserve"> PAGEREF _Toc26233 \h </w:instrText>
      </w:r>
      <w:r>
        <w:fldChar w:fldCharType="separate"/>
      </w:r>
      <w:r>
        <w:t>4</w:t>
      </w:r>
      <w:r>
        <w:fldChar w:fldCharType="end"/>
      </w:r>
      <w:r>
        <w:rPr>
          <w:rFonts w:ascii="宋体" w:cs="宋体"/>
          <w:bCs/>
          <w:szCs w:val="28"/>
        </w:rPr>
        <w:fldChar w:fldCharType="end"/>
      </w:r>
    </w:p>
    <w:p w14:paraId="7A992A2E">
      <w:pPr>
        <w:pStyle w:val="23"/>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pPr>
      <w:r>
        <w:rPr>
          <w:rFonts w:ascii="宋体" w:cs="宋体"/>
          <w:bCs/>
          <w:szCs w:val="28"/>
        </w:rPr>
        <w:fldChar w:fldCharType="begin"/>
      </w:r>
      <w:r>
        <w:rPr>
          <w:rFonts w:ascii="宋体" w:cs="宋体"/>
          <w:bCs/>
          <w:szCs w:val="28"/>
        </w:rPr>
        <w:instrText xml:space="preserve"> HYPERLINK \l _Toc29095 </w:instrText>
      </w:r>
      <w:r>
        <w:rPr>
          <w:rFonts w:ascii="宋体" w:cs="宋体"/>
          <w:bCs/>
          <w:szCs w:val="28"/>
        </w:rPr>
        <w:fldChar w:fldCharType="separate"/>
      </w:r>
      <w:r>
        <w:rPr>
          <w:rFonts w:hint="eastAsia" w:ascii="宋体" w:hAnsi="宋体" w:eastAsia="宋体" w:cs="宋体"/>
          <w:szCs w:val="24"/>
        </w:rPr>
        <w:t>供应商须知前附表</w:t>
      </w:r>
      <w:r>
        <w:tab/>
      </w:r>
      <w:r>
        <w:fldChar w:fldCharType="begin"/>
      </w:r>
      <w:r>
        <w:instrText xml:space="preserve"> PAGEREF _Toc29095 \h </w:instrText>
      </w:r>
      <w:r>
        <w:fldChar w:fldCharType="separate"/>
      </w:r>
      <w:r>
        <w:t>4</w:t>
      </w:r>
      <w:r>
        <w:fldChar w:fldCharType="end"/>
      </w:r>
      <w:r>
        <w:rPr>
          <w:rFonts w:ascii="宋体" w:cs="宋体"/>
          <w:bCs/>
          <w:szCs w:val="28"/>
        </w:rPr>
        <w:fldChar w:fldCharType="end"/>
      </w:r>
    </w:p>
    <w:p w14:paraId="16FEF89E">
      <w:pPr>
        <w:pStyle w:val="3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pPr>
      <w:r>
        <w:rPr>
          <w:rFonts w:ascii="宋体" w:cs="宋体"/>
          <w:bCs/>
          <w:szCs w:val="28"/>
        </w:rPr>
        <w:fldChar w:fldCharType="begin"/>
      </w:r>
      <w:r>
        <w:rPr>
          <w:rFonts w:ascii="宋体" w:cs="宋体"/>
          <w:bCs/>
          <w:szCs w:val="28"/>
        </w:rPr>
        <w:instrText xml:space="preserve"> HYPERLINK \l _Toc10157 </w:instrText>
      </w:r>
      <w:r>
        <w:rPr>
          <w:rFonts w:ascii="宋体" w:cs="宋体"/>
          <w:bCs/>
          <w:szCs w:val="28"/>
        </w:rPr>
        <w:fldChar w:fldCharType="separate"/>
      </w:r>
      <w:r>
        <w:rPr>
          <w:rFonts w:ascii="宋体" w:hAnsi="宋体" w:eastAsia="宋体" w:cs="宋体"/>
          <w:szCs w:val="24"/>
        </w:rPr>
        <w:t>1</w:t>
      </w:r>
      <w:r>
        <w:rPr>
          <w:rFonts w:hint="eastAsia" w:ascii="宋体" w:hAnsi="宋体" w:eastAsia="宋体" w:cs="宋体"/>
          <w:szCs w:val="24"/>
        </w:rPr>
        <w:t>．总则</w:t>
      </w:r>
      <w:r>
        <w:tab/>
      </w:r>
      <w:r>
        <w:fldChar w:fldCharType="begin"/>
      </w:r>
      <w:r>
        <w:instrText xml:space="preserve"> PAGEREF _Toc10157 \h </w:instrText>
      </w:r>
      <w:r>
        <w:fldChar w:fldCharType="separate"/>
      </w:r>
      <w:r>
        <w:t>10</w:t>
      </w:r>
      <w:r>
        <w:fldChar w:fldCharType="end"/>
      </w:r>
      <w:r>
        <w:rPr>
          <w:rFonts w:ascii="宋体" w:cs="宋体"/>
          <w:bCs/>
          <w:szCs w:val="28"/>
        </w:rPr>
        <w:fldChar w:fldCharType="end"/>
      </w:r>
    </w:p>
    <w:p w14:paraId="5D05C2E1">
      <w:pPr>
        <w:pStyle w:val="3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pPr>
      <w:r>
        <w:rPr>
          <w:rFonts w:ascii="宋体" w:cs="宋体"/>
          <w:bCs/>
          <w:szCs w:val="28"/>
        </w:rPr>
        <w:fldChar w:fldCharType="begin"/>
      </w:r>
      <w:r>
        <w:rPr>
          <w:rFonts w:ascii="宋体" w:cs="宋体"/>
          <w:bCs/>
          <w:szCs w:val="28"/>
        </w:rPr>
        <w:instrText xml:space="preserve"> HYPERLINK \l _Toc30168 </w:instrText>
      </w:r>
      <w:r>
        <w:rPr>
          <w:rFonts w:ascii="宋体" w:cs="宋体"/>
          <w:bCs/>
          <w:szCs w:val="28"/>
        </w:rPr>
        <w:fldChar w:fldCharType="separate"/>
      </w:r>
      <w:r>
        <w:rPr>
          <w:rFonts w:ascii="宋体" w:hAnsi="宋体" w:eastAsia="宋体" w:cs="宋体"/>
          <w:szCs w:val="24"/>
        </w:rPr>
        <w:t>2</w:t>
      </w:r>
      <w:r>
        <w:rPr>
          <w:rFonts w:hint="eastAsia" w:ascii="宋体" w:hAnsi="宋体" w:eastAsia="宋体" w:cs="宋体"/>
          <w:szCs w:val="24"/>
        </w:rPr>
        <w:t>．竞争性磋商文件</w:t>
      </w:r>
      <w:r>
        <w:tab/>
      </w:r>
      <w:r>
        <w:fldChar w:fldCharType="begin"/>
      </w:r>
      <w:r>
        <w:instrText xml:space="preserve"> PAGEREF _Toc30168 \h </w:instrText>
      </w:r>
      <w:r>
        <w:fldChar w:fldCharType="separate"/>
      </w:r>
      <w:r>
        <w:t>13</w:t>
      </w:r>
      <w:r>
        <w:fldChar w:fldCharType="end"/>
      </w:r>
      <w:r>
        <w:rPr>
          <w:rFonts w:ascii="宋体" w:cs="宋体"/>
          <w:bCs/>
          <w:szCs w:val="28"/>
        </w:rPr>
        <w:fldChar w:fldCharType="end"/>
      </w:r>
    </w:p>
    <w:p w14:paraId="6679CE59">
      <w:pPr>
        <w:pStyle w:val="3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pPr>
      <w:r>
        <w:rPr>
          <w:rFonts w:ascii="宋体" w:cs="宋体"/>
          <w:bCs/>
          <w:szCs w:val="28"/>
        </w:rPr>
        <w:fldChar w:fldCharType="begin"/>
      </w:r>
      <w:r>
        <w:rPr>
          <w:rFonts w:ascii="宋体" w:cs="宋体"/>
          <w:bCs/>
          <w:szCs w:val="28"/>
        </w:rPr>
        <w:instrText xml:space="preserve"> HYPERLINK \l _Toc5584 </w:instrText>
      </w:r>
      <w:r>
        <w:rPr>
          <w:rFonts w:ascii="宋体" w:cs="宋体"/>
          <w:bCs/>
          <w:szCs w:val="28"/>
        </w:rPr>
        <w:fldChar w:fldCharType="separate"/>
      </w:r>
      <w:r>
        <w:rPr>
          <w:rFonts w:ascii="宋体" w:hAnsi="宋体" w:eastAsia="宋体" w:cs="宋体"/>
          <w:szCs w:val="24"/>
          <w:highlight w:val="none"/>
        </w:rPr>
        <w:t>3</w:t>
      </w:r>
      <w:r>
        <w:rPr>
          <w:rFonts w:hint="eastAsia" w:ascii="宋体" w:hAnsi="宋体" w:eastAsia="宋体" w:cs="宋体"/>
          <w:szCs w:val="24"/>
          <w:highlight w:val="none"/>
        </w:rPr>
        <w:t>．响应文件</w:t>
      </w:r>
      <w:r>
        <w:tab/>
      </w:r>
      <w:r>
        <w:fldChar w:fldCharType="begin"/>
      </w:r>
      <w:r>
        <w:instrText xml:space="preserve"> PAGEREF _Toc5584 \h </w:instrText>
      </w:r>
      <w:r>
        <w:fldChar w:fldCharType="separate"/>
      </w:r>
      <w:r>
        <w:t>14</w:t>
      </w:r>
      <w:r>
        <w:fldChar w:fldCharType="end"/>
      </w:r>
      <w:r>
        <w:rPr>
          <w:rFonts w:ascii="宋体" w:cs="宋体"/>
          <w:bCs/>
          <w:szCs w:val="28"/>
        </w:rPr>
        <w:fldChar w:fldCharType="end"/>
      </w:r>
    </w:p>
    <w:p w14:paraId="7A86ADE0">
      <w:pPr>
        <w:pStyle w:val="3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pPr>
      <w:r>
        <w:rPr>
          <w:rFonts w:ascii="宋体" w:cs="宋体"/>
          <w:bCs/>
          <w:szCs w:val="28"/>
        </w:rPr>
        <w:fldChar w:fldCharType="begin"/>
      </w:r>
      <w:r>
        <w:rPr>
          <w:rFonts w:ascii="宋体" w:cs="宋体"/>
          <w:bCs/>
          <w:szCs w:val="28"/>
        </w:rPr>
        <w:instrText xml:space="preserve"> HYPERLINK \l _Toc17647 </w:instrText>
      </w:r>
      <w:r>
        <w:rPr>
          <w:rFonts w:ascii="宋体" w:cs="宋体"/>
          <w:bCs/>
          <w:szCs w:val="28"/>
        </w:rPr>
        <w:fldChar w:fldCharType="separate"/>
      </w:r>
      <w:r>
        <w:rPr>
          <w:rFonts w:ascii="宋体" w:hAnsi="宋体" w:eastAsia="宋体" w:cs="宋体"/>
          <w:szCs w:val="24"/>
        </w:rPr>
        <w:t>4</w:t>
      </w:r>
      <w:r>
        <w:rPr>
          <w:rFonts w:hint="eastAsia" w:ascii="宋体" w:hAnsi="宋体" w:eastAsia="宋体" w:cs="宋体"/>
          <w:szCs w:val="24"/>
        </w:rPr>
        <w:t>．投标</w:t>
      </w:r>
      <w:r>
        <w:tab/>
      </w:r>
      <w:r>
        <w:fldChar w:fldCharType="begin"/>
      </w:r>
      <w:r>
        <w:instrText xml:space="preserve"> PAGEREF _Toc17647 \h </w:instrText>
      </w:r>
      <w:r>
        <w:fldChar w:fldCharType="separate"/>
      </w:r>
      <w:r>
        <w:t>16</w:t>
      </w:r>
      <w:r>
        <w:fldChar w:fldCharType="end"/>
      </w:r>
      <w:r>
        <w:rPr>
          <w:rFonts w:ascii="宋体" w:cs="宋体"/>
          <w:bCs/>
          <w:szCs w:val="28"/>
        </w:rPr>
        <w:fldChar w:fldCharType="end"/>
      </w:r>
    </w:p>
    <w:p w14:paraId="34B6A350">
      <w:pPr>
        <w:pStyle w:val="3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pPr>
      <w:r>
        <w:rPr>
          <w:rFonts w:ascii="宋体" w:cs="宋体"/>
          <w:bCs/>
          <w:szCs w:val="28"/>
        </w:rPr>
        <w:fldChar w:fldCharType="begin"/>
      </w:r>
      <w:r>
        <w:rPr>
          <w:rFonts w:ascii="宋体" w:cs="宋体"/>
          <w:bCs/>
          <w:szCs w:val="28"/>
        </w:rPr>
        <w:instrText xml:space="preserve"> HYPERLINK \l _Toc16176 </w:instrText>
      </w:r>
      <w:r>
        <w:rPr>
          <w:rFonts w:ascii="宋体" w:cs="宋体"/>
          <w:bCs/>
          <w:szCs w:val="28"/>
        </w:rPr>
        <w:fldChar w:fldCharType="separate"/>
      </w:r>
      <w:r>
        <w:rPr>
          <w:rFonts w:ascii="宋体" w:hAnsi="宋体" w:eastAsia="宋体" w:cs="宋体"/>
          <w:szCs w:val="24"/>
        </w:rPr>
        <w:t>5</w:t>
      </w:r>
      <w:r>
        <w:rPr>
          <w:rFonts w:hint="eastAsia" w:ascii="宋体" w:hAnsi="宋体" w:eastAsia="宋体" w:cs="宋体"/>
          <w:szCs w:val="24"/>
        </w:rPr>
        <w:t>．开标</w:t>
      </w:r>
      <w:r>
        <w:tab/>
      </w:r>
      <w:r>
        <w:fldChar w:fldCharType="begin"/>
      </w:r>
      <w:r>
        <w:instrText xml:space="preserve"> PAGEREF _Toc16176 \h </w:instrText>
      </w:r>
      <w:r>
        <w:fldChar w:fldCharType="separate"/>
      </w:r>
      <w:r>
        <w:t>17</w:t>
      </w:r>
      <w:r>
        <w:fldChar w:fldCharType="end"/>
      </w:r>
      <w:r>
        <w:rPr>
          <w:rFonts w:ascii="宋体" w:cs="宋体"/>
          <w:bCs/>
          <w:szCs w:val="28"/>
        </w:rPr>
        <w:fldChar w:fldCharType="end"/>
      </w:r>
    </w:p>
    <w:p w14:paraId="62FFAE45">
      <w:pPr>
        <w:pStyle w:val="3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pPr>
      <w:r>
        <w:rPr>
          <w:rFonts w:ascii="宋体" w:cs="宋体"/>
          <w:bCs/>
          <w:szCs w:val="28"/>
        </w:rPr>
        <w:fldChar w:fldCharType="begin"/>
      </w:r>
      <w:r>
        <w:rPr>
          <w:rFonts w:ascii="宋体" w:cs="宋体"/>
          <w:bCs/>
          <w:szCs w:val="28"/>
        </w:rPr>
        <w:instrText xml:space="preserve"> HYPERLINK \l _Toc23422 </w:instrText>
      </w:r>
      <w:r>
        <w:rPr>
          <w:rFonts w:ascii="宋体" w:cs="宋体"/>
          <w:bCs/>
          <w:szCs w:val="28"/>
        </w:rPr>
        <w:fldChar w:fldCharType="separate"/>
      </w:r>
      <w:r>
        <w:rPr>
          <w:rFonts w:ascii="宋体" w:hAnsi="宋体" w:eastAsia="宋体" w:cs="宋体"/>
          <w:szCs w:val="24"/>
        </w:rPr>
        <w:t>6</w:t>
      </w:r>
      <w:r>
        <w:rPr>
          <w:rFonts w:hint="eastAsia" w:ascii="宋体" w:hAnsi="宋体" w:eastAsia="宋体" w:cs="宋体"/>
          <w:szCs w:val="24"/>
        </w:rPr>
        <w:t>．评审</w:t>
      </w:r>
      <w:r>
        <w:tab/>
      </w:r>
      <w:r>
        <w:fldChar w:fldCharType="begin"/>
      </w:r>
      <w:r>
        <w:instrText xml:space="preserve"> PAGEREF _Toc23422 \h </w:instrText>
      </w:r>
      <w:r>
        <w:fldChar w:fldCharType="separate"/>
      </w:r>
      <w:r>
        <w:t>17</w:t>
      </w:r>
      <w:r>
        <w:fldChar w:fldCharType="end"/>
      </w:r>
      <w:r>
        <w:rPr>
          <w:rFonts w:ascii="宋体" w:cs="宋体"/>
          <w:bCs/>
          <w:szCs w:val="28"/>
        </w:rPr>
        <w:fldChar w:fldCharType="end"/>
      </w:r>
    </w:p>
    <w:p w14:paraId="6BFAEBF5">
      <w:pPr>
        <w:pStyle w:val="3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pPr>
      <w:r>
        <w:rPr>
          <w:rFonts w:ascii="宋体" w:cs="宋体"/>
          <w:bCs/>
          <w:szCs w:val="28"/>
        </w:rPr>
        <w:fldChar w:fldCharType="begin"/>
      </w:r>
      <w:r>
        <w:rPr>
          <w:rFonts w:ascii="宋体" w:cs="宋体"/>
          <w:bCs/>
          <w:szCs w:val="28"/>
        </w:rPr>
        <w:instrText xml:space="preserve"> HYPERLINK \l _Toc16275 </w:instrText>
      </w:r>
      <w:r>
        <w:rPr>
          <w:rFonts w:ascii="宋体" w:cs="宋体"/>
          <w:bCs/>
          <w:szCs w:val="28"/>
        </w:rPr>
        <w:fldChar w:fldCharType="separate"/>
      </w:r>
      <w:r>
        <w:rPr>
          <w:rFonts w:ascii="宋体" w:hAnsi="宋体" w:eastAsia="宋体" w:cs="宋体"/>
          <w:szCs w:val="24"/>
        </w:rPr>
        <w:t>7</w:t>
      </w:r>
      <w:r>
        <w:rPr>
          <w:rFonts w:hint="eastAsia" w:ascii="宋体" w:hAnsi="宋体" w:eastAsia="宋体" w:cs="宋体"/>
          <w:szCs w:val="24"/>
        </w:rPr>
        <w:t>．定标及合同授予</w:t>
      </w:r>
      <w:r>
        <w:tab/>
      </w:r>
      <w:r>
        <w:fldChar w:fldCharType="begin"/>
      </w:r>
      <w:r>
        <w:instrText xml:space="preserve"> PAGEREF _Toc16275 \h </w:instrText>
      </w:r>
      <w:r>
        <w:fldChar w:fldCharType="separate"/>
      </w:r>
      <w:r>
        <w:t>18</w:t>
      </w:r>
      <w:r>
        <w:fldChar w:fldCharType="end"/>
      </w:r>
      <w:r>
        <w:rPr>
          <w:rFonts w:ascii="宋体" w:cs="宋体"/>
          <w:bCs/>
          <w:szCs w:val="28"/>
        </w:rPr>
        <w:fldChar w:fldCharType="end"/>
      </w:r>
    </w:p>
    <w:p w14:paraId="4834EA26">
      <w:pPr>
        <w:pStyle w:val="3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pPr>
      <w:r>
        <w:rPr>
          <w:rFonts w:ascii="宋体" w:cs="宋体"/>
          <w:bCs/>
          <w:szCs w:val="28"/>
        </w:rPr>
        <w:fldChar w:fldCharType="begin"/>
      </w:r>
      <w:r>
        <w:rPr>
          <w:rFonts w:ascii="宋体" w:cs="宋体"/>
          <w:bCs/>
          <w:szCs w:val="28"/>
        </w:rPr>
        <w:instrText xml:space="preserve"> HYPERLINK \l _Toc6603 </w:instrText>
      </w:r>
      <w:r>
        <w:rPr>
          <w:rFonts w:ascii="宋体" w:cs="宋体"/>
          <w:bCs/>
          <w:szCs w:val="28"/>
        </w:rPr>
        <w:fldChar w:fldCharType="separate"/>
      </w:r>
      <w:r>
        <w:rPr>
          <w:rFonts w:ascii="宋体" w:hAnsi="宋体" w:eastAsia="宋体" w:cs="宋体"/>
          <w:szCs w:val="24"/>
        </w:rPr>
        <w:t>8</w:t>
      </w:r>
      <w:r>
        <w:rPr>
          <w:rFonts w:hint="eastAsia" w:ascii="宋体" w:hAnsi="宋体" w:eastAsia="宋体" w:cs="宋体"/>
          <w:szCs w:val="24"/>
        </w:rPr>
        <w:t>．纪律和监督</w:t>
      </w:r>
      <w:r>
        <w:tab/>
      </w:r>
      <w:r>
        <w:fldChar w:fldCharType="begin"/>
      </w:r>
      <w:r>
        <w:instrText xml:space="preserve"> PAGEREF _Toc6603 \h </w:instrText>
      </w:r>
      <w:r>
        <w:fldChar w:fldCharType="separate"/>
      </w:r>
      <w:r>
        <w:t>19</w:t>
      </w:r>
      <w:r>
        <w:fldChar w:fldCharType="end"/>
      </w:r>
      <w:r>
        <w:rPr>
          <w:rFonts w:ascii="宋体" w:cs="宋体"/>
          <w:bCs/>
          <w:szCs w:val="28"/>
        </w:rPr>
        <w:fldChar w:fldCharType="end"/>
      </w:r>
    </w:p>
    <w:p w14:paraId="7EAEDC75">
      <w:pPr>
        <w:pStyle w:val="3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pPr>
      <w:r>
        <w:rPr>
          <w:rFonts w:ascii="宋体" w:cs="宋体"/>
          <w:bCs/>
          <w:szCs w:val="28"/>
        </w:rPr>
        <w:fldChar w:fldCharType="begin"/>
      </w:r>
      <w:r>
        <w:rPr>
          <w:rFonts w:ascii="宋体" w:cs="宋体"/>
          <w:bCs/>
          <w:szCs w:val="28"/>
        </w:rPr>
        <w:instrText xml:space="preserve"> HYPERLINK \l _Toc9069 </w:instrText>
      </w:r>
      <w:r>
        <w:rPr>
          <w:rFonts w:ascii="宋体" w:cs="宋体"/>
          <w:bCs/>
          <w:szCs w:val="28"/>
        </w:rPr>
        <w:fldChar w:fldCharType="separate"/>
      </w:r>
      <w:r>
        <w:rPr>
          <w:rFonts w:hint="eastAsia" w:ascii="宋体" w:hAnsi="宋体" w:eastAsia="宋体" w:cs="宋体"/>
          <w:szCs w:val="24"/>
        </w:rPr>
        <w:t>9．</w:t>
      </w:r>
      <w:r>
        <w:rPr>
          <w:rFonts w:ascii="宋体" w:hAnsi="宋体" w:eastAsia="宋体" w:cs="宋体"/>
          <w:szCs w:val="24"/>
        </w:rPr>
        <w:t>需要补充的其他内容</w:t>
      </w:r>
      <w:r>
        <w:tab/>
      </w:r>
      <w:r>
        <w:fldChar w:fldCharType="begin"/>
      </w:r>
      <w:r>
        <w:instrText xml:space="preserve"> PAGEREF _Toc9069 \h </w:instrText>
      </w:r>
      <w:r>
        <w:fldChar w:fldCharType="separate"/>
      </w:r>
      <w:r>
        <w:t>20</w:t>
      </w:r>
      <w:r>
        <w:fldChar w:fldCharType="end"/>
      </w:r>
      <w:r>
        <w:rPr>
          <w:rFonts w:ascii="宋体" w:cs="宋体"/>
          <w:bCs/>
          <w:szCs w:val="28"/>
        </w:rPr>
        <w:fldChar w:fldCharType="end"/>
      </w:r>
    </w:p>
    <w:p w14:paraId="108488BD">
      <w:pPr>
        <w:pStyle w:val="23"/>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pPr>
      <w:r>
        <w:rPr>
          <w:rFonts w:ascii="宋体" w:cs="宋体"/>
          <w:bCs/>
          <w:szCs w:val="28"/>
        </w:rPr>
        <w:fldChar w:fldCharType="begin"/>
      </w:r>
      <w:r>
        <w:rPr>
          <w:rFonts w:ascii="宋体" w:cs="宋体"/>
          <w:bCs/>
          <w:szCs w:val="28"/>
        </w:rPr>
        <w:instrText xml:space="preserve"> HYPERLINK \l _Toc31384 </w:instrText>
      </w:r>
      <w:r>
        <w:rPr>
          <w:rFonts w:ascii="宋体" w:cs="宋体"/>
          <w:bCs/>
          <w:szCs w:val="28"/>
        </w:rPr>
        <w:fldChar w:fldCharType="separate"/>
      </w:r>
      <w:r>
        <w:rPr>
          <w:rFonts w:hint="eastAsia" w:ascii="宋体" w:hAnsi="宋体" w:eastAsia="宋体" w:cs="宋体"/>
          <w:szCs w:val="24"/>
        </w:rPr>
        <w:t>第二章 评审办法</w:t>
      </w:r>
      <w:r>
        <w:tab/>
      </w:r>
      <w:r>
        <w:fldChar w:fldCharType="begin"/>
      </w:r>
      <w:r>
        <w:instrText xml:space="preserve"> PAGEREF _Toc31384 \h </w:instrText>
      </w:r>
      <w:r>
        <w:fldChar w:fldCharType="separate"/>
      </w:r>
      <w:r>
        <w:t>21</w:t>
      </w:r>
      <w:r>
        <w:fldChar w:fldCharType="end"/>
      </w:r>
      <w:r>
        <w:rPr>
          <w:rFonts w:ascii="宋体" w:cs="宋体"/>
          <w:bCs/>
          <w:szCs w:val="28"/>
        </w:rPr>
        <w:fldChar w:fldCharType="end"/>
      </w:r>
    </w:p>
    <w:p w14:paraId="79BA81E2">
      <w:pPr>
        <w:pStyle w:val="15"/>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pPr>
      <w:r>
        <w:rPr>
          <w:rFonts w:ascii="宋体" w:cs="宋体"/>
          <w:bCs/>
          <w:szCs w:val="28"/>
        </w:rPr>
        <w:fldChar w:fldCharType="begin"/>
      </w:r>
      <w:r>
        <w:rPr>
          <w:rFonts w:ascii="宋体" w:cs="宋体"/>
          <w:bCs/>
          <w:szCs w:val="28"/>
        </w:rPr>
        <w:instrText xml:space="preserve"> HYPERLINK \l _Toc8725 </w:instrText>
      </w:r>
      <w:r>
        <w:rPr>
          <w:rFonts w:ascii="宋体" w:cs="宋体"/>
          <w:bCs/>
          <w:szCs w:val="28"/>
        </w:rPr>
        <w:fldChar w:fldCharType="separate"/>
      </w:r>
      <w:r>
        <w:rPr>
          <w:rFonts w:hint="eastAsia" w:ascii="宋体" w:hAnsi="宋体" w:eastAsia="宋体" w:cs="宋体"/>
          <w:szCs w:val="32"/>
        </w:rPr>
        <w:t>评审办法前附表</w:t>
      </w:r>
      <w:r>
        <w:tab/>
      </w:r>
      <w:r>
        <w:fldChar w:fldCharType="begin"/>
      </w:r>
      <w:r>
        <w:instrText xml:space="preserve"> PAGEREF _Toc8725 \h </w:instrText>
      </w:r>
      <w:r>
        <w:fldChar w:fldCharType="separate"/>
      </w:r>
      <w:r>
        <w:t>21</w:t>
      </w:r>
      <w:r>
        <w:fldChar w:fldCharType="end"/>
      </w:r>
      <w:r>
        <w:rPr>
          <w:rFonts w:ascii="宋体" w:cs="宋体"/>
          <w:bCs/>
          <w:szCs w:val="28"/>
        </w:rPr>
        <w:fldChar w:fldCharType="end"/>
      </w:r>
    </w:p>
    <w:p w14:paraId="2149DA8F">
      <w:pPr>
        <w:pStyle w:val="15"/>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pPr>
      <w:r>
        <w:rPr>
          <w:rFonts w:ascii="宋体" w:cs="宋体"/>
          <w:bCs/>
          <w:szCs w:val="28"/>
        </w:rPr>
        <w:fldChar w:fldCharType="begin"/>
      </w:r>
      <w:r>
        <w:rPr>
          <w:rFonts w:ascii="宋体" w:cs="宋体"/>
          <w:bCs/>
          <w:szCs w:val="28"/>
        </w:rPr>
        <w:instrText xml:space="preserve"> HYPERLINK \l _Toc18707 </w:instrText>
      </w:r>
      <w:r>
        <w:rPr>
          <w:rFonts w:ascii="宋体" w:cs="宋体"/>
          <w:bCs/>
          <w:szCs w:val="28"/>
        </w:rPr>
        <w:fldChar w:fldCharType="separate"/>
      </w:r>
      <w:r>
        <w:rPr>
          <w:rFonts w:hint="eastAsia" w:ascii="宋体" w:hAnsi="宋体" w:eastAsia="宋体" w:cs="宋体"/>
          <w:szCs w:val="32"/>
        </w:rPr>
        <w:t>《资格审查标准》</w:t>
      </w:r>
      <w:r>
        <w:tab/>
      </w:r>
      <w:r>
        <w:fldChar w:fldCharType="begin"/>
      </w:r>
      <w:r>
        <w:instrText xml:space="preserve"> PAGEREF _Toc18707 \h </w:instrText>
      </w:r>
      <w:r>
        <w:fldChar w:fldCharType="separate"/>
      </w:r>
      <w:r>
        <w:t>21</w:t>
      </w:r>
      <w:r>
        <w:fldChar w:fldCharType="end"/>
      </w:r>
      <w:r>
        <w:rPr>
          <w:rFonts w:ascii="宋体" w:cs="宋体"/>
          <w:bCs/>
          <w:szCs w:val="28"/>
        </w:rPr>
        <w:fldChar w:fldCharType="end"/>
      </w:r>
    </w:p>
    <w:p w14:paraId="68C4B7AC">
      <w:pPr>
        <w:pStyle w:val="15"/>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pPr>
      <w:r>
        <w:rPr>
          <w:rFonts w:ascii="宋体" w:cs="宋体"/>
          <w:bCs/>
          <w:szCs w:val="28"/>
        </w:rPr>
        <w:fldChar w:fldCharType="begin"/>
      </w:r>
      <w:r>
        <w:rPr>
          <w:rFonts w:ascii="宋体" w:cs="宋体"/>
          <w:bCs/>
          <w:szCs w:val="28"/>
        </w:rPr>
        <w:instrText xml:space="preserve"> HYPERLINK \l _Toc20075 </w:instrText>
      </w:r>
      <w:r>
        <w:rPr>
          <w:rFonts w:ascii="宋体" w:cs="宋体"/>
          <w:bCs/>
          <w:szCs w:val="28"/>
        </w:rPr>
        <w:fldChar w:fldCharType="separate"/>
      </w:r>
      <w:r>
        <w:rPr>
          <w:rFonts w:hint="eastAsia" w:ascii="宋体" w:hAnsi="宋体" w:eastAsia="宋体" w:cs="宋体"/>
          <w:szCs w:val="32"/>
        </w:rPr>
        <w:t>《完备性及符合性审查标准》</w:t>
      </w:r>
      <w:r>
        <w:tab/>
      </w:r>
      <w:r>
        <w:fldChar w:fldCharType="begin"/>
      </w:r>
      <w:r>
        <w:instrText xml:space="preserve"> PAGEREF _Toc20075 \h </w:instrText>
      </w:r>
      <w:r>
        <w:fldChar w:fldCharType="separate"/>
      </w:r>
      <w:r>
        <w:t>23</w:t>
      </w:r>
      <w:r>
        <w:fldChar w:fldCharType="end"/>
      </w:r>
      <w:r>
        <w:rPr>
          <w:rFonts w:ascii="宋体" w:cs="宋体"/>
          <w:bCs/>
          <w:szCs w:val="28"/>
        </w:rPr>
        <w:fldChar w:fldCharType="end"/>
      </w:r>
    </w:p>
    <w:p w14:paraId="79650F83">
      <w:pPr>
        <w:pStyle w:val="15"/>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pPr>
      <w:r>
        <w:rPr>
          <w:rFonts w:ascii="宋体" w:cs="宋体"/>
          <w:bCs/>
          <w:szCs w:val="28"/>
        </w:rPr>
        <w:fldChar w:fldCharType="begin"/>
      </w:r>
      <w:r>
        <w:rPr>
          <w:rFonts w:ascii="宋体" w:cs="宋体"/>
          <w:bCs/>
          <w:szCs w:val="28"/>
        </w:rPr>
        <w:instrText xml:space="preserve"> HYPERLINK \l _Toc5982 </w:instrText>
      </w:r>
      <w:r>
        <w:rPr>
          <w:rFonts w:ascii="宋体" w:cs="宋体"/>
          <w:bCs/>
          <w:szCs w:val="28"/>
        </w:rPr>
        <w:fldChar w:fldCharType="separate"/>
      </w:r>
      <w:r>
        <w:rPr>
          <w:rFonts w:hint="eastAsia" w:ascii="宋体" w:hAnsi="宋体" w:eastAsia="宋体" w:cs="宋体"/>
          <w:szCs w:val="32"/>
        </w:rPr>
        <w:t>《详细评审标准》</w:t>
      </w:r>
      <w:r>
        <w:tab/>
      </w:r>
      <w:r>
        <w:fldChar w:fldCharType="begin"/>
      </w:r>
      <w:r>
        <w:instrText xml:space="preserve"> PAGEREF _Toc5982 \h </w:instrText>
      </w:r>
      <w:r>
        <w:fldChar w:fldCharType="separate"/>
      </w:r>
      <w:r>
        <w:t>24</w:t>
      </w:r>
      <w:r>
        <w:fldChar w:fldCharType="end"/>
      </w:r>
      <w:r>
        <w:rPr>
          <w:rFonts w:ascii="宋体" w:cs="宋体"/>
          <w:bCs/>
          <w:szCs w:val="28"/>
        </w:rPr>
        <w:fldChar w:fldCharType="end"/>
      </w:r>
    </w:p>
    <w:p w14:paraId="69BB017A">
      <w:pPr>
        <w:pStyle w:val="15"/>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pPr>
      <w:r>
        <w:rPr>
          <w:rFonts w:ascii="宋体" w:cs="宋体"/>
          <w:bCs/>
          <w:szCs w:val="28"/>
        </w:rPr>
        <w:fldChar w:fldCharType="begin"/>
      </w:r>
      <w:r>
        <w:rPr>
          <w:rFonts w:ascii="宋体" w:cs="宋体"/>
          <w:bCs/>
          <w:szCs w:val="28"/>
        </w:rPr>
        <w:instrText xml:space="preserve"> HYPERLINK \l _Toc6593 </w:instrText>
      </w:r>
      <w:r>
        <w:rPr>
          <w:rFonts w:ascii="宋体" w:cs="宋体"/>
          <w:bCs/>
          <w:szCs w:val="28"/>
        </w:rPr>
        <w:fldChar w:fldCharType="separate"/>
      </w:r>
      <w:r>
        <w:rPr>
          <w:rFonts w:ascii="宋体" w:hAnsi="宋体" w:eastAsia="宋体" w:cs="宋体"/>
          <w:szCs w:val="24"/>
        </w:rPr>
        <w:t>1.</w:t>
      </w:r>
      <w:r>
        <w:rPr>
          <w:rFonts w:hint="eastAsia" w:ascii="宋体" w:hAnsi="宋体" w:eastAsia="宋体" w:cs="宋体"/>
          <w:szCs w:val="24"/>
        </w:rPr>
        <w:t>评审方法</w:t>
      </w:r>
      <w:r>
        <w:tab/>
      </w:r>
      <w:r>
        <w:fldChar w:fldCharType="begin"/>
      </w:r>
      <w:r>
        <w:instrText xml:space="preserve"> PAGEREF _Toc6593 \h </w:instrText>
      </w:r>
      <w:r>
        <w:fldChar w:fldCharType="separate"/>
      </w:r>
      <w:r>
        <w:t>27</w:t>
      </w:r>
      <w:r>
        <w:fldChar w:fldCharType="end"/>
      </w:r>
      <w:r>
        <w:rPr>
          <w:rFonts w:ascii="宋体" w:cs="宋体"/>
          <w:bCs/>
          <w:szCs w:val="28"/>
        </w:rPr>
        <w:fldChar w:fldCharType="end"/>
      </w:r>
    </w:p>
    <w:p w14:paraId="343C6935">
      <w:pPr>
        <w:pStyle w:val="15"/>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pPr>
      <w:r>
        <w:rPr>
          <w:rFonts w:ascii="宋体" w:cs="宋体"/>
          <w:bCs/>
          <w:szCs w:val="28"/>
        </w:rPr>
        <w:fldChar w:fldCharType="begin"/>
      </w:r>
      <w:r>
        <w:rPr>
          <w:rFonts w:ascii="宋体" w:cs="宋体"/>
          <w:bCs/>
          <w:szCs w:val="28"/>
        </w:rPr>
        <w:instrText xml:space="preserve"> HYPERLINK \l _Toc597 </w:instrText>
      </w:r>
      <w:r>
        <w:rPr>
          <w:rFonts w:ascii="宋体" w:cs="宋体"/>
          <w:bCs/>
          <w:szCs w:val="28"/>
        </w:rPr>
        <w:fldChar w:fldCharType="separate"/>
      </w:r>
      <w:r>
        <w:rPr>
          <w:rFonts w:ascii="宋体" w:hAnsi="宋体" w:eastAsia="宋体" w:cs="宋体"/>
          <w:szCs w:val="24"/>
        </w:rPr>
        <w:t>2.</w:t>
      </w:r>
      <w:r>
        <w:rPr>
          <w:rFonts w:hint="eastAsia" w:ascii="宋体" w:hAnsi="宋体" w:eastAsia="宋体" w:cs="宋体"/>
          <w:szCs w:val="24"/>
        </w:rPr>
        <w:t>评审标准</w:t>
      </w:r>
      <w:r>
        <w:tab/>
      </w:r>
      <w:r>
        <w:fldChar w:fldCharType="begin"/>
      </w:r>
      <w:r>
        <w:instrText xml:space="preserve"> PAGEREF _Toc597 \h </w:instrText>
      </w:r>
      <w:r>
        <w:fldChar w:fldCharType="separate"/>
      </w:r>
      <w:r>
        <w:t>27</w:t>
      </w:r>
      <w:r>
        <w:fldChar w:fldCharType="end"/>
      </w:r>
      <w:r>
        <w:rPr>
          <w:rFonts w:ascii="宋体" w:cs="宋体"/>
          <w:bCs/>
          <w:szCs w:val="28"/>
        </w:rPr>
        <w:fldChar w:fldCharType="end"/>
      </w:r>
    </w:p>
    <w:p w14:paraId="116EA2A8">
      <w:pPr>
        <w:pStyle w:val="15"/>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pPr>
      <w:r>
        <w:rPr>
          <w:rFonts w:ascii="宋体" w:cs="宋体"/>
          <w:bCs/>
          <w:szCs w:val="28"/>
        </w:rPr>
        <w:fldChar w:fldCharType="begin"/>
      </w:r>
      <w:r>
        <w:rPr>
          <w:rFonts w:ascii="宋体" w:cs="宋体"/>
          <w:bCs/>
          <w:szCs w:val="28"/>
        </w:rPr>
        <w:instrText xml:space="preserve"> HYPERLINK \l _Toc8974 </w:instrText>
      </w:r>
      <w:r>
        <w:rPr>
          <w:rFonts w:ascii="宋体" w:cs="宋体"/>
          <w:bCs/>
          <w:szCs w:val="28"/>
        </w:rPr>
        <w:fldChar w:fldCharType="separate"/>
      </w:r>
      <w:r>
        <w:rPr>
          <w:rFonts w:ascii="宋体" w:hAnsi="宋体" w:eastAsia="宋体" w:cs="宋体"/>
          <w:szCs w:val="24"/>
        </w:rPr>
        <w:t>3.</w:t>
      </w:r>
      <w:r>
        <w:rPr>
          <w:rFonts w:hint="eastAsia" w:ascii="宋体" w:hAnsi="宋体" w:eastAsia="宋体" w:cs="宋体"/>
          <w:szCs w:val="24"/>
        </w:rPr>
        <w:t>评审程序</w:t>
      </w:r>
      <w:r>
        <w:tab/>
      </w:r>
      <w:r>
        <w:fldChar w:fldCharType="begin"/>
      </w:r>
      <w:r>
        <w:instrText xml:space="preserve"> PAGEREF _Toc8974 \h </w:instrText>
      </w:r>
      <w:r>
        <w:fldChar w:fldCharType="separate"/>
      </w:r>
      <w:r>
        <w:t>27</w:t>
      </w:r>
      <w:r>
        <w:fldChar w:fldCharType="end"/>
      </w:r>
      <w:r>
        <w:rPr>
          <w:rFonts w:ascii="宋体" w:cs="宋体"/>
          <w:bCs/>
          <w:szCs w:val="28"/>
        </w:rPr>
        <w:fldChar w:fldCharType="end"/>
      </w:r>
    </w:p>
    <w:p w14:paraId="525FA800">
      <w:pPr>
        <w:pStyle w:val="23"/>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pPr>
      <w:r>
        <w:rPr>
          <w:rFonts w:ascii="宋体" w:cs="宋体"/>
          <w:bCs/>
          <w:szCs w:val="28"/>
        </w:rPr>
        <w:fldChar w:fldCharType="begin"/>
      </w:r>
      <w:r>
        <w:rPr>
          <w:rFonts w:ascii="宋体" w:cs="宋体"/>
          <w:bCs/>
          <w:szCs w:val="28"/>
        </w:rPr>
        <w:instrText xml:space="preserve"> HYPERLINK \l _Toc29815 </w:instrText>
      </w:r>
      <w:r>
        <w:rPr>
          <w:rFonts w:ascii="宋体" w:cs="宋体"/>
          <w:bCs/>
          <w:szCs w:val="28"/>
        </w:rPr>
        <w:fldChar w:fldCharType="separate"/>
      </w:r>
      <w:r>
        <w:rPr>
          <w:rFonts w:hint="eastAsia" w:ascii="宋体" w:hAnsi="宋体" w:eastAsia="宋体" w:cs="宋体"/>
          <w:szCs w:val="24"/>
        </w:rPr>
        <w:t>第三章 合同条款及格式</w:t>
      </w:r>
      <w:r>
        <w:tab/>
      </w:r>
      <w:r>
        <w:fldChar w:fldCharType="begin"/>
      </w:r>
      <w:r>
        <w:instrText xml:space="preserve"> PAGEREF _Toc29815 \h </w:instrText>
      </w:r>
      <w:r>
        <w:fldChar w:fldCharType="separate"/>
      </w:r>
      <w:r>
        <w:t>34</w:t>
      </w:r>
      <w:r>
        <w:fldChar w:fldCharType="end"/>
      </w:r>
      <w:r>
        <w:rPr>
          <w:rFonts w:ascii="宋体" w:cs="宋体"/>
          <w:bCs/>
          <w:szCs w:val="28"/>
        </w:rPr>
        <w:fldChar w:fldCharType="end"/>
      </w:r>
    </w:p>
    <w:p w14:paraId="0C1A46A2">
      <w:pPr>
        <w:pStyle w:val="23"/>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pPr>
      <w:r>
        <w:rPr>
          <w:rFonts w:ascii="宋体" w:cs="宋体"/>
          <w:bCs/>
          <w:szCs w:val="28"/>
        </w:rPr>
        <w:fldChar w:fldCharType="begin"/>
      </w:r>
      <w:r>
        <w:rPr>
          <w:rFonts w:ascii="宋体" w:cs="宋体"/>
          <w:bCs/>
          <w:szCs w:val="28"/>
        </w:rPr>
        <w:instrText xml:space="preserve"> HYPERLINK \l _Toc23727 </w:instrText>
      </w:r>
      <w:r>
        <w:rPr>
          <w:rFonts w:ascii="宋体" w:cs="宋体"/>
          <w:bCs/>
          <w:szCs w:val="28"/>
        </w:rPr>
        <w:fldChar w:fldCharType="separate"/>
      </w:r>
      <w:r>
        <w:rPr>
          <w:rFonts w:hint="eastAsia" w:ascii="宋体" w:hAnsi="宋体" w:eastAsia="宋体" w:cs="宋体"/>
          <w:szCs w:val="24"/>
        </w:rPr>
        <w:t>第四章 采购需求</w:t>
      </w:r>
      <w:r>
        <w:rPr>
          <w:rFonts w:hint="eastAsia" w:ascii="宋体" w:hAnsi="宋体" w:eastAsia="宋体" w:cs="宋体"/>
          <w:szCs w:val="24"/>
          <w:lang w:eastAsia="zh-CN"/>
        </w:rPr>
        <w:t>（</w:t>
      </w:r>
      <w:r>
        <w:rPr>
          <w:rFonts w:hint="eastAsia" w:ascii="宋体" w:hAnsi="宋体" w:eastAsia="宋体" w:cs="宋体"/>
          <w:szCs w:val="24"/>
        </w:rPr>
        <w:t>技术标准和要求</w:t>
      </w:r>
      <w:r>
        <w:rPr>
          <w:rFonts w:hint="eastAsia" w:ascii="宋体" w:hAnsi="宋体" w:eastAsia="宋体" w:cs="宋体"/>
          <w:szCs w:val="24"/>
          <w:lang w:eastAsia="zh-CN"/>
        </w:rPr>
        <w:t>）</w:t>
      </w:r>
      <w:r>
        <w:tab/>
      </w:r>
      <w:r>
        <w:fldChar w:fldCharType="begin"/>
      </w:r>
      <w:r>
        <w:instrText xml:space="preserve"> PAGEREF _Toc23727 \h </w:instrText>
      </w:r>
      <w:r>
        <w:fldChar w:fldCharType="separate"/>
      </w:r>
      <w:r>
        <w:t>41</w:t>
      </w:r>
      <w:r>
        <w:fldChar w:fldCharType="end"/>
      </w:r>
      <w:r>
        <w:rPr>
          <w:rFonts w:ascii="宋体" w:cs="宋体"/>
          <w:bCs/>
          <w:szCs w:val="28"/>
        </w:rPr>
        <w:fldChar w:fldCharType="end"/>
      </w:r>
    </w:p>
    <w:p w14:paraId="7C383448">
      <w:pPr>
        <w:pStyle w:val="23"/>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pPr>
      <w:r>
        <w:rPr>
          <w:rFonts w:ascii="宋体" w:cs="宋体"/>
          <w:bCs/>
          <w:szCs w:val="28"/>
        </w:rPr>
        <w:fldChar w:fldCharType="begin"/>
      </w:r>
      <w:r>
        <w:rPr>
          <w:rFonts w:ascii="宋体" w:cs="宋体"/>
          <w:bCs/>
          <w:szCs w:val="28"/>
        </w:rPr>
        <w:instrText xml:space="preserve"> HYPERLINK \l _Toc26909 </w:instrText>
      </w:r>
      <w:r>
        <w:rPr>
          <w:rFonts w:ascii="宋体" w:cs="宋体"/>
          <w:bCs/>
          <w:szCs w:val="28"/>
        </w:rPr>
        <w:fldChar w:fldCharType="separate"/>
      </w:r>
      <w:r>
        <w:rPr>
          <w:rFonts w:hint="eastAsia" w:ascii="宋体" w:hAnsi="宋体" w:eastAsia="宋体" w:cs="宋体"/>
          <w:szCs w:val="24"/>
        </w:rPr>
        <w:t>第</w:t>
      </w:r>
      <w:r>
        <w:rPr>
          <w:rFonts w:hint="eastAsia" w:ascii="宋体" w:hAnsi="宋体" w:eastAsia="宋体" w:cs="宋体"/>
          <w:szCs w:val="24"/>
          <w:lang w:val="en-US" w:eastAsia="zh-CN"/>
        </w:rPr>
        <w:t>五</w:t>
      </w:r>
      <w:r>
        <w:rPr>
          <w:rFonts w:hint="eastAsia" w:ascii="宋体" w:hAnsi="宋体" w:eastAsia="宋体" w:cs="宋体"/>
          <w:szCs w:val="24"/>
        </w:rPr>
        <w:t>章 响应文件格式</w:t>
      </w:r>
      <w:r>
        <w:tab/>
      </w:r>
      <w:r>
        <w:fldChar w:fldCharType="begin"/>
      </w:r>
      <w:r>
        <w:instrText xml:space="preserve"> PAGEREF _Toc26909 \h </w:instrText>
      </w:r>
      <w:r>
        <w:fldChar w:fldCharType="separate"/>
      </w:r>
      <w:r>
        <w:t>46</w:t>
      </w:r>
      <w:r>
        <w:fldChar w:fldCharType="end"/>
      </w:r>
      <w:r>
        <w:rPr>
          <w:rFonts w:ascii="宋体" w:cs="宋体"/>
          <w:bCs/>
          <w:szCs w:val="28"/>
        </w:rPr>
        <w:fldChar w:fldCharType="end"/>
      </w:r>
    </w:p>
    <w:p w14:paraId="3A412BB2">
      <w:pPr>
        <w:pStyle w:val="3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pPr>
      <w:r>
        <w:rPr>
          <w:rFonts w:ascii="宋体" w:cs="宋体"/>
          <w:bCs/>
          <w:szCs w:val="28"/>
        </w:rPr>
        <w:fldChar w:fldCharType="begin"/>
      </w:r>
      <w:r>
        <w:rPr>
          <w:rFonts w:ascii="宋体" w:cs="宋体"/>
          <w:bCs/>
          <w:szCs w:val="28"/>
        </w:rPr>
        <w:instrText xml:space="preserve"> HYPERLINK \l _Toc9542 </w:instrText>
      </w:r>
      <w:r>
        <w:rPr>
          <w:rFonts w:ascii="宋体" w:cs="宋体"/>
          <w:bCs/>
          <w:szCs w:val="28"/>
        </w:rPr>
        <w:fldChar w:fldCharType="separate"/>
      </w:r>
      <w:r>
        <w:rPr>
          <w:rFonts w:hint="eastAsia" w:ascii="宋体" w:hAnsi="宋体" w:cs="宋体"/>
          <w:szCs w:val="24"/>
        </w:rPr>
        <w:t>目录</w:t>
      </w:r>
      <w:r>
        <w:tab/>
      </w:r>
      <w:r>
        <w:fldChar w:fldCharType="begin"/>
      </w:r>
      <w:r>
        <w:instrText xml:space="preserve"> PAGEREF _Toc9542 \h </w:instrText>
      </w:r>
      <w:r>
        <w:fldChar w:fldCharType="separate"/>
      </w:r>
      <w:r>
        <w:t>47</w:t>
      </w:r>
      <w:r>
        <w:fldChar w:fldCharType="end"/>
      </w:r>
      <w:r>
        <w:rPr>
          <w:rFonts w:ascii="宋体" w:cs="宋体"/>
          <w:bCs/>
          <w:szCs w:val="28"/>
        </w:rPr>
        <w:fldChar w:fldCharType="end"/>
      </w:r>
    </w:p>
    <w:p w14:paraId="404D745B">
      <w:pPr>
        <w:pStyle w:val="3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pPr>
      <w:r>
        <w:rPr>
          <w:rFonts w:ascii="宋体" w:cs="宋体"/>
          <w:bCs/>
          <w:szCs w:val="28"/>
        </w:rPr>
        <w:fldChar w:fldCharType="begin"/>
      </w:r>
      <w:r>
        <w:rPr>
          <w:rFonts w:ascii="宋体" w:cs="宋体"/>
          <w:bCs/>
          <w:szCs w:val="28"/>
        </w:rPr>
        <w:instrText xml:space="preserve"> HYPERLINK \l _Toc31330 </w:instrText>
      </w:r>
      <w:r>
        <w:rPr>
          <w:rFonts w:ascii="宋体" w:cs="宋体"/>
          <w:bCs/>
          <w:szCs w:val="28"/>
        </w:rPr>
        <w:fldChar w:fldCharType="separate"/>
      </w:r>
      <w:r>
        <w:rPr>
          <w:rFonts w:hint="eastAsia" w:ascii="宋体" w:hAnsi="宋体" w:eastAsia="宋体" w:cs="宋体"/>
          <w:bCs/>
          <w:szCs w:val="21"/>
          <w:lang w:val="en-US" w:eastAsia="zh-CN"/>
        </w:rPr>
        <w:t>一</w:t>
      </w:r>
      <w:r>
        <w:rPr>
          <w:rFonts w:hint="eastAsia" w:ascii="宋体" w:hAnsi="宋体" w:eastAsia="宋体" w:cs="宋体"/>
          <w:bCs/>
          <w:szCs w:val="21"/>
        </w:rPr>
        <w:t>、资格文件</w:t>
      </w:r>
      <w:r>
        <w:tab/>
      </w:r>
      <w:r>
        <w:fldChar w:fldCharType="begin"/>
      </w:r>
      <w:r>
        <w:instrText xml:space="preserve"> PAGEREF _Toc31330 \h </w:instrText>
      </w:r>
      <w:r>
        <w:fldChar w:fldCharType="separate"/>
      </w:r>
      <w:r>
        <w:t>48</w:t>
      </w:r>
      <w:r>
        <w:fldChar w:fldCharType="end"/>
      </w:r>
      <w:r>
        <w:rPr>
          <w:rFonts w:ascii="宋体" w:cs="宋体"/>
          <w:bCs/>
          <w:szCs w:val="28"/>
        </w:rPr>
        <w:fldChar w:fldCharType="end"/>
      </w:r>
    </w:p>
    <w:p w14:paraId="646EB1B2">
      <w:pPr>
        <w:pStyle w:val="3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pPr>
      <w:r>
        <w:rPr>
          <w:rFonts w:ascii="宋体" w:cs="宋体"/>
          <w:bCs/>
          <w:szCs w:val="28"/>
        </w:rPr>
        <w:fldChar w:fldCharType="begin"/>
      </w:r>
      <w:r>
        <w:rPr>
          <w:rFonts w:ascii="宋体" w:cs="宋体"/>
          <w:bCs/>
          <w:szCs w:val="28"/>
        </w:rPr>
        <w:instrText xml:space="preserve"> HYPERLINK \l _Toc5237 </w:instrText>
      </w:r>
      <w:r>
        <w:rPr>
          <w:rFonts w:ascii="宋体" w:cs="宋体"/>
          <w:bCs/>
          <w:szCs w:val="28"/>
        </w:rPr>
        <w:fldChar w:fldCharType="separate"/>
      </w:r>
      <w:r>
        <w:rPr>
          <w:rFonts w:hint="eastAsia" w:ascii="宋体" w:hAnsi="宋体" w:eastAsia="宋体" w:cs="宋体"/>
          <w:bCs/>
          <w:szCs w:val="21"/>
          <w:lang w:val="en-US" w:eastAsia="zh-CN"/>
        </w:rPr>
        <w:t>二</w:t>
      </w:r>
      <w:r>
        <w:rPr>
          <w:rFonts w:hint="eastAsia" w:ascii="宋体" w:hAnsi="宋体" w:eastAsia="宋体" w:cs="宋体"/>
          <w:bCs/>
          <w:szCs w:val="21"/>
        </w:rPr>
        <w:t>、商务部分</w:t>
      </w:r>
      <w:r>
        <w:tab/>
      </w:r>
      <w:r>
        <w:fldChar w:fldCharType="begin"/>
      </w:r>
      <w:r>
        <w:instrText xml:space="preserve"> PAGEREF _Toc5237 \h </w:instrText>
      </w:r>
      <w:r>
        <w:fldChar w:fldCharType="separate"/>
      </w:r>
      <w:r>
        <w:t>65</w:t>
      </w:r>
      <w:r>
        <w:fldChar w:fldCharType="end"/>
      </w:r>
      <w:r>
        <w:rPr>
          <w:rFonts w:ascii="宋体" w:cs="宋体"/>
          <w:bCs/>
          <w:szCs w:val="28"/>
        </w:rPr>
        <w:fldChar w:fldCharType="end"/>
      </w:r>
    </w:p>
    <w:p w14:paraId="53771799">
      <w:pPr>
        <w:pStyle w:val="3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pPr>
      <w:r>
        <w:rPr>
          <w:rFonts w:ascii="宋体" w:cs="宋体"/>
          <w:bCs/>
          <w:szCs w:val="28"/>
        </w:rPr>
        <w:fldChar w:fldCharType="begin"/>
      </w:r>
      <w:r>
        <w:rPr>
          <w:rFonts w:ascii="宋体" w:cs="宋体"/>
          <w:bCs/>
          <w:szCs w:val="28"/>
        </w:rPr>
        <w:instrText xml:space="preserve"> HYPERLINK \l _Toc6003 </w:instrText>
      </w:r>
      <w:r>
        <w:rPr>
          <w:rFonts w:ascii="宋体" w:cs="宋体"/>
          <w:bCs/>
          <w:szCs w:val="28"/>
        </w:rPr>
        <w:fldChar w:fldCharType="separate"/>
      </w:r>
      <w:r>
        <w:rPr>
          <w:rFonts w:hint="eastAsia" w:ascii="宋体" w:hAnsi="宋体" w:eastAsia="宋体" w:cs="宋体"/>
          <w:bCs/>
          <w:szCs w:val="21"/>
          <w:highlight w:val="none"/>
          <w:lang w:val="en-US" w:eastAsia="zh-CN"/>
        </w:rPr>
        <w:t>三</w:t>
      </w:r>
      <w:r>
        <w:rPr>
          <w:rFonts w:hint="eastAsia" w:ascii="宋体" w:hAnsi="宋体" w:eastAsia="宋体" w:cs="宋体"/>
          <w:bCs/>
          <w:szCs w:val="21"/>
          <w:highlight w:val="none"/>
        </w:rPr>
        <w:t>、技术部分</w:t>
      </w:r>
      <w:r>
        <w:tab/>
      </w:r>
      <w:r>
        <w:fldChar w:fldCharType="begin"/>
      </w:r>
      <w:r>
        <w:instrText xml:space="preserve"> PAGEREF _Toc6003 \h </w:instrText>
      </w:r>
      <w:r>
        <w:fldChar w:fldCharType="separate"/>
      </w:r>
      <w:r>
        <w:t>77</w:t>
      </w:r>
      <w:r>
        <w:fldChar w:fldCharType="end"/>
      </w:r>
      <w:r>
        <w:rPr>
          <w:rFonts w:ascii="宋体" w:cs="宋体"/>
          <w:bCs/>
          <w:szCs w:val="28"/>
        </w:rPr>
        <w:fldChar w:fldCharType="end"/>
      </w:r>
    </w:p>
    <w:p w14:paraId="64B3CD71">
      <w:pPr>
        <w:pStyle w:val="3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pPr>
      <w:r>
        <w:rPr>
          <w:rFonts w:ascii="宋体" w:cs="宋体"/>
          <w:bCs/>
          <w:szCs w:val="28"/>
        </w:rPr>
        <w:fldChar w:fldCharType="begin"/>
      </w:r>
      <w:r>
        <w:rPr>
          <w:rFonts w:ascii="宋体" w:cs="宋体"/>
          <w:bCs/>
          <w:szCs w:val="28"/>
        </w:rPr>
        <w:instrText xml:space="preserve"> HYPERLINK \l _Toc646 </w:instrText>
      </w:r>
      <w:r>
        <w:rPr>
          <w:rFonts w:ascii="宋体" w:cs="宋体"/>
          <w:bCs/>
          <w:szCs w:val="28"/>
        </w:rPr>
        <w:fldChar w:fldCharType="separate"/>
      </w:r>
      <w:r>
        <w:rPr>
          <w:rFonts w:hint="eastAsia" w:ascii="宋体" w:hAnsi="宋体" w:eastAsia="宋体" w:cs="宋体"/>
          <w:bCs/>
          <w:szCs w:val="32"/>
          <w:lang w:val="en-US" w:eastAsia="zh-CN"/>
        </w:rPr>
        <w:t>四</w:t>
      </w:r>
      <w:r>
        <w:rPr>
          <w:rFonts w:hint="eastAsia" w:ascii="宋体" w:hAnsi="宋体" w:eastAsia="宋体" w:cs="宋体"/>
          <w:bCs/>
          <w:szCs w:val="32"/>
        </w:rPr>
        <w:t>、价格部分</w:t>
      </w:r>
      <w:r>
        <w:tab/>
      </w:r>
      <w:r>
        <w:fldChar w:fldCharType="begin"/>
      </w:r>
      <w:r>
        <w:instrText xml:space="preserve"> PAGEREF _Toc646 \h </w:instrText>
      </w:r>
      <w:r>
        <w:fldChar w:fldCharType="separate"/>
      </w:r>
      <w:r>
        <w:t>78</w:t>
      </w:r>
      <w:r>
        <w:fldChar w:fldCharType="end"/>
      </w:r>
      <w:r>
        <w:rPr>
          <w:rFonts w:ascii="宋体" w:cs="宋体"/>
          <w:bCs/>
          <w:szCs w:val="28"/>
        </w:rPr>
        <w:fldChar w:fldCharType="end"/>
      </w:r>
    </w:p>
    <w:p w14:paraId="6BC49116">
      <w:pPr>
        <w:pStyle w:val="23"/>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pPr>
      <w:r>
        <w:rPr>
          <w:rFonts w:ascii="宋体" w:cs="宋体"/>
          <w:bCs/>
          <w:szCs w:val="28"/>
        </w:rPr>
        <w:fldChar w:fldCharType="begin"/>
      </w:r>
      <w:r>
        <w:rPr>
          <w:rFonts w:ascii="宋体" w:cs="宋体"/>
          <w:bCs/>
          <w:szCs w:val="28"/>
        </w:rPr>
        <w:instrText xml:space="preserve"> HYPERLINK \l _Toc28182 </w:instrText>
      </w:r>
      <w:r>
        <w:rPr>
          <w:rFonts w:ascii="宋体" w:cs="宋体"/>
          <w:bCs/>
          <w:szCs w:val="28"/>
        </w:rPr>
        <w:fldChar w:fldCharType="separate"/>
      </w:r>
      <w:r>
        <w:rPr>
          <w:rFonts w:hint="eastAsia" w:ascii="宋体" w:hAnsi="宋体" w:eastAsia="宋体" w:cs="宋体"/>
          <w:szCs w:val="24"/>
        </w:rPr>
        <w:t>第</w:t>
      </w:r>
      <w:r>
        <w:rPr>
          <w:rFonts w:hint="eastAsia" w:ascii="宋体" w:hAnsi="宋体" w:eastAsia="宋体" w:cs="宋体"/>
          <w:szCs w:val="24"/>
          <w:lang w:val="en-US" w:eastAsia="zh-CN"/>
        </w:rPr>
        <w:t>六</w:t>
      </w:r>
      <w:r>
        <w:rPr>
          <w:rFonts w:hint="eastAsia" w:ascii="宋体" w:hAnsi="宋体" w:eastAsia="宋体" w:cs="宋体"/>
          <w:szCs w:val="24"/>
        </w:rPr>
        <w:t>章 补充条款</w:t>
      </w:r>
      <w:r>
        <w:tab/>
      </w:r>
      <w:r>
        <w:fldChar w:fldCharType="begin"/>
      </w:r>
      <w:r>
        <w:instrText xml:space="preserve"> PAGEREF _Toc28182 \h </w:instrText>
      </w:r>
      <w:r>
        <w:fldChar w:fldCharType="separate"/>
      </w:r>
      <w:r>
        <w:t>82</w:t>
      </w:r>
      <w:r>
        <w:fldChar w:fldCharType="end"/>
      </w:r>
      <w:r>
        <w:rPr>
          <w:rFonts w:ascii="宋体" w:cs="宋体"/>
          <w:bCs/>
          <w:szCs w:val="28"/>
        </w:rPr>
        <w:fldChar w:fldCharType="end"/>
      </w:r>
    </w:p>
    <w:p w14:paraId="2B368354">
      <w:pPr>
        <w:pStyle w:val="23"/>
        <w:keepNext w:val="0"/>
        <w:keepLines w:val="0"/>
        <w:pageBreakBefore w:val="0"/>
        <w:widowControl w:val="0"/>
        <w:tabs>
          <w:tab w:val="right" w:leader="dot" w:pos="9060"/>
        </w:tabs>
        <w:kinsoku/>
        <w:wordWrap/>
        <w:overflowPunct/>
        <w:topLinePunct w:val="0"/>
        <w:autoSpaceDE/>
        <w:autoSpaceDN/>
        <w:bidi w:val="0"/>
        <w:adjustRightInd/>
        <w:snapToGrid/>
        <w:spacing w:line="360" w:lineRule="auto"/>
        <w:textAlignment w:val="auto"/>
        <w:rPr>
          <w:rFonts w:ascii="宋体" w:hAnsi="Calibri" w:cs="宋体"/>
          <w:b/>
          <w:bCs/>
          <w:sz w:val="22"/>
          <w:szCs w:val="28"/>
        </w:rPr>
      </w:pPr>
      <w:r>
        <w:rPr>
          <w:rFonts w:ascii="宋体" w:cs="宋体"/>
          <w:bCs/>
          <w:szCs w:val="28"/>
        </w:rPr>
        <w:fldChar w:fldCharType="end"/>
      </w:r>
    </w:p>
    <w:p w14:paraId="5B80E412">
      <w:pPr>
        <w:spacing w:line="360" w:lineRule="auto"/>
        <w:jc w:val="center"/>
        <w:rPr>
          <w:rFonts w:ascii="宋体" w:hAnsi="宋体" w:cs="宋体"/>
          <w:b/>
          <w:bCs/>
          <w:sz w:val="28"/>
          <w:szCs w:val="28"/>
        </w:rPr>
        <w:sectPr>
          <w:footerReference r:id="rId5" w:type="default"/>
          <w:pgSz w:w="11906" w:h="16838"/>
          <w:pgMar w:top="1134" w:right="1418" w:bottom="1134" w:left="1418" w:header="851" w:footer="992" w:gutter="0"/>
          <w:pgNumType w:fmt="decimal" w:start="1"/>
          <w:cols w:space="425" w:num="1"/>
          <w:docGrid w:linePitch="312" w:charSpace="0"/>
        </w:sectPr>
      </w:pPr>
      <w:bookmarkStart w:id="0" w:name="_Toc99239772"/>
    </w:p>
    <w:p w14:paraId="077F40C4">
      <w:pPr>
        <w:spacing w:line="360" w:lineRule="auto"/>
        <w:jc w:val="center"/>
        <w:rPr>
          <w:rFonts w:ascii="宋体" w:hAnsi="宋体" w:cs="宋体"/>
          <w:b/>
          <w:bCs/>
          <w:sz w:val="28"/>
          <w:szCs w:val="28"/>
        </w:rPr>
      </w:pPr>
      <w:r>
        <w:rPr>
          <w:rFonts w:hint="eastAsia" w:ascii="宋体" w:hAnsi="宋体" w:cs="宋体"/>
          <w:b/>
          <w:bCs/>
          <w:sz w:val="28"/>
          <w:szCs w:val="28"/>
          <w:lang w:eastAsia="zh-CN"/>
        </w:rPr>
        <w:t>新疆医科大学第一附属医院2025年度油烟机清洗服务项目</w:t>
      </w:r>
    </w:p>
    <w:p w14:paraId="0D6B8A23">
      <w:pPr>
        <w:spacing w:line="360" w:lineRule="auto"/>
        <w:jc w:val="center"/>
        <w:outlineLvl w:val="0"/>
        <w:rPr>
          <w:rFonts w:ascii="宋体" w:hAnsi="宋体" w:cs="宋体"/>
          <w:b/>
          <w:bCs/>
          <w:sz w:val="28"/>
          <w:szCs w:val="28"/>
        </w:rPr>
      </w:pPr>
      <w:bookmarkStart w:id="1" w:name="_Toc26558"/>
      <w:bookmarkStart w:id="2" w:name="_Toc99626999"/>
      <w:r>
        <w:rPr>
          <w:rFonts w:hint="eastAsia" w:ascii="宋体" w:hAnsi="宋体" w:cs="宋体"/>
          <w:b/>
          <w:bCs/>
          <w:sz w:val="28"/>
          <w:szCs w:val="28"/>
        </w:rPr>
        <w:t>竞争性磋商公告</w:t>
      </w:r>
      <w:bookmarkEnd w:id="0"/>
      <w:bookmarkEnd w:id="1"/>
      <w:bookmarkEnd w:id="2"/>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9"/>
      </w:tblGrid>
      <w:tr w14:paraId="59D43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9299" w:type="dxa"/>
          </w:tcPr>
          <w:p w14:paraId="6F3C4574">
            <w:pPr>
              <w:widowControl/>
              <w:spacing w:line="360" w:lineRule="auto"/>
              <w:jc w:val="left"/>
              <w:rPr>
                <w:rFonts w:ascii="宋体" w:hAnsi="宋体" w:cs="宋体"/>
                <w:kern w:val="0"/>
                <w:sz w:val="24"/>
                <w:szCs w:val="24"/>
              </w:rPr>
            </w:pPr>
            <w:r>
              <w:rPr>
                <w:rFonts w:hint="eastAsia" w:ascii="宋体" w:hAnsi="宋体" w:cs="宋体"/>
                <w:kern w:val="0"/>
                <w:sz w:val="24"/>
                <w:szCs w:val="24"/>
              </w:rPr>
              <w:t>项目概况</w:t>
            </w:r>
          </w:p>
          <w:p w14:paraId="11BBBA97">
            <w:pPr>
              <w:widowControl/>
              <w:spacing w:line="360" w:lineRule="auto"/>
              <w:jc w:val="left"/>
              <w:rPr>
                <w:rFonts w:ascii="宋体" w:hAnsi="宋体" w:cs="宋体"/>
                <w:kern w:val="0"/>
                <w:sz w:val="24"/>
                <w:szCs w:val="24"/>
              </w:rPr>
            </w:pPr>
            <w:r>
              <w:rPr>
                <w:rFonts w:hint="eastAsia" w:ascii="宋体" w:hAnsi="宋体" w:cs="宋体"/>
                <w:kern w:val="0"/>
                <w:sz w:val="24"/>
                <w:szCs w:val="24"/>
                <w:lang w:eastAsia="zh-CN"/>
              </w:rPr>
              <w:t>新疆医科大学第一附属医院2025年度油烟机清洗服务项目</w:t>
            </w:r>
            <w:r>
              <w:rPr>
                <w:rFonts w:hint="eastAsia" w:ascii="宋体" w:hAnsi="宋体" w:cs="宋体"/>
                <w:kern w:val="0"/>
                <w:sz w:val="24"/>
                <w:szCs w:val="24"/>
                <w:highlight w:val="none"/>
              </w:rPr>
              <w:t>的潜在供应商应在政采云平台</w:t>
            </w:r>
            <w:r>
              <w:rPr>
                <w:highlight w:val="none"/>
              </w:rPr>
              <w:fldChar w:fldCharType="begin"/>
            </w:r>
            <w:r>
              <w:rPr>
                <w:highlight w:val="none"/>
              </w:rPr>
              <w:instrText xml:space="preserve"> HYPERLINK "http://www.zcygov.cn/获取采购文件，并于2024年" </w:instrText>
            </w:r>
            <w:r>
              <w:rPr>
                <w:highlight w:val="none"/>
              </w:rPr>
              <w:fldChar w:fldCharType="separate"/>
            </w:r>
            <w:r>
              <w:rPr>
                <w:rStyle w:val="47"/>
                <w:rFonts w:hint="eastAsia" w:ascii="宋体" w:hAnsi="宋体" w:cs="宋体"/>
                <w:color w:val="auto"/>
                <w:kern w:val="0"/>
                <w:sz w:val="24"/>
                <w:szCs w:val="24"/>
                <w:highlight w:val="none"/>
              </w:rPr>
              <w:t>http://www.zcygov.cn/获取采购文件，并于</w:t>
            </w:r>
            <w:r>
              <w:rPr>
                <w:rStyle w:val="47"/>
                <w:rFonts w:hint="eastAsia" w:ascii="宋体" w:hAnsi="宋体" w:cs="宋体"/>
                <w:color w:val="auto"/>
                <w:kern w:val="0"/>
                <w:sz w:val="24"/>
                <w:szCs w:val="24"/>
                <w:highlight w:val="none"/>
                <w:u w:val="single"/>
              </w:rPr>
              <w:t>20</w:t>
            </w:r>
            <w:r>
              <w:rPr>
                <w:rStyle w:val="47"/>
                <w:rFonts w:ascii="宋体" w:hAnsi="宋体" w:cs="宋体"/>
                <w:color w:val="auto"/>
                <w:kern w:val="0"/>
                <w:sz w:val="24"/>
                <w:szCs w:val="24"/>
                <w:highlight w:val="none"/>
                <w:u w:val="single"/>
              </w:rPr>
              <w:t>2</w:t>
            </w:r>
            <w:r>
              <w:rPr>
                <w:rStyle w:val="47"/>
                <w:rFonts w:hint="eastAsia" w:ascii="宋体" w:hAnsi="宋体" w:cs="宋体"/>
                <w:color w:val="auto"/>
                <w:kern w:val="0"/>
                <w:sz w:val="24"/>
                <w:szCs w:val="24"/>
                <w:highlight w:val="none"/>
                <w:u w:val="single"/>
                <w:lang w:val="en-US" w:eastAsia="zh-CN"/>
              </w:rPr>
              <w:t>5</w:t>
            </w:r>
            <w:r>
              <w:rPr>
                <w:rStyle w:val="47"/>
                <w:rFonts w:hint="eastAsia" w:ascii="宋体" w:hAnsi="宋体" w:cs="宋体"/>
                <w:color w:val="auto"/>
                <w:kern w:val="0"/>
                <w:sz w:val="24"/>
                <w:szCs w:val="24"/>
                <w:highlight w:val="none"/>
              </w:rPr>
              <w:t>年</w:t>
            </w:r>
            <w:r>
              <w:rPr>
                <w:rStyle w:val="47"/>
                <w:rFonts w:hint="eastAsia" w:ascii="宋体" w:hAnsi="宋体" w:cs="宋体"/>
                <w:color w:val="auto"/>
                <w:kern w:val="0"/>
                <w:sz w:val="24"/>
                <w:szCs w:val="24"/>
                <w:highlight w:val="none"/>
              </w:rPr>
              <w:fldChar w:fldCharType="end"/>
            </w:r>
            <w:r>
              <w:rPr>
                <w:rFonts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 xml:space="preserve">05 </w:t>
            </w:r>
            <w:r>
              <w:rPr>
                <w:rFonts w:hint="eastAsia" w:ascii="宋体" w:hAnsi="宋体" w:cs="宋体"/>
                <w:kern w:val="0"/>
                <w:sz w:val="24"/>
                <w:szCs w:val="24"/>
                <w:highlight w:val="none"/>
              </w:rPr>
              <w:t>月</w:t>
            </w:r>
            <w:r>
              <w:rPr>
                <w:rFonts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13</w:t>
            </w:r>
            <w:r>
              <w:rPr>
                <w:rFonts w:ascii="宋体" w:hAnsi="宋体" w:cs="宋体"/>
                <w:kern w:val="0"/>
                <w:sz w:val="24"/>
                <w:szCs w:val="24"/>
                <w:highlight w:val="none"/>
                <w:u w:val="single"/>
              </w:rPr>
              <w:t xml:space="preserve"> </w:t>
            </w:r>
            <w:r>
              <w:rPr>
                <w:rFonts w:hint="eastAsia" w:ascii="宋体" w:hAnsi="宋体" w:cs="宋体"/>
                <w:kern w:val="0"/>
                <w:sz w:val="24"/>
                <w:szCs w:val="24"/>
                <w:highlight w:val="none"/>
              </w:rPr>
              <w:t>日</w:t>
            </w:r>
            <w:r>
              <w:rPr>
                <w:rFonts w:hint="eastAsia" w:ascii="宋体" w:hAnsi="宋体" w:cs="宋体"/>
                <w:kern w:val="0"/>
                <w:sz w:val="24"/>
                <w:szCs w:val="24"/>
                <w:highlight w:val="none"/>
                <w:u w:val="single"/>
              </w:rPr>
              <w:t>1</w:t>
            </w:r>
            <w:r>
              <w:rPr>
                <w:rFonts w:hint="eastAsia" w:ascii="宋体" w:hAnsi="宋体" w:cs="宋体"/>
                <w:kern w:val="0"/>
                <w:sz w:val="24"/>
                <w:szCs w:val="24"/>
                <w:highlight w:val="none"/>
                <w:u w:val="single"/>
                <w:lang w:val="en-US" w:eastAsia="zh-CN"/>
              </w:rPr>
              <w:t>0</w:t>
            </w:r>
            <w:r>
              <w:rPr>
                <w:rFonts w:hint="eastAsia" w:ascii="宋体" w:hAnsi="宋体" w:cs="宋体"/>
                <w:kern w:val="0"/>
                <w:sz w:val="24"/>
                <w:szCs w:val="24"/>
                <w:highlight w:val="none"/>
                <w:u w:val="single"/>
              </w:rPr>
              <w:t>:</w:t>
            </w:r>
            <w:r>
              <w:rPr>
                <w:rFonts w:hint="eastAsia" w:ascii="宋体" w:hAnsi="宋体" w:cs="宋体"/>
                <w:kern w:val="0"/>
                <w:sz w:val="24"/>
                <w:szCs w:val="24"/>
                <w:u w:val="single"/>
                <w:lang w:val="en-US" w:eastAsia="zh-CN"/>
              </w:rPr>
              <w:t>3</w:t>
            </w:r>
            <w:r>
              <w:rPr>
                <w:rFonts w:hint="eastAsia" w:ascii="宋体" w:hAnsi="宋体" w:cs="宋体"/>
                <w:kern w:val="0"/>
                <w:sz w:val="24"/>
                <w:szCs w:val="24"/>
                <w:u w:val="single"/>
              </w:rPr>
              <w:t>0</w:t>
            </w:r>
            <w:r>
              <w:rPr>
                <w:rFonts w:hint="eastAsia" w:ascii="宋体" w:hAnsi="宋体" w:cs="宋体"/>
                <w:kern w:val="0"/>
                <w:sz w:val="24"/>
                <w:szCs w:val="24"/>
              </w:rPr>
              <w:t>（北京时间）前提交响应文件。</w:t>
            </w:r>
          </w:p>
        </w:tc>
      </w:tr>
    </w:tbl>
    <w:p w14:paraId="1FFA2BAC">
      <w:pPr>
        <w:widowControl/>
        <w:spacing w:line="360" w:lineRule="auto"/>
        <w:jc w:val="left"/>
        <w:rPr>
          <w:rFonts w:ascii="宋体" w:hAnsi="宋体" w:cs="宋体"/>
          <w:kern w:val="0"/>
          <w:sz w:val="24"/>
          <w:szCs w:val="24"/>
        </w:rPr>
      </w:pPr>
      <w:r>
        <w:rPr>
          <w:rFonts w:hint="eastAsia" w:ascii="宋体" w:hAnsi="宋体" w:cs="宋体"/>
          <w:b/>
          <w:kern w:val="0"/>
          <w:sz w:val="24"/>
          <w:szCs w:val="24"/>
        </w:rPr>
        <w:t>一、项目基本情况</w:t>
      </w:r>
    </w:p>
    <w:p w14:paraId="1B057508">
      <w:pPr>
        <w:widowControl/>
        <w:spacing w:line="360" w:lineRule="auto"/>
        <w:ind w:firstLine="240" w:firstLineChars="100"/>
        <w:jc w:val="left"/>
        <w:rPr>
          <w:rFonts w:hint="eastAsia" w:ascii="宋体" w:hAnsi="宋体" w:cs="宋体" w:eastAsiaTheme="minorEastAsia"/>
          <w:kern w:val="0"/>
          <w:sz w:val="24"/>
          <w:szCs w:val="24"/>
          <w:lang w:eastAsia="zh-CN"/>
        </w:rPr>
      </w:pPr>
      <w:r>
        <w:rPr>
          <w:rFonts w:hint="eastAsia" w:ascii="宋体" w:hAnsi="宋体" w:cs="宋体"/>
          <w:kern w:val="0"/>
          <w:sz w:val="24"/>
          <w:szCs w:val="24"/>
          <w:highlight w:val="none"/>
        </w:rPr>
        <w:t>项目编号：</w:t>
      </w:r>
      <w:r>
        <w:rPr>
          <w:rFonts w:hint="eastAsia" w:ascii="宋体" w:hAnsi="宋体" w:cs="宋体"/>
          <w:kern w:val="0"/>
          <w:sz w:val="24"/>
          <w:szCs w:val="24"/>
          <w:highlight w:val="none"/>
          <w:lang w:eastAsia="zh-CN"/>
        </w:rPr>
        <w:t>0724-2511XJ412283</w:t>
      </w:r>
      <w:r>
        <w:rPr>
          <w:rFonts w:hint="eastAsia" w:ascii="宋体" w:hAnsi="宋体" w:cs="宋体"/>
          <w:kern w:val="0"/>
          <w:sz w:val="24"/>
          <w:szCs w:val="24"/>
          <w:highlight w:val="none"/>
          <w:lang w:val="en-US" w:eastAsia="zh-CN"/>
        </w:rPr>
        <w:t xml:space="preserve"> </w:t>
      </w:r>
    </w:p>
    <w:p w14:paraId="16978C54">
      <w:pPr>
        <w:widowControl/>
        <w:spacing w:line="360" w:lineRule="auto"/>
        <w:ind w:firstLine="240" w:firstLineChars="100"/>
        <w:jc w:val="left"/>
        <w:rPr>
          <w:rFonts w:ascii="宋体" w:hAnsi="宋体" w:cs="宋体"/>
          <w:kern w:val="0"/>
          <w:sz w:val="24"/>
          <w:szCs w:val="24"/>
        </w:rPr>
      </w:pPr>
      <w:r>
        <w:rPr>
          <w:rFonts w:hint="eastAsia" w:ascii="宋体" w:hAnsi="宋体" w:cs="宋体"/>
          <w:kern w:val="0"/>
          <w:sz w:val="24"/>
          <w:szCs w:val="24"/>
        </w:rPr>
        <w:t>项目名称：</w:t>
      </w:r>
      <w:r>
        <w:rPr>
          <w:rFonts w:hint="eastAsia" w:ascii="宋体" w:hAnsi="宋体" w:cs="宋体"/>
          <w:kern w:val="0"/>
          <w:sz w:val="24"/>
          <w:szCs w:val="24"/>
          <w:lang w:eastAsia="zh-CN"/>
        </w:rPr>
        <w:t>新疆医科大学第一附属医院2025年度油烟机清洗服务项目</w:t>
      </w:r>
    </w:p>
    <w:p w14:paraId="4D9EB2FF">
      <w:pPr>
        <w:widowControl/>
        <w:spacing w:line="360" w:lineRule="auto"/>
        <w:ind w:firstLine="240" w:firstLineChars="100"/>
        <w:jc w:val="left"/>
        <w:rPr>
          <w:rFonts w:ascii="宋体" w:hAnsi="宋体" w:cs="宋体"/>
          <w:kern w:val="0"/>
          <w:sz w:val="24"/>
          <w:szCs w:val="24"/>
        </w:rPr>
      </w:pPr>
      <w:r>
        <w:rPr>
          <w:rFonts w:hint="eastAsia" w:ascii="宋体" w:hAnsi="宋体" w:cs="宋体"/>
          <w:kern w:val="0"/>
          <w:sz w:val="24"/>
          <w:szCs w:val="24"/>
        </w:rPr>
        <w:t>采购方式：竞争性磋商</w:t>
      </w:r>
    </w:p>
    <w:p w14:paraId="04613434">
      <w:pPr>
        <w:widowControl/>
        <w:spacing w:line="360" w:lineRule="auto"/>
        <w:ind w:firstLine="240" w:firstLineChars="100"/>
        <w:jc w:val="left"/>
        <w:rPr>
          <w:rFonts w:hint="default" w:ascii="宋体" w:hAnsi="宋体" w:cs="宋体" w:eastAsiaTheme="minorEastAsia"/>
          <w:kern w:val="0"/>
          <w:sz w:val="24"/>
          <w:szCs w:val="24"/>
          <w:lang w:val="en-US" w:eastAsia="zh-CN"/>
        </w:rPr>
      </w:pPr>
      <w:r>
        <w:rPr>
          <w:rFonts w:hint="eastAsia" w:ascii="宋体" w:hAnsi="宋体" w:cs="宋体"/>
          <w:kern w:val="0"/>
          <w:sz w:val="24"/>
          <w:szCs w:val="24"/>
        </w:rPr>
        <w:t>预算金额（元）：184500</w:t>
      </w:r>
      <w:r>
        <w:rPr>
          <w:rFonts w:hint="eastAsia" w:ascii="宋体" w:hAnsi="宋体" w:cs="宋体"/>
          <w:kern w:val="0"/>
          <w:sz w:val="24"/>
          <w:szCs w:val="24"/>
          <w:lang w:val="en-US" w:eastAsia="zh-CN"/>
        </w:rPr>
        <w:t>.00</w:t>
      </w:r>
    </w:p>
    <w:p w14:paraId="3CE6056C">
      <w:pPr>
        <w:widowControl/>
        <w:spacing w:line="360" w:lineRule="auto"/>
        <w:ind w:firstLine="240" w:firstLineChars="100"/>
        <w:jc w:val="left"/>
        <w:rPr>
          <w:rFonts w:hint="default" w:ascii="宋体" w:hAnsi="宋体" w:cs="宋体" w:eastAsiaTheme="minorEastAsia"/>
          <w:kern w:val="0"/>
          <w:sz w:val="24"/>
          <w:szCs w:val="24"/>
          <w:lang w:val="en-US" w:eastAsia="zh-CN"/>
        </w:rPr>
      </w:pPr>
      <w:r>
        <w:rPr>
          <w:rFonts w:hint="eastAsia" w:ascii="宋体" w:hAnsi="宋体" w:cs="宋体"/>
          <w:kern w:val="0"/>
          <w:sz w:val="24"/>
          <w:szCs w:val="24"/>
        </w:rPr>
        <w:t>最高限价（元）：</w:t>
      </w:r>
      <w:r>
        <w:rPr>
          <w:rFonts w:hint="eastAsia" w:ascii="宋体" w:hAnsi="宋体" w:cs="宋体"/>
          <w:kern w:val="0"/>
          <w:sz w:val="24"/>
          <w:szCs w:val="24"/>
          <w:lang w:val="en-US" w:eastAsia="zh-CN"/>
        </w:rPr>
        <w:t>164000.00</w:t>
      </w:r>
    </w:p>
    <w:p w14:paraId="14621B58">
      <w:pPr>
        <w:widowControl/>
        <w:spacing w:line="360" w:lineRule="auto"/>
        <w:ind w:firstLine="240" w:firstLineChars="100"/>
        <w:jc w:val="left"/>
        <w:rPr>
          <w:rFonts w:ascii="宋体" w:hAnsi="宋体" w:cs="宋体"/>
          <w:b/>
          <w:kern w:val="0"/>
          <w:sz w:val="24"/>
          <w:szCs w:val="24"/>
        </w:rPr>
      </w:pPr>
      <w:r>
        <w:rPr>
          <w:rFonts w:hint="eastAsia" w:ascii="宋体" w:hAnsi="宋体" w:cs="宋体"/>
          <w:kern w:val="0"/>
          <w:sz w:val="24"/>
          <w:szCs w:val="24"/>
        </w:rPr>
        <w:t>采购需求：</w:t>
      </w:r>
      <w:r>
        <w:rPr>
          <w:rFonts w:hint="eastAsia" w:ascii="宋体" w:hAnsi="宋体" w:cs="宋体"/>
          <w:kern w:val="0"/>
          <w:sz w:val="24"/>
          <w:szCs w:val="24"/>
          <w:lang w:eastAsia="zh-CN"/>
        </w:rPr>
        <w:t>新疆医科大学第一附属医院2025年度油烟机清洗服务项目（</w:t>
      </w:r>
      <w:r>
        <w:rPr>
          <w:rFonts w:hint="eastAsia" w:ascii="宋体" w:hAnsi="宋体" w:cs="宋体"/>
          <w:kern w:val="0"/>
          <w:sz w:val="24"/>
          <w:szCs w:val="24"/>
          <w:lang w:val="en-US" w:eastAsia="zh-CN"/>
        </w:rPr>
        <w:t>详见文件</w:t>
      </w:r>
      <w:r>
        <w:rPr>
          <w:rFonts w:hint="eastAsia" w:ascii="宋体" w:hAnsi="宋体" w:cs="宋体"/>
          <w:kern w:val="0"/>
          <w:sz w:val="24"/>
          <w:szCs w:val="24"/>
          <w:lang w:eastAsia="zh-CN"/>
        </w:rPr>
        <w:t>）</w:t>
      </w:r>
    </w:p>
    <w:p w14:paraId="296BBACA">
      <w:pPr>
        <w:widowControl/>
        <w:spacing w:line="360" w:lineRule="auto"/>
        <w:ind w:firstLine="240" w:firstLineChars="100"/>
        <w:jc w:val="left"/>
        <w:rPr>
          <w:rFonts w:hint="eastAsia" w:ascii="宋体" w:hAnsi="宋体" w:cs="宋体" w:eastAsiaTheme="minorEastAsia"/>
          <w:kern w:val="0"/>
          <w:sz w:val="24"/>
          <w:szCs w:val="24"/>
          <w:highlight w:val="none"/>
          <w:lang w:val="en-US" w:eastAsia="zh-CN"/>
        </w:rPr>
      </w:pPr>
      <w:r>
        <w:rPr>
          <w:rFonts w:hint="eastAsia" w:ascii="宋体" w:hAnsi="宋体" w:cs="宋体"/>
          <w:kern w:val="0"/>
          <w:sz w:val="24"/>
          <w:szCs w:val="24"/>
          <w:highlight w:val="none"/>
        </w:rPr>
        <w:t>合同履约期限：</w:t>
      </w:r>
      <w:r>
        <w:rPr>
          <w:rFonts w:hint="eastAsia" w:ascii="宋体" w:hAnsi="宋体" w:cs="宋体"/>
          <w:kern w:val="0"/>
          <w:sz w:val="24"/>
          <w:szCs w:val="24"/>
          <w:highlight w:val="none"/>
          <w:lang w:val="en-US" w:eastAsia="zh-CN"/>
        </w:rPr>
        <w:t>一年。</w:t>
      </w:r>
    </w:p>
    <w:p w14:paraId="0F45BF75">
      <w:pPr>
        <w:widowControl/>
        <w:spacing w:line="360" w:lineRule="auto"/>
        <w:ind w:firstLine="240" w:firstLineChars="100"/>
        <w:jc w:val="left"/>
        <w:rPr>
          <w:rFonts w:ascii="宋体" w:hAnsi="宋体" w:cs="宋体"/>
          <w:kern w:val="0"/>
          <w:sz w:val="24"/>
          <w:szCs w:val="24"/>
        </w:rPr>
      </w:pPr>
      <w:r>
        <w:rPr>
          <w:rFonts w:hint="eastAsia" w:ascii="宋体" w:hAnsi="宋体" w:cs="宋体"/>
          <w:kern w:val="0"/>
          <w:sz w:val="24"/>
          <w:szCs w:val="24"/>
          <w:highlight w:val="none"/>
        </w:rPr>
        <w:t>本项目（否）接受联合体</w:t>
      </w:r>
      <w:r>
        <w:rPr>
          <w:rFonts w:hint="eastAsia" w:ascii="宋体" w:hAnsi="宋体" w:cs="宋体"/>
          <w:kern w:val="0"/>
          <w:sz w:val="24"/>
          <w:szCs w:val="24"/>
        </w:rPr>
        <w:t>投标。</w:t>
      </w:r>
    </w:p>
    <w:p w14:paraId="1D046C1D">
      <w:pPr>
        <w:widowControl/>
        <w:spacing w:line="360" w:lineRule="auto"/>
        <w:rPr>
          <w:rFonts w:ascii="宋体" w:hAnsi="宋体" w:cs="宋体"/>
          <w:kern w:val="0"/>
          <w:sz w:val="24"/>
          <w:szCs w:val="24"/>
          <w:highlight w:val="none"/>
        </w:rPr>
      </w:pPr>
      <w:r>
        <w:rPr>
          <w:rFonts w:hint="eastAsia" w:ascii="宋体" w:hAnsi="宋体" w:cs="宋体"/>
          <w:b/>
          <w:kern w:val="0"/>
          <w:sz w:val="24"/>
          <w:szCs w:val="24"/>
          <w:highlight w:val="none"/>
        </w:rPr>
        <w:t>二、申请人的资格要求：</w:t>
      </w:r>
    </w:p>
    <w:p w14:paraId="1A6448E4">
      <w:pPr>
        <w:widowControl/>
        <w:spacing w:line="360" w:lineRule="auto"/>
        <w:ind w:firstLine="240" w:firstLineChars="100"/>
        <w:jc w:val="left"/>
        <w:rPr>
          <w:rFonts w:ascii="宋体" w:hAnsi="宋体" w:cs="宋体"/>
          <w:kern w:val="0"/>
          <w:sz w:val="24"/>
          <w:szCs w:val="24"/>
          <w:highlight w:val="none"/>
        </w:rPr>
      </w:pPr>
      <w:r>
        <w:rPr>
          <w:rFonts w:hint="eastAsia" w:ascii="宋体" w:hAnsi="宋体" w:cs="宋体"/>
          <w:kern w:val="0"/>
          <w:sz w:val="24"/>
          <w:szCs w:val="24"/>
          <w:highlight w:val="none"/>
        </w:rPr>
        <w:t>（一）满足《中华人民共和国政府采购法》第二十二条规定；</w:t>
      </w:r>
    </w:p>
    <w:p w14:paraId="199DE549">
      <w:pPr>
        <w:widowControl/>
        <w:spacing w:line="360" w:lineRule="auto"/>
        <w:ind w:firstLine="240" w:firstLineChars="100"/>
        <w:jc w:val="left"/>
        <w:rPr>
          <w:rFonts w:hint="eastAsia" w:ascii="宋体" w:hAnsi="宋体" w:cs="宋体" w:eastAsiaTheme="minorEastAsia"/>
          <w:kern w:val="0"/>
          <w:sz w:val="24"/>
          <w:szCs w:val="24"/>
          <w:highlight w:val="none"/>
          <w:lang w:eastAsia="zh-CN"/>
        </w:rPr>
      </w:pPr>
      <w:r>
        <w:rPr>
          <w:rFonts w:hint="eastAsia" w:ascii="宋体" w:hAnsi="宋体" w:cs="宋体"/>
          <w:kern w:val="0"/>
          <w:sz w:val="24"/>
          <w:szCs w:val="24"/>
          <w:highlight w:val="none"/>
        </w:rPr>
        <w:t>（二）落实政府采购政策需满足的资格要求：</w:t>
      </w:r>
      <w:r>
        <w:rPr>
          <w:rFonts w:hint="eastAsia" w:ascii="宋体" w:hAnsi="宋体" w:cs="宋体"/>
          <w:kern w:val="0"/>
          <w:sz w:val="24"/>
          <w:szCs w:val="24"/>
          <w:highlight w:val="none"/>
          <w:lang w:val="en-US" w:eastAsia="zh-CN"/>
        </w:rPr>
        <w:t>本项目专门面向中小企业。</w:t>
      </w:r>
    </w:p>
    <w:p w14:paraId="1C2FE93B">
      <w:pPr>
        <w:widowControl/>
        <w:spacing w:line="360" w:lineRule="auto"/>
        <w:rPr>
          <w:rFonts w:ascii="宋体" w:hAnsi="宋体" w:cs="宋体"/>
          <w:kern w:val="0"/>
          <w:sz w:val="24"/>
          <w:szCs w:val="24"/>
          <w:highlight w:val="none"/>
        </w:rPr>
      </w:pPr>
      <w:r>
        <w:rPr>
          <w:rFonts w:hint="eastAsia" w:ascii="宋体" w:hAnsi="宋体" w:cs="宋体"/>
          <w:b/>
          <w:kern w:val="0"/>
          <w:sz w:val="24"/>
          <w:szCs w:val="24"/>
          <w:highlight w:val="none"/>
        </w:rPr>
        <w:t>三、获取采购文件</w:t>
      </w:r>
    </w:p>
    <w:p w14:paraId="26A9BDAD">
      <w:pPr>
        <w:widowControl/>
        <w:spacing w:before="75" w:after="75" w:line="360" w:lineRule="auto"/>
        <w:ind w:firstLine="42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时间：202</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04</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29</w:t>
      </w:r>
      <w:r>
        <w:rPr>
          <w:rFonts w:hint="eastAsia" w:ascii="宋体" w:hAnsi="宋体" w:eastAsia="宋体" w:cs="宋体"/>
          <w:kern w:val="0"/>
          <w:sz w:val="24"/>
          <w:szCs w:val="24"/>
          <w:highlight w:val="none"/>
        </w:rPr>
        <w:t>日至202</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05</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09</w:t>
      </w:r>
      <w:r>
        <w:rPr>
          <w:rFonts w:hint="eastAsia" w:ascii="宋体" w:hAnsi="宋体" w:eastAsia="宋体" w:cs="宋体"/>
          <w:kern w:val="0"/>
          <w:sz w:val="24"/>
          <w:szCs w:val="24"/>
          <w:highlight w:val="none"/>
        </w:rPr>
        <w:t>日，每天上午</w:t>
      </w:r>
      <w:r>
        <w:rPr>
          <w:rFonts w:ascii="宋体" w:hAnsi="宋体" w:eastAsia="宋体" w:cs="宋体"/>
          <w:kern w:val="0"/>
          <w:sz w:val="24"/>
          <w:szCs w:val="24"/>
          <w:highlight w:val="none"/>
        </w:rPr>
        <w:t>0</w:t>
      </w:r>
      <w:r>
        <w:rPr>
          <w:rFonts w:hint="eastAsia" w:ascii="宋体" w:hAnsi="宋体" w:eastAsia="宋体" w:cs="宋体"/>
          <w:kern w:val="0"/>
          <w:sz w:val="24"/>
          <w:szCs w:val="24"/>
          <w:highlight w:val="none"/>
        </w:rPr>
        <w:t>0:</w:t>
      </w:r>
      <w:r>
        <w:rPr>
          <w:rFonts w:ascii="宋体" w:hAnsi="宋体" w:eastAsia="宋体" w:cs="宋体"/>
          <w:kern w:val="0"/>
          <w:sz w:val="24"/>
          <w:szCs w:val="24"/>
          <w:highlight w:val="none"/>
        </w:rPr>
        <w:t>0</w:t>
      </w:r>
      <w:r>
        <w:rPr>
          <w:rFonts w:hint="eastAsia" w:ascii="宋体" w:hAnsi="宋体" w:eastAsia="宋体" w:cs="宋体"/>
          <w:kern w:val="0"/>
          <w:sz w:val="24"/>
          <w:szCs w:val="24"/>
          <w:highlight w:val="none"/>
        </w:rPr>
        <w:t>0至1</w:t>
      </w:r>
      <w:r>
        <w:rPr>
          <w:rFonts w:ascii="宋体" w:hAnsi="宋体" w:eastAsia="宋体" w:cs="宋体"/>
          <w:kern w:val="0"/>
          <w:sz w:val="24"/>
          <w:szCs w:val="24"/>
          <w:highlight w:val="none"/>
        </w:rPr>
        <w:t>4</w:t>
      </w:r>
      <w:r>
        <w:rPr>
          <w:rFonts w:hint="eastAsia" w:ascii="宋体" w:hAnsi="宋体" w:eastAsia="宋体" w:cs="宋体"/>
          <w:kern w:val="0"/>
          <w:sz w:val="24"/>
          <w:szCs w:val="24"/>
          <w:highlight w:val="none"/>
        </w:rPr>
        <w:t>:</w:t>
      </w:r>
      <w:r>
        <w:rPr>
          <w:rFonts w:ascii="宋体" w:hAnsi="宋体" w:eastAsia="宋体" w:cs="宋体"/>
          <w:kern w:val="0"/>
          <w:sz w:val="24"/>
          <w:szCs w:val="24"/>
          <w:highlight w:val="none"/>
        </w:rPr>
        <w:t>0</w:t>
      </w:r>
      <w:r>
        <w:rPr>
          <w:rFonts w:hint="eastAsia" w:ascii="宋体" w:hAnsi="宋体" w:eastAsia="宋体" w:cs="宋体"/>
          <w:kern w:val="0"/>
          <w:sz w:val="24"/>
          <w:szCs w:val="24"/>
          <w:highlight w:val="none"/>
        </w:rPr>
        <w:t>0，下午1</w:t>
      </w:r>
      <w:r>
        <w:rPr>
          <w:rFonts w:ascii="宋体" w:hAnsi="宋体" w:eastAsia="宋体" w:cs="宋体"/>
          <w:kern w:val="0"/>
          <w:sz w:val="24"/>
          <w:szCs w:val="24"/>
          <w:highlight w:val="none"/>
        </w:rPr>
        <w:t>4</w:t>
      </w:r>
      <w:r>
        <w:rPr>
          <w:rFonts w:hint="eastAsia" w:ascii="宋体" w:hAnsi="宋体" w:eastAsia="宋体" w:cs="宋体"/>
          <w:kern w:val="0"/>
          <w:sz w:val="24"/>
          <w:szCs w:val="24"/>
          <w:highlight w:val="none"/>
        </w:rPr>
        <w:t>:</w:t>
      </w:r>
      <w:r>
        <w:rPr>
          <w:rFonts w:ascii="宋体" w:hAnsi="宋体" w:eastAsia="宋体" w:cs="宋体"/>
          <w:kern w:val="0"/>
          <w:sz w:val="24"/>
          <w:szCs w:val="24"/>
          <w:highlight w:val="none"/>
        </w:rPr>
        <w:t>0</w:t>
      </w:r>
      <w:r>
        <w:rPr>
          <w:rFonts w:hint="eastAsia" w:ascii="宋体" w:hAnsi="宋体" w:eastAsia="宋体" w:cs="宋体"/>
          <w:kern w:val="0"/>
          <w:sz w:val="24"/>
          <w:szCs w:val="24"/>
          <w:highlight w:val="none"/>
        </w:rPr>
        <w:t>0至</w:t>
      </w:r>
      <w:r>
        <w:rPr>
          <w:rFonts w:ascii="宋体" w:hAnsi="宋体" w:eastAsia="宋体" w:cs="宋体"/>
          <w:kern w:val="0"/>
          <w:sz w:val="24"/>
          <w:szCs w:val="24"/>
          <w:highlight w:val="none"/>
        </w:rPr>
        <w:t>23</w:t>
      </w:r>
      <w:r>
        <w:rPr>
          <w:rFonts w:hint="eastAsia" w:ascii="宋体" w:hAnsi="宋体" w:eastAsia="宋体" w:cs="宋体"/>
          <w:kern w:val="0"/>
          <w:sz w:val="24"/>
          <w:szCs w:val="24"/>
          <w:highlight w:val="none"/>
        </w:rPr>
        <w:t>:</w:t>
      </w:r>
      <w:r>
        <w:rPr>
          <w:rFonts w:ascii="宋体" w:hAnsi="宋体" w:eastAsia="宋体" w:cs="宋体"/>
          <w:kern w:val="0"/>
          <w:sz w:val="24"/>
          <w:szCs w:val="24"/>
          <w:highlight w:val="none"/>
        </w:rPr>
        <w:t>59</w:t>
      </w:r>
      <w:r>
        <w:rPr>
          <w:rFonts w:hint="eastAsia" w:ascii="宋体" w:hAnsi="宋体" w:eastAsia="宋体" w:cs="宋体"/>
          <w:kern w:val="0"/>
          <w:sz w:val="24"/>
          <w:szCs w:val="24"/>
          <w:highlight w:val="none"/>
        </w:rPr>
        <w:t>（北京时间，法定节假日除外）</w:t>
      </w:r>
    </w:p>
    <w:p w14:paraId="1C88701E">
      <w:pPr>
        <w:widowControl/>
        <w:spacing w:before="75" w:after="75" w:line="360" w:lineRule="auto"/>
        <w:ind w:firstLine="420"/>
        <w:jc w:val="left"/>
        <w:rPr>
          <w:rFonts w:ascii="宋体" w:hAnsi="宋体" w:eastAsia="宋体" w:cs="宋体"/>
          <w:color w:val="0000FF"/>
          <w:kern w:val="0"/>
          <w:sz w:val="24"/>
          <w:szCs w:val="24"/>
          <w:highlight w:val="none"/>
        </w:rPr>
      </w:pPr>
      <w:r>
        <w:rPr>
          <w:rFonts w:hint="eastAsia" w:ascii="宋体" w:hAnsi="宋体" w:eastAsia="宋体" w:cs="宋体"/>
          <w:kern w:val="0"/>
          <w:sz w:val="24"/>
          <w:szCs w:val="24"/>
          <w:highlight w:val="none"/>
        </w:rPr>
        <w:t>地点：政采云平台线上获取</w:t>
      </w:r>
    </w:p>
    <w:p w14:paraId="30E985DC">
      <w:pPr>
        <w:widowControl/>
        <w:spacing w:before="75" w:after="75" w:line="360" w:lineRule="auto"/>
        <w:ind w:firstLine="420"/>
        <w:jc w:val="left"/>
        <w:rPr>
          <w:rFonts w:ascii="宋体" w:hAnsi="宋体" w:eastAsia="宋体" w:cs="宋体"/>
          <w:kern w:val="0"/>
          <w:sz w:val="24"/>
          <w:szCs w:val="24"/>
          <w:highlight w:val="none"/>
        </w:rPr>
      </w:pPr>
      <w:r>
        <w:rPr>
          <w:rFonts w:hint="eastAsia" w:ascii="宋体" w:hAnsi="宋体" w:eastAsia="宋体" w:cs="宋体"/>
          <w:kern w:val="0"/>
          <w:sz w:val="24"/>
          <w:szCs w:val="24"/>
        </w:rPr>
        <w:t>方式：供应商登录政采云平台https://www.zcygov.cn/在线申请获取采购文件（进</w:t>
      </w:r>
      <w:r>
        <w:rPr>
          <w:rFonts w:hint="eastAsia" w:ascii="宋体" w:hAnsi="宋体" w:eastAsia="宋体" w:cs="宋体"/>
          <w:kern w:val="0"/>
          <w:sz w:val="24"/>
          <w:szCs w:val="24"/>
          <w:highlight w:val="none"/>
        </w:rPr>
        <w:t>入“项目采购”应用，在获取采购文件菜单中选择项目，申请获取采购文件）</w:t>
      </w:r>
    </w:p>
    <w:p w14:paraId="144A5266">
      <w:pPr>
        <w:widowControl/>
        <w:spacing w:line="360" w:lineRule="auto"/>
        <w:ind w:firstLine="240" w:firstLineChars="100"/>
        <w:jc w:val="left"/>
        <w:rPr>
          <w:rFonts w:ascii="宋体" w:hAnsi="宋体" w:cs="宋体"/>
          <w:kern w:val="0"/>
          <w:sz w:val="24"/>
          <w:szCs w:val="24"/>
          <w:highlight w:val="none"/>
        </w:rPr>
      </w:pPr>
      <w:r>
        <w:rPr>
          <w:rFonts w:hint="eastAsia" w:ascii="宋体" w:hAnsi="宋体" w:eastAsia="宋体" w:cs="宋体"/>
          <w:kern w:val="0"/>
          <w:sz w:val="24"/>
          <w:szCs w:val="24"/>
          <w:highlight w:val="none"/>
        </w:rPr>
        <w:t>售价（元）：0元</w:t>
      </w:r>
    </w:p>
    <w:p w14:paraId="3809BD1B">
      <w:pPr>
        <w:widowControl/>
        <w:spacing w:line="360" w:lineRule="auto"/>
        <w:rPr>
          <w:rFonts w:ascii="宋体" w:hAnsi="宋体" w:cs="宋体"/>
          <w:kern w:val="0"/>
          <w:sz w:val="24"/>
          <w:szCs w:val="24"/>
          <w:highlight w:val="none"/>
        </w:rPr>
      </w:pPr>
      <w:r>
        <w:rPr>
          <w:rFonts w:hint="eastAsia" w:ascii="宋体" w:hAnsi="宋体" w:cs="宋体"/>
          <w:b/>
          <w:kern w:val="0"/>
          <w:sz w:val="24"/>
          <w:szCs w:val="24"/>
          <w:highlight w:val="none"/>
        </w:rPr>
        <w:t>四、响应文件提交</w:t>
      </w:r>
    </w:p>
    <w:p w14:paraId="210428F3">
      <w:pPr>
        <w:widowControl/>
        <w:spacing w:line="360" w:lineRule="auto"/>
        <w:ind w:firstLine="240" w:firstLineChars="100"/>
        <w:jc w:val="left"/>
        <w:rPr>
          <w:rFonts w:ascii="宋体" w:hAnsi="宋体" w:cs="宋体"/>
          <w:kern w:val="0"/>
          <w:sz w:val="24"/>
          <w:szCs w:val="24"/>
          <w:highlight w:val="none"/>
        </w:rPr>
      </w:pPr>
      <w:r>
        <w:rPr>
          <w:rFonts w:hint="eastAsia" w:ascii="宋体" w:hAnsi="宋体" w:cs="宋体"/>
          <w:kern w:val="0"/>
          <w:sz w:val="24"/>
          <w:szCs w:val="24"/>
          <w:highlight w:val="none"/>
        </w:rPr>
        <w:t>截止时间：202</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05</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13</w:t>
      </w:r>
      <w:r>
        <w:rPr>
          <w:rFonts w:hint="eastAsia" w:ascii="宋体" w:hAnsi="宋体" w:cs="宋体"/>
          <w:kern w:val="0"/>
          <w:sz w:val="24"/>
          <w:szCs w:val="24"/>
          <w:highlight w:val="none"/>
        </w:rPr>
        <w:t>日 1</w:t>
      </w:r>
      <w:r>
        <w:rPr>
          <w:rFonts w:hint="eastAsia" w:ascii="宋体" w:hAnsi="宋体" w:cs="宋体"/>
          <w:kern w:val="0"/>
          <w:sz w:val="24"/>
          <w:szCs w:val="24"/>
          <w:highlight w:val="none"/>
          <w:lang w:val="en-US" w:eastAsia="zh-CN"/>
        </w:rPr>
        <w:t>0</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0（北京时间）</w:t>
      </w:r>
    </w:p>
    <w:p w14:paraId="3DCB23F5">
      <w:pPr>
        <w:widowControl/>
        <w:spacing w:line="360" w:lineRule="auto"/>
        <w:ind w:firstLine="240" w:firstLineChars="100"/>
        <w:jc w:val="left"/>
        <w:rPr>
          <w:rFonts w:ascii="宋体" w:hAnsi="宋体" w:cs="宋体"/>
          <w:kern w:val="0"/>
          <w:sz w:val="24"/>
          <w:szCs w:val="24"/>
          <w:highlight w:val="none"/>
        </w:rPr>
      </w:pPr>
      <w:r>
        <w:rPr>
          <w:rFonts w:hint="eastAsia" w:ascii="宋体" w:hAnsi="宋体" w:cs="宋体"/>
          <w:kern w:val="0"/>
          <w:sz w:val="24"/>
          <w:szCs w:val="24"/>
          <w:highlight w:val="none"/>
        </w:rPr>
        <w:t>地点：政采云投标客户端</w:t>
      </w:r>
    </w:p>
    <w:p w14:paraId="164021C6">
      <w:pPr>
        <w:widowControl/>
        <w:spacing w:line="360" w:lineRule="auto"/>
        <w:rPr>
          <w:rFonts w:ascii="宋体" w:hAnsi="宋体" w:cs="宋体"/>
          <w:kern w:val="0"/>
          <w:sz w:val="24"/>
          <w:szCs w:val="24"/>
          <w:highlight w:val="none"/>
        </w:rPr>
      </w:pPr>
      <w:r>
        <w:rPr>
          <w:rFonts w:hint="eastAsia" w:ascii="宋体" w:hAnsi="宋体" w:cs="宋体"/>
          <w:b/>
          <w:kern w:val="0"/>
          <w:sz w:val="24"/>
          <w:szCs w:val="24"/>
          <w:highlight w:val="none"/>
        </w:rPr>
        <w:t>五、开启</w:t>
      </w:r>
    </w:p>
    <w:p w14:paraId="00BF35DD">
      <w:pPr>
        <w:widowControl/>
        <w:spacing w:line="360" w:lineRule="auto"/>
        <w:ind w:firstLine="240" w:firstLineChars="100"/>
        <w:jc w:val="left"/>
        <w:rPr>
          <w:rFonts w:ascii="宋体" w:hAnsi="宋体" w:cs="宋体"/>
          <w:kern w:val="0"/>
          <w:sz w:val="24"/>
          <w:szCs w:val="24"/>
          <w:highlight w:val="none"/>
        </w:rPr>
      </w:pPr>
      <w:r>
        <w:rPr>
          <w:rFonts w:hint="eastAsia" w:ascii="宋体" w:hAnsi="宋体" w:cs="宋体"/>
          <w:kern w:val="0"/>
          <w:sz w:val="24"/>
          <w:szCs w:val="24"/>
          <w:highlight w:val="none"/>
        </w:rPr>
        <w:t>时间：202</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05</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13</w:t>
      </w:r>
      <w:r>
        <w:rPr>
          <w:rFonts w:hint="eastAsia" w:ascii="宋体" w:hAnsi="宋体" w:cs="宋体"/>
          <w:kern w:val="0"/>
          <w:sz w:val="24"/>
          <w:szCs w:val="24"/>
          <w:highlight w:val="none"/>
        </w:rPr>
        <w:t>日1</w:t>
      </w:r>
      <w:r>
        <w:rPr>
          <w:rFonts w:hint="eastAsia" w:ascii="宋体" w:hAnsi="宋体" w:cs="宋体"/>
          <w:kern w:val="0"/>
          <w:sz w:val="24"/>
          <w:szCs w:val="24"/>
          <w:highlight w:val="none"/>
          <w:lang w:val="en-US" w:eastAsia="zh-CN"/>
        </w:rPr>
        <w:t>0</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0（北京时间）</w:t>
      </w:r>
    </w:p>
    <w:p w14:paraId="6EC4CEB0">
      <w:pPr>
        <w:widowControl/>
        <w:spacing w:line="360" w:lineRule="auto"/>
        <w:ind w:firstLine="240" w:firstLineChars="100"/>
        <w:jc w:val="left"/>
        <w:rPr>
          <w:rFonts w:ascii="宋体" w:hAnsi="宋体" w:cs="宋体"/>
          <w:kern w:val="0"/>
          <w:sz w:val="24"/>
          <w:szCs w:val="24"/>
          <w:highlight w:val="none"/>
        </w:rPr>
      </w:pPr>
      <w:r>
        <w:rPr>
          <w:rFonts w:hint="eastAsia" w:ascii="宋体" w:hAnsi="宋体" w:cs="宋体"/>
          <w:kern w:val="0"/>
          <w:sz w:val="24"/>
          <w:szCs w:val="24"/>
          <w:highlight w:val="none"/>
        </w:rPr>
        <w:t>地点：政采云平台https://www.zcygov.cn/</w:t>
      </w:r>
      <w:r>
        <w:rPr>
          <w:rFonts w:ascii="宋体" w:hAnsi="宋体" w:cs="宋体"/>
          <w:kern w:val="0"/>
          <w:sz w:val="24"/>
          <w:szCs w:val="24"/>
          <w:highlight w:val="none"/>
        </w:rPr>
        <w:t xml:space="preserve"> </w:t>
      </w:r>
    </w:p>
    <w:p w14:paraId="08224F6A">
      <w:pPr>
        <w:widowControl/>
        <w:spacing w:line="360" w:lineRule="auto"/>
        <w:rPr>
          <w:rFonts w:ascii="宋体" w:hAnsi="宋体" w:cs="宋体"/>
          <w:kern w:val="0"/>
          <w:sz w:val="24"/>
          <w:szCs w:val="24"/>
          <w:highlight w:val="none"/>
        </w:rPr>
      </w:pPr>
      <w:r>
        <w:rPr>
          <w:rFonts w:hint="eastAsia" w:ascii="宋体" w:hAnsi="宋体" w:cs="宋体"/>
          <w:b/>
          <w:kern w:val="0"/>
          <w:sz w:val="24"/>
          <w:szCs w:val="24"/>
          <w:highlight w:val="none"/>
        </w:rPr>
        <w:t>六、公告期限</w:t>
      </w:r>
    </w:p>
    <w:p w14:paraId="45A27B6E">
      <w:pPr>
        <w:widowControl/>
        <w:spacing w:line="360" w:lineRule="auto"/>
        <w:ind w:firstLine="240" w:firstLineChars="100"/>
        <w:jc w:val="left"/>
        <w:rPr>
          <w:rFonts w:ascii="宋体" w:hAnsi="宋体" w:cs="宋体"/>
          <w:kern w:val="0"/>
          <w:sz w:val="24"/>
          <w:szCs w:val="24"/>
        </w:rPr>
      </w:pPr>
      <w:r>
        <w:rPr>
          <w:rFonts w:hint="eastAsia" w:ascii="宋体" w:hAnsi="宋体" w:cs="宋体"/>
          <w:kern w:val="0"/>
          <w:sz w:val="24"/>
          <w:szCs w:val="24"/>
        </w:rPr>
        <w:t>自本公告发布之日起</w:t>
      </w:r>
      <w:r>
        <w:rPr>
          <w:rFonts w:hint="eastAsia" w:ascii="宋体" w:hAnsi="宋体" w:cs="宋体"/>
          <w:kern w:val="0"/>
          <w:sz w:val="24"/>
          <w:szCs w:val="24"/>
          <w:lang w:val="en-US" w:eastAsia="zh-CN"/>
        </w:rPr>
        <w:t>3</w:t>
      </w:r>
      <w:r>
        <w:rPr>
          <w:rFonts w:hint="eastAsia" w:ascii="宋体" w:hAnsi="宋体" w:cs="宋体"/>
          <w:kern w:val="0"/>
          <w:sz w:val="24"/>
          <w:szCs w:val="24"/>
        </w:rPr>
        <w:t>个工作日。</w:t>
      </w:r>
    </w:p>
    <w:p w14:paraId="241EF8EE">
      <w:pPr>
        <w:widowControl/>
        <w:spacing w:line="360" w:lineRule="auto"/>
        <w:rPr>
          <w:rFonts w:ascii="宋体" w:hAnsi="宋体" w:cs="宋体"/>
          <w:b/>
          <w:kern w:val="0"/>
          <w:sz w:val="24"/>
          <w:szCs w:val="24"/>
        </w:rPr>
      </w:pPr>
      <w:r>
        <w:rPr>
          <w:rFonts w:hint="eastAsia" w:ascii="宋体" w:hAnsi="宋体" w:cs="宋体"/>
          <w:b/>
          <w:kern w:val="0"/>
          <w:sz w:val="24"/>
          <w:szCs w:val="24"/>
        </w:rPr>
        <w:t>七、其他事项</w:t>
      </w:r>
    </w:p>
    <w:p w14:paraId="527BC3C2">
      <w:pPr>
        <w:widowControl/>
        <w:spacing w:before="255" w:after="255"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1、本项目实行网上投标，采用电子响应文件；</w:t>
      </w:r>
    </w:p>
    <w:p w14:paraId="70955D1E">
      <w:pPr>
        <w:widowControl/>
        <w:spacing w:before="255" w:after="255"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各供应商应在开标前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48BC1127">
      <w:pPr>
        <w:widowControl/>
        <w:spacing w:before="255" w:after="255"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供应商将政采云电子交易客户端下载、安装完成后，可通过账号密码或CA登录客户端进行响应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1DBB6026">
      <w:pPr>
        <w:widowControl/>
        <w:spacing w:before="255" w:after="255"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4、供应商应当在投标截止时间前,将生成的“电子加密响应文件”上传递交至“政府采购云平台”,投标截止时间以后上传递交的响应文件将被“政府采购云平台”拒收。</w:t>
      </w:r>
    </w:p>
    <w:p w14:paraId="2430B4AC">
      <w:pPr>
        <w:widowControl/>
        <w:spacing w:before="255" w:after="255"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5、供应商在投标前须提前配置好电脑浏览器（建议使用360 浏览器或谷歌浏览器）, 开标时请使用制作加密电子响应文件的CA锁进行解密及报价确认。本项目响应文件解密时间定为30分钟内,如因自身原因导致无法正常解密,后果由供应商自行承担。</w:t>
      </w:r>
    </w:p>
    <w:p w14:paraId="3A893BE4">
      <w:pPr>
        <w:widowControl/>
        <w:spacing w:before="255" w:after="255"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6、供应商登录政采云平台，在投标截止时间后30分钟内用“项目采购-开标评标”功能进行解密响应文件。若供应商在规定时间内未按时解密的，视为无效投标。解密与加密响应文件须使用同一个 CA。</w:t>
      </w:r>
    </w:p>
    <w:p w14:paraId="28A65BF8">
      <w:pPr>
        <w:widowControl/>
        <w:spacing w:line="360" w:lineRule="auto"/>
        <w:ind w:firstLine="240" w:firstLineChars="100"/>
        <w:jc w:val="left"/>
        <w:rPr>
          <w:rFonts w:ascii="宋体" w:hAnsi="宋体" w:cs="宋体"/>
          <w:kern w:val="0"/>
          <w:sz w:val="24"/>
          <w:szCs w:val="24"/>
        </w:rPr>
      </w:pPr>
      <w:r>
        <w:rPr>
          <w:rFonts w:hint="eastAsia" w:ascii="宋体" w:hAnsi="宋体" w:eastAsia="宋体" w:cs="宋体"/>
          <w:kern w:val="0"/>
          <w:sz w:val="24"/>
          <w:szCs w:val="24"/>
        </w:rPr>
        <w:t>7、本项目进行两轮或多轮报价，必须使用“点聚签章服务”，请确保报价时已启动该服务。请潜在供应商必须使用具有音频及视频功能的电脑,因本项目是两轮或多轮报价,请供应商务必全程守候,电话保持畅通状态,以便及时沟通,如因自身原因导致无法正常报价,后果由供应商自行承担。</w:t>
      </w:r>
    </w:p>
    <w:p w14:paraId="657D91FF">
      <w:pPr>
        <w:widowControl/>
        <w:spacing w:line="360" w:lineRule="auto"/>
        <w:rPr>
          <w:rFonts w:ascii="宋体" w:hAnsi="宋体" w:cs="宋体"/>
          <w:kern w:val="0"/>
          <w:sz w:val="24"/>
          <w:szCs w:val="24"/>
        </w:rPr>
      </w:pPr>
      <w:r>
        <w:rPr>
          <w:rFonts w:hint="eastAsia" w:ascii="宋体" w:hAnsi="宋体" w:cs="宋体"/>
          <w:b/>
          <w:kern w:val="0"/>
          <w:sz w:val="24"/>
          <w:szCs w:val="24"/>
        </w:rPr>
        <w:t>八、对本次采购提出询问，请按以下方式联系</w:t>
      </w:r>
    </w:p>
    <w:p w14:paraId="3811C47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1.采购人信息</w:t>
      </w:r>
    </w:p>
    <w:p w14:paraId="4B2E02E1">
      <w:pPr>
        <w:widowControl/>
        <w:spacing w:line="360" w:lineRule="auto"/>
        <w:ind w:firstLine="480" w:firstLineChars="200"/>
        <w:jc w:val="left"/>
        <w:rPr>
          <w:rFonts w:hint="eastAsia" w:ascii="宋体" w:hAnsi="宋体" w:cs="宋体" w:eastAsiaTheme="minorEastAsia"/>
          <w:kern w:val="0"/>
          <w:sz w:val="24"/>
          <w:szCs w:val="24"/>
          <w:lang w:eastAsia="zh-CN"/>
        </w:rPr>
      </w:pPr>
      <w:r>
        <w:rPr>
          <w:rFonts w:hint="eastAsia" w:ascii="宋体" w:hAnsi="宋体" w:cs="宋体"/>
          <w:kern w:val="0"/>
          <w:sz w:val="24"/>
          <w:szCs w:val="24"/>
        </w:rPr>
        <w:t>名称：</w:t>
      </w:r>
      <w:r>
        <w:rPr>
          <w:rFonts w:hint="eastAsia" w:ascii="宋体" w:hAnsi="宋体" w:cs="宋体"/>
          <w:kern w:val="0"/>
          <w:sz w:val="24"/>
          <w:szCs w:val="24"/>
          <w:lang w:eastAsia="zh-CN"/>
        </w:rPr>
        <w:t>新疆医科大学第一附属医院</w:t>
      </w:r>
    </w:p>
    <w:p w14:paraId="31F60AF8">
      <w:pPr>
        <w:widowControl/>
        <w:spacing w:line="360" w:lineRule="auto"/>
        <w:ind w:firstLine="480" w:firstLineChars="200"/>
        <w:jc w:val="left"/>
        <w:rPr>
          <w:rFonts w:hint="default" w:ascii="宋体" w:hAnsi="宋体" w:cs="宋体" w:eastAsiaTheme="minorEastAsia"/>
          <w:kern w:val="0"/>
          <w:sz w:val="24"/>
          <w:szCs w:val="24"/>
          <w:lang w:val="en-US" w:eastAsia="zh-CN"/>
        </w:rPr>
      </w:pPr>
      <w:r>
        <w:rPr>
          <w:rFonts w:hint="eastAsia" w:ascii="宋体" w:hAnsi="宋体" w:cs="宋体"/>
          <w:kern w:val="0"/>
          <w:sz w:val="24"/>
          <w:szCs w:val="24"/>
        </w:rPr>
        <w:t>地址：</w:t>
      </w:r>
      <w:r>
        <w:rPr>
          <w:rFonts w:hint="eastAsia" w:ascii="宋体" w:hAnsi="宋体" w:cs="宋体"/>
          <w:kern w:val="0"/>
          <w:sz w:val="24"/>
          <w:szCs w:val="24"/>
          <w:lang w:val="en-US" w:eastAsia="zh-CN"/>
        </w:rPr>
        <w:t>乌鲁木齐市新市区鲤鱼山路137号</w:t>
      </w:r>
    </w:p>
    <w:p w14:paraId="4B74C55D">
      <w:pPr>
        <w:widowControl/>
        <w:spacing w:line="360" w:lineRule="auto"/>
        <w:ind w:firstLine="480" w:firstLineChars="200"/>
        <w:jc w:val="left"/>
        <w:rPr>
          <w:rFonts w:hint="eastAsia" w:ascii="宋体" w:hAnsi="宋体" w:cs="宋体" w:eastAsiaTheme="minorEastAsia"/>
          <w:kern w:val="0"/>
          <w:sz w:val="24"/>
          <w:szCs w:val="24"/>
          <w:lang w:eastAsia="zh-CN"/>
        </w:rPr>
      </w:pPr>
      <w:r>
        <w:rPr>
          <w:rFonts w:hint="eastAsia" w:ascii="宋体" w:hAnsi="宋体" w:cs="宋体"/>
          <w:kern w:val="0"/>
          <w:sz w:val="24"/>
          <w:szCs w:val="24"/>
        </w:rPr>
        <w:t>项目联系方式：</w:t>
      </w:r>
      <w:r>
        <w:rPr>
          <w:rFonts w:hint="eastAsia" w:ascii="宋体" w:hAnsi="宋体" w:cs="宋体"/>
          <w:kern w:val="0"/>
          <w:sz w:val="24"/>
          <w:szCs w:val="24"/>
          <w:lang w:eastAsia="zh-CN"/>
        </w:rPr>
        <w:t>0991-4362391</w:t>
      </w:r>
    </w:p>
    <w:p w14:paraId="6E67AF6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2.采购代理机构信息</w:t>
      </w:r>
    </w:p>
    <w:p w14:paraId="7AC9F860">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名 称：国义招标股份有限公司</w:t>
      </w:r>
    </w:p>
    <w:p w14:paraId="078786B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地 址：乌鲁木齐市红光山路888号绿城广场1B栋3504室</w:t>
      </w:r>
    </w:p>
    <w:p w14:paraId="032B94A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联系方式：</w:t>
      </w:r>
      <w:r>
        <w:rPr>
          <w:rFonts w:ascii="宋体" w:hAnsi="宋体" w:cs="宋体"/>
          <w:kern w:val="0"/>
          <w:sz w:val="24"/>
          <w:szCs w:val="24"/>
        </w:rPr>
        <w:t>0991-4664267</w:t>
      </w:r>
    </w:p>
    <w:p w14:paraId="78EF327B">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3.项目联系方式</w:t>
      </w:r>
    </w:p>
    <w:p w14:paraId="7A2BE785">
      <w:pPr>
        <w:widowControl/>
        <w:spacing w:line="360" w:lineRule="auto"/>
        <w:ind w:firstLine="480" w:firstLineChars="200"/>
        <w:jc w:val="left"/>
        <w:rPr>
          <w:rFonts w:hint="default" w:ascii="宋体" w:hAnsi="宋体" w:cs="宋体" w:eastAsiaTheme="minorEastAsia"/>
          <w:kern w:val="0"/>
          <w:sz w:val="24"/>
          <w:szCs w:val="24"/>
          <w:lang w:val="en-US" w:eastAsia="zh-CN"/>
        </w:rPr>
      </w:pPr>
      <w:r>
        <w:rPr>
          <w:rFonts w:hint="eastAsia" w:ascii="宋体" w:hAnsi="宋体" w:cs="宋体"/>
          <w:kern w:val="0"/>
          <w:sz w:val="24"/>
          <w:szCs w:val="24"/>
        </w:rPr>
        <w:t>项目联系人：</w:t>
      </w:r>
      <w:r>
        <w:rPr>
          <w:rFonts w:hint="eastAsia" w:ascii="宋体" w:hAnsi="宋体" w:cs="宋体"/>
          <w:kern w:val="0"/>
          <w:sz w:val="24"/>
          <w:szCs w:val="24"/>
          <w:lang w:val="en-US" w:eastAsia="zh-CN"/>
        </w:rPr>
        <w:t>张峪凡、刘立婷、钟晓涵、阿米娜·托汗</w:t>
      </w:r>
    </w:p>
    <w:p w14:paraId="44E5805E">
      <w:pPr>
        <w:widowControl/>
        <w:spacing w:line="360" w:lineRule="auto"/>
        <w:ind w:firstLine="480" w:firstLineChars="200"/>
        <w:jc w:val="left"/>
        <w:rPr>
          <w:rFonts w:hint="eastAsia" w:ascii="宋体" w:hAnsi="宋体" w:cs="宋体" w:eastAsiaTheme="minorEastAsia"/>
          <w:kern w:val="0"/>
          <w:sz w:val="24"/>
          <w:szCs w:val="24"/>
          <w:lang w:eastAsia="zh-CN"/>
        </w:rPr>
      </w:pPr>
      <w:r>
        <w:rPr>
          <w:rFonts w:hint="eastAsia" w:ascii="宋体" w:hAnsi="宋体" w:cs="宋体"/>
          <w:kern w:val="0"/>
          <w:sz w:val="24"/>
          <w:szCs w:val="24"/>
        </w:rPr>
        <w:t>电 话：</w:t>
      </w:r>
      <w:r>
        <w:rPr>
          <w:rFonts w:hint="eastAsia" w:ascii="宋体" w:hAnsi="宋体" w:cs="宋体"/>
          <w:kern w:val="0"/>
          <w:sz w:val="24"/>
          <w:szCs w:val="24"/>
          <w:lang w:eastAsia="zh-CN"/>
        </w:rPr>
        <w:t>0991-4664267、13139917609</w:t>
      </w:r>
    </w:p>
    <w:p w14:paraId="5363853D">
      <w:pPr>
        <w:widowControl/>
        <w:spacing w:line="360" w:lineRule="auto"/>
        <w:jc w:val="left"/>
        <w:rPr>
          <w:rFonts w:ascii="宋体" w:hAnsi="宋体" w:eastAsia="宋体" w:cs="宋体"/>
          <w:b/>
          <w:sz w:val="24"/>
          <w:szCs w:val="24"/>
        </w:rPr>
      </w:pPr>
      <w:r>
        <w:rPr>
          <w:rFonts w:ascii="宋体" w:hAnsi="宋体" w:eastAsia="宋体" w:cs="宋体"/>
          <w:b/>
          <w:sz w:val="24"/>
          <w:szCs w:val="24"/>
        </w:rPr>
        <w:br w:type="page"/>
      </w:r>
    </w:p>
    <w:p w14:paraId="5B8DCD61">
      <w:pPr>
        <w:spacing w:line="360" w:lineRule="auto"/>
        <w:jc w:val="center"/>
        <w:outlineLvl w:val="0"/>
        <w:rPr>
          <w:rFonts w:ascii="宋体" w:hAnsi="宋体" w:eastAsia="宋体" w:cs="宋体"/>
          <w:b/>
          <w:sz w:val="32"/>
          <w:szCs w:val="24"/>
        </w:rPr>
      </w:pPr>
      <w:bookmarkStart w:id="3" w:name="_Toc26233"/>
      <w:r>
        <w:rPr>
          <w:rFonts w:hint="eastAsia" w:ascii="宋体" w:hAnsi="宋体" w:eastAsia="宋体" w:cs="宋体"/>
          <w:b/>
          <w:sz w:val="32"/>
          <w:szCs w:val="24"/>
        </w:rPr>
        <w:t>第一章 供应商须知</w:t>
      </w:r>
      <w:bookmarkEnd w:id="3"/>
    </w:p>
    <w:p w14:paraId="67127CDD">
      <w:pPr>
        <w:spacing w:line="360" w:lineRule="auto"/>
        <w:jc w:val="center"/>
        <w:outlineLvl w:val="0"/>
        <w:rPr>
          <w:rFonts w:ascii="宋体" w:hAnsi="宋体" w:eastAsia="宋体" w:cs="宋体"/>
          <w:b/>
          <w:sz w:val="28"/>
          <w:szCs w:val="24"/>
        </w:rPr>
      </w:pPr>
      <w:bookmarkStart w:id="4" w:name="_Toc29095"/>
      <w:r>
        <w:rPr>
          <w:rFonts w:hint="eastAsia" w:ascii="宋体" w:hAnsi="宋体" w:eastAsia="宋体" w:cs="宋体"/>
          <w:b/>
          <w:sz w:val="28"/>
          <w:szCs w:val="24"/>
        </w:rPr>
        <w:t>供应商须知前附表</w:t>
      </w:r>
      <w:bookmarkEnd w:id="4"/>
    </w:p>
    <w:p w14:paraId="37E09B1A">
      <w:pPr>
        <w:spacing w:line="360" w:lineRule="auto"/>
        <w:jc w:val="center"/>
        <w:rPr>
          <w:rFonts w:ascii="宋体" w:hAnsi="宋体" w:eastAsia="宋体" w:cs="宋体"/>
          <w:b/>
          <w:sz w:val="24"/>
          <w:szCs w:val="24"/>
        </w:rPr>
      </w:pPr>
      <w:r>
        <w:rPr>
          <w:rFonts w:hint="eastAsia" w:cs="宋体" w:asciiTheme="minorEastAsia" w:hAnsiTheme="minorEastAsia"/>
          <w:b/>
          <w:szCs w:val="24"/>
        </w:rPr>
        <w:t>（如后文中相关格式要求表述与文件前附表，表述不一致的，以前附表为准）</w:t>
      </w:r>
    </w:p>
    <w:tbl>
      <w:tblPr>
        <w:tblStyle w:val="37"/>
        <w:tblW w:w="10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597"/>
        <w:gridCol w:w="1666"/>
        <w:gridCol w:w="8320"/>
      </w:tblGrid>
      <w:tr w14:paraId="39FA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7" w:hRule="atLeast"/>
          <w:jc w:val="center"/>
        </w:trPr>
        <w:tc>
          <w:tcPr>
            <w:tcW w:w="597" w:type="dxa"/>
            <w:vAlign w:val="center"/>
          </w:tcPr>
          <w:p w14:paraId="42D11B90">
            <w:pPr>
              <w:spacing w:line="360" w:lineRule="auto"/>
              <w:jc w:val="center"/>
              <w:rPr>
                <w:rFonts w:ascii="宋体" w:hAnsi="宋体" w:eastAsia="宋体"/>
                <w:b/>
                <w:kern w:val="0"/>
                <w:sz w:val="24"/>
                <w:szCs w:val="24"/>
              </w:rPr>
            </w:pPr>
            <w:r>
              <w:rPr>
                <w:rFonts w:hint="eastAsia" w:ascii="宋体" w:hAnsi="宋体" w:eastAsia="宋体"/>
                <w:b/>
                <w:kern w:val="0"/>
                <w:sz w:val="24"/>
                <w:szCs w:val="24"/>
              </w:rPr>
              <w:t>项号</w:t>
            </w:r>
          </w:p>
        </w:tc>
        <w:tc>
          <w:tcPr>
            <w:tcW w:w="9986" w:type="dxa"/>
            <w:gridSpan w:val="2"/>
            <w:vAlign w:val="center"/>
          </w:tcPr>
          <w:p w14:paraId="558F5CF6">
            <w:pPr>
              <w:spacing w:line="360" w:lineRule="auto"/>
              <w:jc w:val="center"/>
              <w:rPr>
                <w:rFonts w:ascii="宋体" w:hAnsi="宋体" w:eastAsia="宋体"/>
                <w:b/>
                <w:kern w:val="0"/>
                <w:sz w:val="24"/>
                <w:szCs w:val="24"/>
              </w:rPr>
            </w:pPr>
            <w:r>
              <w:rPr>
                <w:rFonts w:hint="eastAsia" w:ascii="宋体" w:hAnsi="宋体" w:eastAsia="宋体"/>
                <w:b/>
                <w:kern w:val="0"/>
                <w:sz w:val="24"/>
                <w:szCs w:val="24"/>
              </w:rPr>
              <w:t>编列内容</w:t>
            </w:r>
          </w:p>
        </w:tc>
      </w:tr>
      <w:tr w14:paraId="0F298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5C417781">
            <w:pPr>
              <w:spacing w:line="360" w:lineRule="auto"/>
              <w:jc w:val="center"/>
              <w:rPr>
                <w:rFonts w:ascii="宋体" w:hAnsi="宋体" w:eastAsia="宋体"/>
                <w:kern w:val="0"/>
                <w:sz w:val="24"/>
                <w:szCs w:val="24"/>
              </w:rPr>
            </w:pPr>
            <w:r>
              <w:rPr>
                <w:rFonts w:ascii="宋体" w:hAnsi="宋体" w:eastAsia="宋体"/>
                <w:kern w:val="0"/>
                <w:sz w:val="24"/>
                <w:szCs w:val="24"/>
              </w:rPr>
              <w:t>1</w:t>
            </w:r>
          </w:p>
        </w:tc>
        <w:tc>
          <w:tcPr>
            <w:tcW w:w="1666" w:type="dxa"/>
            <w:vAlign w:val="center"/>
          </w:tcPr>
          <w:p w14:paraId="403EA85C">
            <w:pPr>
              <w:keepNext/>
              <w:widowControl/>
              <w:spacing w:line="360" w:lineRule="auto"/>
              <w:jc w:val="center"/>
              <w:rPr>
                <w:rFonts w:ascii="宋体" w:hAnsi="宋体" w:eastAsia="宋体" w:cs="Arial"/>
                <w:kern w:val="0"/>
                <w:sz w:val="24"/>
                <w:szCs w:val="24"/>
              </w:rPr>
            </w:pPr>
            <w:r>
              <w:rPr>
                <w:rFonts w:hint="eastAsia" w:ascii="宋体" w:hAnsi="宋体" w:eastAsia="宋体" w:cs="Arial"/>
                <w:kern w:val="0"/>
                <w:sz w:val="24"/>
                <w:szCs w:val="24"/>
              </w:rPr>
              <w:t>项目名称</w:t>
            </w:r>
          </w:p>
        </w:tc>
        <w:tc>
          <w:tcPr>
            <w:tcW w:w="8320" w:type="dxa"/>
            <w:vAlign w:val="center"/>
          </w:tcPr>
          <w:p w14:paraId="5873A730">
            <w:pPr>
              <w:keepNext/>
              <w:widowControl/>
              <w:spacing w:line="360" w:lineRule="auto"/>
              <w:jc w:val="left"/>
              <w:rPr>
                <w:rFonts w:ascii="宋体" w:hAnsi="宋体" w:eastAsia="宋体" w:cs="Arial"/>
                <w:kern w:val="0"/>
                <w:sz w:val="24"/>
                <w:szCs w:val="24"/>
              </w:rPr>
            </w:pPr>
            <w:r>
              <w:rPr>
                <w:rFonts w:hint="eastAsia" w:ascii="宋体" w:hAnsi="宋体" w:eastAsia="宋体" w:cs="Arial"/>
                <w:bCs/>
                <w:kern w:val="0"/>
                <w:sz w:val="24"/>
                <w:szCs w:val="24"/>
                <w:lang w:eastAsia="zh-CN"/>
              </w:rPr>
              <w:t>新疆医科大学第一附属医院2025年度油烟机清洗服务项目</w:t>
            </w:r>
          </w:p>
        </w:tc>
      </w:tr>
      <w:tr w14:paraId="55C5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7FA29B2">
            <w:pPr>
              <w:spacing w:line="360" w:lineRule="auto"/>
              <w:jc w:val="center"/>
              <w:rPr>
                <w:rFonts w:ascii="宋体" w:hAnsi="宋体" w:eastAsia="宋体"/>
                <w:kern w:val="0"/>
                <w:sz w:val="24"/>
                <w:szCs w:val="24"/>
              </w:rPr>
            </w:pPr>
          </w:p>
        </w:tc>
        <w:tc>
          <w:tcPr>
            <w:tcW w:w="1666" w:type="dxa"/>
            <w:vAlign w:val="center"/>
          </w:tcPr>
          <w:p w14:paraId="383A78DA">
            <w:pPr>
              <w:keepNext/>
              <w:widowControl/>
              <w:spacing w:line="360" w:lineRule="auto"/>
              <w:jc w:val="center"/>
              <w:rPr>
                <w:rFonts w:ascii="宋体" w:hAnsi="宋体" w:eastAsia="宋体" w:cs="Arial"/>
                <w:kern w:val="0"/>
                <w:sz w:val="24"/>
                <w:szCs w:val="24"/>
                <w:highlight w:val="none"/>
              </w:rPr>
            </w:pPr>
            <w:r>
              <w:rPr>
                <w:rFonts w:hint="eastAsia" w:ascii="宋体" w:hAnsi="宋体" w:eastAsia="宋体" w:cs="Arial"/>
                <w:kern w:val="0"/>
                <w:sz w:val="24"/>
                <w:szCs w:val="24"/>
                <w:highlight w:val="none"/>
              </w:rPr>
              <w:t>项目编号</w:t>
            </w:r>
          </w:p>
        </w:tc>
        <w:tc>
          <w:tcPr>
            <w:tcW w:w="8320" w:type="dxa"/>
            <w:vAlign w:val="center"/>
          </w:tcPr>
          <w:p w14:paraId="72549D38">
            <w:pPr>
              <w:keepNext/>
              <w:widowControl/>
              <w:spacing w:line="360" w:lineRule="auto"/>
              <w:jc w:val="left"/>
              <w:rPr>
                <w:rFonts w:hint="eastAsia" w:ascii="宋体" w:hAnsi="宋体" w:eastAsia="宋体" w:cs="Arial"/>
                <w:kern w:val="0"/>
                <w:sz w:val="24"/>
                <w:szCs w:val="24"/>
                <w:highlight w:val="none"/>
                <w:lang w:eastAsia="zh-CN"/>
              </w:rPr>
            </w:pPr>
            <w:r>
              <w:rPr>
                <w:rFonts w:hint="eastAsia" w:ascii="宋体" w:hAnsi="宋体" w:eastAsia="宋体" w:cs="Arial"/>
                <w:kern w:val="0"/>
                <w:sz w:val="24"/>
                <w:szCs w:val="24"/>
                <w:highlight w:val="none"/>
                <w:lang w:eastAsia="zh-CN"/>
              </w:rPr>
              <w:t>0724-2511XJ412283</w:t>
            </w:r>
          </w:p>
        </w:tc>
      </w:tr>
      <w:tr w14:paraId="77CAC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4137BBB">
            <w:pPr>
              <w:spacing w:line="360" w:lineRule="auto"/>
              <w:jc w:val="center"/>
              <w:rPr>
                <w:rFonts w:ascii="宋体" w:hAnsi="宋体" w:eastAsia="宋体"/>
                <w:kern w:val="0"/>
                <w:sz w:val="24"/>
                <w:szCs w:val="24"/>
              </w:rPr>
            </w:pPr>
          </w:p>
        </w:tc>
        <w:tc>
          <w:tcPr>
            <w:tcW w:w="1666" w:type="dxa"/>
            <w:vAlign w:val="center"/>
          </w:tcPr>
          <w:p w14:paraId="6CDB025B">
            <w:pPr>
              <w:spacing w:line="360" w:lineRule="auto"/>
              <w:rPr>
                <w:rFonts w:ascii="宋体" w:hAnsi="宋体" w:cs="宋体"/>
                <w:sz w:val="24"/>
              </w:rPr>
            </w:pPr>
            <w:r>
              <w:rPr>
                <w:rFonts w:hint="eastAsia" w:ascii="宋体" w:hAnsi="宋体" w:cs="宋体"/>
                <w:sz w:val="24"/>
              </w:rPr>
              <w:t>采购人名称及联系方式</w:t>
            </w:r>
          </w:p>
        </w:tc>
        <w:tc>
          <w:tcPr>
            <w:tcW w:w="8320" w:type="dxa"/>
            <w:vAlign w:val="center"/>
          </w:tcPr>
          <w:p w14:paraId="2C04DBAE">
            <w:pPr>
              <w:spacing w:line="360" w:lineRule="auto"/>
              <w:rPr>
                <w:rFonts w:hint="eastAsia" w:ascii="宋体" w:hAnsi="宋体" w:cs="宋体" w:eastAsiaTheme="minorEastAsia"/>
                <w:sz w:val="24"/>
                <w:lang w:eastAsia="zh-CN"/>
              </w:rPr>
            </w:pPr>
            <w:r>
              <w:rPr>
                <w:rFonts w:hint="eastAsia" w:ascii="宋体" w:hAnsi="宋体" w:cs="宋体"/>
                <w:sz w:val="24"/>
              </w:rPr>
              <w:t>采购人名称：</w:t>
            </w:r>
            <w:r>
              <w:rPr>
                <w:rFonts w:hint="eastAsia" w:ascii="宋体" w:hAnsi="宋体" w:cs="宋体"/>
                <w:sz w:val="24"/>
                <w:lang w:eastAsia="zh-CN"/>
              </w:rPr>
              <w:t>新疆医科大学第一附属医院</w:t>
            </w:r>
          </w:p>
          <w:p w14:paraId="46DD1E91">
            <w:pPr>
              <w:pStyle w:val="12"/>
              <w:rPr>
                <w:rFonts w:hint="eastAsia" w:eastAsia="宋体"/>
                <w:lang w:eastAsia="zh-CN"/>
              </w:rPr>
            </w:pPr>
            <w:r>
              <w:t>联系方式：</w:t>
            </w:r>
            <w:r>
              <w:rPr>
                <w:rFonts w:hint="eastAsia" w:ascii="宋体" w:hAnsi="宋体" w:cs="宋体"/>
                <w:lang w:eastAsia="zh-CN"/>
              </w:rPr>
              <w:t>0991-4362391</w:t>
            </w:r>
          </w:p>
        </w:tc>
      </w:tr>
      <w:tr w14:paraId="5F38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2E0F6EA">
            <w:pPr>
              <w:spacing w:line="360" w:lineRule="auto"/>
              <w:jc w:val="center"/>
              <w:rPr>
                <w:rFonts w:ascii="宋体" w:hAnsi="宋体" w:eastAsia="宋体"/>
                <w:kern w:val="0"/>
                <w:sz w:val="24"/>
                <w:szCs w:val="24"/>
              </w:rPr>
            </w:pPr>
          </w:p>
        </w:tc>
        <w:tc>
          <w:tcPr>
            <w:tcW w:w="1666" w:type="dxa"/>
            <w:vAlign w:val="center"/>
          </w:tcPr>
          <w:p w14:paraId="451B2E6C">
            <w:pPr>
              <w:spacing w:line="360" w:lineRule="auto"/>
              <w:rPr>
                <w:rFonts w:ascii="宋体" w:hAnsi="宋体" w:cs="宋体"/>
                <w:sz w:val="24"/>
              </w:rPr>
            </w:pPr>
            <w:r>
              <w:rPr>
                <w:rFonts w:hint="eastAsia" w:ascii="宋体" w:hAnsi="宋体" w:cs="宋体"/>
                <w:sz w:val="24"/>
              </w:rPr>
              <w:t>采购代理机构及联系方式</w:t>
            </w:r>
          </w:p>
        </w:tc>
        <w:tc>
          <w:tcPr>
            <w:tcW w:w="8320" w:type="dxa"/>
            <w:vAlign w:val="center"/>
          </w:tcPr>
          <w:p w14:paraId="7AAD52DF">
            <w:pPr>
              <w:spacing w:line="360" w:lineRule="auto"/>
              <w:rPr>
                <w:rFonts w:ascii="宋体" w:hAnsi="宋体" w:cs="宋体"/>
                <w:sz w:val="24"/>
              </w:rPr>
            </w:pPr>
            <w:r>
              <w:rPr>
                <w:rFonts w:hint="eastAsia" w:ascii="宋体" w:hAnsi="宋体" w:cs="宋体"/>
                <w:sz w:val="24"/>
              </w:rPr>
              <w:t>采购代理机构：国义招标股份有限公司</w:t>
            </w:r>
          </w:p>
          <w:p w14:paraId="28D40CD4">
            <w:pPr>
              <w:pStyle w:val="12"/>
              <w:rPr>
                <w:rFonts w:hint="eastAsia" w:eastAsia="宋体"/>
                <w:lang w:eastAsia="zh-CN"/>
              </w:rPr>
            </w:pPr>
            <w:r>
              <w:t>联系方式：</w:t>
            </w:r>
            <w:r>
              <w:rPr>
                <w:rFonts w:hint="eastAsia"/>
                <w:lang w:eastAsia="zh-CN"/>
              </w:rPr>
              <w:t>0991-4664267、13139917609</w:t>
            </w:r>
          </w:p>
        </w:tc>
      </w:tr>
      <w:tr w14:paraId="2EAB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AC58878">
            <w:pPr>
              <w:spacing w:line="360" w:lineRule="auto"/>
              <w:jc w:val="center"/>
              <w:rPr>
                <w:rFonts w:ascii="宋体" w:hAnsi="宋体" w:eastAsia="宋体"/>
                <w:kern w:val="0"/>
                <w:sz w:val="24"/>
                <w:szCs w:val="24"/>
              </w:rPr>
            </w:pPr>
          </w:p>
        </w:tc>
        <w:tc>
          <w:tcPr>
            <w:tcW w:w="1666" w:type="dxa"/>
            <w:vAlign w:val="center"/>
          </w:tcPr>
          <w:p w14:paraId="010A5B1B">
            <w:pPr>
              <w:keepNext/>
              <w:widowControl/>
              <w:spacing w:line="360" w:lineRule="auto"/>
              <w:jc w:val="center"/>
              <w:rPr>
                <w:rFonts w:ascii="宋体" w:hAnsi="宋体" w:eastAsia="宋体" w:cs="Arial"/>
                <w:kern w:val="0"/>
                <w:sz w:val="24"/>
                <w:szCs w:val="24"/>
              </w:rPr>
            </w:pPr>
            <w:r>
              <w:rPr>
                <w:rFonts w:hint="eastAsia" w:ascii="宋体" w:hAnsi="宋体" w:eastAsia="宋体" w:cs="Arial"/>
                <w:kern w:val="0"/>
                <w:sz w:val="24"/>
                <w:szCs w:val="24"/>
              </w:rPr>
              <w:t>项目地点</w:t>
            </w:r>
          </w:p>
        </w:tc>
        <w:tc>
          <w:tcPr>
            <w:tcW w:w="8320" w:type="dxa"/>
            <w:vAlign w:val="center"/>
          </w:tcPr>
          <w:p w14:paraId="3FC95617">
            <w:pPr>
              <w:keepNext/>
              <w:widowControl/>
              <w:spacing w:line="360" w:lineRule="auto"/>
              <w:jc w:val="left"/>
              <w:rPr>
                <w:rFonts w:hint="default"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乌鲁木齐市</w:t>
            </w:r>
          </w:p>
        </w:tc>
      </w:tr>
      <w:tr w14:paraId="31B1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3BC8D53">
            <w:pPr>
              <w:spacing w:line="360" w:lineRule="auto"/>
              <w:jc w:val="center"/>
              <w:rPr>
                <w:rFonts w:ascii="宋体" w:hAnsi="宋体" w:eastAsia="宋体"/>
                <w:kern w:val="0"/>
                <w:sz w:val="24"/>
                <w:szCs w:val="24"/>
              </w:rPr>
            </w:pPr>
          </w:p>
        </w:tc>
        <w:tc>
          <w:tcPr>
            <w:tcW w:w="1666" w:type="dxa"/>
            <w:vAlign w:val="center"/>
          </w:tcPr>
          <w:p w14:paraId="604FBB36">
            <w:pPr>
              <w:keepNext/>
              <w:widowControl/>
              <w:spacing w:line="360" w:lineRule="auto"/>
              <w:jc w:val="center"/>
              <w:rPr>
                <w:rFonts w:ascii="宋体" w:hAnsi="宋体" w:eastAsia="宋体" w:cs="Arial"/>
                <w:kern w:val="0"/>
                <w:sz w:val="24"/>
                <w:szCs w:val="24"/>
              </w:rPr>
            </w:pPr>
            <w:r>
              <w:rPr>
                <w:rFonts w:hint="eastAsia" w:ascii="宋体" w:hAnsi="宋体" w:eastAsia="宋体" w:cs="Arial"/>
                <w:kern w:val="0"/>
                <w:sz w:val="24"/>
                <w:szCs w:val="24"/>
                <w:lang w:val="en-US" w:eastAsia="zh-CN"/>
              </w:rPr>
              <w:t>项目</w:t>
            </w:r>
            <w:r>
              <w:rPr>
                <w:rFonts w:hint="eastAsia" w:ascii="宋体" w:hAnsi="宋体" w:eastAsia="宋体" w:cs="Arial"/>
                <w:kern w:val="0"/>
                <w:sz w:val="24"/>
                <w:szCs w:val="24"/>
              </w:rPr>
              <w:t>预算</w:t>
            </w:r>
          </w:p>
        </w:tc>
        <w:tc>
          <w:tcPr>
            <w:tcW w:w="8320" w:type="dxa"/>
            <w:vAlign w:val="center"/>
          </w:tcPr>
          <w:p w14:paraId="5E1CD77F">
            <w:pPr>
              <w:keepNext/>
              <w:widowControl/>
              <w:spacing w:line="360" w:lineRule="auto"/>
              <w:jc w:val="left"/>
              <w:rPr>
                <w:rFonts w:hint="eastAsia" w:ascii="宋体" w:hAnsi="宋体" w:eastAsia="宋体"/>
                <w:kern w:val="0"/>
                <w:sz w:val="24"/>
                <w:szCs w:val="24"/>
                <w:lang w:val="en-US" w:eastAsia="zh-CN"/>
              </w:rPr>
            </w:pPr>
            <w:r>
              <w:rPr>
                <w:rFonts w:hint="eastAsia" w:ascii="宋体" w:hAnsi="宋体" w:eastAsia="宋体"/>
                <w:kern w:val="0"/>
                <w:sz w:val="24"/>
                <w:szCs w:val="24"/>
                <w:lang w:val="en-US" w:eastAsia="zh-CN"/>
              </w:rPr>
              <w:t>预算金额：（元）：184500.00</w:t>
            </w:r>
          </w:p>
          <w:p w14:paraId="5EFAFD58">
            <w:pPr>
              <w:keepNext/>
              <w:widowControl/>
              <w:spacing w:line="360" w:lineRule="auto"/>
              <w:jc w:val="left"/>
              <w:rPr>
                <w:rFonts w:ascii="宋体" w:hAnsi="宋体" w:eastAsia="宋体"/>
                <w:kern w:val="0"/>
                <w:sz w:val="24"/>
                <w:szCs w:val="24"/>
              </w:rPr>
            </w:pPr>
            <w:r>
              <w:rPr>
                <w:rFonts w:hint="eastAsia" w:ascii="宋体" w:hAnsi="宋体" w:eastAsia="宋体"/>
                <w:kern w:val="0"/>
                <w:sz w:val="24"/>
                <w:szCs w:val="24"/>
                <w:lang w:val="en-US" w:eastAsia="zh-CN"/>
              </w:rPr>
              <w:t>最高限价：（元）：164000.00</w:t>
            </w:r>
          </w:p>
          <w:p w14:paraId="23E05D6F">
            <w:pPr>
              <w:keepNext/>
              <w:widowControl/>
              <w:spacing w:line="360" w:lineRule="auto"/>
              <w:jc w:val="left"/>
              <w:rPr>
                <w:rFonts w:hint="default" w:ascii="宋体" w:hAnsi="宋体" w:eastAsiaTheme="minorEastAsia"/>
                <w:bCs/>
                <w:sz w:val="24"/>
                <w:szCs w:val="24"/>
                <w:lang w:val="en-US" w:eastAsia="zh-CN"/>
              </w:rPr>
            </w:pPr>
            <w:r>
              <w:rPr>
                <w:rFonts w:ascii="宋体" w:hAnsi="宋体"/>
                <w:bCs/>
                <w:sz w:val="24"/>
                <w:szCs w:val="24"/>
              </w:rPr>
              <w:t>资金来源：</w:t>
            </w:r>
            <w:r>
              <w:rPr>
                <w:rFonts w:hint="eastAsia" w:ascii="宋体" w:hAnsi="宋体"/>
                <w:bCs/>
                <w:sz w:val="24"/>
                <w:szCs w:val="24"/>
                <w:lang w:val="en-US" w:eastAsia="zh-CN"/>
              </w:rPr>
              <w:t>财政资金</w:t>
            </w:r>
          </w:p>
        </w:tc>
      </w:tr>
      <w:tr w14:paraId="2296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8AADAA4">
            <w:pPr>
              <w:spacing w:line="360" w:lineRule="auto"/>
              <w:jc w:val="center"/>
              <w:rPr>
                <w:rFonts w:ascii="宋体" w:hAnsi="宋体" w:eastAsia="宋体"/>
                <w:kern w:val="0"/>
                <w:sz w:val="24"/>
                <w:szCs w:val="24"/>
              </w:rPr>
            </w:pPr>
          </w:p>
        </w:tc>
        <w:tc>
          <w:tcPr>
            <w:tcW w:w="1666" w:type="dxa"/>
            <w:vAlign w:val="center"/>
          </w:tcPr>
          <w:p w14:paraId="43526D45">
            <w:pPr>
              <w:keepNext/>
              <w:widowControl/>
              <w:spacing w:line="360" w:lineRule="auto"/>
              <w:jc w:val="center"/>
              <w:rPr>
                <w:rFonts w:ascii="宋体" w:hAnsi="宋体" w:eastAsia="宋体" w:cs="Arial"/>
                <w:kern w:val="0"/>
                <w:sz w:val="24"/>
                <w:szCs w:val="24"/>
                <w:highlight w:val="none"/>
              </w:rPr>
            </w:pPr>
            <w:r>
              <w:rPr>
                <w:rFonts w:ascii="宋体" w:hAnsi="宋体" w:eastAsia="宋体" w:cs="Arial"/>
                <w:kern w:val="0"/>
                <w:sz w:val="24"/>
                <w:szCs w:val="24"/>
                <w:highlight w:val="none"/>
              </w:rPr>
              <w:t>服务期限</w:t>
            </w:r>
          </w:p>
        </w:tc>
        <w:tc>
          <w:tcPr>
            <w:tcW w:w="8320" w:type="dxa"/>
            <w:vAlign w:val="center"/>
          </w:tcPr>
          <w:p w14:paraId="546E36C1">
            <w:pPr>
              <w:keepNext/>
              <w:widowControl/>
              <w:spacing w:line="360" w:lineRule="auto"/>
              <w:jc w:val="left"/>
              <w:rPr>
                <w:rFonts w:hint="eastAsia" w:ascii="宋体" w:hAnsi="宋体" w:eastAsia="宋体" w:cs="Arial"/>
                <w:kern w:val="0"/>
                <w:sz w:val="24"/>
                <w:szCs w:val="24"/>
                <w:highlight w:val="none"/>
                <w:lang w:val="en-US" w:eastAsia="zh-CN"/>
              </w:rPr>
            </w:pPr>
            <w:r>
              <w:rPr>
                <w:rFonts w:hint="eastAsia" w:ascii="宋体" w:hAnsi="宋体" w:eastAsia="宋体" w:cs="Arial"/>
                <w:kern w:val="0"/>
                <w:sz w:val="24"/>
                <w:szCs w:val="24"/>
                <w:highlight w:val="none"/>
                <w:lang w:val="en-US" w:eastAsia="zh-CN"/>
              </w:rPr>
              <w:t>一年</w:t>
            </w:r>
          </w:p>
        </w:tc>
      </w:tr>
      <w:tr w14:paraId="1CF86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3CAF4DFA">
            <w:pPr>
              <w:spacing w:line="360" w:lineRule="auto"/>
              <w:jc w:val="center"/>
              <w:rPr>
                <w:rFonts w:ascii="宋体" w:hAnsi="宋体" w:eastAsia="宋体"/>
                <w:kern w:val="0"/>
                <w:sz w:val="24"/>
                <w:szCs w:val="24"/>
              </w:rPr>
            </w:pPr>
            <w:r>
              <w:rPr>
                <w:rFonts w:hint="eastAsia" w:ascii="宋体" w:hAnsi="宋体" w:eastAsia="宋体"/>
                <w:kern w:val="0"/>
                <w:sz w:val="24"/>
                <w:szCs w:val="24"/>
              </w:rPr>
              <w:t>2</w:t>
            </w:r>
          </w:p>
        </w:tc>
        <w:tc>
          <w:tcPr>
            <w:tcW w:w="1666" w:type="dxa"/>
            <w:vAlign w:val="center"/>
          </w:tcPr>
          <w:p w14:paraId="519A069C">
            <w:pPr>
              <w:keepNext/>
              <w:widowControl/>
              <w:spacing w:line="360" w:lineRule="auto"/>
              <w:jc w:val="center"/>
              <w:rPr>
                <w:rFonts w:ascii="宋体" w:hAnsi="宋体" w:eastAsia="宋体" w:cs="Arial"/>
                <w:kern w:val="0"/>
                <w:sz w:val="24"/>
                <w:szCs w:val="24"/>
                <w:highlight w:val="none"/>
              </w:rPr>
            </w:pPr>
            <w:r>
              <w:rPr>
                <w:rFonts w:hint="eastAsia" w:ascii="宋体" w:hAnsi="宋体" w:eastAsia="宋体" w:cs="Arial"/>
                <w:kern w:val="0"/>
                <w:sz w:val="24"/>
                <w:szCs w:val="24"/>
                <w:highlight w:val="none"/>
              </w:rPr>
              <w:t>采购内容</w:t>
            </w:r>
          </w:p>
        </w:tc>
        <w:tc>
          <w:tcPr>
            <w:tcW w:w="8320" w:type="dxa"/>
            <w:vAlign w:val="center"/>
          </w:tcPr>
          <w:p w14:paraId="3044BE2F">
            <w:pPr>
              <w:keepNext/>
              <w:widowControl/>
              <w:spacing w:line="360" w:lineRule="auto"/>
              <w:jc w:val="left"/>
              <w:rPr>
                <w:rFonts w:hint="eastAsia" w:ascii="宋体" w:hAnsi="宋体" w:eastAsia="宋体" w:cs="Arial"/>
                <w:bCs/>
                <w:kern w:val="0"/>
                <w:sz w:val="24"/>
                <w:szCs w:val="24"/>
                <w:highlight w:val="none"/>
                <w:lang w:eastAsia="zh-CN"/>
              </w:rPr>
            </w:pPr>
            <w:r>
              <w:rPr>
                <w:rFonts w:hint="eastAsia" w:ascii="宋体" w:hAnsi="宋体" w:eastAsia="宋体" w:cs="Arial"/>
                <w:bCs/>
                <w:kern w:val="0"/>
                <w:sz w:val="24"/>
                <w:szCs w:val="24"/>
                <w:highlight w:val="none"/>
                <w:lang w:eastAsia="zh-CN"/>
              </w:rPr>
              <w:t>新疆医科大学第一附属医院各餐厅（包含老干食堂）油烟机清洗服务。</w:t>
            </w:r>
          </w:p>
        </w:tc>
      </w:tr>
      <w:tr w14:paraId="24E11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1F191E88">
            <w:pPr>
              <w:spacing w:line="360" w:lineRule="auto"/>
              <w:jc w:val="center"/>
              <w:rPr>
                <w:rFonts w:ascii="宋体" w:hAnsi="宋体" w:eastAsia="宋体"/>
                <w:kern w:val="0"/>
                <w:sz w:val="24"/>
                <w:szCs w:val="24"/>
              </w:rPr>
            </w:pPr>
            <w:r>
              <w:rPr>
                <w:rFonts w:hint="eastAsia" w:ascii="宋体" w:hAnsi="宋体" w:eastAsia="宋体"/>
                <w:kern w:val="0"/>
                <w:sz w:val="24"/>
                <w:szCs w:val="24"/>
              </w:rPr>
              <w:t>3</w:t>
            </w:r>
          </w:p>
        </w:tc>
        <w:tc>
          <w:tcPr>
            <w:tcW w:w="1666" w:type="dxa"/>
            <w:vAlign w:val="center"/>
          </w:tcPr>
          <w:p w14:paraId="6E839FD5">
            <w:pPr>
              <w:keepNext/>
              <w:widowControl/>
              <w:spacing w:line="360" w:lineRule="auto"/>
              <w:jc w:val="center"/>
              <w:rPr>
                <w:rFonts w:ascii="宋体" w:hAnsi="宋体" w:eastAsia="宋体" w:cs="Arial"/>
                <w:kern w:val="0"/>
                <w:sz w:val="24"/>
                <w:szCs w:val="24"/>
              </w:rPr>
            </w:pPr>
            <w:r>
              <w:rPr>
                <w:rFonts w:hint="eastAsia" w:ascii="宋体" w:hAnsi="宋体" w:eastAsia="宋体" w:cs="Arial"/>
                <w:kern w:val="0"/>
                <w:sz w:val="24"/>
                <w:szCs w:val="24"/>
              </w:rPr>
              <w:t>采购方式</w:t>
            </w:r>
          </w:p>
        </w:tc>
        <w:tc>
          <w:tcPr>
            <w:tcW w:w="8320" w:type="dxa"/>
            <w:vAlign w:val="center"/>
          </w:tcPr>
          <w:p w14:paraId="42B0A64E">
            <w:pPr>
              <w:keepNext/>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竞争性磋商</w:t>
            </w:r>
          </w:p>
        </w:tc>
      </w:tr>
      <w:tr w14:paraId="34204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A4A0006">
            <w:pPr>
              <w:spacing w:line="360" w:lineRule="auto"/>
              <w:jc w:val="center"/>
              <w:rPr>
                <w:rFonts w:ascii="宋体" w:hAnsi="宋体" w:eastAsia="宋体"/>
                <w:kern w:val="0"/>
                <w:sz w:val="24"/>
                <w:szCs w:val="24"/>
              </w:rPr>
            </w:pPr>
          </w:p>
        </w:tc>
        <w:tc>
          <w:tcPr>
            <w:tcW w:w="1666" w:type="dxa"/>
            <w:vAlign w:val="center"/>
          </w:tcPr>
          <w:p w14:paraId="5636D02C">
            <w:pPr>
              <w:keepNext/>
              <w:widowControl/>
              <w:spacing w:line="360" w:lineRule="auto"/>
              <w:jc w:val="center"/>
              <w:rPr>
                <w:rFonts w:ascii="宋体" w:hAnsi="宋体" w:eastAsia="宋体" w:cs="Arial"/>
                <w:kern w:val="0"/>
                <w:sz w:val="24"/>
                <w:szCs w:val="24"/>
              </w:rPr>
            </w:pPr>
            <w:r>
              <w:rPr>
                <w:rFonts w:hint="eastAsia" w:ascii="宋体" w:hAnsi="宋体" w:eastAsia="宋体" w:cs="Arial"/>
                <w:kern w:val="0"/>
                <w:sz w:val="24"/>
                <w:szCs w:val="24"/>
              </w:rPr>
              <w:t>资格审查方式</w:t>
            </w:r>
          </w:p>
        </w:tc>
        <w:tc>
          <w:tcPr>
            <w:tcW w:w="8320" w:type="dxa"/>
            <w:vAlign w:val="center"/>
          </w:tcPr>
          <w:p w14:paraId="64929BD5">
            <w:pPr>
              <w:keepNext/>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资格后审</w:t>
            </w:r>
          </w:p>
        </w:tc>
      </w:tr>
      <w:tr w14:paraId="136A1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6C39B801">
            <w:pPr>
              <w:spacing w:line="360" w:lineRule="auto"/>
              <w:jc w:val="center"/>
              <w:rPr>
                <w:rFonts w:ascii="宋体" w:hAnsi="宋体" w:eastAsia="宋体"/>
                <w:kern w:val="0"/>
                <w:sz w:val="24"/>
                <w:szCs w:val="24"/>
              </w:rPr>
            </w:pPr>
            <w:r>
              <w:rPr>
                <w:rFonts w:hint="eastAsia" w:ascii="宋体" w:hAnsi="宋体" w:eastAsia="宋体"/>
                <w:kern w:val="0"/>
                <w:sz w:val="24"/>
                <w:szCs w:val="24"/>
              </w:rPr>
              <w:t>4</w:t>
            </w:r>
          </w:p>
        </w:tc>
        <w:tc>
          <w:tcPr>
            <w:tcW w:w="1666" w:type="dxa"/>
            <w:vAlign w:val="center"/>
          </w:tcPr>
          <w:p w14:paraId="7EDF893F">
            <w:pPr>
              <w:keepNext/>
              <w:widowControl/>
              <w:spacing w:line="360" w:lineRule="auto"/>
              <w:jc w:val="center"/>
              <w:rPr>
                <w:rFonts w:ascii="宋体" w:hAnsi="宋体" w:eastAsia="宋体" w:cs="Arial"/>
                <w:kern w:val="0"/>
                <w:sz w:val="24"/>
                <w:szCs w:val="24"/>
              </w:rPr>
            </w:pPr>
            <w:r>
              <w:rPr>
                <w:rFonts w:hint="eastAsia" w:ascii="宋体" w:hAnsi="宋体" w:eastAsia="宋体" w:cs="Arial"/>
                <w:kern w:val="0"/>
                <w:sz w:val="24"/>
                <w:szCs w:val="24"/>
              </w:rPr>
              <w:t>评审办法</w:t>
            </w:r>
          </w:p>
        </w:tc>
        <w:tc>
          <w:tcPr>
            <w:tcW w:w="8320" w:type="dxa"/>
            <w:vAlign w:val="center"/>
          </w:tcPr>
          <w:p w14:paraId="236E6B35">
            <w:pPr>
              <w:keepNext/>
              <w:widowControl/>
              <w:spacing w:line="360" w:lineRule="auto"/>
              <w:jc w:val="left"/>
              <w:rPr>
                <w:rFonts w:hint="default"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综合评分法</w:t>
            </w:r>
          </w:p>
        </w:tc>
      </w:tr>
      <w:tr w14:paraId="5F4D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3822D43">
            <w:pPr>
              <w:spacing w:line="360" w:lineRule="auto"/>
              <w:jc w:val="center"/>
              <w:rPr>
                <w:rFonts w:ascii="宋体" w:hAnsi="宋体" w:eastAsia="宋体"/>
                <w:kern w:val="0"/>
                <w:sz w:val="24"/>
                <w:szCs w:val="24"/>
              </w:rPr>
            </w:pPr>
          </w:p>
        </w:tc>
        <w:tc>
          <w:tcPr>
            <w:tcW w:w="1666" w:type="dxa"/>
            <w:vAlign w:val="center"/>
          </w:tcPr>
          <w:p w14:paraId="4651D171">
            <w:pPr>
              <w:keepNext/>
              <w:widowControl/>
              <w:spacing w:line="360" w:lineRule="auto"/>
              <w:jc w:val="center"/>
              <w:rPr>
                <w:rFonts w:hint="default" w:ascii="宋体" w:hAnsi="宋体" w:eastAsia="宋体" w:cs="Arial"/>
                <w:b/>
                <w:bCs/>
                <w:kern w:val="0"/>
                <w:sz w:val="24"/>
                <w:szCs w:val="24"/>
                <w:highlight w:val="none"/>
                <w:lang w:val="en-US" w:eastAsia="zh-CN"/>
              </w:rPr>
            </w:pPr>
            <w:r>
              <w:rPr>
                <w:rFonts w:hint="eastAsia" w:ascii="宋体" w:hAnsi="宋体" w:eastAsia="宋体" w:cs="Arial"/>
                <w:b/>
                <w:bCs/>
                <w:kern w:val="0"/>
                <w:sz w:val="24"/>
                <w:szCs w:val="24"/>
                <w:highlight w:val="none"/>
                <w:lang w:val="en-US" w:eastAsia="zh-CN"/>
              </w:rPr>
              <w:t>最高限价及响应报价</w:t>
            </w:r>
          </w:p>
        </w:tc>
        <w:tc>
          <w:tcPr>
            <w:tcW w:w="8320" w:type="dxa"/>
            <w:vAlign w:val="center"/>
          </w:tcPr>
          <w:p w14:paraId="2033ACBB">
            <w:pPr>
              <w:keepNext/>
              <w:widowControl/>
              <w:spacing w:line="360" w:lineRule="auto"/>
              <w:rPr>
                <w:rFonts w:hint="default" w:ascii="宋体" w:hAnsi="宋体" w:eastAsia="宋体" w:cs="Arial"/>
                <w:b/>
                <w:bCs/>
                <w:kern w:val="0"/>
                <w:sz w:val="24"/>
                <w:szCs w:val="24"/>
                <w:highlight w:val="none"/>
                <w:lang w:val="en-US" w:eastAsia="zh-CN"/>
              </w:rPr>
            </w:pPr>
            <w:r>
              <w:rPr>
                <w:rFonts w:hint="default" w:ascii="宋体" w:hAnsi="宋体" w:eastAsia="宋体" w:cs="Arial"/>
                <w:b/>
                <w:bCs/>
                <w:kern w:val="0"/>
                <w:sz w:val="24"/>
                <w:szCs w:val="24"/>
                <w:highlight w:val="none"/>
                <w:lang w:val="en-US" w:eastAsia="zh-CN"/>
              </w:rPr>
              <w:t>（1）最高投标总价限价：164000.00元（</w:t>
            </w:r>
            <w:r>
              <w:rPr>
                <w:rFonts w:hint="eastAsia" w:ascii="宋体" w:hAnsi="宋体" w:eastAsia="宋体" w:cs="Arial"/>
                <w:b/>
                <w:bCs/>
                <w:kern w:val="0"/>
                <w:sz w:val="24"/>
                <w:szCs w:val="24"/>
                <w:highlight w:val="none"/>
                <w:lang w:val="en-US" w:eastAsia="zh-CN"/>
              </w:rPr>
              <w:t>壹拾陆万肆仟</w:t>
            </w:r>
            <w:r>
              <w:rPr>
                <w:rFonts w:hint="default" w:ascii="宋体" w:hAnsi="宋体" w:eastAsia="宋体" w:cs="Arial"/>
                <w:b/>
                <w:bCs/>
                <w:kern w:val="0"/>
                <w:sz w:val="24"/>
                <w:szCs w:val="24"/>
                <w:highlight w:val="none"/>
                <w:lang w:val="en-US" w:eastAsia="zh-CN"/>
              </w:rPr>
              <w:t>元整）。</w:t>
            </w:r>
            <w:r>
              <w:rPr>
                <w:rFonts w:hint="eastAsia" w:ascii="宋体" w:hAnsi="宋体" w:eastAsia="宋体" w:cs="Arial"/>
                <w:b/>
                <w:bCs/>
                <w:kern w:val="0"/>
                <w:sz w:val="24"/>
                <w:szCs w:val="24"/>
                <w:highlight w:val="none"/>
                <w:lang w:val="en-US" w:eastAsia="zh-CN"/>
              </w:rPr>
              <w:t>投标单价限价及</w:t>
            </w:r>
            <w:r>
              <w:rPr>
                <w:rFonts w:hint="default" w:ascii="宋体" w:hAnsi="宋体" w:eastAsia="宋体" w:cs="Arial"/>
                <w:b/>
                <w:bCs/>
                <w:kern w:val="0"/>
                <w:sz w:val="24"/>
                <w:szCs w:val="24"/>
                <w:highlight w:val="none"/>
                <w:lang w:val="en-US" w:eastAsia="zh-CN"/>
              </w:rPr>
              <w:t>采购数量：</w:t>
            </w:r>
            <w:r>
              <w:rPr>
                <w:rFonts w:hint="eastAsia" w:ascii="宋体" w:hAnsi="宋体" w:eastAsia="宋体" w:cs="Arial"/>
                <w:b/>
                <w:bCs/>
                <w:kern w:val="0"/>
                <w:sz w:val="24"/>
                <w:szCs w:val="24"/>
                <w:highlight w:val="none"/>
                <w:lang w:val="en-US" w:eastAsia="zh-CN"/>
              </w:rPr>
              <w:t>详见文件内容（采购需求）</w:t>
            </w:r>
            <w:r>
              <w:rPr>
                <w:rFonts w:hint="default" w:ascii="宋体" w:hAnsi="宋体" w:eastAsia="宋体" w:cs="Arial"/>
                <w:b/>
                <w:bCs/>
                <w:kern w:val="0"/>
                <w:sz w:val="24"/>
                <w:szCs w:val="24"/>
                <w:highlight w:val="none"/>
                <w:lang w:val="en-US" w:eastAsia="zh-CN"/>
              </w:rPr>
              <w:t>。</w:t>
            </w:r>
          </w:p>
          <w:p w14:paraId="4B9E3A3D">
            <w:pPr>
              <w:keepNext/>
              <w:widowControl/>
              <w:spacing w:line="360" w:lineRule="auto"/>
              <w:rPr>
                <w:rFonts w:hint="default" w:ascii="宋体" w:hAnsi="宋体" w:eastAsia="宋体" w:cs="Arial"/>
                <w:b/>
                <w:bCs/>
                <w:kern w:val="0"/>
                <w:sz w:val="24"/>
                <w:szCs w:val="24"/>
                <w:highlight w:val="none"/>
                <w:lang w:val="en-US" w:eastAsia="zh-CN"/>
              </w:rPr>
            </w:pPr>
            <w:r>
              <w:rPr>
                <w:rFonts w:hint="default" w:ascii="宋体" w:hAnsi="宋体" w:eastAsia="宋体" w:cs="Arial"/>
                <w:b/>
                <w:bCs/>
                <w:kern w:val="0"/>
                <w:sz w:val="24"/>
                <w:szCs w:val="24"/>
                <w:highlight w:val="none"/>
                <w:lang w:val="en-US" w:eastAsia="zh-CN"/>
              </w:rPr>
              <w:t>（2）</w:t>
            </w:r>
            <w:r>
              <w:rPr>
                <w:rFonts w:hint="eastAsia" w:ascii="宋体" w:hAnsi="宋体" w:eastAsia="宋体" w:cs="Arial"/>
                <w:b/>
                <w:bCs/>
                <w:kern w:val="0"/>
                <w:sz w:val="24"/>
                <w:szCs w:val="24"/>
                <w:highlight w:val="none"/>
                <w:lang w:val="en-US" w:eastAsia="zh-CN"/>
              </w:rPr>
              <w:t>供应商</w:t>
            </w:r>
            <w:r>
              <w:rPr>
                <w:rFonts w:hint="default" w:ascii="宋体" w:hAnsi="宋体" w:eastAsia="宋体" w:cs="Arial"/>
                <w:b/>
                <w:bCs/>
                <w:kern w:val="0"/>
                <w:sz w:val="24"/>
                <w:szCs w:val="24"/>
                <w:highlight w:val="none"/>
                <w:lang w:val="en-US" w:eastAsia="zh-CN"/>
              </w:rPr>
              <w:t>报价应为包括但不限于全部</w:t>
            </w:r>
            <w:r>
              <w:rPr>
                <w:rFonts w:hint="eastAsia" w:ascii="宋体" w:hAnsi="宋体" w:eastAsia="宋体" w:cs="Arial"/>
                <w:b/>
                <w:bCs/>
                <w:kern w:val="0"/>
                <w:sz w:val="24"/>
                <w:szCs w:val="24"/>
                <w:highlight w:val="none"/>
                <w:lang w:val="en-US" w:eastAsia="zh-CN"/>
              </w:rPr>
              <w:t>服务内容</w:t>
            </w:r>
            <w:r>
              <w:rPr>
                <w:rFonts w:hint="default" w:ascii="宋体" w:hAnsi="宋体" w:eastAsia="宋体" w:cs="Arial"/>
                <w:b/>
                <w:bCs/>
                <w:kern w:val="0"/>
                <w:sz w:val="24"/>
                <w:szCs w:val="24"/>
                <w:highlight w:val="none"/>
                <w:lang w:val="en-US" w:eastAsia="zh-CN"/>
              </w:rPr>
              <w:t>、税费、包装费、运输、调试、安装费、装卸费、必不可少的部件等费用，以及已支付或将支付的营业税和其它税费等所有费用。</w:t>
            </w:r>
          </w:p>
        </w:tc>
      </w:tr>
      <w:tr w14:paraId="4D68F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A23384E">
            <w:pPr>
              <w:spacing w:line="360" w:lineRule="auto"/>
              <w:jc w:val="center"/>
              <w:rPr>
                <w:rFonts w:ascii="宋体" w:hAnsi="宋体" w:eastAsia="宋体"/>
                <w:kern w:val="0"/>
                <w:sz w:val="24"/>
                <w:szCs w:val="24"/>
              </w:rPr>
            </w:pPr>
          </w:p>
        </w:tc>
        <w:tc>
          <w:tcPr>
            <w:tcW w:w="1666" w:type="dxa"/>
            <w:vAlign w:val="center"/>
          </w:tcPr>
          <w:p w14:paraId="32108E91">
            <w:pPr>
              <w:snapToGrid w:val="0"/>
              <w:spacing w:line="360" w:lineRule="auto"/>
              <w:rPr>
                <w:rFonts w:ascii="宋体" w:hAnsi="宋体" w:cs="宋体"/>
                <w:sz w:val="24"/>
              </w:rPr>
            </w:pPr>
            <w:r>
              <w:rPr>
                <w:rFonts w:hint="eastAsia" w:ascii="宋体" w:hAnsi="宋体" w:cs="宋体"/>
                <w:sz w:val="24"/>
              </w:rPr>
              <w:t>评标及定标</w:t>
            </w:r>
          </w:p>
        </w:tc>
        <w:tc>
          <w:tcPr>
            <w:tcW w:w="8320" w:type="dxa"/>
            <w:shd w:val="clear" w:color="auto" w:fill="auto"/>
            <w:vAlign w:val="center"/>
          </w:tcPr>
          <w:p w14:paraId="723F2DD7">
            <w:pPr>
              <w:snapToGrid w:val="0"/>
              <w:spacing w:line="360" w:lineRule="auto"/>
              <w:rPr>
                <w:rFonts w:ascii="宋体" w:hAnsi="宋体" w:cs="宋体"/>
                <w:sz w:val="24"/>
              </w:rPr>
            </w:pPr>
            <w:r>
              <w:rPr>
                <w:rFonts w:hint="eastAsia" w:ascii="宋体" w:hAnsi="宋体" w:cs="宋体"/>
                <w:sz w:val="24"/>
              </w:rPr>
              <w:t>（1）由资格审查小组依据有关法律、法规及响应文件的有关规定，对各供应商提供的响应文件资格性进行审查，只有通过审查的供应商才能进入下一阶段的评审。</w:t>
            </w:r>
          </w:p>
          <w:p w14:paraId="054A91E5">
            <w:pPr>
              <w:spacing w:line="360" w:lineRule="auto"/>
              <w:rPr>
                <w:rFonts w:ascii="宋体" w:hAnsi="宋体" w:cs="宋体"/>
                <w:sz w:val="24"/>
              </w:rPr>
            </w:pPr>
            <w:r>
              <w:rPr>
                <w:rFonts w:hint="eastAsia" w:ascii="宋体" w:hAnsi="宋体" w:cs="宋体"/>
                <w:sz w:val="24"/>
              </w:rPr>
              <w:t>（2）通过初步评审和资格性、符合性审查（在商务、技术等满足响应文件全部实质性要求）的有效供应商，且</w:t>
            </w:r>
            <w:r>
              <w:rPr>
                <w:rFonts w:hint="eastAsia" w:ascii="宋体" w:hAnsi="宋体" w:cs="宋体"/>
                <w:sz w:val="24"/>
                <w:lang w:val="en-US" w:eastAsia="zh-CN"/>
              </w:rPr>
              <w:t>最终报价最低</w:t>
            </w:r>
            <w:r>
              <w:rPr>
                <w:rFonts w:hint="eastAsia" w:ascii="宋体" w:hAnsi="宋体" w:cs="宋体"/>
                <w:sz w:val="24"/>
              </w:rPr>
              <w:t>的供应商为成交候选人，本项目推荐成交候选人数量为3名；</w:t>
            </w:r>
          </w:p>
          <w:p w14:paraId="3E1B1FC8">
            <w:pPr>
              <w:snapToGrid w:val="0"/>
              <w:spacing w:line="360" w:lineRule="auto"/>
              <w:rPr>
                <w:rFonts w:ascii="宋体" w:hAnsi="宋体" w:cs="宋体"/>
                <w:sz w:val="24"/>
              </w:rPr>
            </w:pPr>
            <w:r>
              <w:rPr>
                <w:rFonts w:hint="eastAsia" w:ascii="宋体" w:hAnsi="宋体" w:cs="宋体"/>
                <w:sz w:val="24"/>
              </w:rPr>
              <w:t>（3）各供应商的响应文件将提交磋商小组审核。供应商应对其提交的响应文件中资料的真实性、合法性负责并承担相应的法律责任，即使供应商所提交的响应文件通过了审查，乃至已确定了成交供应商后，如发现供应商所提供的资格类文件不合法或不真实，或存在虚假资料的，仍可废除其成交资格并追究成交供应商的法律责任。</w:t>
            </w:r>
          </w:p>
          <w:p w14:paraId="0E8D4E17">
            <w:pPr>
              <w:pStyle w:val="12"/>
              <w:spacing w:line="360" w:lineRule="auto"/>
              <w:rPr>
                <w:rFonts w:ascii="宋体" w:hAnsi="宋体" w:cs="宋体"/>
              </w:rPr>
            </w:pPr>
            <w:r>
              <w:rPr>
                <w:rFonts w:ascii="宋体" w:hAnsi="宋体" w:cs="宋体"/>
              </w:rPr>
              <w:t>（</w:t>
            </w:r>
            <w:r>
              <w:rPr>
                <w:rFonts w:hint="eastAsia" w:ascii="宋体" w:hAnsi="宋体" w:cs="宋体"/>
              </w:rPr>
              <w:t>4</w:t>
            </w:r>
            <w:r>
              <w:rPr>
                <w:rFonts w:ascii="宋体" w:hAnsi="宋体" w:cs="宋体"/>
              </w:rPr>
              <w:t>）</w:t>
            </w:r>
            <w:r>
              <w:rPr>
                <w:rFonts w:hint="eastAsia" w:ascii="宋体" w:hAnsi="宋体" w:cs="宋体"/>
              </w:rPr>
              <w:t>磋商轮数和最后报价的其他要求：</w:t>
            </w:r>
          </w:p>
          <w:p w14:paraId="4FC769E1">
            <w:pPr>
              <w:pStyle w:val="12"/>
              <w:spacing w:line="360" w:lineRule="auto"/>
              <w:rPr>
                <w:rFonts w:ascii="宋体" w:hAnsi="宋体" w:cs="宋体"/>
              </w:rPr>
            </w:pPr>
            <w:r>
              <w:rPr>
                <w:rFonts w:hint="eastAsia" w:ascii="宋体" w:hAnsi="宋体" w:cs="宋体"/>
              </w:rPr>
              <w:t>1、磋商轮数:二次或二次以上；</w:t>
            </w:r>
          </w:p>
          <w:p w14:paraId="0C55B9CD">
            <w:pPr>
              <w:pStyle w:val="12"/>
              <w:spacing w:line="360" w:lineRule="auto"/>
              <w:rPr>
                <w:rFonts w:ascii="Calibri" w:hAnsi="Calibri" w:eastAsia="宋体" w:cs="Times New Roman"/>
                <w:kern w:val="0"/>
                <w:sz w:val="24"/>
                <w:szCs w:val="20"/>
                <w:lang w:val="en-US" w:eastAsia="zh-CN" w:bidi="ar-SA"/>
              </w:rPr>
            </w:pPr>
            <w:r>
              <w:rPr>
                <w:rFonts w:hint="eastAsia" w:ascii="宋体" w:hAnsi="宋体" w:cs="宋体"/>
              </w:rPr>
              <w:t>2、最后一轮磋商结束后，所有仍在参加磋商的供应商按照磋商小组的要求做最后报价（含修正的响应文件，如有）</w:t>
            </w:r>
            <w:r>
              <w:rPr>
                <w:rFonts w:hint="eastAsia" w:ascii="宋体" w:hAnsi="宋体" w:cs="宋体"/>
                <w:b/>
              </w:rPr>
              <w:t>。</w:t>
            </w:r>
          </w:p>
        </w:tc>
      </w:tr>
      <w:tr w14:paraId="7A10C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7552B5B8">
            <w:pPr>
              <w:spacing w:line="360" w:lineRule="auto"/>
              <w:jc w:val="center"/>
              <w:rPr>
                <w:rFonts w:ascii="宋体" w:hAnsi="宋体" w:eastAsia="宋体"/>
                <w:kern w:val="0"/>
                <w:sz w:val="24"/>
                <w:szCs w:val="24"/>
              </w:rPr>
            </w:pPr>
            <w:r>
              <w:rPr>
                <w:rFonts w:hint="eastAsia" w:ascii="宋体" w:hAnsi="宋体" w:eastAsia="宋体"/>
                <w:kern w:val="0"/>
                <w:sz w:val="24"/>
                <w:szCs w:val="24"/>
              </w:rPr>
              <w:t>5</w:t>
            </w:r>
          </w:p>
        </w:tc>
        <w:tc>
          <w:tcPr>
            <w:tcW w:w="1666" w:type="dxa"/>
            <w:vAlign w:val="center"/>
          </w:tcPr>
          <w:p w14:paraId="6B8EC5CF">
            <w:pPr>
              <w:keepNext/>
              <w:widowControl/>
              <w:spacing w:line="360" w:lineRule="auto"/>
              <w:jc w:val="center"/>
              <w:rPr>
                <w:rFonts w:ascii="宋体" w:hAnsi="宋体" w:eastAsia="宋体" w:cs="Arial"/>
                <w:b/>
                <w:bCs/>
                <w:kern w:val="0"/>
                <w:sz w:val="24"/>
                <w:szCs w:val="24"/>
              </w:rPr>
            </w:pPr>
            <w:r>
              <w:rPr>
                <w:rFonts w:hint="eastAsia" w:ascii="宋体" w:hAnsi="宋体" w:eastAsia="宋体" w:cs="Arial"/>
                <w:b/>
                <w:bCs/>
                <w:kern w:val="0"/>
                <w:sz w:val="24"/>
                <w:szCs w:val="24"/>
              </w:rPr>
              <w:t>供应商资格条件和能力</w:t>
            </w:r>
          </w:p>
        </w:tc>
        <w:tc>
          <w:tcPr>
            <w:tcW w:w="8320" w:type="dxa"/>
            <w:vAlign w:val="center"/>
          </w:tcPr>
          <w:p w14:paraId="769EA309">
            <w:pPr>
              <w:spacing w:line="360" w:lineRule="auto"/>
              <w:rPr>
                <w:rFonts w:ascii="宋体" w:hAnsi="宋体"/>
                <w:b/>
                <w:bCs/>
                <w:sz w:val="24"/>
              </w:rPr>
            </w:pPr>
            <w:r>
              <w:rPr>
                <w:rFonts w:hint="eastAsia" w:ascii="宋体" w:hAnsi="宋体"/>
                <w:b/>
                <w:bCs/>
                <w:sz w:val="24"/>
              </w:rPr>
              <w:t>1.供应商应具备《中华人民共和国政府采购法》第二十二条规定的条件，提供下列材料：</w:t>
            </w:r>
          </w:p>
          <w:p w14:paraId="0935530F">
            <w:pPr>
              <w:spacing w:line="360" w:lineRule="auto"/>
              <w:rPr>
                <w:rFonts w:ascii="宋体" w:hAnsi="宋体"/>
                <w:b/>
                <w:bCs/>
                <w:sz w:val="24"/>
              </w:rPr>
            </w:pPr>
            <w:r>
              <w:rPr>
                <w:rFonts w:hint="eastAsia" w:ascii="宋体" w:hAnsi="宋体"/>
                <w:b/>
                <w:bCs/>
                <w:sz w:val="24"/>
              </w:rPr>
              <w:t>1）具有独立承担民事责任的能力；（投标时，提供在中华人民共和国境内注册的法人或其他组织的营业执照或事业单位法人证书或社会团体法人登记证书复印件/扫描件。）</w:t>
            </w:r>
          </w:p>
          <w:p w14:paraId="31361DA9">
            <w:pPr>
              <w:spacing w:line="360" w:lineRule="auto"/>
              <w:rPr>
                <w:rFonts w:ascii="宋体" w:hAnsi="宋体"/>
                <w:b/>
                <w:bCs/>
                <w:sz w:val="24"/>
              </w:rPr>
            </w:pPr>
            <w:r>
              <w:rPr>
                <w:rFonts w:hint="eastAsia" w:ascii="宋体" w:hAnsi="宋体"/>
                <w:b/>
                <w:bCs/>
                <w:sz w:val="24"/>
              </w:rPr>
              <w:t>2）有依法缴纳税收和社会保障资金的良好记录；（投标时，提供响应截止时间前1年内任意1个月缴纳税收凭据证明材料复印件/扫描件；如依法免税的，应提供相应文件证明；提供响应截止时间前1年内任意1个月缴纳社会保险的凭据证明材料复印件/扫描件；如依法不需要缴纳社会保障资金的，应提供相应文件证明）</w:t>
            </w:r>
          </w:p>
          <w:p w14:paraId="6B7D0F20">
            <w:pPr>
              <w:spacing w:line="360" w:lineRule="auto"/>
              <w:rPr>
                <w:rFonts w:ascii="宋体" w:hAnsi="宋体"/>
                <w:b/>
                <w:bCs/>
                <w:sz w:val="24"/>
              </w:rPr>
            </w:pPr>
            <w:r>
              <w:rPr>
                <w:rFonts w:hint="eastAsia" w:ascii="宋体" w:hAnsi="宋体"/>
                <w:b/>
                <w:bCs/>
                <w:sz w:val="24"/>
              </w:rPr>
              <w:t xml:space="preserve"> 3）具有良好的商业信誉和健全的财务会计制度：（投标时，提供2</w:t>
            </w:r>
            <w:r>
              <w:rPr>
                <w:rFonts w:ascii="宋体" w:hAnsi="宋体"/>
                <w:b/>
                <w:bCs/>
                <w:sz w:val="24"/>
              </w:rPr>
              <w:t>023年度</w:t>
            </w:r>
            <w:r>
              <w:rPr>
                <w:rFonts w:hint="eastAsia" w:ascii="宋体" w:hAnsi="宋体"/>
                <w:b/>
                <w:bCs/>
                <w:sz w:val="24"/>
              </w:rPr>
              <w:t xml:space="preserve">财务状况报告复印件/扫描件，成立不足一个年度的提供近三个月内任意一个月的银行资信证明材料复印件/扫描件） </w:t>
            </w:r>
          </w:p>
          <w:p w14:paraId="691A8BFB">
            <w:pPr>
              <w:spacing w:line="360" w:lineRule="auto"/>
              <w:rPr>
                <w:rFonts w:ascii="宋体" w:hAnsi="宋体"/>
                <w:b/>
                <w:bCs/>
                <w:sz w:val="24"/>
              </w:rPr>
            </w:pPr>
            <w:r>
              <w:rPr>
                <w:rFonts w:hint="eastAsia" w:ascii="宋体" w:hAnsi="宋体"/>
                <w:b/>
                <w:bCs/>
                <w:sz w:val="24"/>
              </w:rPr>
              <w:t>4）具有履行合同所必须的设备和专业技术能力；（投标时，供应商出具承诺函，承诺满足要求，加盖供应商公章）</w:t>
            </w:r>
          </w:p>
          <w:p w14:paraId="367EC377">
            <w:pPr>
              <w:spacing w:line="360" w:lineRule="auto"/>
              <w:rPr>
                <w:rFonts w:ascii="宋体" w:hAnsi="宋体"/>
                <w:b/>
                <w:bCs/>
                <w:sz w:val="24"/>
              </w:rPr>
            </w:pPr>
            <w:r>
              <w:rPr>
                <w:rFonts w:hint="eastAsia" w:ascii="宋体" w:hAnsi="宋体"/>
                <w:b/>
                <w:bCs/>
                <w:sz w:val="24"/>
              </w:rPr>
              <w:t xml:space="preserve"> 5）参加采购活动前3年内，在经营活动中没有重大违法记录；（投标时，供应商出具承诺函，加盖供应商公章）</w:t>
            </w:r>
          </w:p>
          <w:p w14:paraId="6C53CF09">
            <w:pPr>
              <w:spacing w:line="360" w:lineRule="auto"/>
              <w:rPr>
                <w:rFonts w:ascii="宋体" w:hAnsi="宋体"/>
                <w:b/>
                <w:bCs/>
                <w:sz w:val="24"/>
              </w:rPr>
            </w:pPr>
            <w:r>
              <w:rPr>
                <w:rFonts w:hint="eastAsia" w:ascii="宋体" w:hAnsi="宋体"/>
                <w:b/>
                <w:bCs/>
                <w:sz w:val="24"/>
              </w:rPr>
              <w:t>注：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 6）信用记录：供应商未被列入“信用中国”网站(www.creditchina.gov.cn)“记录失信被执行人、重大税收违法案件当事人名单、政府采购严重违法失信行为”记录名单；不处于中国政府采购网(www.ccgp.gov.cn)“政府采购严重违法失信行为信息记录”中的禁止参加政府采购活动期间。如相关失信记录已失效，供应商需提供相关证明资料，如在上述网站查询结果均显示没有相关记录，视为没有上述不良信用记录。）以代理机构或监督人员现场查询结果为准。</w:t>
            </w:r>
          </w:p>
          <w:p w14:paraId="4366FFB0">
            <w:pPr>
              <w:spacing w:line="360" w:lineRule="auto"/>
              <w:rPr>
                <w:rFonts w:ascii="宋体" w:hAnsi="宋体"/>
                <w:b/>
                <w:bCs/>
                <w:sz w:val="24"/>
              </w:rPr>
            </w:pPr>
            <w:r>
              <w:rPr>
                <w:rFonts w:hint="eastAsia" w:ascii="宋体" w:hAnsi="宋体"/>
                <w:b/>
                <w:bCs/>
                <w:sz w:val="24"/>
              </w:rPr>
              <w:t>7）落实政府采购政策需满足的资格要求：本项目为专门面向中小微企业采购的项目，供应商需提供中小企业证明文件，格式详见</w:t>
            </w:r>
            <w:r>
              <w:rPr>
                <w:rFonts w:hint="eastAsia" w:ascii="宋体" w:hAnsi="宋体"/>
                <w:b/>
                <w:bCs/>
                <w:sz w:val="24"/>
                <w:lang w:eastAsia="zh-CN"/>
              </w:rPr>
              <w:t>第五章</w:t>
            </w:r>
            <w:r>
              <w:rPr>
                <w:rFonts w:hint="eastAsia" w:ascii="宋体" w:hAnsi="宋体"/>
                <w:b/>
                <w:bCs/>
                <w:sz w:val="24"/>
              </w:rPr>
              <w:t xml:space="preserve"> 响应文件格式。</w:t>
            </w:r>
          </w:p>
          <w:p w14:paraId="333968F6">
            <w:pPr>
              <w:spacing w:line="360" w:lineRule="auto"/>
              <w:rPr>
                <w:rFonts w:ascii="宋体" w:hAnsi="宋体"/>
                <w:b/>
                <w:bCs/>
                <w:sz w:val="24"/>
              </w:rPr>
            </w:pPr>
            <w:r>
              <w:rPr>
                <w:rFonts w:hint="eastAsia" w:ascii="宋体" w:hAnsi="宋体"/>
                <w:b/>
                <w:bCs/>
                <w:sz w:val="24"/>
              </w:rPr>
              <w:t>8）单位负责人为同一人或者存在直接控股、管理关系的不同供应商，不得参加同一合同项下的政府采购活动。与采购人存在利害关系可能影响招标公正性的法人、其他组织或者个人，不得参加投标。（投标时，供应商出具承诺函，加盖供应商公章）。</w:t>
            </w:r>
          </w:p>
          <w:p w14:paraId="3D2E9348">
            <w:pPr>
              <w:spacing w:line="360" w:lineRule="auto"/>
              <w:rPr>
                <w:rFonts w:ascii="宋体" w:hAnsi="宋体"/>
                <w:b/>
                <w:bCs/>
                <w:sz w:val="24"/>
              </w:rPr>
            </w:pPr>
            <w:r>
              <w:rPr>
                <w:rFonts w:hint="eastAsia" w:ascii="宋体" w:hAnsi="宋体"/>
                <w:b/>
                <w:bCs/>
                <w:sz w:val="24"/>
                <w:lang w:val="en-US" w:eastAsia="zh-CN"/>
              </w:rPr>
              <w:t>9</w:t>
            </w:r>
            <w:r>
              <w:rPr>
                <w:rFonts w:hint="eastAsia" w:ascii="宋体" w:hAnsi="宋体"/>
                <w:b/>
                <w:bCs/>
                <w:sz w:val="24"/>
              </w:rPr>
              <w:t>）本项目不接受联合体投标。（投标时，供应商出具承诺函，加盖供应商公章）。</w:t>
            </w:r>
          </w:p>
        </w:tc>
      </w:tr>
      <w:tr w14:paraId="005D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45EFA383">
            <w:pPr>
              <w:spacing w:line="360" w:lineRule="auto"/>
              <w:jc w:val="center"/>
              <w:rPr>
                <w:rFonts w:ascii="宋体" w:hAnsi="宋体" w:eastAsia="宋体"/>
                <w:kern w:val="0"/>
                <w:sz w:val="24"/>
                <w:szCs w:val="24"/>
              </w:rPr>
            </w:pPr>
            <w:r>
              <w:rPr>
                <w:rFonts w:hint="eastAsia" w:ascii="宋体" w:hAnsi="宋体" w:eastAsia="宋体"/>
                <w:kern w:val="0"/>
                <w:sz w:val="24"/>
                <w:szCs w:val="24"/>
              </w:rPr>
              <w:t>6</w:t>
            </w:r>
          </w:p>
        </w:tc>
        <w:tc>
          <w:tcPr>
            <w:tcW w:w="1666" w:type="dxa"/>
            <w:vAlign w:val="center"/>
          </w:tcPr>
          <w:p w14:paraId="4D588C69">
            <w:pPr>
              <w:keepNext/>
              <w:widowControl/>
              <w:spacing w:line="360" w:lineRule="auto"/>
              <w:jc w:val="center"/>
              <w:rPr>
                <w:rFonts w:ascii="宋体" w:hAnsi="宋体" w:eastAsia="宋体" w:cs="Arial"/>
                <w:kern w:val="0"/>
                <w:sz w:val="24"/>
                <w:szCs w:val="24"/>
              </w:rPr>
            </w:pPr>
            <w:r>
              <w:rPr>
                <w:rFonts w:hint="eastAsia" w:ascii="宋体" w:hAnsi="宋体" w:eastAsia="宋体" w:cs="Arial"/>
                <w:kern w:val="0"/>
                <w:sz w:val="24"/>
                <w:szCs w:val="24"/>
              </w:rPr>
              <w:t>磋商保证金</w:t>
            </w:r>
          </w:p>
        </w:tc>
        <w:tc>
          <w:tcPr>
            <w:tcW w:w="8320" w:type="dxa"/>
            <w:vAlign w:val="center"/>
          </w:tcPr>
          <w:p w14:paraId="1DE23260">
            <w:pPr>
              <w:spacing w:line="360" w:lineRule="auto"/>
              <w:rPr>
                <w:rFonts w:ascii="宋体" w:hAnsi="宋体" w:cs="宋体"/>
                <w:bCs/>
                <w:sz w:val="24"/>
                <w:highlight w:val="none"/>
                <w:shd w:val="clear" w:color="auto" w:fill="FFFFFF"/>
              </w:rPr>
            </w:pPr>
            <w:r>
              <w:rPr>
                <w:rFonts w:hint="eastAsia" w:ascii="宋体" w:hAnsi="宋体" w:cs="宋体"/>
                <w:bCs/>
                <w:sz w:val="24"/>
                <w:highlight w:val="none"/>
                <w:shd w:val="clear" w:color="auto" w:fill="FFFFFF"/>
              </w:rPr>
              <w:t>交纳形式：电汇、转账、保函等形式</w:t>
            </w:r>
          </w:p>
          <w:p w14:paraId="2B225B0D">
            <w:pPr>
              <w:tabs>
                <w:tab w:val="left" w:pos="3060"/>
              </w:tabs>
              <w:spacing w:line="360" w:lineRule="auto"/>
              <w:rPr>
                <w:rFonts w:ascii="宋体" w:hAnsi="宋体" w:cs="宋体"/>
                <w:sz w:val="24"/>
                <w:highlight w:val="none"/>
              </w:rPr>
            </w:pPr>
            <w:r>
              <w:rPr>
                <w:rFonts w:hint="eastAsia" w:ascii="宋体" w:hAnsi="宋体" w:cs="宋体"/>
                <w:sz w:val="24"/>
                <w:highlight w:val="none"/>
              </w:rPr>
              <w:t>磋商保证金金额：</w:t>
            </w:r>
            <w:r>
              <w:rPr>
                <w:rFonts w:hint="eastAsia" w:ascii="宋体" w:hAnsi="宋体" w:cs="宋体"/>
                <w:sz w:val="24"/>
                <w:highlight w:val="none"/>
                <w:lang w:val="en-US" w:eastAsia="zh-CN"/>
              </w:rPr>
              <w:t>3000</w:t>
            </w:r>
            <w:r>
              <w:rPr>
                <w:rFonts w:hint="eastAsia" w:ascii="宋体" w:hAnsi="宋体" w:cs="宋体"/>
                <w:sz w:val="24"/>
                <w:highlight w:val="none"/>
              </w:rPr>
              <w:t>元</w:t>
            </w:r>
          </w:p>
          <w:p w14:paraId="06B5CAC4">
            <w:pPr>
              <w:tabs>
                <w:tab w:val="left" w:pos="3060"/>
              </w:tabs>
              <w:spacing w:line="360" w:lineRule="auto"/>
              <w:rPr>
                <w:rFonts w:ascii="宋体" w:hAnsi="宋体" w:cs="宋体"/>
                <w:sz w:val="24"/>
              </w:rPr>
            </w:pPr>
            <w:r>
              <w:rPr>
                <w:rFonts w:hint="eastAsia" w:ascii="宋体" w:hAnsi="宋体" w:cs="宋体"/>
                <w:sz w:val="24"/>
              </w:rPr>
              <w:t>磋商保证金币种：人民币。</w:t>
            </w:r>
          </w:p>
          <w:p w14:paraId="1F733920">
            <w:pPr>
              <w:tabs>
                <w:tab w:val="left" w:pos="3060"/>
              </w:tabs>
              <w:spacing w:line="360" w:lineRule="auto"/>
              <w:rPr>
                <w:rFonts w:ascii="宋体" w:hAnsi="宋体" w:cs="宋体"/>
                <w:sz w:val="24"/>
              </w:rPr>
            </w:pPr>
            <w:r>
              <w:rPr>
                <w:rFonts w:hint="eastAsia" w:ascii="宋体" w:hAnsi="宋体" w:cs="宋体"/>
                <w:sz w:val="24"/>
              </w:rPr>
              <w:t>开户名：国义招标股份有限公司新疆分公司</w:t>
            </w:r>
          </w:p>
          <w:p w14:paraId="08A92B75">
            <w:pPr>
              <w:tabs>
                <w:tab w:val="left" w:pos="3060"/>
              </w:tabs>
              <w:spacing w:line="360" w:lineRule="auto"/>
              <w:rPr>
                <w:rFonts w:ascii="宋体" w:hAnsi="宋体" w:cs="宋体"/>
                <w:sz w:val="24"/>
              </w:rPr>
            </w:pPr>
            <w:r>
              <w:rPr>
                <w:rFonts w:hint="eastAsia" w:ascii="宋体" w:hAnsi="宋体" w:cs="宋体"/>
                <w:sz w:val="24"/>
              </w:rPr>
              <w:t>开户行：招商银行乌鲁木齐西虹东路支行</w:t>
            </w:r>
          </w:p>
          <w:p w14:paraId="2C806775">
            <w:pPr>
              <w:spacing w:line="360" w:lineRule="auto"/>
              <w:rPr>
                <w:rFonts w:ascii="宋体" w:hAnsi="宋体" w:cs="宋体"/>
                <w:sz w:val="24"/>
              </w:rPr>
            </w:pPr>
            <w:r>
              <w:rPr>
                <w:rFonts w:hint="eastAsia" w:ascii="宋体" w:hAnsi="宋体" w:cs="宋体"/>
                <w:sz w:val="24"/>
              </w:rPr>
              <w:t>账号：991903098610801</w:t>
            </w:r>
          </w:p>
          <w:p w14:paraId="76D714D6">
            <w:pPr>
              <w:spacing w:line="360" w:lineRule="auto"/>
              <w:rPr>
                <w:rFonts w:ascii="宋体" w:hAnsi="宋体" w:cs="宋体"/>
                <w:spacing w:val="-4"/>
                <w:sz w:val="24"/>
              </w:rPr>
            </w:pPr>
            <w:r>
              <w:rPr>
                <w:rFonts w:hint="eastAsia" w:ascii="宋体" w:hAnsi="宋体" w:cs="宋体"/>
                <w:spacing w:val="-4"/>
                <w:sz w:val="24"/>
              </w:rPr>
              <w:t>附注：（供应商公司名称+项目编号后</w:t>
            </w:r>
            <w:r>
              <w:rPr>
                <w:rFonts w:ascii="宋体" w:hAnsi="宋体" w:cs="宋体"/>
                <w:spacing w:val="-4"/>
                <w:sz w:val="24"/>
              </w:rPr>
              <w:t>4</w:t>
            </w:r>
            <w:r>
              <w:rPr>
                <w:rFonts w:hint="eastAsia" w:ascii="宋体" w:hAnsi="宋体" w:cs="宋体"/>
                <w:spacing w:val="-4"/>
                <w:sz w:val="24"/>
              </w:rPr>
              <w:t>位数+保证金）</w:t>
            </w:r>
          </w:p>
          <w:p w14:paraId="2B4729FD">
            <w:pPr>
              <w:spacing w:line="360" w:lineRule="auto"/>
              <w:rPr>
                <w:rFonts w:ascii="宋体" w:hAnsi="宋体" w:cs="宋体"/>
                <w:spacing w:val="-4"/>
                <w:sz w:val="24"/>
              </w:rPr>
            </w:pPr>
            <w:r>
              <w:rPr>
                <w:rFonts w:hint="eastAsia" w:ascii="宋体" w:hAnsi="宋体" w:cs="宋体"/>
                <w:sz w:val="24"/>
              </w:rPr>
              <w:t>注：于响应文件截止时间之前缴纳并到账，</w:t>
            </w:r>
            <w:r>
              <w:rPr>
                <w:rFonts w:hint="eastAsia" w:ascii="宋体" w:hAnsi="宋体" w:cs="宋体"/>
                <w:color w:val="000000"/>
                <w:sz w:val="24"/>
              </w:rPr>
              <w:t>供应商必须从基本账户以电汇或网银方式提交保证金，不接受其他方式的磋商保证金。且磋商保证金单位名称必须与供应商登记的单位名称一致，不得以分公司、办事处或其他机构名义递交。</w:t>
            </w:r>
            <w:r>
              <w:rPr>
                <w:rFonts w:hint="eastAsia" w:ascii="宋体" w:hAnsi="宋体" w:cs="宋体"/>
                <w:sz w:val="24"/>
              </w:rPr>
              <w:t>（供应商须充分考虑磋商保证金汇（转）出手续办理时间、在途时间、资金到账时间等，准确有效安排磋商保证金提交，确保磋商保证金准时或提前到达指定磋商保证金账户。）</w:t>
            </w:r>
          </w:p>
        </w:tc>
      </w:tr>
      <w:tr w14:paraId="3CEA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75E61DDF">
            <w:pPr>
              <w:spacing w:line="360" w:lineRule="auto"/>
              <w:jc w:val="center"/>
              <w:rPr>
                <w:rFonts w:ascii="宋体" w:hAnsi="宋体" w:eastAsia="宋体"/>
                <w:kern w:val="0"/>
                <w:sz w:val="24"/>
                <w:szCs w:val="24"/>
              </w:rPr>
            </w:pPr>
            <w:r>
              <w:rPr>
                <w:rFonts w:hint="eastAsia" w:ascii="宋体" w:hAnsi="宋体" w:eastAsia="宋体"/>
                <w:kern w:val="0"/>
                <w:sz w:val="24"/>
                <w:szCs w:val="24"/>
              </w:rPr>
              <w:t>7</w:t>
            </w:r>
          </w:p>
        </w:tc>
        <w:tc>
          <w:tcPr>
            <w:tcW w:w="1666" w:type="dxa"/>
            <w:vAlign w:val="center"/>
          </w:tcPr>
          <w:p w14:paraId="3B6436AC">
            <w:pPr>
              <w:pStyle w:val="16"/>
              <w:spacing w:line="360" w:lineRule="auto"/>
              <w:jc w:val="center"/>
              <w:rPr>
                <w:rFonts w:hAnsi="宋体" w:cs="宋体"/>
                <w:sz w:val="24"/>
              </w:rPr>
            </w:pPr>
            <w:r>
              <w:rPr>
                <w:rFonts w:hint="eastAsia" w:hAnsi="宋体" w:cs="宋体"/>
                <w:sz w:val="24"/>
              </w:rPr>
              <w:t>磋商保证金的退还</w:t>
            </w:r>
          </w:p>
        </w:tc>
        <w:tc>
          <w:tcPr>
            <w:tcW w:w="8320" w:type="dxa"/>
            <w:vAlign w:val="center"/>
          </w:tcPr>
          <w:p w14:paraId="43CE69C1">
            <w:pPr>
              <w:pStyle w:val="16"/>
              <w:spacing w:line="360" w:lineRule="auto"/>
              <w:rPr>
                <w:rFonts w:hAnsi="宋体" w:cs="宋体"/>
                <w:sz w:val="24"/>
              </w:rPr>
            </w:pPr>
            <w:r>
              <w:rPr>
                <w:rFonts w:hint="eastAsia" w:hAnsi="宋体" w:cs="宋体"/>
                <w:sz w:val="24"/>
              </w:rPr>
              <w:t>（1）供应商在响应截止时间前撤回已提交的响应文件的，采购人或者采购代理机构应当自收到供应商书面撤回通知之日起5个工作日内，退还已收取的磋商保证金，但因供应商自身原因导致无法及时退还的除外。</w:t>
            </w:r>
          </w:p>
          <w:p w14:paraId="1C77F84E">
            <w:pPr>
              <w:spacing w:line="360" w:lineRule="auto"/>
              <w:rPr>
                <w:rFonts w:ascii="宋体" w:hAnsi="宋体" w:cs="宋体"/>
                <w:sz w:val="24"/>
                <w:szCs w:val="21"/>
              </w:rPr>
            </w:pPr>
            <w:r>
              <w:rPr>
                <w:rFonts w:hint="eastAsia" w:ascii="宋体" w:hAnsi="宋体" w:cs="宋体"/>
                <w:sz w:val="24"/>
                <w:szCs w:val="21"/>
              </w:rPr>
              <w:t>（2）采购人或者采购代理机构应当自成交通知书发出之日起5个工作日内退还未中标人的磋商保证金，自采购合同签订之日起5个工作日内退还中标人的磋商保证金。</w:t>
            </w:r>
          </w:p>
        </w:tc>
      </w:tr>
      <w:tr w14:paraId="09DD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3F20BA9E">
            <w:pPr>
              <w:spacing w:line="360" w:lineRule="auto"/>
              <w:jc w:val="center"/>
              <w:rPr>
                <w:rFonts w:ascii="宋体" w:hAnsi="宋体" w:eastAsia="宋体"/>
                <w:kern w:val="0"/>
                <w:sz w:val="24"/>
                <w:szCs w:val="24"/>
              </w:rPr>
            </w:pPr>
            <w:r>
              <w:rPr>
                <w:rFonts w:hint="eastAsia" w:ascii="宋体" w:hAnsi="宋体" w:eastAsia="宋体"/>
                <w:kern w:val="0"/>
                <w:sz w:val="24"/>
                <w:szCs w:val="24"/>
              </w:rPr>
              <w:t>8</w:t>
            </w:r>
          </w:p>
        </w:tc>
        <w:tc>
          <w:tcPr>
            <w:tcW w:w="1666" w:type="dxa"/>
            <w:vAlign w:val="center"/>
          </w:tcPr>
          <w:p w14:paraId="301A17B5">
            <w:pPr>
              <w:pStyle w:val="16"/>
              <w:spacing w:line="360" w:lineRule="auto"/>
              <w:jc w:val="center"/>
              <w:rPr>
                <w:rFonts w:hAnsi="宋体" w:cs="宋体"/>
                <w:sz w:val="24"/>
              </w:rPr>
            </w:pPr>
            <w:r>
              <w:rPr>
                <w:rFonts w:hint="eastAsia" w:hAnsi="宋体" w:cs="宋体"/>
                <w:sz w:val="24"/>
              </w:rPr>
              <w:t>不予退还保证金的情形</w:t>
            </w:r>
          </w:p>
        </w:tc>
        <w:tc>
          <w:tcPr>
            <w:tcW w:w="8320" w:type="dxa"/>
            <w:vAlign w:val="center"/>
          </w:tcPr>
          <w:p w14:paraId="24C7BDB6">
            <w:pPr>
              <w:pStyle w:val="16"/>
              <w:spacing w:line="360" w:lineRule="auto"/>
              <w:rPr>
                <w:rFonts w:hAnsi="宋体" w:cs="宋体"/>
                <w:sz w:val="24"/>
              </w:rPr>
            </w:pPr>
            <w:r>
              <w:rPr>
                <w:rFonts w:hint="eastAsia" w:hAnsi="宋体" w:cs="宋体"/>
                <w:sz w:val="24"/>
              </w:rPr>
              <w:t>有下列情形之一的，保证金不予退还：</w:t>
            </w:r>
          </w:p>
          <w:p w14:paraId="7981769C">
            <w:pPr>
              <w:pStyle w:val="16"/>
              <w:spacing w:line="360" w:lineRule="auto"/>
              <w:rPr>
                <w:rFonts w:hAnsi="宋体" w:cs="宋体"/>
                <w:sz w:val="24"/>
              </w:rPr>
            </w:pPr>
            <w:r>
              <w:rPr>
                <w:rFonts w:hint="eastAsia" w:hAnsi="宋体" w:cs="宋体"/>
                <w:sz w:val="24"/>
              </w:rPr>
              <w:t>（1）供应商在提交响应文件截止时间后撤回响应文件的；</w:t>
            </w:r>
          </w:p>
          <w:p w14:paraId="246E57A8">
            <w:pPr>
              <w:pStyle w:val="16"/>
              <w:spacing w:line="360" w:lineRule="auto"/>
              <w:rPr>
                <w:rFonts w:hAnsi="宋体" w:cs="宋体"/>
                <w:sz w:val="24"/>
              </w:rPr>
            </w:pPr>
            <w:r>
              <w:rPr>
                <w:rFonts w:hint="eastAsia" w:hAnsi="宋体" w:cs="宋体"/>
                <w:sz w:val="24"/>
              </w:rPr>
              <w:t>（2）供应商在响应文件中提供虚假材料的；</w:t>
            </w:r>
          </w:p>
          <w:p w14:paraId="2964FF72">
            <w:pPr>
              <w:pStyle w:val="16"/>
              <w:spacing w:line="360" w:lineRule="auto"/>
              <w:rPr>
                <w:rFonts w:hAnsi="宋体" w:cs="宋体"/>
                <w:sz w:val="24"/>
              </w:rPr>
            </w:pPr>
            <w:r>
              <w:rPr>
                <w:rFonts w:hint="eastAsia" w:hAnsi="宋体" w:cs="宋体"/>
                <w:sz w:val="24"/>
              </w:rPr>
              <w:t>（3）除因不可抗力或响应文件认可的情形以外，中标供应商不与采购人签订合同的；</w:t>
            </w:r>
          </w:p>
          <w:p w14:paraId="6F716FF5">
            <w:pPr>
              <w:pStyle w:val="16"/>
              <w:spacing w:line="360" w:lineRule="auto"/>
              <w:rPr>
                <w:rFonts w:hAnsi="宋体" w:cs="宋体"/>
                <w:sz w:val="24"/>
              </w:rPr>
            </w:pPr>
            <w:r>
              <w:rPr>
                <w:rFonts w:hint="eastAsia" w:hAnsi="宋体" w:cs="宋体"/>
                <w:sz w:val="24"/>
              </w:rPr>
              <w:t>（4）供应商与采购人、其他供应商或者采购代理机构恶意串通的；</w:t>
            </w:r>
          </w:p>
          <w:p w14:paraId="75E64B26">
            <w:pPr>
              <w:spacing w:line="360" w:lineRule="auto"/>
              <w:rPr>
                <w:rFonts w:ascii="宋体" w:hAnsi="宋体" w:cs="宋体"/>
                <w:sz w:val="24"/>
                <w:szCs w:val="21"/>
              </w:rPr>
            </w:pPr>
            <w:r>
              <w:rPr>
                <w:rFonts w:hint="eastAsia" w:ascii="宋体" w:hAnsi="宋体" w:cs="宋体"/>
                <w:sz w:val="24"/>
                <w:szCs w:val="21"/>
              </w:rPr>
              <w:t>（5）响应文件规定的其他情形。</w:t>
            </w:r>
          </w:p>
        </w:tc>
      </w:tr>
      <w:tr w14:paraId="7967D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04" w:hRule="atLeast"/>
          <w:jc w:val="center"/>
        </w:trPr>
        <w:tc>
          <w:tcPr>
            <w:tcW w:w="597" w:type="dxa"/>
            <w:vAlign w:val="center"/>
          </w:tcPr>
          <w:p w14:paraId="744D0836">
            <w:pPr>
              <w:spacing w:line="360" w:lineRule="auto"/>
              <w:jc w:val="center"/>
              <w:rPr>
                <w:rFonts w:ascii="宋体" w:hAnsi="宋体" w:eastAsia="宋体"/>
                <w:kern w:val="0"/>
                <w:sz w:val="24"/>
                <w:szCs w:val="24"/>
              </w:rPr>
            </w:pPr>
            <w:r>
              <w:rPr>
                <w:rFonts w:ascii="宋体" w:hAnsi="宋体" w:eastAsia="宋体"/>
                <w:kern w:val="0"/>
                <w:sz w:val="24"/>
                <w:szCs w:val="24"/>
              </w:rPr>
              <w:t>9</w:t>
            </w:r>
          </w:p>
        </w:tc>
        <w:tc>
          <w:tcPr>
            <w:tcW w:w="1666" w:type="dxa"/>
            <w:vAlign w:val="center"/>
          </w:tcPr>
          <w:p w14:paraId="21F7D591">
            <w:pPr>
              <w:keepNext/>
              <w:widowControl/>
              <w:spacing w:line="360" w:lineRule="auto"/>
              <w:jc w:val="center"/>
              <w:rPr>
                <w:rFonts w:ascii="宋体" w:hAnsi="宋体" w:eastAsia="宋体" w:cs="Arial"/>
                <w:kern w:val="0"/>
                <w:sz w:val="24"/>
                <w:szCs w:val="24"/>
              </w:rPr>
            </w:pPr>
            <w:r>
              <w:rPr>
                <w:rFonts w:hint="eastAsia" w:ascii="宋体" w:hAnsi="宋体" w:eastAsia="宋体" w:cs="Arial"/>
                <w:kern w:val="0"/>
                <w:sz w:val="24"/>
                <w:szCs w:val="24"/>
              </w:rPr>
              <w:t>现场踏勘</w:t>
            </w:r>
          </w:p>
        </w:tc>
        <w:tc>
          <w:tcPr>
            <w:tcW w:w="8320" w:type="dxa"/>
            <w:vAlign w:val="center"/>
          </w:tcPr>
          <w:p w14:paraId="7FFD72F6">
            <w:pPr>
              <w:keepNext/>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不组织</w:t>
            </w:r>
          </w:p>
        </w:tc>
      </w:tr>
      <w:tr w14:paraId="6BAF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04E35497">
            <w:pPr>
              <w:spacing w:line="360" w:lineRule="auto"/>
              <w:jc w:val="center"/>
              <w:rPr>
                <w:rFonts w:ascii="宋体" w:hAnsi="宋体" w:eastAsia="宋体"/>
                <w:kern w:val="0"/>
                <w:sz w:val="24"/>
                <w:szCs w:val="24"/>
              </w:rPr>
            </w:pPr>
            <w:r>
              <w:rPr>
                <w:rFonts w:ascii="宋体" w:hAnsi="宋体" w:eastAsia="宋体"/>
                <w:kern w:val="0"/>
                <w:sz w:val="24"/>
                <w:szCs w:val="24"/>
              </w:rPr>
              <w:t>10</w:t>
            </w:r>
          </w:p>
        </w:tc>
        <w:tc>
          <w:tcPr>
            <w:tcW w:w="1666" w:type="dxa"/>
            <w:vAlign w:val="center"/>
          </w:tcPr>
          <w:p w14:paraId="33DF7685">
            <w:pPr>
              <w:keepNext/>
              <w:widowControl/>
              <w:spacing w:line="360" w:lineRule="auto"/>
              <w:jc w:val="center"/>
              <w:rPr>
                <w:rFonts w:ascii="宋体" w:hAnsi="宋体" w:eastAsia="宋体" w:cs="Arial"/>
                <w:kern w:val="0"/>
                <w:sz w:val="24"/>
                <w:szCs w:val="24"/>
              </w:rPr>
            </w:pPr>
            <w:r>
              <w:rPr>
                <w:rFonts w:hint="eastAsia" w:ascii="宋体" w:hAnsi="宋体" w:eastAsia="宋体" w:cs="Arial"/>
                <w:kern w:val="0"/>
                <w:sz w:val="24"/>
                <w:szCs w:val="24"/>
              </w:rPr>
              <w:t>是否接受联合体投标</w:t>
            </w:r>
          </w:p>
        </w:tc>
        <w:tc>
          <w:tcPr>
            <w:tcW w:w="8320" w:type="dxa"/>
            <w:vAlign w:val="center"/>
          </w:tcPr>
          <w:p w14:paraId="69A73AAD">
            <w:pPr>
              <w:keepNext/>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否</w:t>
            </w:r>
          </w:p>
        </w:tc>
      </w:tr>
      <w:tr w14:paraId="1E3B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67D6406D">
            <w:pPr>
              <w:spacing w:line="360" w:lineRule="auto"/>
              <w:jc w:val="center"/>
              <w:rPr>
                <w:rFonts w:ascii="宋体" w:hAnsi="宋体" w:eastAsia="宋体"/>
                <w:kern w:val="0"/>
                <w:sz w:val="24"/>
                <w:szCs w:val="24"/>
              </w:rPr>
            </w:pPr>
            <w:r>
              <w:rPr>
                <w:rFonts w:hint="eastAsia" w:ascii="宋体" w:hAnsi="宋体" w:eastAsia="宋体"/>
                <w:kern w:val="0"/>
                <w:sz w:val="24"/>
                <w:szCs w:val="24"/>
              </w:rPr>
              <w:t>1</w:t>
            </w:r>
            <w:r>
              <w:rPr>
                <w:rFonts w:ascii="宋体" w:hAnsi="宋体" w:eastAsia="宋体"/>
                <w:kern w:val="0"/>
                <w:sz w:val="24"/>
                <w:szCs w:val="24"/>
              </w:rPr>
              <w:t>1</w:t>
            </w:r>
          </w:p>
        </w:tc>
        <w:tc>
          <w:tcPr>
            <w:tcW w:w="1666" w:type="dxa"/>
            <w:vAlign w:val="center"/>
          </w:tcPr>
          <w:p w14:paraId="07048109">
            <w:pPr>
              <w:snapToGrid w:val="0"/>
              <w:spacing w:line="360" w:lineRule="auto"/>
              <w:jc w:val="center"/>
              <w:rPr>
                <w:rFonts w:ascii="宋体" w:hAnsi="宋体" w:cs="宋体"/>
                <w:sz w:val="24"/>
              </w:rPr>
            </w:pPr>
            <w:r>
              <w:rPr>
                <w:rFonts w:hint="eastAsia" w:ascii="宋体" w:hAnsi="宋体" w:cs="宋体"/>
                <w:sz w:val="24"/>
              </w:rPr>
              <w:t>澄清或修改</w:t>
            </w:r>
          </w:p>
        </w:tc>
        <w:tc>
          <w:tcPr>
            <w:tcW w:w="8320" w:type="dxa"/>
            <w:vAlign w:val="center"/>
          </w:tcPr>
          <w:p w14:paraId="3F16212C">
            <w:pPr>
              <w:spacing w:line="360" w:lineRule="auto"/>
              <w:rPr>
                <w:rFonts w:ascii="宋体" w:hAnsi="宋体" w:cs="宋体"/>
                <w:bCs/>
                <w:kern w:val="0"/>
                <w:sz w:val="24"/>
              </w:rPr>
            </w:pPr>
            <w:r>
              <w:rPr>
                <w:rFonts w:hint="eastAsia" w:ascii="宋体" w:hAnsi="宋体" w:cs="宋体"/>
                <w:bCs/>
                <w:kern w:val="0"/>
                <w:sz w:val="24"/>
              </w:rPr>
              <w:t>获取响应文件的供应商如认为响应文件如有表述不清晰、缺页、漏页、损页或疑问等，应当在响应截止时间前的</w:t>
            </w:r>
            <w:r>
              <w:rPr>
                <w:rFonts w:ascii="宋体" w:hAnsi="宋体" w:cs="宋体"/>
                <w:bCs/>
                <w:kern w:val="0"/>
                <w:sz w:val="24"/>
              </w:rPr>
              <w:t>5</w:t>
            </w:r>
            <w:r>
              <w:rPr>
                <w:rFonts w:hint="eastAsia" w:ascii="宋体" w:hAnsi="宋体" w:cs="宋体"/>
                <w:bCs/>
                <w:kern w:val="0"/>
                <w:sz w:val="24"/>
              </w:rPr>
              <w:t>日前，以书面形式要求采购人做出书面解释、澄清或补齐。</w:t>
            </w:r>
          </w:p>
          <w:p w14:paraId="1952AB61">
            <w:pPr>
              <w:spacing w:line="360" w:lineRule="auto"/>
              <w:rPr>
                <w:rFonts w:ascii="宋体" w:hAnsi="宋体" w:cs="宋体"/>
                <w:bCs/>
                <w:kern w:val="0"/>
                <w:sz w:val="24"/>
              </w:rPr>
            </w:pPr>
            <w:r>
              <w:rPr>
                <w:rFonts w:hint="eastAsia" w:ascii="宋体" w:hAnsi="宋体" w:cs="宋体"/>
                <w:bCs/>
                <w:kern w:val="0"/>
                <w:sz w:val="24"/>
              </w:rPr>
              <w:t>采购人（采购代理机构）将在收到书面函的3个工作日内组织澄清或补齐；澄清或补齐内容是响应文件的组成部份，并将以响应文件的补充文件形式在规定的发布渠道（竞争性磋商公告发布网站）书面发布通知所有已获取响应文件的供应商。</w:t>
            </w:r>
          </w:p>
          <w:p w14:paraId="66182128">
            <w:pPr>
              <w:spacing w:line="360" w:lineRule="auto"/>
              <w:rPr>
                <w:rFonts w:ascii="宋体" w:hAnsi="宋体" w:cs="宋体"/>
                <w:bCs/>
                <w:kern w:val="0"/>
                <w:sz w:val="24"/>
              </w:rPr>
            </w:pPr>
            <w:r>
              <w:rPr>
                <w:rFonts w:hint="eastAsia" w:ascii="宋体" w:hAnsi="宋体" w:cs="宋体"/>
                <w:bCs/>
                <w:kern w:val="0"/>
                <w:sz w:val="24"/>
              </w:rPr>
              <w:t>供应商应自行留意采购人（采购代理机构）发出的对响应文件的澄清、修改或补充文件，并及时在发布的网站自行下载获取相应的文本文件获取即可，无须回签确认收到的函。</w:t>
            </w:r>
          </w:p>
          <w:p w14:paraId="54616695">
            <w:pPr>
              <w:spacing w:line="360" w:lineRule="auto"/>
              <w:rPr>
                <w:rFonts w:ascii="宋体" w:hAnsi="宋体" w:cs="宋体"/>
                <w:bCs/>
                <w:kern w:val="0"/>
                <w:sz w:val="24"/>
              </w:rPr>
            </w:pPr>
            <w:r>
              <w:rPr>
                <w:rFonts w:hint="eastAsia" w:ascii="宋体" w:hAnsi="宋体" w:cs="宋体"/>
                <w:bCs/>
                <w:kern w:val="0"/>
                <w:sz w:val="24"/>
              </w:rPr>
              <w:t>供应商未按规定时间在发布渠道的网站下载的，视同已收到。</w:t>
            </w:r>
          </w:p>
          <w:p w14:paraId="0A21DB53">
            <w:pPr>
              <w:spacing w:line="360" w:lineRule="auto"/>
              <w:rPr>
                <w:rFonts w:ascii="宋体" w:hAnsi="宋体" w:cs="宋体"/>
                <w:sz w:val="24"/>
              </w:rPr>
            </w:pPr>
            <w:r>
              <w:rPr>
                <w:rFonts w:hint="eastAsia" w:ascii="宋体" w:hAnsi="宋体" w:cs="宋体"/>
                <w:bCs/>
                <w:kern w:val="0"/>
                <w:sz w:val="24"/>
              </w:rPr>
              <w:t>因其他紧急情况影响本项目正常招标活动的，采购方将在规定的发布渠道书面通知所有已参加投标的供应商。</w:t>
            </w:r>
          </w:p>
        </w:tc>
      </w:tr>
      <w:tr w14:paraId="7282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4C13F00A">
            <w:pPr>
              <w:spacing w:line="360" w:lineRule="auto"/>
              <w:jc w:val="center"/>
              <w:rPr>
                <w:rFonts w:ascii="宋体" w:hAnsi="宋体" w:eastAsia="宋体"/>
                <w:kern w:val="0"/>
                <w:sz w:val="24"/>
                <w:szCs w:val="24"/>
              </w:rPr>
            </w:pPr>
            <w:r>
              <w:rPr>
                <w:rFonts w:hint="eastAsia" w:ascii="宋体" w:hAnsi="宋体" w:eastAsia="宋体"/>
                <w:kern w:val="0"/>
                <w:sz w:val="24"/>
                <w:szCs w:val="24"/>
              </w:rPr>
              <w:t>1</w:t>
            </w:r>
            <w:r>
              <w:rPr>
                <w:rFonts w:ascii="宋体" w:hAnsi="宋体" w:eastAsia="宋体"/>
                <w:kern w:val="0"/>
                <w:sz w:val="24"/>
                <w:szCs w:val="24"/>
              </w:rPr>
              <w:t>2</w:t>
            </w:r>
          </w:p>
        </w:tc>
        <w:tc>
          <w:tcPr>
            <w:tcW w:w="1666" w:type="dxa"/>
            <w:vAlign w:val="center"/>
          </w:tcPr>
          <w:p w14:paraId="33C1DDA9">
            <w:pPr>
              <w:spacing w:line="360" w:lineRule="auto"/>
              <w:rPr>
                <w:rFonts w:ascii="宋体" w:hAnsi="宋体" w:cs="宋体"/>
                <w:sz w:val="24"/>
              </w:rPr>
            </w:pPr>
            <w:r>
              <w:rPr>
                <w:rFonts w:hint="eastAsia" w:ascii="宋体" w:hAnsi="宋体" w:cs="宋体"/>
                <w:sz w:val="24"/>
              </w:rPr>
              <w:t>响应文件份数</w:t>
            </w:r>
          </w:p>
        </w:tc>
        <w:tc>
          <w:tcPr>
            <w:tcW w:w="8320" w:type="dxa"/>
            <w:vAlign w:val="center"/>
          </w:tcPr>
          <w:p w14:paraId="0E178FA8">
            <w:pPr>
              <w:pStyle w:val="16"/>
              <w:spacing w:line="360" w:lineRule="auto"/>
              <w:rPr>
                <w:rFonts w:hAnsi="宋体" w:cs="宋体"/>
                <w:sz w:val="24"/>
                <w:szCs w:val="24"/>
              </w:rPr>
            </w:pPr>
            <w:r>
              <w:rPr>
                <w:rFonts w:hint="eastAsia" w:hAnsi="宋体" w:cs="宋体"/>
                <w:sz w:val="24"/>
                <w:szCs w:val="24"/>
              </w:rPr>
              <w:t>本项目采用电子招标方式，供应商需通过政采云投标客户端上传加密响应文件一份即可，无需递交纸质响应文件。</w:t>
            </w:r>
          </w:p>
        </w:tc>
      </w:tr>
      <w:tr w14:paraId="577AD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77F43FB6">
            <w:pPr>
              <w:spacing w:line="360" w:lineRule="auto"/>
              <w:jc w:val="center"/>
              <w:rPr>
                <w:rFonts w:ascii="宋体" w:hAnsi="宋体" w:eastAsia="宋体"/>
                <w:kern w:val="0"/>
                <w:sz w:val="24"/>
                <w:szCs w:val="24"/>
              </w:rPr>
            </w:pPr>
            <w:r>
              <w:rPr>
                <w:rFonts w:ascii="宋体" w:hAnsi="宋体" w:eastAsia="宋体"/>
                <w:kern w:val="0"/>
                <w:sz w:val="24"/>
                <w:szCs w:val="24"/>
              </w:rPr>
              <w:t>13</w:t>
            </w:r>
          </w:p>
        </w:tc>
        <w:tc>
          <w:tcPr>
            <w:tcW w:w="1666" w:type="dxa"/>
            <w:vAlign w:val="center"/>
          </w:tcPr>
          <w:p w14:paraId="39BF08E7">
            <w:pPr>
              <w:spacing w:line="360" w:lineRule="auto"/>
              <w:jc w:val="center"/>
              <w:rPr>
                <w:rFonts w:ascii="宋体" w:hAnsi="宋体" w:cs="仿宋"/>
                <w:color w:val="000000"/>
                <w:sz w:val="24"/>
              </w:rPr>
            </w:pPr>
            <w:r>
              <w:rPr>
                <w:rFonts w:hint="eastAsia" w:ascii="宋体" w:hAnsi="宋体" w:cs="仿宋"/>
                <w:color w:val="000000"/>
                <w:spacing w:val="-14"/>
                <w:sz w:val="24"/>
              </w:rPr>
              <w:t>响应文件</w:t>
            </w:r>
            <w:r>
              <w:rPr>
                <w:rFonts w:hint="eastAsia" w:ascii="宋体" w:hAnsi="宋体" w:cs="仿宋"/>
                <w:color w:val="000000"/>
                <w:sz w:val="24"/>
              </w:rPr>
              <w:t>的签署</w:t>
            </w:r>
          </w:p>
        </w:tc>
        <w:tc>
          <w:tcPr>
            <w:tcW w:w="8320" w:type="dxa"/>
            <w:vAlign w:val="center"/>
          </w:tcPr>
          <w:p w14:paraId="388DAD02">
            <w:pPr>
              <w:spacing w:line="360" w:lineRule="auto"/>
              <w:rPr>
                <w:rFonts w:ascii="宋体" w:hAnsi="宋体" w:cs="仿宋"/>
                <w:color w:val="000000"/>
                <w:sz w:val="24"/>
              </w:rPr>
            </w:pPr>
            <w:r>
              <w:rPr>
                <w:rFonts w:hint="eastAsia" w:ascii="宋体" w:hAnsi="宋体" w:cs="仿宋"/>
                <w:sz w:val="24"/>
              </w:rPr>
              <w:t>响应文件应由法定代表人或授权代表人在规定的盖章或签字处，逐一加盖单位公章或签字，响应文件方为有效。</w:t>
            </w:r>
          </w:p>
        </w:tc>
      </w:tr>
      <w:tr w14:paraId="10886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42750797">
            <w:pPr>
              <w:spacing w:line="360" w:lineRule="auto"/>
              <w:jc w:val="center"/>
              <w:rPr>
                <w:rFonts w:ascii="宋体" w:hAnsi="宋体" w:eastAsia="宋体"/>
                <w:kern w:val="0"/>
                <w:sz w:val="24"/>
                <w:szCs w:val="24"/>
              </w:rPr>
            </w:pPr>
            <w:r>
              <w:rPr>
                <w:rFonts w:hint="eastAsia" w:ascii="宋体" w:hAnsi="宋体" w:eastAsia="宋体"/>
                <w:kern w:val="0"/>
                <w:sz w:val="24"/>
                <w:szCs w:val="24"/>
              </w:rPr>
              <w:t>1</w:t>
            </w:r>
            <w:r>
              <w:rPr>
                <w:rFonts w:ascii="宋体" w:hAnsi="宋体" w:eastAsia="宋体"/>
                <w:kern w:val="0"/>
                <w:sz w:val="24"/>
                <w:szCs w:val="24"/>
              </w:rPr>
              <w:t>4</w:t>
            </w:r>
          </w:p>
        </w:tc>
        <w:tc>
          <w:tcPr>
            <w:tcW w:w="1666" w:type="dxa"/>
            <w:vAlign w:val="center"/>
          </w:tcPr>
          <w:p w14:paraId="6FEE1774">
            <w:pPr>
              <w:keepNext/>
              <w:widowControl/>
              <w:spacing w:line="360" w:lineRule="auto"/>
              <w:jc w:val="distribute"/>
              <w:rPr>
                <w:rFonts w:ascii="宋体" w:hAnsi="宋体" w:eastAsia="宋体" w:cs="Arial"/>
                <w:kern w:val="0"/>
                <w:sz w:val="24"/>
                <w:szCs w:val="24"/>
              </w:rPr>
            </w:pPr>
            <w:r>
              <w:rPr>
                <w:rFonts w:hint="eastAsia" w:ascii="宋体" w:hAnsi="宋体" w:eastAsia="宋体" w:cs="Arial"/>
                <w:kern w:val="0"/>
                <w:sz w:val="24"/>
                <w:szCs w:val="24"/>
              </w:rPr>
              <w:t>响应文件递交</w:t>
            </w:r>
          </w:p>
        </w:tc>
        <w:tc>
          <w:tcPr>
            <w:tcW w:w="8320" w:type="dxa"/>
            <w:vAlign w:val="center"/>
          </w:tcPr>
          <w:p w14:paraId="6F0A80C6">
            <w:pPr>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截止时间：</w:t>
            </w:r>
            <w:r>
              <w:rPr>
                <w:rFonts w:hint="eastAsia" w:ascii="宋体" w:hAnsi="宋体" w:eastAsia="宋体" w:cs="宋体"/>
                <w:kern w:val="0"/>
                <w:sz w:val="24"/>
                <w:szCs w:val="24"/>
                <w:highlight w:val="none"/>
                <w:u w:val="single"/>
                <w:lang w:val="en-US" w:eastAsia="zh-CN"/>
              </w:rPr>
              <w:t>详见公告时间内容</w:t>
            </w:r>
            <w:r>
              <w:rPr>
                <w:rFonts w:hint="eastAsia" w:ascii="宋体" w:hAnsi="宋体" w:eastAsia="宋体" w:cs="宋体"/>
                <w:kern w:val="0"/>
                <w:sz w:val="24"/>
                <w:szCs w:val="24"/>
                <w:highlight w:val="none"/>
              </w:rPr>
              <w:t>（北京时间）</w:t>
            </w:r>
          </w:p>
          <w:p w14:paraId="60E80452">
            <w:pPr>
              <w:keepNext/>
              <w:widowControl/>
              <w:spacing w:line="360" w:lineRule="auto"/>
              <w:jc w:val="left"/>
              <w:rPr>
                <w:rFonts w:ascii="宋体" w:hAnsi="宋体" w:eastAsia="宋体" w:cs="Arial"/>
                <w:kern w:val="0"/>
                <w:sz w:val="24"/>
                <w:szCs w:val="24"/>
                <w:highlight w:val="none"/>
              </w:rPr>
            </w:pPr>
            <w:r>
              <w:rPr>
                <w:rFonts w:hint="eastAsia" w:ascii="宋体" w:hAnsi="宋体" w:eastAsia="宋体" w:cs="宋体"/>
                <w:kern w:val="0"/>
                <w:sz w:val="24"/>
                <w:szCs w:val="24"/>
                <w:highlight w:val="none"/>
              </w:rPr>
              <w:t>递交地点：</w:t>
            </w:r>
            <w:r>
              <w:rPr>
                <w:rFonts w:hint="eastAsia" w:ascii="宋体" w:hAnsi="宋体" w:eastAsia="宋体"/>
                <w:kern w:val="0"/>
                <w:sz w:val="24"/>
                <w:szCs w:val="24"/>
                <w:highlight w:val="none"/>
              </w:rPr>
              <w:t>政采云平台（https://www.zcygov.cn/）</w:t>
            </w:r>
          </w:p>
        </w:tc>
      </w:tr>
      <w:tr w14:paraId="3820F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597" w:type="dxa"/>
            <w:vAlign w:val="center"/>
          </w:tcPr>
          <w:p w14:paraId="05A08CF0">
            <w:pPr>
              <w:spacing w:line="360" w:lineRule="auto"/>
              <w:jc w:val="center"/>
              <w:rPr>
                <w:rFonts w:ascii="宋体" w:hAnsi="宋体" w:eastAsia="宋体"/>
                <w:kern w:val="0"/>
                <w:sz w:val="24"/>
                <w:szCs w:val="24"/>
              </w:rPr>
            </w:pPr>
            <w:r>
              <w:rPr>
                <w:rFonts w:hint="eastAsia" w:ascii="宋体" w:hAnsi="宋体" w:eastAsia="宋体"/>
                <w:kern w:val="0"/>
                <w:sz w:val="24"/>
                <w:szCs w:val="24"/>
              </w:rPr>
              <w:t>1</w:t>
            </w:r>
            <w:r>
              <w:rPr>
                <w:rFonts w:ascii="宋体" w:hAnsi="宋体" w:eastAsia="宋体"/>
                <w:kern w:val="0"/>
                <w:sz w:val="24"/>
                <w:szCs w:val="24"/>
              </w:rPr>
              <w:t>5</w:t>
            </w:r>
          </w:p>
        </w:tc>
        <w:tc>
          <w:tcPr>
            <w:tcW w:w="1666" w:type="dxa"/>
            <w:vAlign w:val="center"/>
          </w:tcPr>
          <w:p w14:paraId="6654F1C9">
            <w:pPr>
              <w:keepNext/>
              <w:widowControl/>
              <w:spacing w:line="360" w:lineRule="auto"/>
              <w:jc w:val="center"/>
              <w:rPr>
                <w:rFonts w:ascii="宋体" w:hAnsi="宋体" w:eastAsia="宋体" w:cs="Arial"/>
                <w:kern w:val="0"/>
                <w:sz w:val="24"/>
                <w:szCs w:val="24"/>
              </w:rPr>
            </w:pPr>
            <w:r>
              <w:rPr>
                <w:rFonts w:hint="eastAsia" w:ascii="宋体" w:hAnsi="宋体" w:eastAsia="宋体" w:cs="Arial"/>
                <w:kern w:val="0"/>
                <w:sz w:val="24"/>
                <w:szCs w:val="24"/>
              </w:rPr>
              <w:t>开标</w:t>
            </w:r>
          </w:p>
        </w:tc>
        <w:tc>
          <w:tcPr>
            <w:tcW w:w="8320" w:type="dxa"/>
            <w:vAlign w:val="center"/>
          </w:tcPr>
          <w:p w14:paraId="32BD30E3">
            <w:pPr>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时间：</w:t>
            </w:r>
            <w:r>
              <w:rPr>
                <w:rFonts w:hint="eastAsia" w:ascii="宋体" w:hAnsi="宋体" w:eastAsia="宋体" w:cs="宋体"/>
                <w:kern w:val="0"/>
                <w:sz w:val="24"/>
                <w:szCs w:val="24"/>
                <w:highlight w:val="none"/>
                <w:u w:val="single"/>
                <w:lang w:val="en-US" w:eastAsia="zh-CN"/>
              </w:rPr>
              <w:t>详见公告时间内容</w:t>
            </w:r>
            <w:r>
              <w:rPr>
                <w:rFonts w:hint="eastAsia" w:ascii="宋体" w:hAnsi="宋体" w:eastAsia="宋体" w:cs="宋体"/>
                <w:kern w:val="0"/>
                <w:sz w:val="24"/>
                <w:szCs w:val="24"/>
                <w:highlight w:val="none"/>
              </w:rPr>
              <w:t>（（北京时间）</w:t>
            </w:r>
          </w:p>
          <w:p w14:paraId="1DF2E523">
            <w:pPr>
              <w:keepNext/>
              <w:widowControl/>
              <w:spacing w:line="360" w:lineRule="auto"/>
              <w:jc w:val="left"/>
              <w:rPr>
                <w:rFonts w:ascii="宋体" w:hAnsi="宋体" w:eastAsia="宋体" w:cs="Arial"/>
                <w:kern w:val="0"/>
                <w:sz w:val="24"/>
                <w:szCs w:val="24"/>
                <w:highlight w:val="none"/>
              </w:rPr>
            </w:pPr>
            <w:r>
              <w:rPr>
                <w:rFonts w:hint="eastAsia" w:ascii="宋体" w:hAnsi="宋体" w:eastAsia="宋体" w:cs="宋体"/>
                <w:kern w:val="0"/>
                <w:sz w:val="24"/>
                <w:szCs w:val="24"/>
                <w:highlight w:val="none"/>
              </w:rPr>
              <w:t>地点：</w:t>
            </w:r>
            <w:r>
              <w:rPr>
                <w:rFonts w:hint="eastAsia" w:ascii="宋体" w:hAnsi="宋体" w:eastAsia="宋体"/>
                <w:kern w:val="0"/>
                <w:sz w:val="24"/>
                <w:szCs w:val="24"/>
                <w:highlight w:val="none"/>
              </w:rPr>
              <w:t>政采云平台（https://www.zcygov.cn/）</w:t>
            </w:r>
          </w:p>
        </w:tc>
      </w:tr>
      <w:tr w14:paraId="7A33F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61152BFD">
            <w:pPr>
              <w:spacing w:line="360" w:lineRule="auto"/>
              <w:jc w:val="center"/>
              <w:rPr>
                <w:rFonts w:ascii="宋体" w:hAnsi="宋体" w:eastAsia="宋体"/>
                <w:kern w:val="0"/>
                <w:sz w:val="24"/>
                <w:szCs w:val="24"/>
              </w:rPr>
            </w:pPr>
            <w:r>
              <w:rPr>
                <w:rFonts w:hint="eastAsia" w:ascii="宋体" w:hAnsi="宋体" w:eastAsia="宋体"/>
                <w:kern w:val="0"/>
                <w:sz w:val="24"/>
                <w:szCs w:val="24"/>
              </w:rPr>
              <w:t>1</w:t>
            </w:r>
            <w:r>
              <w:rPr>
                <w:rFonts w:ascii="宋体" w:hAnsi="宋体" w:eastAsia="宋体"/>
                <w:kern w:val="0"/>
                <w:sz w:val="24"/>
                <w:szCs w:val="24"/>
              </w:rPr>
              <w:t>6</w:t>
            </w:r>
          </w:p>
        </w:tc>
        <w:tc>
          <w:tcPr>
            <w:tcW w:w="1666" w:type="dxa"/>
            <w:vAlign w:val="center"/>
          </w:tcPr>
          <w:p w14:paraId="33FC50B9">
            <w:pPr>
              <w:keepNext/>
              <w:widowControl/>
              <w:spacing w:line="360" w:lineRule="auto"/>
              <w:jc w:val="center"/>
              <w:rPr>
                <w:rFonts w:ascii="宋体" w:hAnsi="宋体" w:eastAsia="宋体" w:cs="Arial"/>
                <w:kern w:val="0"/>
                <w:sz w:val="24"/>
                <w:szCs w:val="24"/>
                <w:highlight w:val="none"/>
              </w:rPr>
            </w:pPr>
            <w:r>
              <w:rPr>
                <w:rFonts w:hint="eastAsia" w:ascii="宋体" w:hAnsi="宋体" w:eastAsia="宋体" w:cs="Arial"/>
                <w:kern w:val="0"/>
                <w:sz w:val="24"/>
                <w:szCs w:val="24"/>
                <w:highlight w:val="none"/>
              </w:rPr>
              <w:t>响应有效期</w:t>
            </w:r>
          </w:p>
        </w:tc>
        <w:tc>
          <w:tcPr>
            <w:tcW w:w="8320" w:type="dxa"/>
            <w:vAlign w:val="center"/>
          </w:tcPr>
          <w:p w14:paraId="413E34B1">
            <w:pPr>
              <w:keepNext/>
              <w:widowControl/>
              <w:spacing w:line="360" w:lineRule="auto"/>
              <w:jc w:val="left"/>
              <w:rPr>
                <w:rFonts w:ascii="宋体" w:hAnsi="宋体" w:eastAsia="宋体" w:cs="Arial"/>
                <w:kern w:val="0"/>
                <w:sz w:val="24"/>
                <w:szCs w:val="24"/>
                <w:highlight w:val="none"/>
              </w:rPr>
            </w:pPr>
            <w:r>
              <w:rPr>
                <w:rFonts w:hint="eastAsia" w:ascii="宋体" w:hAnsi="宋体" w:eastAsia="宋体" w:cs="Arial"/>
                <w:kern w:val="0"/>
                <w:sz w:val="24"/>
                <w:szCs w:val="24"/>
                <w:highlight w:val="none"/>
              </w:rPr>
              <w:t>自响应截止之日起9</w:t>
            </w:r>
            <w:r>
              <w:rPr>
                <w:rFonts w:ascii="宋体" w:hAnsi="宋体" w:eastAsia="宋体" w:cs="Arial"/>
                <w:kern w:val="0"/>
                <w:sz w:val="24"/>
                <w:szCs w:val="24"/>
                <w:highlight w:val="none"/>
              </w:rPr>
              <w:t>0</w:t>
            </w:r>
            <w:r>
              <w:rPr>
                <w:rFonts w:hint="eastAsia" w:ascii="宋体" w:hAnsi="宋体" w:eastAsia="宋体" w:cs="Arial"/>
                <w:kern w:val="0"/>
                <w:sz w:val="24"/>
                <w:szCs w:val="24"/>
                <w:highlight w:val="none"/>
              </w:rPr>
              <w:t>日历日</w:t>
            </w:r>
          </w:p>
        </w:tc>
      </w:tr>
      <w:tr w14:paraId="64DEA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165624CC">
            <w:pPr>
              <w:spacing w:line="360" w:lineRule="auto"/>
              <w:jc w:val="center"/>
              <w:rPr>
                <w:rFonts w:ascii="宋体" w:hAnsi="宋体" w:eastAsia="宋体"/>
                <w:kern w:val="0"/>
                <w:sz w:val="24"/>
                <w:szCs w:val="24"/>
              </w:rPr>
            </w:pPr>
            <w:r>
              <w:rPr>
                <w:rFonts w:hint="eastAsia" w:ascii="宋体" w:hAnsi="宋体" w:eastAsia="宋体"/>
                <w:kern w:val="0"/>
                <w:sz w:val="24"/>
                <w:szCs w:val="24"/>
              </w:rPr>
              <w:t>1</w:t>
            </w:r>
            <w:r>
              <w:rPr>
                <w:rFonts w:ascii="宋体" w:hAnsi="宋体" w:eastAsia="宋体"/>
                <w:kern w:val="0"/>
                <w:sz w:val="24"/>
                <w:szCs w:val="24"/>
              </w:rPr>
              <w:t>7</w:t>
            </w:r>
          </w:p>
        </w:tc>
        <w:tc>
          <w:tcPr>
            <w:tcW w:w="1666" w:type="dxa"/>
            <w:vAlign w:val="center"/>
          </w:tcPr>
          <w:p w14:paraId="02F33405">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竞争性磋商公告发布媒体</w:t>
            </w:r>
          </w:p>
        </w:tc>
        <w:tc>
          <w:tcPr>
            <w:tcW w:w="8320" w:type="dxa"/>
            <w:vAlign w:val="center"/>
          </w:tcPr>
          <w:p w14:paraId="3F773E22">
            <w:pPr>
              <w:keepNext/>
              <w:widowControl/>
              <w:spacing w:line="360" w:lineRule="auto"/>
              <w:jc w:val="left"/>
              <w:rPr>
                <w:rFonts w:ascii="宋体" w:hAnsi="宋体" w:eastAsia="宋体" w:cs="宋体"/>
                <w:kern w:val="0"/>
                <w:sz w:val="24"/>
                <w:szCs w:val="24"/>
                <w:u w:val="single"/>
              </w:rPr>
            </w:pPr>
            <w:r>
              <w:rPr>
                <w:rFonts w:hint="eastAsia" w:ascii="宋体" w:hAnsi="宋体" w:eastAsia="宋体" w:cs="宋体"/>
                <w:kern w:val="0"/>
                <w:sz w:val="24"/>
                <w:szCs w:val="24"/>
              </w:rPr>
              <w:t>新疆政府采购网（</w:t>
            </w:r>
            <w:r>
              <w:rPr>
                <w:rFonts w:ascii="宋体" w:hAnsi="宋体" w:eastAsia="宋体" w:cs="宋体"/>
                <w:kern w:val="0"/>
                <w:sz w:val="24"/>
                <w:szCs w:val="24"/>
              </w:rPr>
              <w:t>http://www.ccgp-xinjiang.gov.cn/</w:t>
            </w:r>
            <w:r>
              <w:rPr>
                <w:rFonts w:hint="eastAsia" w:ascii="宋体" w:hAnsi="宋体" w:eastAsia="宋体" w:cs="宋体"/>
                <w:kern w:val="0"/>
                <w:sz w:val="24"/>
                <w:szCs w:val="24"/>
              </w:rPr>
              <w:t>）</w:t>
            </w:r>
          </w:p>
        </w:tc>
      </w:tr>
      <w:tr w14:paraId="1F3CC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42772144">
            <w:pPr>
              <w:spacing w:line="360" w:lineRule="auto"/>
              <w:jc w:val="center"/>
              <w:rPr>
                <w:rFonts w:ascii="宋体" w:hAnsi="宋体" w:eastAsia="宋体"/>
                <w:kern w:val="0"/>
                <w:sz w:val="24"/>
                <w:szCs w:val="24"/>
              </w:rPr>
            </w:pPr>
            <w:r>
              <w:rPr>
                <w:rFonts w:hint="eastAsia" w:ascii="宋体" w:hAnsi="宋体" w:eastAsia="宋体"/>
                <w:kern w:val="0"/>
                <w:sz w:val="24"/>
                <w:szCs w:val="24"/>
              </w:rPr>
              <w:t>1</w:t>
            </w:r>
            <w:r>
              <w:rPr>
                <w:rFonts w:ascii="宋体" w:hAnsi="宋体" w:eastAsia="宋体"/>
                <w:kern w:val="0"/>
                <w:sz w:val="24"/>
                <w:szCs w:val="24"/>
              </w:rPr>
              <w:t>8</w:t>
            </w:r>
          </w:p>
        </w:tc>
        <w:tc>
          <w:tcPr>
            <w:tcW w:w="1666" w:type="dxa"/>
            <w:vAlign w:val="center"/>
          </w:tcPr>
          <w:p w14:paraId="4BFAFB97">
            <w:pPr>
              <w:spacing w:line="360" w:lineRule="auto"/>
              <w:jc w:val="center"/>
              <w:rPr>
                <w:rFonts w:ascii="宋体" w:hAnsi="宋体" w:cs="宋体"/>
                <w:b/>
                <w:bCs/>
                <w:sz w:val="24"/>
              </w:rPr>
            </w:pPr>
            <w:r>
              <w:rPr>
                <w:rFonts w:hint="eastAsia" w:ascii="宋体" w:hAnsi="宋体" w:cs="宋体"/>
                <w:b/>
                <w:bCs/>
                <w:sz w:val="24"/>
              </w:rPr>
              <w:t>中小微企业投标价格扣除</w:t>
            </w:r>
          </w:p>
        </w:tc>
        <w:tc>
          <w:tcPr>
            <w:tcW w:w="8320" w:type="dxa"/>
            <w:vAlign w:val="center"/>
          </w:tcPr>
          <w:p w14:paraId="0D09BD02">
            <w:pPr>
              <w:spacing w:line="360" w:lineRule="auto"/>
              <w:rPr>
                <w:rFonts w:hint="eastAsia" w:ascii="宋体" w:hAnsi="宋体" w:cs="宋体"/>
                <w:b/>
                <w:bCs/>
                <w:sz w:val="24"/>
              </w:rPr>
            </w:pPr>
            <w:r>
              <w:rPr>
                <w:rFonts w:hint="eastAsia" w:ascii="宋体" w:hAnsi="宋体" w:cs="宋体"/>
                <w:b/>
                <w:bCs/>
                <w:sz w:val="24"/>
              </w:rPr>
              <w:t>落实政府采购政策需满足的资格要求：本项目专门面向中小企业。供应商应出具磋商文件中要求的《中小企业声明函》，否则评审时不予认可。</w:t>
            </w:r>
          </w:p>
          <w:p w14:paraId="104E918F">
            <w:pPr>
              <w:spacing w:line="360" w:lineRule="auto"/>
              <w:rPr>
                <w:rFonts w:hint="eastAsia" w:ascii="宋体" w:hAnsi="宋体" w:cs="宋体"/>
                <w:b/>
                <w:bCs/>
                <w:sz w:val="24"/>
              </w:rPr>
            </w:pPr>
            <w:r>
              <w:rPr>
                <w:rFonts w:hint="eastAsia" w:ascii="宋体" w:hAnsi="宋体" w:cs="宋体"/>
                <w:b/>
                <w:bCs/>
                <w:sz w:val="24"/>
              </w:rPr>
              <w:t>供应商应对提交的中小企业声明函的真实性负责，提交的中小企业声明函不真实的，应承担相应的法律责任。根据财政部发布《政府采购促进中小企业发展政策问答》专门面向中小企业采购的项目或者采购包，不再执行价格评审优惠的扶持政策。</w:t>
            </w:r>
          </w:p>
          <w:p w14:paraId="56BD0061">
            <w:pPr>
              <w:spacing w:line="360" w:lineRule="auto"/>
              <w:rPr>
                <w:rFonts w:hint="eastAsia" w:ascii="宋体" w:hAnsi="宋体" w:cs="宋体"/>
                <w:b/>
                <w:bCs/>
                <w:sz w:val="24"/>
              </w:rPr>
            </w:pPr>
            <w:r>
              <w:rPr>
                <w:rFonts w:hint="eastAsia" w:ascii="宋体" w:hAnsi="宋体" w:cs="宋体"/>
                <w:b/>
                <w:bCs/>
                <w:sz w:val="24"/>
              </w:rPr>
              <w:t>本项目属于专门面向中小微企业采购项目，不再执行价格优惠扣除。</w:t>
            </w:r>
          </w:p>
          <w:p w14:paraId="4C2CD318">
            <w:pPr>
              <w:spacing w:line="360" w:lineRule="auto"/>
              <w:rPr>
                <w:rFonts w:hint="eastAsia" w:ascii="宋体" w:hAnsi="宋体" w:cs="宋体"/>
                <w:b/>
                <w:bCs/>
                <w:sz w:val="24"/>
              </w:rPr>
            </w:pPr>
            <w:r>
              <w:rPr>
                <w:rFonts w:hint="eastAsia" w:ascii="宋体" w:hAnsi="宋体" w:cs="宋体"/>
                <w:b/>
                <w:bCs/>
                <w:sz w:val="24"/>
              </w:rPr>
              <w:t>本项目采购标的</w:t>
            </w:r>
            <w:r>
              <w:rPr>
                <w:rFonts w:hint="eastAsia" w:ascii="宋体" w:hAnsi="宋体" w:cs="宋体"/>
                <w:b/>
                <w:bCs/>
                <w:sz w:val="24"/>
                <w:lang w:val="en-US" w:eastAsia="zh-CN"/>
              </w:rPr>
              <w:t>所属行业：</w:t>
            </w:r>
            <w:r>
              <w:rPr>
                <w:rFonts w:hint="eastAsia" w:ascii="宋体" w:hAnsi="宋体" w:cs="宋体"/>
                <w:b/>
                <w:bCs/>
                <w:sz w:val="28"/>
                <w:szCs w:val="24"/>
                <w:highlight w:val="yellow"/>
                <w:u w:val="single"/>
              </w:rPr>
              <w:t>其他未列明行业</w:t>
            </w:r>
            <w:r>
              <w:rPr>
                <w:rFonts w:hint="eastAsia" w:ascii="宋体" w:hAnsi="宋体" w:cs="宋体"/>
                <w:b/>
                <w:bCs/>
                <w:sz w:val="24"/>
              </w:rPr>
              <w:t>。</w:t>
            </w:r>
          </w:p>
          <w:p w14:paraId="3F66EA25">
            <w:pPr>
              <w:spacing w:line="360" w:lineRule="auto"/>
              <w:rPr>
                <w:rFonts w:ascii="Calibri" w:hAnsi="Calibri"/>
                <w:b/>
                <w:bCs/>
                <w:sz w:val="24"/>
              </w:rPr>
            </w:pPr>
            <w:r>
              <w:rPr>
                <w:rFonts w:hint="eastAsia" w:ascii="宋体" w:hAnsi="宋体" w:cs="宋体"/>
                <w:b/>
                <w:bCs/>
                <w:sz w:val="24"/>
              </w:rPr>
              <w:t>企业规模类型根据《中小企业划型标准规定》（工信部联企业[2011]300号）确定</w:t>
            </w:r>
            <w:r>
              <w:rPr>
                <w:rFonts w:hint="eastAsia" w:ascii="宋体" w:hAnsi="宋体" w:cs="宋体"/>
                <w:b/>
                <w:bCs/>
                <w:sz w:val="24"/>
                <w:lang w:eastAsia="zh-CN"/>
              </w:rPr>
              <w:t>。</w:t>
            </w:r>
          </w:p>
        </w:tc>
      </w:tr>
      <w:tr w14:paraId="1C08F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616E12AE">
            <w:pPr>
              <w:spacing w:line="360" w:lineRule="auto"/>
              <w:jc w:val="center"/>
              <w:rPr>
                <w:rFonts w:ascii="宋体" w:hAnsi="宋体" w:eastAsia="宋体"/>
                <w:kern w:val="0"/>
                <w:sz w:val="24"/>
                <w:szCs w:val="24"/>
              </w:rPr>
            </w:pPr>
            <w:r>
              <w:rPr>
                <w:rFonts w:hint="eastAsia" w:ascii="宋体" w:hAnsi="宋体" w:eastAsia="宋体"/>
                <w:kern w:val="0"/>
                <w:sz w:val="24"/>
                <w:szCs w:val="24"/>
              </w:rPr>
              <w:t>1</w:t>
            </w:r>
            <w:r>
              <w:rPr>
                <w:rFonts w:ascii="宋体" w:hAnsi="宋体" w:eastAsia="宋体"/>
                <w:kern w:val="0"/>
                <w:sz w:val="24"/>
                <w:szCs w:val="24"/>
              </w:rPr>
              <w:t>9</w:t>
            </w:r>
          </w:p>
        </w:tc>
        <w:tc>
          <w:tcPr>
            <w:tcW w:w="1666" w:type="dxa"/>
            <w:vAlign w:val="center"/>
          </w:tcPr>
          <w:p w14:paraId="641654E9">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付款方式</w:t>
            </w:r>
          </w:p>
        </w:tc>
        <w:tc>
          <w:tcPr>
            <w:tcW w:w="8320" w:type="dxa"/>
            <w:vAlign w:val="center"/>
          </w:tcPr>
          <w:p w14:paraId="29BCFA22">
            <w:pPr>
              <w:spacing w:line="360" w:lineRule="auto"/>
              <w:rPr>
                <w:rFonts w:hint="eastAsia" w:ascii="宋体" w:hAnsi="宋体" w:eastAsia="宋体"/>
                <w:sz w:val="24"/>
                <w:szCs w:val="24"/>
                <w:highlight w:val="none"/>
                <w:lang w:val="en-US" w:eastAsia="zh-CN"/>
              </w:rPr>
            </w:pPr>
            <w:r>
              <w:rPr>
                <w:rFonts w:hint="eastAsia" w:ascii="宋体" w:hAnsi="宋体" w:eastAsia="宋体"/>
                <w:sz w:val="24"/>
                <w:szCs w:val="24"/>
                <w:highlight w:val="yellow"/>
                <w:lang w:val="en-US" w:eastAsia="zh-CN"/>
              </w:rPr>
              <w:t>供货商按时间进行清洗，服务期（年度服务）结束后，</w:t>
            </w:r>
            <w:r>
              <w:rPr>
                <w:rFonts w:hint="eastAsia" w:ascii="宋体" w:hAnsi="宋体" w:eastAsia="宋体"/>
                <w:sz w:val="24"/>
                <w:szCs w:val="24"/>
                <w:highlight w:val="none"/>
                <w:lang w:val="en-US" w:eastAsia="zh-CN"/>
              </w:rPr>
              <w:t>甲方根据每次清洗验收报告及发票进行结算。如遇节假日甲方财务扎帐等特殊情况，结账日期依次顺延。</w:t>
            </w:r>
          </w:p>
        </w:tc>
      </w:tr>
      <w:tr w14:paraId="271AE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7865311C">
            <w:pPr>
              <w:spacing w:line="360" w:lineRule="auto"/>
              <w:jc w:val="center"/>
              <w:rPr>
                <w:rFonts w:ascii="宋体" w:hAnsi="宋体" w:eastAsia="宋体"/>
                <w:kern w:val="0"/>
                <w:sz w:val="24"/>
                <w:szCs w:val="24"/>
              </w:rPr>
            </w:pPr>
            <w:r>
              <w:rPr>
                <w:rFonts w:ascii="宋体" w:hAnsi="宋体" w:eastAsia="宋体"/>
                <w:kern w:val="0"/>
                <w:sz w:val="24"/>
                <w:szCs w:val="24"/>
              </w:rPr>
              <w:t>20</w:t>
            </w:r>
          </w:p>
        </w:tc>
        <w:tc>
          <w:tcPr>
            <w:tcW w:w="1666" w:type="dxa"/>
            <w:vAlign w:val="center"/>
          </w:tcPr>
          <w:p w14:paraId="6E2B3041">
            <w:pPr>
              <w:spacing w:line="360" w:lineRule="auto"/>
              <w:jc w:val="center"/>
              <w:rPr>
                <w:rFonts w:ascii="宋体" w:hAnsi="宋体" w:eastAsia="宋体"/>
                <w:sz w:val="24"/>
                <w:szCs w:val="24"/>
              </w:rPr>
            </w:pPr>
            <w:r>
              <w:rPr>
                <w:rFonts w:hint="eastAsia" w:ascii="宋体" w:hAnsi="宋体" w:eastAsia="宋体"/>
                <w:sz w:val="24"/>
                <w:szCs w:val="24"/>
              </w:rPr>
              <w:t>履约保证金</w:t>
            </w:r>
          </w:p>
        </w:tc>
        <w:tc>
          <w:tcPr>
            <w:tcW w:w="8320" w:type="dxa"/>
            <w:vAlign w:val="center"/>
          </w:tcPr>
          <w:p w14:paraId="70EA173B">
            <w:pPr>
              <w:spacing w:line="360" w:lineRule="auto"/>
              <w:rPr>
                <w:rFonts w:ascii="宋体" w:hAnsi="宋体" w:eastAsia="宋体"/>
                <w:sz w:val="24"/>
                <w:szCs w:val="24"/>
              </w:rPr>
            </w:pPr>
            <w:r>
              <w:rPr>
                <w:rFonts w:ascii="宋体" w:hAnsi="宋体" w:eastAsia="宋体"/>
                <w:sz w:val="24"/>
                <w:szCs w:val="24"/>
              </w:rPr>
              <w:t>本项目不收取履约保证金。</w:t>
            </w:r>
          </w:p>
        </w:tc>
      </w:tr>
      <w:tr w14:paraId="53008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08EBF10D">
            <w:pPr>
              <w:spacing w:line="360" w:lineRule="auto"/>
              <w:jc w:val="center"/>
              <w:rPr>
                <w:rFonts w:ascii="宋体" w:hAnsi="宋体" w:eastAsia="宋体"/>
                <w:kern w:val="0"/>
                <w:sz w:val="24"/>
                <w:szCs w:val="24"/>
              </w:rPr>
            </w:pPr>
            <w:r>
              <w:rPr>
                <w:rFonts w:ascii="宋体" w:hAnsi="宋体" w:eastAsia="宋体"/>
                <w:kern w:val="0"/>
                <w:sz w:val="24"/>
                <w:szCs w:val="24"/>
              </w:rPr>
              <w:t>21</w:t>
            </w:r>
          </w:p>
        </w:tc>
        <w:tc>
          <w:tcPr>
            <w:tcW w:w="1666" w:type="dxa"/>
            <w:vAlign w:val="center"/>
          </w:tcPr>
          <w:p w14:paraId="05DDE7E2">
            <w:pPr>
              <w:keepNext/>
              <w:widowControl/>
              <w:spacing w:line="360" w:lineRule="auto"/>
              <w:ind w:firstLine="120" w:firstLineChars="50"/>
              <w:jc w:val="center"/>
              <w:rPr>
                <w:rFonts w:ascii="宋体" w:hAnsi="宋体" w:eastAsia="宋体" w:cs="Arial"/>
                <w:kern w:val="0"/>
                <w:sz w:val="24"/>
                <w:szCs w:val="24"/>
              </w:rPr>
            </w:pPr>
            <w:r>
              <w:rPr>
                <w:rFonts w:hint="eastAsia" w:ascii="宋体" w:hAnsi="宋体" w:eastAsia="宋体" w:cs="Arial"/>
                <w:kern w:val="0"/>
                <w:sz w:val="24"/>
                <w:szCs w:val="24"/>
              </w:rPr>
              <w:t>招标代理费</w:t>
            </w:r>
          </w:p>
        </w:tc>
        <w:tc>
          <w:tcPr>
            <w:tcW w:w="8320" w:type="dxa"/>
            <w:vAlign w:val="center"/>
          </w:tcPr>
          <w:p w14:paraId="01AB3A2E">
            <w:pPr>
              <w:keepNext/>
              <w:widowControl/>
              <w:spacing w:line="360" w:lineRule="auto"/>
              <w:ind w:firstLine="120" w:firstLineChars="50"/>
              <w:jc w:val="left"/>
              <w:rPr>
                <w:rFonts w:ascii="宋体" w:hAnsi="宋体" w:eastAsia="宋体" w:cs="Arial"/>
                <w:kern w:val="0"/>
                <w:sz w:val="24"/>
                <w:szCs w:val="24"/>
              </w:rPr>
            </w:pPr>
            <w:r>
              <w:rPr>
                <w:rFonts w:hint="eastAsia" w:ascii="宋体" w:hAnsi="宋体" w:eastAsia="宋体" w:cs="Arial"/>
                <w:kern w:val="0"/>
                <w:sz w:val="24"/>
                <w:szCs w:val="24"/>
              </w:rPr>
              <w:t>按照发改价格[2011]534号及计价格[2002]1980号文件收费标准下浮</w:t>
            </w:r>
            <w:r>
              <w:rPr>
                <w:rFonts w:hint="eastAsia" w:ascii="宋体" w:hAnsi="宋体" w:eastAsia="宋体" w:cs="Arial"/>
                <w:kern w:val="0"/>
                <w:sz w:val="24"/>
                <w:szCs w:val="24"/>
                <w:lang w:val="en-US" w:eastAsia="zh-CN"/>
              </w:rPr>
              <w:t>40%</w:t>
            </w:r>
            <w:r>
              <w:rPr>
                <w:rFonts w:ascii="宋体" w:hAnsi="宋体" w:eastAsia="宋体" w:cs="Arial"/>
                <w:kern w:val="0"/>
                <w:sz w:val="24"/>
                <w:szCs w:val="24"/>
              </w:rPr>
              <w:t>收取</w:t>
            </w:r>
            <w:r>
              <w:rPr>
                <w:rFonts w:hint="eastAsia" w:ascii="宋体" w:hAnsi="宋体" w:eastAsia="宋体" w:cs="Arial"/>
                <w:kern w:val="0"/>
                <w:sz w:val="24"/>
                <w:szCs w:val="24"/>
              </w:rPr>
              <w:t>，代理服务费由</w:t>
            </w:r>
            <w:r>
              <w:rPr>
                <w:rFonts w:hint="eastAsia" w:ascii="宋体" w:hAnsi="宋体" w:eastAsia="宋体" w:cs="Arial"/>
                <w:kern w:val="0"/>
                <w:sz w:val="24"/>
                <w:szCs w:val="24"/>
                <w:lang w:val="en-US" w:eastAsia="zh-CN"/>
              </w:rPr>
              <w:t>成交</w:t>
            </w:r>
            <w:r>
              <w:rPr>
                <w:rFonts w:hint="eastAsia" w:ascii="宋体" w:hAnsi="宋体" w:eastAsia="宋体" w:cs="Arial"/>
                <w:kern w:val="0"/>
                <w:sz w:val="24"/>
                <w:szCs w:val="24"/>
              </w:rPr>
              <w:t>人支付。</w:t>
            </w:r>
          </w:p>
        </w:tc>
      </w:tr>
      <w:tr w14:paraId="0ABF2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597" w:type="dxa"/>
            <w:vAlign w:val="center"/>
          </w:tcPr>
          <w:p w14:paraId="030AF4A2">
            <w:pPr>
              <w:spacing w:line="360" w:lineRule="auto"/>
              <w:jc w:val="center"/>
              <w:rPr>
                <w:rFonts w:ascii="宋体" w:hAnsi="宋体" w:eastAsia="宋体"/>
                <w:kern w:val="0"/>
                <w:sz w:val="24"/>
                <w:szCs w:val="24"/>
              </w:rPr>
            </w:pPr>
            <w:r>
              <w:rPr>
                <w:rFonts w:hint="eastAsia" w:ascii="宋体" w:hAnsi="宋体" w:eastAsia="宋体"/>
                <w:kern w:val="0"/>
                <w:sz w:val="24"/>
                <w:szCs w:val="24"/>
              </w:rPr>
              <w:t>2</w:t>
            </w:r>
            <w:r>
              <w:rPr>
                <w:rFonts w:ascii="宋体" w:hAnsi="宋体" w:eastAsia="宋体"/>
                <w:kern w:val="0"/>
                <w:sz w:val="24"/>
                <w:szCs w:val="24"/>
              </w:rPr>
              <w:t>2</w:t>
            </w:r>
          </w:p>
        </w:tc>
        <w:tc>
          <w:tcPr>
            <w:tcW w:w="1666" w:type="dxa"/>
            <w:vAlign w:val="center"/>
          </w:tcPr>
          <w:p w14:paraId="6EB73BA7">
            <w:pPr>
              <w:keepNext/>
              <w:widowControl/>
              <w:spacing w:line="360" w:lineRule="auto"/>
              <w:ind w:firstLine="120" w:firstLineChars="50"/>
              <w:jc w:val="center"/>
              <w:rPr>
                <w:rFonts w:ascii="宋体" w:hAnsi="宋体" w:eastAsia="宋体" w:cs="Arial"/>
                <w:kern w:val="0"/>
                <w:sz w:val="24"/>
                <w:szCs w:val="24"/>
              </w:rPr>
            </w:pPr>
            <w:r>
              <w:rPr>
                <w:rFonts w:hint="eastAsia" w:ascii="宋体" w:hAnsi="宋体" w:eastAsia="宋体" w:cs="Arial"/>
                <w:kern w:val="0"/>
                <w:sz w:val="24"/>
                <w:szCs w:val="24"/>
              </w:rPr>
              <w:t>其他说明</w:t>
            </w:r>
          </w:p>
        </w:tc>
        <w:tc>
          <w:tcPr>
            <w:tcW w:w="8320" w:type="dxa"/>
            <w:vAlign w:val="center"/>
          </w:tcPr>
          <w:p w14:paraId="2C62948B">
            <w:pPr>
              <w:widowControl/>
              <w:spacing w:line="360" w:lineRule="auto"/>
              <w:jc w:val="left"/>
              <w:rPr>
                <w:rFonts w:ascii="宋体" w:hAnsi="宋体" w:eastAsia="宋体" w:cs="宋体"/>
                <w:sz w:val="24"/>
                <w:szCs w:val="24"/>
              </w:rPr>
            </w:pPr>
            <w:r>
              <w:rPr>
                <w:rFonts w:hint="eastAsia" w:ascii="宋体" w:hAnsi="宋体" w:eastAsia="宋体" w:cs="宋体"/>
                <w:sz w:val="24"/>
                <w:szCs w:val="24"/>
              </w:rPr>
              <w:t>（1）供应商认为磋商文件、招标过程或中标结果使自己的合法权益受到损害的，应当在知道或者应知其权益受到损害之日起在规定的期限内，以书面形式向采购人或采购代理机构提出质疑。采购人或采购代理机构</w:t>
            </w:r>
            <w:r>
              <w:rPr>
                <w:rFonts w:hint="eastAsia" w:ascii="宋体" w:hAnsi="宋体" w:eastAsia="宋体" w:cs="宋体"/>
                <w:spacing w:val="8"/>
                <w:kern w:val="0"/>
                <w:sz w:val="24"/>
                <w:szCs w:val="24"/>
              </w:rPr>
              <w:t>收到供应商书面质疑后在规定的时间内，对质疑内容作出答复，</w:t>
            </w:r>
            <w:r>
              <w:rPr>
                <w:rFonts w:hint="eastAsia" w:ascii="宋体" w:hAnsi="宋体" w:eastAsia="宋体" w:cs="宋体"/>
                <w:sz w:val="24"/>
                <w:szCs w:val="24"/>
              </w:rPr>
              <w:t>供应商对采购人或采购代理机构的质疑答复不满意或者采购人或采购代理机构未在规定时间内作出答复的，可以在答复期满后15个工作日内向有关监管部门进行投诉。投诉人对政府采购监督管理部门的投诉处理决定不服或者政府采购监督管理部门逾期未作处理的，可以依法申请行政复议或者向人民法院提起行政诉讼。</w:t>
            </w:r>
          </w:p>
          <w:p w14:paraId="6D339C65">
            <w:pPr>
              <w:keepNext/>
              <w:widowControl/>
              <w:spacing w:line="360" w:lineRule="auto"/>
              <w:ind w:firstLine="120" w:firstLineChars="50"/>
              <w:jc w:val="left"/>
              <w:rPr>
                <w:rFonts w:ascii="宋体" w:hAnsi="宋体" w:eastAsia="宋体" w:cs="宋体"/>
                <w:sz w:val="24"/>
                <w:szCs w:val="24"/>
              </w:rPr>
            </w:pPr>
            <w:r>
              <w:rPr>
                <w:rFonts w:hint="eastAsia" w:ascii="宋体" w:hAnsi="宋体" w:eastAsia="宋体" w:cs="宋体"/>
                <w:sz w:val="24"/>
                <w:szCs w:val="24"/>
              </w:rPr>
              <w:t>（2）质疑、投诉应当采用书面形式，质疑、投诉均应明确阐述磋商文件、招标过程或中标结果中使自己合法权益受到损害的实质性内容，提供相关事实、依据和证据及其来源或线索，便于有关单位调查、答复和处理。</w:t>
            </w:r>
          </w:p>
          <w:p w14:paraId="20A2A841">
            <w:pPr>
              <w:keepNext/>
              <w:widowControl/>
              <w:spacing w:line="360" w:lineRule="auto"/>
              <w:ind w:firstLine="120" w:firstLineChars="50"/>
              <w:jc w:val="left"/>
              <w:rPr>
                <w:rFonts w:ascii="宋体" w:hAnsi="宋体" w:eastAsia="宋体" w:cs="宋体"/>
                <w:sz w:val="24"/>
                <w:szCs w:val="24"/>
              </w:rPr>
            </w:pPr>
            <w:r>
              <w:rPr>
                <w:rFonts w:hint="eastAsia" w:ascii="宋体" w:hAnsi="宋体" w:eastAsia="宋体" w:cs="宋体"/>
                <w:sz w:val="24"/>
                <w:szCs w:val="24"/>
              </w:rPr>
              <w:t>（3）对列入失信被执行人、重大税收违法案件当事人名单、政府采购严重违法失信行为记录名单及其他不符合《中华人民共和国政府采购法》第二十二条规定条件的供应商，其</w:t>
            </w:r>
            <w:r>
              <w:rPr>
                <w:rFonts w:hint="eastAsia" w:ascii="宋体" w:hAnsi="宋体" w:eastAsia="宋体" w:cs="宋体"/>
                <w:sz w:val="24"/>
                <w:szCs w:val="24"/>
                <w:lang w:val="en-US" w:eastAsia="zh-CN"/>
              </w:rPr>
              <w:t>响应</w:t>
            </w:r>
            <w:r>
              <w:rPr>
                <w:rFonts w:hint="eastAsia" w:ascii="宋体" w:hAnsi="宋体" w:eastAsia="宋体" w:cs="宋体"/>
                <w:sz w:val="24"/>
                <w:szCs w:val="24"/>
              </w:rPr>
              <w:t>文件将被拒绝。</w:t>
            </w:r>
          </w:p>
          <w:p w14:paraId="28DB4D59">
            <w:pPr>
              <w:keepNext/>
              <w:widowControl/>
              <w:spacing w:line="360" w:lineRule="auto"/>
              <w:ind w:firstLine="120" w:firstLineChars="50"/>
              <w:jc w:val="left"/>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4</w:t>
            </w:r>
            <w:r>
              <w:rPr>
                <w:rFonts w:ascii="宋体" w:hAnsi="宋体" w:eastAsia="宋体" w:cs="宋体"/>
                <w:sz w:val="24"/>
                <w:szCs w:val="24"/>
              </w:rPr>
              <w:t>）</w:t>
            </w:r>
            <w:r>
              <w:rPr>
                <w:rFonts w:hint="eastAsia" w:ascii="宋体" w:hAnsi="宋体" w:eastAsia="宋体" w:cs="宋体"/>
                <w:sz w:val="24"/>
                <w:szCs w:val="24"/>
              </w:rPr>
              <w:t>本项目采用不见面开标，供应商须在投标截止时间前，将生成的“电子加密响应文件”上传递交至“政府采购云平台”，投标截止时间以后上传递交的响应文件将被“政府采购云平台”拒收。</w:t>
            </w:r>
          </w:p>
          <w:p w14:paraId="4FCD37C7">
            <w:pPr>
              <w:keepNext/>
              <w:widowControl/>
              <w:spacing w:line="360" w:lineRule="auto"/>
              <w:ind w:firstLine="120" w:firstLineChars="50"/>
              <w:jc w:val="left"/>
              <w:rPr>
                <w:rFonts w:ascii="宋体" w:hAnsi="宋体" w:eastAsia="宋体" w:cs="宋体"/>
                <w:sz w:val="24"/>
                <w:szCs w:val="24"/>
              </w:rPr>
            </w:pPr>
            <w:r>
              <w:rPr>
                <w:rFonts w:hint="eastAsia" w:ascii="宋体" w:hAnsi="宋体" w:eastAsia="宋体" w:cs="宋体"/>
                <w:sz w:val="24"/>
                <w:szCs w:val="24"/>
              </w:rPr>
              <w:t>备注：供应商对不见面开评标系统技术操作咨询，可通过 https://edu.zcygov.cn/luban/xinjiang-e-biding自助查询，也可在政采云帮助中心常见问题解答和操作流程讲解 视 频 中 自 助 查 询 ， 网 址 为 ：https://service.zcygov.cn/#/help，“项目采购”—“操作流程-电子招投标”—“政府采购项目电子交易管理操作指南- 供应商”版面获取操作指南，同时对自助查询无法解决的问题可通过钉钉群及政采云在线客服获取服务支持。</w:t>
            </w:r>
          </w:p>
          <w:p w14:paraId="3F88E1D2">
            <w:pPr>
              <w:keepNext/>
              <w:widowControl/>
              <w:spacing w:line="360" w:lineRule="auto"/>
              <w:ind w:firstLine="120" w:firstLineChars="50"/>
              <w:jc w:val="left"/>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5</w:t>
            </w:r>
            <w:r>
              <w:rPr>
                <w:rFonts w:ascii="宋体" w:hAnsi="宋体" w:eastAsia="宋体" w:cs="宋体"/>
                <w:sz w:val="24"/>
                <w:szCs w:val="24"/>
              </w:rPr>
              <w:t>）</w:t>
            </w:r>
            <w:r>
              <w:rPr>
                <w:rFonts w:hint="eastAsia" w:ascii="宋体" w:hAnsi="宋体" w:eastAsia="宋体" w:cs="宋体"/>
                <w:sz w:val="24"/>
                <w:szCs w:val="24"/>
              </w:rPr>
              <w:t>供应商登录政采云平台，在投标截止时间前必须完成签到，(本项目解密时长为：30 分钟，签名时长为：10 分钟)； 开标时间后 30 分钟内 (用“项目采购 - 开标评标”功能进行解密响应文件。</w:t>
            </w:r>
          </w:p>
          <w:p w14:paraId="26F9B8B5">
            <w:pPr>
              <w:keepNext/>
              <w:widowControl/>
              <w:spacing w:line="360" w:lineRule="auto"/>
              <w:ind w:firstLine="120" w:firstLineChars="50"/>
              <w:jc w:val="left"/>
            </w:pPr>
            <w:r>
              <w:rPr>
                <w:rFonts w:hint="eastAsia" w:ascii="宋体" w:hAnsi="宋体" w:eastAsia="宋体" w:cs="宋体"/>
                <w:sz w:val="24"/>
                <w:szCs w:val="24"/>
              </w:rPr>
              <w:t>若供应商在规定时间内未按时签到或解密的，视为无效应答。解密与加密响应文件须为同一个 CA。</w:t>
            </w:r>
          </w:p>
        </w:tc>
      </w:tr>
      <w:tr w14:paraId="3C98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10583" w:type="dxa"/>
            <w:gridSpan w:val="3"/>
            <w:vAlign w:val="center"/>
          </w:tcPr>
          <w:p w14:paraId="62AB1E0E">
            <w:pPr>
              <w:keepNext/>
              <w:widowControl/>
              <w:spacing w:line="360" w:lineRule="auto"/>
              <w:ind w:firstLine="140" w:firstLineChars="50"/>
              <w:jc w:val="left"/>
              <w:rPr>
                <w:rFonts w:hint="default" w:ascii="宋体" w:hAnsi="宋体" w:eastAsia="宋体" w:cs="宋体"/>
                <w:b/>
                <w:bCs/>
                <w:sz w:val="28"/>
                <w:szCs w:val="28"/>
                <w:lang w:val="en-US" w:eastAsia="zh-CN"/>
              </w:rPr>
            </w:pPr>
            <w:bookmarkStart w:id="5" w:name="_Toc535592195"/>
            <w:r>
              <w:rPr>
                <w:rFonts w:hint="eastAsia" w:ascii="宋体" w:hAnsi="宋体" w:eastAsia="宋体" w:cs="宋体"/>
                <w:b/>
                <w:bCs/>
                <w:sz w:val="28"/>
                <w:szCs w:val="28"/>
                <w:lang w:val="en-US" w:eastAsia="zh-CN"/>
              </w:rPr>
              <w:t>本项目具有二轮（多轮）报价，以最终轮报价为准。</w:t>
            </w:r>
          </w:p>
        </w:tc>
      </w:tr>
    </w:tbl>
    <w:p w14:paraId="23CDA402">
      <w:pPr>
        <w:tabs>
          <w:tab w:val="center" w:pos="4832"/>
          <w:tab w:val="left" w:pos="7140"/>
        </w:tabs>
        <w:spacing w:line="360" w:lineRule="auto"/>
        <w:ind w:firstLine="470" w:firstLineChars="196"/>
        <w:jc w:val="left"/>
        <w:outlineLvl w:val="1"/>
        <w:rPr>
          <w:rFonts w:ascii="宋体" w:hAnsi="Calibri" w:eastAsia="宋体" w:cs="宋体"/>
          <w:b/>
          <w:sz w:val="24"/>
          <w:szCs w:val="24"/>
        </w:rPr>
      </w:pPr>
      <w:bookmarkStart w:id="6" w:name="_BookMark_2"/>
      <w:bookmarkEnd w:id="6"/>
      <w:bookmarkStart w:id="7" w:name="_BookMark_3"/>
      <w:bookmarkEnd w:id="7"/>
      <w:bookmarkStart w:id="8" w:name="_Toc10157"/>
      <w:r>
        <w:rPr>
          <w:rFonts w:ascii="宋体" w:hAnsi="宋体" w:eastAsia="宋体" w:cs="宋体"/>
          <w:b/>
          <w:sz w:val="24"/>
          <w:szCs w:val="24"/>
        </w:rPr>
        <w:t>1</w:t>
      </w:r>
      <w:r>
        <w:rPr>
          <w:rFonts w:hint="eastAsia" w:ascii="宋体" w:hAnsi="宋体" w:eastAsia="宋体" w:cs="宋体"/>
          <w:b/>
          <w:sz w:val="24"/>
          <w:szCs w:val="24"/>
        </w:rPr>
        <w:t>．总则</w:t>
      </w:r>
      <w:bookmarkEnd w:id="5"/>
      <w:bookmarkEnd w:id="8"/>
    </w:p>
    <w:p w14:paraId="211B8F1D">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1.1 </w:t>
      </w:r>
      <w:r>
        <w:rPr>
          <w:rFonts w:hint="eastAsia" w:ascii="宋体" w:hAnsi="宋体" w:eastAsia="宋体" w:cs="Arial"/>
          <w:kern w:val="0"/>
          <w:sz w:val="24"/>
          <w:szCs w:val="24"/>
        </w:rPr>
        <w:t>采购项目概况</w:t>
      </w:r>
    </w:p>
    <w:p w14:paraId="7E420F6C">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1.1.1</w:t>
      </w:r>
      <w:r>
        <w:rPr>
          <w:rFonts w:hint="eastAsia" w:ascii="宋体" w:hAnsi="宋体" w:eastAsia="宋体" w:cs="Arial"/>
          <w:kern w:val="0"/>
          <w:sz w:val="24"/>
          <w:szCs w:val="24"/>
        </w:rPr>
        <w:t>项目名称：见供应商须知前附表。</w:t>
      </w:r>
    </w:p>
    <w:p w14:paraId="16968405">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1.1.2</w:t>
      </w:r>
      <w:r>
        <w:rPr>
          <w:rFonts w:hint="eastAsia" w:ascii="宋体" w:hAnsi="宋体" w:eastAsia="宋体" w:cs="Arial"/>
          <w:kern w:val="0"/>
          <w:sz w:val="24"/>
          <w:szCs w:val="24"/>
        </w:rPr>
        <w:t>项目编号：见供应商须知前附表。</w:t>
      </w:r>
    </w:p>
    <w:p w14:paraId="6D075FD6">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3采购人：见供应商须知前附表。</w:t>
      </w:r>
    </w:p>
    <w:p w14:paraId="61C32068">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4采购：见供应商须知前附表。</w:t>
      </w:r>
    </w:p>
    <w:p w14:paraId="7F14AF0F">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5代理机构：见供应商须知前附表。</w:t>
      </w:r>
    </w:p>
    <w:p w14:paraId="2D0F9E54">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6项目地点：见供应商须知前附表。</w:t>
      </w:r>
    </w:p>
    <w:p w14:paraId="3EF6B11F">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7工程投资概算：见供应商须知前附表。</w:t>
      </w:r>
    </w:p>
    <w:p w14:paraId="4E814D63">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8服务费概算：见供应商须知前附表。</w:t>
      </w:r>
    </w:p>
    <w:p w14:paraId="039A450E">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9质量要求：见供应商须知前附表。</w:t>
      </w:r>
    </w:p>
    <w:p w14:paraId="5927BFB9">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1.1.10工期：见供应商须知前附表。</w:t>
      </w:r>
    </w:p>
    <w:p w14:paraId="6BFD196F">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1.2</w:t>
      </w:r>
      <w:r>
        <w:rPr>
          <w:rFonts w:hint="eastAsia" w:ascii="宋体" w:hAnsi="宋体" w:eastAsia="宋体" w:cs="Arial"/>
          <w:kern w:val="0"/>
          <w:sz w:val="24"/>
          <w:szCs w:val="24"/>
        </w:rPr>
        <w:t>采购内容：见供应商须知前附表。</w:t>
      </w:r>
    </w:p>
    <w:p w14:paraId="52C22972">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1.3</w:t>
      </w:r>
      <w:r>
        <w:rPr>
          <w:rFonts w:hint="eastAsia" w:ascii="宋体" w:hAnsi="宋体" w:eastAsia="宋体" w:cs="Arial"/>
          <w:kern w:val="0"/>
          <w:sz w:val="24"/>
          <w:szCs w:val="24"/>
        </w:rPr>
        <w:t>采购方式和资格审查方式</w:t>
      </w:r>
    </w:p>
    <w:p w14:paraId="2C11BC00">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1.3.1</w:t>
      </w:r>
      <w:r>
        <w:rPr>
          <w:rFonts w:hint="eastAsia" w:ascii="宋体" w:hAnsi="宋体" w:eastAsia="宋体" w:cs="Arial"/>
          <w:kern w:val="0"/>
          <w:sz w:val="24"/>
          <w:szCs w:val="24"/>
        </w:rPr>
        <w:t>采购方式：见供应商须知前附表。</w:t>
      </w:r>
    </w:p>
    <w:p w14:paraId="4A3CF5A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1.3.2</w:t>
      </w:r>
      <w:r>
        <w:rPr>
          <w:rFonts w:hint="eastAsia" w:ascii="宋体" w:hAnsi="宋体" w:eastAsia="宋体" w:cs="Arial"/>
          <w:kern w:val="0"/>
          <w:sz w:val="24"/>
          <w:szCs w:val="24"/>
        </w:rPr>
        <w:t>资格审查方式：见供应商须知前附表。</w:t>
      </w:r>
    </w:p>
    <w:p w14:paraId="7F12694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1.4 </w:t>
      </w:r>
      <w:r>
        <w:rPr>
          <w:rFonts w:hint="eastAsia" w:ascii="宋体" w:hAnsi="宋体" w:eastAsia="宋体" w:cs="Arial"/>
          <w:kern w:val="0"/>
          <w:sz w:val="24"/>
          <w:szCs w:val="24"/>
        </w:rPr>
        <w:t>评审办法及定标方法</w:t>
      </w:r>
    </w:p>
    <w:p w14:paraId="1B02411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1.4.1</w:t>
      </w:r>
      <w:r>
        <w:rPr>
          <w:rFonts w:hint="eastAsia" w:ascii="宋体" w:hAnsi="宋体" w:eastAsia="宋体" w:cs="Arial"/>
          <w:kern w:val="0"/>
          <w:sz w:val="24"/>
          <w:szCs w:val="24"/>
        </w:rPr>
        <w:t>评审办法：见供应商须知前附表。</w:t>
      </w:r>
    </w:p>
    <w:p w14:paraId="0D6A67D0">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1.4.2</w:t>
      </w:r>
      <w:r>
        <w:rPr>
          <w:rFonts w:hint="eastAsia" w:ascii="宋体" w:hAnsi="宋体" w:eastAsia="宋体" w:cs="Arial"/>
          <w:kern w:val="0"/>
          <w:sz w:val="24"/>
          <w:szCs w:val="24"/>
        </w:rPr>
        <w:t>响应报价方式：见供应商须知前附表。</w:t>
      </w:r>
    </w:p>
    <w:p w14:paraId="28AAF4D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1.4.3</w:t>
      </w:r>
      <w:r>
        <w:rPr>
          <w:rFonts w:hint="eastAsia" w:ascii="宋体" w:hAnsi="宋体" w:eastAsia="宋体" w:cs="Arial"/>
          <w:kern w:val="0"/>
          <w:sz w:val="24"/>
          <w:szCs w:val="24"/>
        </w:rPr>
        <w:t>定标方法：见供应商须知前附表。</w:t>
      </w:r>
    </w:p>
    <w:p w14:paraId="69E8A10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1.5</w:t>
      </w:r>
      <w:r>
        <w:rPr>
          <w:rFonts w:hint="eastAsia" w:ascii="宋体" w:hAnsi="宋体" w:eastAsia="宋体" w:cs="Arial"/>
          <w:kern w:val="0"/>
          <w:sz w:val="24"/>
          <w:szCs w:val="24"/>
        </w:rPr>
        <w:t>供应商资格条件和能力要求</w:t>
      </w:r>
    </w:p>
    <w:p w14:paraId="3D37D882">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1.5.1</w:t>
      </w:r>
      <w:r>
        <w:rPr>
          <w:rFonts w:hint="eastAsia" w:ascii="宋体" w:hAnsi="宋体" w:eastAsia="宋体" w:cs="Arial"/>
          <w:kern w:val="0"/>
          <w:sz w:val="24"/>
          <w:szCs w:val="24"/>
        </w:rPr>
        <w:t>供应商应具备承担本采购项目的资格条件和能力，具体要求见供应商须知前附表。</w:t>
      </w:r>
    </w:p>
    <w:p w14:paraId="1CF6707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1.5.</w:t>
      </w:r>
      <w:r>
        <w:rPr>
          <w:rFonts w:hint="eastAsia" w:ascii="宋体" w:hAnsi="宋体" w:eastAsia="宋体" w:cs="Arial"/>
          <w:kern w:val="0"/>
          <w:sz w:val="24"/>
          <w:szCs w:val="24"/>
        </w:rPr>
        <w:t>2供应商不得存在下列情形之一，否则相关投标均应被否决：</w:t>
      </w:r>
    </w:p>
    <w:p w14:paraId="46B2C79F">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）与采购人存在利害关系可能影响招标公正性的法人、其他组织或者个人的；</w:t>
      </w:r>
    </w:p>
    <w:p w14:paraId="2C2D60E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）单位负责人为同一人或者存在控股、管理关系的不同单位，参加同一标段投标或者未划分标段的同一采购项目投标的；</w:t>
      </w:r>
    </w:p>
    <w:p w14:paraId="07DD692C">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）法定代表人为同一个人的两个及两个以上法人，母公司、全资子公司及其控股公司，参加同一标段投标或者未划分标段的同一采购项目投标的；</w:t>
      </w:r>
    </w:p>
    <w:p w14:paraId="29658DF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（4）被责令停业的；</w:t>
      </w:r>
      <w:r>
        <w:rPr>
          <w:rFonts w:ascii="宋体" w:hAnsi="宋体" w:eastAsia="宋体" w:cs="Arial"/>
          <w:kern w:val="0"/>
          <w:sz w:val="24"/>
          <w:szCs w:val="24"/>
        </w:rPr>
        <w:t xml:space="preserve"> </w:t>
      </w:r>
    </w:p>
    <w:p w14:paraId="2C9EAE3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（5）被暂停或取消投标资格的；</w:t>
      </w:r>
      <w:r>
        <w:rPr>
          <w:rFonts w:ascii="宋体" w:hAnsi="宋体" w:eastAsia="宋体" w:cs="Arial"/>
          <w:kern w:val="0"/>
          <w:sz w:val="24"/>
          <w:szCs w:val="24"/>
        </w:rPr>
        <w:t xml:space="preserve"> </w:t>
      </w:r>
    </w:p>
    <w:p w14:paraId="79F30C1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（6）财产被接管或冻结的；</w:t>
      </w:r>
    </w:p>
    <w:p w14:paraId="3DA1A42B">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（7）在最近三年内有骗取中标或严重违约或重大质量问题的；</w:t>
      </w:r>
    </w:p>
    <w:p w14:paraId="0A5AEE01">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（8）法律规定的其他情形。</w:t>
      </w:r>
      <w:bookmarkStart w:id="9" w:name="_BookMark_5"/>
      <w:bookmarkEnd w:id="9"/>
    </w:p>
    <w:p w14:paraId="0F1020C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6费用承担</w:t>
      </w:r>
    </w:p>
    <w:p w14:paraId="2A867C4E">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1.6.1竞争性磋商文件费：见供应商须知前附表。</w:t>
      </w:r>
    </w:p>
    <w:p w14:paraId="7F6C71A9">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1.6.2供应商应承担其编制响应文件与递交响应文件所涉及的一切费用，无论投标结果如何，采购人及采购代理机构对上述费用不作任何补偿。采购代理咨询费由成交供应商支付。</w:t>
      </w:r>
    </w:p>
    <w:p w14:paraId="2DD334A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7磋商保证金：见供应商须知前附表。</w:t>
      </w:r>
    </w:p>
    <w:p w14:paraId="4BA95F1E">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1.8现场踏勘</w:t>
      </w:r>
    </w:p>
    <w:p w14:paraId="19B7505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8</w:t>
      </w:r>
      <w:r>
        <w:rPr>
          <w:rFonts w:ascii="宋体" w:hAnsi="宋体" w:eastAsia="宋体" w:cs="Arial"/>
          <w:kern w:val="0"/>
          <w:sz w:val="24"/>
          <w:szCs w:val="24"/>
        </w:rPr>
        <w:t xml:space="preserve">.1 </w:t>
      </w:r>
      <w:r>
        <w:rPr>
          <w:rFonts w:hint="eastAsia" w:ascii="宋体" w:hAnsi="宋体" w:eastAsia="宋体" w:cs="Arial"/>
          <w:kern w:val="0"/>
          <w:sz w:val="24"/>
          <w:szCs w:val="24"/>
        </w:rPr>
        <w:t>供应商须知前附表规定组织现场踏勘的，采购人或采购代理机构按供应商须知前附表规定的时间、地点组织供应商踏勘项目现场。</w:t>
      </w:r>
      <w:r>
        <w:rPr>
          <w:rFonts w:ascii="宋体" w:hAnsi="宋体" w:eastAsia="宋体" w:cs="Arial"/>
          <w:kern w:val="0"/>
          <w:sz w:val="24"/>
          <w:szCs w:val="24"/>
        </w:rPr>
        <w:t xml:space="preserve"> </w:t>
      </w:r>
    </w:p>
    <w:p w14:paraId="03F0A7C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8</w:t>
      </w:r>
      <w:r>
        <w:rPr>
          <w:rFonts w:ascii="宋体" w:hAnsi="宋体" w:eastAsia="宋体" w:cs="Arial"/>
          <w:kern w:val="0"/>
          <w:sz w:val="24"/>
          <w:szCs w:val="24"/>
        </w:rPr>
        <w:t>.2</w:t>
      </w:r>
      <w:r>
        <w:rPr>
          <w:rFonts w:hint="eastAsia" w:ascii="宋体" w:hAnsi="宋体" w:eastAsia="宋体" w:cs="Arial"/>
          <w:kern w:val="0"/>
          <w:sz w:val="24"/>
          <w:szCs w:val="24"/>
        </w:rPr>
        <w:t>供应商现场踏勘发生的费用自理。</w:t>
      </w:r>
    </w:p>
    <w:p w14:paraId="7838EBE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8</w:t>
      </w:r>
      <w:r>
        <w:rPr>
          <w:rFonts w:ascii="宋体" w:hAnsi="宋体" w:eastAsia="宋体" w:cs="Arial"/>
          <w:kern w:val="0"/>
          <w:sz w:val="24"/>
          <w:szCs w:val="24"/>
        </w:rPr>
        <w:t>.3</w:t>
      </w:r>
      <w:r>
        <w:rPr>
          <w:rFonts w:hint="eastAsia" w:ascii="宋体" w:hAnsi="宋体" w:eastAsia="宋体" w:cs="Arial"/>
          <w:kern w:val="0"/>
          <w:sz w:val="24"/>
          <w:szCs w:val="24"/>
        </w:rPr>
        <w:t>除采购人或采购代理机构的原因外，供应商自行负责在现场踏勘中所发生的人员伤亡和财产损失。</w:t>
      </w:r>
    </w:p>
    <w:p w14:paraId="2D0F3672">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8</w:t>
      </w:r>
      <w:r>
        <w:rPr>
          <w:rFonts w:ascii="宋体" w:hAnsi="宋体" w:eastAsia="宋体" w:cs="Arial"/>
          <w:kern w:val="0"/>
          <w:sz w:val="24"/>
          <w:szCs w:val="24"/>
        </w:rPr>
        <w:t>.4</w:t>
      </w:r>
      <w:r>
        <w:rPr>
          <w:rFonts w:hint="eastAsia" w:ascii="宋体" w:hAnsi="宋体" w:eastAsia="宋体" w:cs="Arial"/>
          <w:kern w:val="0"/>
          <w:sz w:val="24"/>
          <w:szCs w:val="24"/>
        </w:rPr>
        <w:t>采购人或采购代理机构在现场踏勘中介绍的项目有关情况，供应商在编制响应文件时参考，采购人或采购代理机构不对供应商据此作出的判断和决策负责。</w:t>
      </w:r>
    </w:p>
    <w:p w14:paraId="4B857D8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9供应商须知前附表规定接受联合体投标的，除应符合本章第</w:t>
      </w:r>
      <w:r>
        <w:rPr>
          <w:rFonts w:ascii="宋体" w:hAnsi="宋体" w:eastAsia="宋体" w:cs="Arial"/>
          <w:kern w:val="0"/>
          <w:sz w:val="24"/>
          <w:szCs w:val="24"/>
        </w:rPr>
        <w:t>1.</w:t>
      </w:r>
      <w:r>
        <w:rPr>
          <w:rFonts w:hint="eastAsia" w:ascii="宋体" w:hAnsi="宋体" w:eastAsia="宋体" w:cs="Arial"/>
          <w:kern w:val="0"/>
          <w:sz w:val="24"/>
          <w:szCs w:val="24"/>
        </w:rPr>
        <w:t>5</w:t>
      </w:r>
      <w:r>
        <w:rPr>
          <w:rFonts w:ascii="宋体" w:hAnsi="宋体" w:eastAsia="宋体" w:cs="Arial"/>
          <w:kern w:val="0"/>
          <w:sz w:val="24"/>
          <w:szCs w:val="24"/>
        </w:rPr>
        <w:t>.1</w:t>
      </w:r>
      <w:r>
        <w:rPr>
          <w:rFonts w:hint="eastAsia" w:ascii="宋体" w:hAnsi="宋体" w:eastAsia="宋体" w:cs="Arial"/>
          <w:kern w:val="0"/>
          <w:sz w:val="24"/>
          <w:szCs w:val="24"/>
        </w:rPr>
        <w:t>款和供应商须知前附表的要求外，还应遵守以下规定：（</w:t>
      </w:r>
      <w:r>
        <w:rPr>
          <w:rFonts w:ascii="宋体" w:hAnsi="宋体" w:eastAsia="宋体" w:cs="Arial"/>
          <w:kern w:val="0"/>
          <w:sz w:val="24"/>
          <w:szCs w:val="24"/>
        </w:rPr>
        <w:t>1</w:t>
      </w:r>
      <w:r>
        <w:rPr>
          <w:rFonts w:hint="eastAsia" w:ascii="宋体" w:hAnsi="宋体" w:eastAsia="宋体" w:cs="Arial"/>
          <w:kern w:val="0"/>
          <w:sz w:val="24"/>
          <w:szCs w:val="24"/>
        </w:rPr>
        <w:t>）联合体各方应按竞争性磋商文件提供的格式签订联合体协议书，明确联合体牵头人和各方权利义务；（</w:t>
      </w:r>
      <w:r>
        <w:rPr>
          <w:rFonts w:ascii="宋体" w:hAnsi="宋体" w:eastAsia="宋体" w:cs="Arial"/>
          <w:kern w:val="0"/>
          <w:sz w:val="24"/>
          <w:szCs w:val="24"/>
        </w:rPr>
        <w:t>2</w:t>
      </w:r>
      <w:r>
        <w:rPr>
          <w:rFonts w:hint="eastAsia" w:ascii="宋体" w:hAnsi="宋体" w:eastAsia="宋体" w:cs="Arial"/>
          <w:kern w:val="0"/>
          <w:sz w:val="24"/>
          <w:szCs w:val="24"/>
        </w:rPr>
        <w:t>）联合体各方不得再以自己名义单独或参加其他联合体在本采购项目中投标。</w:t>
      </w:r>
    </w:p>
    <w:p w14:paraId="3844F21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10采购答疑会和采购澄清答疑要求</w:t>
      </w:r>
    </w:p>
    <w:p w14:paraId="21C69E3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10</w:t>
      </w:r>
      <w:r>
        <w:rPr>
          <w:rFonts w:ascii="宋体" w:hAnsi="宋体" w:eastAsia="宋体" w:cs="Arial"/>
          <w:kern w:val="0"/>
          <w:sz w:val="24"/>
          <w:szCs w:val="24"/>
        </w:rPr>
        <w:t>.1</w:t>
      </w:r>
      <w:r>
        <w:rPr>
          <w:rFonts w:hint="eastAsia" w:ascii="宋体" w:hAnsi="宋体" w:eastAsia="宋体" w:cs="Arial"/>
          <w:kern w:val="0"/>
          <w:sz w:val="24"/>
          <w:szCs w:val="24"/>
        </w:rPr>
        <w:t>供应商须知前附表规定召开采购答疑会的，采购人或采购代理机构按照供应商须知前附表规定的时间和地点召开采购答疑会，澄清供应商提出的问题。</w:t>
      </w:r>
    </w:p>
    <w:p w14:paraId="2E52B00D">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10</w:t>
      </w:r>
      <w:r>
        <w:rPr>
          <w:rFonts w:ascii="宋体" w:hAnsi="宋体" w:eastAsia="宋体" w:cs="Arial"/>
          <w:kern w:val="0"/>
          <w:sz w:val="24"/>
          <w:szCs w:val="24"/>
        </w:rPr>
        <w:t>.2</w:t>
      </w:r>
      <w:r>
        <w:rPr>
          <w:rFonts w:hint="eastAsia" w:ascii="宋体" w:hAnsi="宋体" w:eastAsia="宋体" w:cs="Arial"/>
          <w:kern w:val="0"/>
          <w:sz w:val="24"/>
          <w:szCs w:val="24"/>
        </w:rPr>
        <w:t>供应商若有疑问，应按供应商须知前附表规定的时间、方式向采购人或采购代理机构提出，要求采购人对竞争性磋商文件予以澄清。</w:t>
      </w:r>
    </w:p>
    <w:p w14:paraId="4CD0161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10</w:t>
      </w:r>
      <w:r>
        <w:rPr>
          <w:rFonts w:ascii="宋体" w:hAnsi="宋体" w:eastAsia="宋体" w:cs="Arial"/>
          <w:kern w:val="0"/>
          <w:sz w:val="24"/>
          <w:szCs w:val="24"/>
        </w:rPr>
        <w:t>.3</w:t>
      </w:r>
      <w:r>
        <w:rPr>
          <w:rFonts w:hint="eastAsia" w:ascii="宋体" w:hAnsi="宋体" w:eastAsia="宋体" w:cs="Arial"/>
          <w:kern w:val="0"/>
          <w:sz w:val="24"/>
          <w:szCs w:val="24"/>
        </w:rPr>
        <w:t>采购人或采购代理机构将按照供应商须知前附表规定的时间方式对供应商的疑问作出统一的解答。</w:t>
      </w:r>
    </w:p>
    <w:p w14:paraId="6A69A96D">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1.11响应文件：见供应商须知前附表。</w:t>
      </w:r>
    </w:p>
    <w:p w14:paraId="3273ED46">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1.12响应文件递交：见供应商须知前附表。</w:t>
      </w:r>
    </w:p>
    <w:p w14:paraId="0206D8C0">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1.13开标：见供应商须知前附表。</w:t>
      </w:r>
    </w:p>
    <w:p w14:paraId="0DFACDBF">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1.14响应有效期：见供应商须知前附表。</w:t>
      </w:r>
    </w:p>
    <w:p w14:paraId="3CA0DEC4">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1.15竞争性磋商公告发布媒体：见供应商须知前附表。</w:t>
      </w:r>
    </w:p>
    <w:p w14:paraId="5DCCEED9">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1.16中小企业政策说明：见供应商须知前附表。</w:t>
      </w:r>
    </w:p>
    <w:p w14:paraId="56A4A0F5">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1.17履约保证金：见供应商须知前附表。</w:t>
      </w:r>
    </w:p>
    <w:p w14:paraId="40002210">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1.18付款方式：见供应商须知前附表。</w:t>
      </w:r>
    </w:p>
    <w:p w14:paraId="76DB9F43">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1.19招标代理费：见供应商须知前附表。</w:t>
      </w:r>
    </w:p>
    <w:p w14:paraId="5FB2326C">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1.20其他说明：见供应商须知前附表。</w:t>
      </w:r>
    </w:p>
    <w:p w14:paraId="70824C45">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1.21保密</w:t>
      </w:r>
    </w:p>
    <w:p w14:paraId="680F2FBA">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参与招标投标活动的各方应当对竞争性磋商文件和响应文件中的商业和技术等秘密保密，否则应当承担相应的法律责任。</w:t>
      </w:r>
    </w:p>
    <w:p w14:paraId="08F64D1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22语言文字</w:t>
      </w:r>
    </w:p>
    <w:p w14:paraId="68014BEE">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除专用术语外，与招标投标有关的语言均应当使用中文。必要时专用术语应附有中文注释。</w:t>
      </w:r>
    </w:p>
    <w:p w14:paraId="0DD6C03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23计量单位</w:t>
      </w:r>
    </w:p>
    <w:p w14:paraId="60AC1F06">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所有计量均采用中华人民共和国法定计量单位。</w:t>
      </w:r>
    </w:p>
    <w:p w14:paraId="5564C48D">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24偏离</w:t>
      </w:r>
    </w:p>
    <w:p w14:paraId="438D51B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响应文件与竞争性磋商文件某些要求产生偏离的，偏离应当符合竞争性磋商文件规定的偏离范围和幅度。</w:t>
      </w:r>
    </w:p>
    <w:p w14:paraId="1079525E">
      <w:pPr>
        <w:tabs>
          <w:tab w:val="center" w:pos="4832"/>
          <w:tab w:val="left" w:pos="7140"/>
        </w:tabs>
        <w:spacing w:line="360" w:lineRule="auto"/>
        <w:ind w:firstLine="470" w:firstLineChars="196"/>
        <w:jc w:val="left"/>
        <w:outlineLvl w:val="1"/>
        <w:rPr>
          <w:rFonts w:ascii="宋体" w:hAnsi="Calibri" w:eastAsia="宋体" w:cs="宋体"/>
          <w:b/>
          <w:sz w:val="24"/>
          <w:szCs w:val="24"/>
        </w:rPr>
      </w:pPr>
      <w:bookmarkStart w:id="10" w:name="_Toc535592196"/>
      <w:bookmarkStart w:id="11" w:name="_Toc30168"/>
      <w:r>
        <w:rPr>
          <w:rFonts w:ascii="宋体" w:hAnsi="宋体" w:eastAsia="宋体" w:cs="宋体"/>
          <w:b/>
          <w:sz w:val="24"/>
          <w:szCs w:val="24"/>
        </w:rPr>
        <w:t>2</w:t>
      </w:r>
      <w:r>
        <w:rPr>
          <w:rFonts w:hint="eastAsia" w:ascii="宋体" w:hAnsi="宋体" w:eastAsia="宋体" w:cs="宋体"/>
          <w:b/>
          <w:sz w:val="24"/>
          <w:szCs w:val="24"/>
        </w:rPr>
        <w:t>．竞争性磋商文件</w:t>
      </w:r>
      <w:bookmarkEnd w:id="10"/>
      <w:bookmarkEnd w:id="11"/>
    </w:p>
    <w:p w14:paraId="0A57B02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2.1</w:t>
      </w:r>
      <w:r>
        <w:rPr>
          <w:rFonts w:hint="eastAsia" w:ascii="宋体" w:hAnsi="宋体" w:eastAsia="宋体" w:cs="Arial"/>
          <w:kern w:val="0"/>
          <w:sz w:val="24"/>
          <w:szCs w:val="24"/>
        </w:rPr>
        <w:t>竞争性磋商文件的组成</w:t>
      </w:r>
    </w:p>
    <w:p w14:paraId="221EED90">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）供应商须知；</w:t>
      </w:r>
    </w:p>
    <w:p w14:paraId="56A74D36">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）评审办法；</w:t>
      </w:r>
    </w:p>
    <w:p w14:paraId="385B55D7">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）合同条款及格式；</w:t>
      </w:r>
    </w:p>
    <w:p w14:paraId="5C0F9B12">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（4）采购需求</w:t>
      </w:r>
    </w:p>
    <w:p w14:paraId="30D4142D">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（5）技术标准和要求；</w:t>
      </w:r>
    </w:p>
    <w:p w14:paraId="7F1F96F2">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（6）响应文件格式；</w:t>
      </w:r>
    </w:p>
    <w:p w14:paraId="0B356429">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（7）补充条款。</w:t>
      </w:r>
    </w:p>
    <w:p w14:paraId="50FF6B71">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根据本章第</w:t>
      </w:r>
      <w:r>
        <w:rPr>
          <w:rFonts w:ascii="宋体" w:hAnsi="宋体" w:eastAsia="宋体" w:cs="Arial"/>
          <w:kern w:val="0"/>
          <w:sz w:val="24"/>
          <w:szCs w:val="24"/>
        </w:rPr>
        <w:t>2.4</w:t>
      </w:r>
      <w:r>
        <w:rPr>
          <w:rFonts w:hint="eastAsia" w:ascii="宋体" w:hAnsi="宋体" w:eastAsia="宋体" w:cs="Arial"/>
          <w:kern w:val="0"/>
          <w:sz w:val="24"/>
          <w:szCs w:val="24"/>
        </w:rPr>
        <w:t>款和第</w:t>
      </w:r>
      <w:r>
        <w:rPr>
          <w:rFonts w:ascii="宋体" w:hAnsi="宋体" w:eastAsia="宋体" w:cs="Arial"/>
          <w:kern w:val="0"/>
          <w:sz w:val="24"/>
          <w:szCs w:val="24"/>
        </w:rPr>
        <w:t>2.5</w:t>
      </w:r>
      <w:r>
        <w:rPr>
          <w:rFonts w:hint="eastAsia" w:ascii="宋体" w:hAnsi="宋体" w:eastAsia="宋体" w:cs="Arial"/>
          <w:kern w:val="0"/>
          <w:sz w:val="24"/>
          <w:szCs w:val="24"/>
        </w:rPr>
        <w:t>款对竞争性磋商文件所作的澄清、修改，构成竞争性磋商文件的组成部分。</w:t>
      </w:r>
    </w:p>
    <w:p w14:paraId="62013EA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2竞争性磋商文件的获取</w:t>
      </w:r>
    </w:p>
    <w:p w14:paraId="01DE2F6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凡有意参加并符合供应商须知前附表“供应商资格条件和能力”的供应商，均可在采购代理机构获取竞争性磋商文件。</w:t>
      </w:r>
    </w:p>
    <w:p w14:paraId="20DD097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3竞争性磋商文件的澄清</w:t>
      </w:r>
    </w:p>
    <w:p w14:paraId="7343265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3</w:t>
      </w:r>
      <w:r>
        <w:rPr>
          <w:rFonts w:ascii="宋体" w:hAnsi="宋体" w:eastAsia="宋体" w:cs="Arial"/>
          <w:kern w:val="0"/>
          <w:sz w:val="24"/>
          <w:szCs w:val="24"/>
        </w:rPr>
        <w:t>.1</w:t>
      </w:r>
      <w:r>
        <w:rPr>
          <w:rFonts w:hint="eastAsia" w:ascii="宋体" w:hAnsi="宋体" w:eastAsia="宋体" w:cs="Arial"/>
          <w:kern w:val="0"/>
          <w:sz w:val="24"/>
          <w:szCs w:val="24"/>
        </w:rPr>
        <w:t>供应商应当仔细阅读和检查竞争性磋商文件的全部内容。如发现缺页或附件不全，应当及时向采购人提出，以便补齐。如有疑问，应当在供应商须知前附表规定的时间、方式向采购人提出，要求采购人对竞争性磋商文件予以澄清。</w:t>
      </w:r>
    </w:p>
    <w:p w14:paraId="4AB4233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3</w:t>
      </w:r>
      <w:r>
        <w:rPr>
          <w:rFonts w:ascii="宋体" w:hAnsi="宋体" w:eastAsia="宋体" w:cs="Arial"/>
          <w:kern w:val="0"/>
          <w:sz w:val="24"/>
          <w:szCs w:val="24"/>
        </w:rPr>
        <w:t>.2</w:t>
      </w:r>
      <w:r>
        <w:rPr>
          <w:rFonts w:hint="eastAsia" w:ascii="宋体" w:hAnsi="宋体" w:eastAsia="宋体" w:cs="Arial"/>
          <w:kern w:val="0"/>
          <w:sz w:val="24"/>
          <w:szCs w:val="24"/>
        </w:rPr>
        <w:t>竞争性磋商文件的澄清将按照供应商须知前附表规定的时间、方式发布，但不指明澄清问题的来源。</w:t>
      </w:r>
    </w:p>
    <w:p w14:paraId="5B2E4D0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4竞争性磋商文件的修改</w:t>
      </w:r>
    </w:p>
    <w:p w14:paraId="6C55602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.1</w:t>
      </w:r>
      <w:r>
        <w:rPr>
          <w:rFonts w:hint="eastAsia" w:ascii="宋体" w:hAnsi="宋体" w:eastAsia="宋体" w:cs="Arial"/>
          <w:kern w:val="0"/>
          <w:sz w:val="24"/>
          <w:szCs w:val="24"/>
        </w:rPr>
        <w:t>竞争性磋商文件的修改将按照供应商须知前附表规定的时间、方式发布，但不指明澄清问题的来源。</w:t>
      </w:r>
    </w:p>
    <w:p w14:paraId="72DE29C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.2</w:t>
      </w:r>
      <w:r>
        <w:rPr>
          <w:rFonts w:hint="eastAsia" w:ascii="宋体" w:hAnsi="宋体" w:eastAsia="宋体" w:cs="Arial"/>
          <w:kern w:val="0"/>
          <w:sz w:val="24"/>
          <w:szCs w:val="24"/>
        </w:rPr>
        <w:t>在供应商须知前附表规定的截止时间前，无论出于何种原因，采购代理机构和采购人可主动地或在解答潜在供应商提出的澄清问题时对竞争性磋商文件进行修改。</w:t>
      </w:r>
    </w:p>
    <w:p w14:paraId="5D31F47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.3</w:t>
      </w:r>
      <w:r>
        <w:rPr>
          <w:rFonts w:hint="eastAsia" w:ascii="宋体" w:hAnsi="宋体" w:eastAsia="宋体" w:cs="Arial"/>
          <w:kern w:val="0"/>
          <w:sz w:val="24"/>
          <w:szCs w:val="24"/>
        </w:rPr>
        <w:t>竞争性磋商文件的修改部分是竞争性磋商文件的组成部分对供应商具有约束力。</w:t>
      </w:r>
    </w:p>
    <w:p w14:paraId="7E2D75B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.4</w:t>
      </w:r>
      <w:r>
        <w:rPr>
          <w:rFonts w:hint="eastAsia" w:ascii="宋体" w:hAnsi="宋体" w:eastAsia="宋体" w:cs="Arial"/>
          <w:kern w:val="0"/>
          <w:sz w:val="24"/>
          <w:szCs w:val="24"/>
        </w:rPr>
        <w:t>为使供应商准备投标时有充分时间对竞争性磋商文件的修改部分进行研究，采购人可适当推迟投标截止期。</w:t>
      </w:r>
    </w:p>
    <w:p w14:paraId="00A174AD">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.5</w:t>
      </w:r>
      <w:r>
        <w:rPr>
          <w:rFonts w:hint="eastAsia" w:ascii="宋体" w:hAnsi="宋体" w:eastAsia="宋体" w:cs="Arial"/>
          <w:kern w:val="0"/>
          <w:sz w:val="24"/>
          <w:szCs w:val="24"/>
        </w:rPr>
        <w:t>当采购人发放的竞争性磋商文件及竞争性磋商文件的答疑文件、修改文件、补充文件前后不一致，发生矛盾情况时，以最后发出的为准。</w:t>
      </w:r>
    </w:p>
    <w:p w14:paraId="1550C212">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.6</w:t>
      </w:r>
      <w:r>
        <w:rPr>
          <w:rFonts w:hint="eastAsia" w:ascii="宋体" w:hAnsi="宋体" w:eastAsia="宋体" w:cs="Arial"/>
          <w:kern w:val="0"/>
          <w:sz w:val="24"/>
          <w:szCs w:val="24"/>
        </w:rPr>
        <w:t>如果竞争性磋商文件各个组成部分之间出现歧义或相互矛盾，或任何文件中呈现明显的或不符合逻辑等的错误，或在文件编写过程中经常出现的打印错误等，供应商应将需要澄清的内容在供应商须知前附表规定的时间之前提出。根据合同条款中的相关约定，如果供应商在投标过程中未能发现并对有关歧义、矛盾或错误提出澄清请求，</w:t>
      </w:r>
      <w:r>
        <w:rPr>
          <w:rFonts w:hint="eastAsia" w:ascii="宋体" w:hAnsi="宋体" w:eastAsia="宋体" w:cs="Arial"/>
          <w:kern w:val="0"/>
          <w:sz w:val="24"/>
          <w:szCs w:val="24"/>
          <w:highlight w:val="none"/>
        </w:rPr>
        <w:t>而在中标后发现并提出，成交供应商将必须接受由采购人依据合同有关条款而做出的书面澄清。</w:t>
      </w:r>
    </w:p>
    <w:p w14:paraId="2B11DA98">
      <w:pPr>
        <w:tabs>
          <w:tab w:val="center" w:pos="4832"/>
          <w:tab w:val="left" w:pos="7140"/>
        </w:tabs>
        <w:spacing w:line="360" w:lineRule="auto"/>
        <w:ind w:firstLine="470" w:firstLineChars="196"/>
        <w:jc w:val="left"/>
        <w:outlineLvl w:val="1"/>
        <w:rPr>
          <w:rFonts w:ascii="宋体" w:hAnsi="Calibri" w:eastAsia="宋体" w:cs="宋体"/>
          <w:b/>
          <w:sz w:val="24"/>
          <w:szCs w:val="24"/>
          <w:highlight w:val="none"/>
        </w:rPr>
      </w:pPr>
      <w:bookmarkStart w:id="12" w:name="_BookMark_6"/>
      <w:bookmarkEnd w:id="12"/>
      <w:bookmarkStart w:id="13" w:name="_Toc5584"/>
      <w:bookmarkStart w:id="14" w:name="_Toc535592197"/>
      <w:r>
        <w:rPr>
          <w:rFonts w:ascii="宋体" w:hAnsi="宋体" w:eastAsia="宋体" w:cs="宋体"/>
          <w:b/>
          <w:sz w:val="24"/>
          <w:szCs w:val="24"/>
          <w:highlight w:val="none"/>
        </w:rPr>
        <w:t>3</w:t>
      </w:r>
      <w:r>
        <w:rPr>
          <w:rFonts w:hint="eastAsia" w:ascii="宋体" w:hAnsi="宋体" w:eastAsia="宋体" w:cs="宋体"/>
          <w:b/>
          <w:sz w:val="24"/>
          <w:szCs w:val="24"/>
          <w:highlight w:val="none"/>
        </w:rPr>
        <w:t>．响应文件</w:t>
      </w:r>
      <w:bookmarkEnd w:id="13"/>
      <w:bookmarkEnd w:id="14"/>
    </w:p>
    <w:p w14:paraId="0D6DF05F">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hint="eastAsia" w:ascii="宋体" w:hAnsi="宋体" w:eastAsia="宋体" w:cs="Arial"/>
          <w:kern w:val="0"/>
          <w:sz w:val="24"/>
          <w:szCs w:val="24"/>
          <w:highlight w:val="none"/>
        </w:rPr>
        <w:t>3.1 响应文件的组成；</w:t>
      </w:r>
    </w:p>
    <w:p w14:paraId="7D95BB81">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hint="eastAsia" w:ascii="宋体" w:hAnsi="宋体" w:eastAsia="宋体" w:cs="Arial"/>
          <w:kern w:val="0"/>
          <w:sz w:val="24"/>
          <w:szCs w:val="24"/>
          <w:highlight w:val="none"/>
        </w:rPr>
        <w:t>3.1.1包括下列内容：</w:t>
      </w:r>
    </w:p>
    <w:p w14:paraId="77B5F838">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1、承诺书（一）、（二）</w:t>
      </w:r>
    </w:p>
    <w:p w14:paraId="7FB5DCFE">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2、法定代表人身份证明书</w:t>
      </w:r>
    </w:p>
    <w:p w14:paraId="0B6BF076">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3、法定代表人授权委托书</w:t>
      </w:r>
    </w:p>
    <w:p w14:paraId="29270361">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4、供应商概况</w:t>
      </w:r>
    </w:p>
    <w:p w14:paraId="682BED7A">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5、具备履行合同所必需的设备和专业技术能力的承诺</w:t>
      </w:r>
    </w:p>
    <w:p w14:paraId="1996F9A2">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6、无重大违法记录声明书</w:t>
      </w:r>
    </w:p>
    <w:p w14:paraId="126D22C5">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7、信用记录</w:t>
      </w:r>
    </w:p>
    <w:p w14:paraId="2A58292C">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8、供应商具有良好的商业信誉和健全的财务会计制度的证明文件</w:t>
      </w:r>
    </w:p>
    <w:p w14:paraId="30829359">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9、磋商保证金缴纳凭证</w:t>
      </w:r>
    </w:p>
    <w:p w14:paraId="214FE369">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10、供应商缴纳税收的证明</w:t>
      </w:r>
    </w:p>
    <w:p w14:paraId="78CEE793">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11、供应商缴纳社会保险的证明</w:t>
      </w:r>
    </w:p>
    <w:p w14:paraId="1F13AB4D">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12、其他要求承诺函</w:t>
      </w:r>
    </w:p>
    <w:p w14:paraId="286C97BA">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13、偏离表</w:t>
      </w:r>
    </w:p>
    <w:p w14:paraId="4852DBD6">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14、供应商近三年类似业绩</w:t>
      </w:r>
    </w:p>
    <w:p w14:paraId="162FF34D">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15、其他格式</w:t>
      </w:r>
    </w:p>
    <w:p w14:paraId="24FE9800">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16、服务方案</w:t>
      </w:r>
    </w:p>
    <w:p w14:paraId="534B9B48">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17、报价一览表</w:t>
      </w:r>
    </w:p>
    <w:p w14:paraId="038A4638">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18、其他相关资料（根据磋商文件的要求和供应商认为需要提供的资料）</w:t>
      </w:r>
    </w:p>
    <w:p w14:paraId="44B7967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3.2 </w:t>
      </w:r>
      <w:r>
        <w:rPr>
          <w:rFonts w:hint="eastAsia" w:ascii="宋体" w:hAnsi="宋体" w:eastAsia="宋体" w:cs="Arial"/>
          <w:kern w:val="0"/>
          <w:sz w:val="24"/>
          <w:szCs w:val="24"/>
        </w:rPr>
        <w:t>磋商价格</w:t>
      </w:r>
    </w:p>
    <w:p w14:paraId="779196E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3.2.1 </w:t>
      </w:r>
      <w:r>
        <w:rPr>
          <w:rFonts w:hint="eastAsia" w:ascii="宋体" w:hAnsi="宋体" w:eastAsia="宋体" w:cs="Arial"/>
          <w:kern w:val="0"/>
          <w:sz w:val="24"/>
          <w:szCs w:val="24"/>
        </w:rPr>
        <w:t>供应商应当按第四章“采购需求”的规定进行报价，并填写</w:t>
      </w:r>
      <w:r>
        <w:rPr>
          <w:rFonts w:hint="eastAsia" w:ascii="宋体" w:hAnsi="宋体" w:eastAsia="宋体" w:cs="Arial"/>
          <w:kern w:val="0"/>
          <w:sz w:val="24"/>
          <w:szCs w:val="24"/>
          <w:lang w:eastAsia="zh-CN"/>
        </w:rPr>
        <w:t>第五章</w:t>
      </w:r>
      <w:r>
        <w:rPr>
          <w:rFonts w:hint="eastAsia" w:ascii="宋体" w:hAnsi="宋体" w:eastAsia="宋体" w:cs="Arial"/>
          <w:kern w:val="0"/>
          <w:sz w:val="24"/>
          <w:szCs w:val="24"/>
        </w:rPr>
        <w:t>“响应文件格式”中的磋商报价。</w:t>
      </w:r>
    </w:p>
    <w:p w14:paraId="51982FCE">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3.2.2</w:t>
      </w:r>
      <w:r>
        <w:rPr>
          <w:rFonts w:hint="eastAsia" w:ascii="宋体" w:hAnsi="宋体" w:eastAsia="宋体" w:cs="Arial"/>
          <w:kern w:val="0"/>
          <w:sz w:val="24"/>
          <w:szCs w:val="24"/>
        </w:rPr>
        <w:t>本次磋商采用二轮报价法，供应商递交的响应文件中的报价为</w:t>
      </w:r>
      <w:r>
        <w:rPr>
          <w:rFonts w:ascii="宋体" w:hAnsi="宋体" w:eastAsia="宋体" w:cs="Arial"/>
          <w:kern w:val="0"/>
          <w:sz w:val="24"/>
          <w:szCs w:val="24"/>
        </w:rPr>
        <w:t>第一轮报价</w:t>
      </w:r>
      <w:r>
        <w:rPr>
          <w:rFonts w:hint="eastAsia" w:ascii="宋体" w:hAnsi="宋体" w:eastAsia="宋体" w:cs="Arial"/>
          <w:kern w:val="0"/>
          <w:sz w:val="24"/>
          <w:szCs w:val="24"/>
        </w:rPr>
        <w:t>，</w:t>
      </w:r>
      <w:r>
        <w:rPr>
          <w:rFonts w:ascii="宋体" w:hAnsi="宋体" w:eastAsia="宋体" w:cs="Arial"/>
          <w:kern w:val="0"/>
          <w:sz w:val="24"/>
          <w:szCs w:val="24"/>
        </w:rPr>
        <w:t>第一轮报价</w:t>
      </w:r>
      <w:r>
        <w:rPr>
          <w:rFonts w:hint="eastAsia" w:ascii="宋体" w:hAnsi="宋体" w:eastAsia="宋体" w:cs="Arial"/>
          <w:kern w:val="0"/>
          <w:sz w:val="24"/>
          <w:szCs w:val="24"/>
        </w:rPr>
        <w:t>与第二轮报价超出本项目服务费概算的视为无效磋商。</w:t>
      </w:r>
    </w:p>
    <w:p w14:paraId="21097BF5">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3.2.3磋商价格应包括供应商履行本项目合同（如果中标）所必须的所有成本费用和成交供应商应承担的一切税费。未列和没有填写的项目费用，采购人将视为已包括在投标价格中。</w:t>
      </w:r>
    </w:p>
    <w:p w14:paraId="0001AFAA">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3.2.</w:t>
      </w:r>
      <w:r>
        <w:rPr>
          <w:rFonts w:hint="eastAsia" w:ascii="宋体" w:hAnsi="宋体" w:eastAsia="宋体" w:cs="Arial"/>
          <w:kern w:val="0"/>
          <w:sz w:val="24"/>
          <w:szCs w:val="24"/>
        </w:rPr>
        <w:t>4供应商提供的服务一律用人民币报价。</w:t>
      </w:r>
    </w:p>
    <w:p w14:paraId="68501DE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3.3 </w:t>
      </w:r>
      <w:r>
        <w:rPr>
          <w:rFonts w:hint="eastAsia" w:ascii="宋体" w:hAnsi="宋体" w:eastAsia="宋体" w:cs="Arial"/>
          <w:kern w:val="0"/>
          <w:sz w:val="24"/>
          <w:szCs w:val="24"/>
        </w:rPr>
        <w:t>响应有效期</w:t>
      </w:r>
    </w:p>
    <w:p w14:paraId="2D79B9B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3.3.1</w:t>
      </w:r>
      <w:r>
        <w:rPr>
          <w:rFonts w:hint="eastAsia" w:ascii="宋体" w:hAnsi="宋体" w:eastAsia="宋体" w:cs="Arial"/>
          <w:kern w:val="0"/>
          <w:sz w:val="24"/>
          <w:szCs w:val="24"/>
        </w:rPr>
        <w:t>在供应商须知前附表规定的响应有效期内，供应商不得要求撤销或修改其响应文件。</w:t>
      </w:r>
    </w:p>
    <w:p w14:paraId="28E8351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3.3.2</w:t>
      </w:r>
      <w:r>
        <w:rPr>
          <w:rFonts w:hint="eastAsia" w:ascii="宋体" w:hAnsi="宋体" w:eastAsia="宋体" w:cs="Arial"/>
          <w:kern w:val="0"/>
          <w:sz w:val="24"/>
          <w:szCs w:val="24"/>
        </w:rPr>
        <w:t>出现特殊情况需要延长响应有效期的，采购人将通知所有供应商延长响应有效期。供应商同意延长的，应当相应延长其磋商保证金的有效期，但不得要求或被允许修改或撤销其响应文件；供应商拒绝延长的，其投标失效，但供应商有权收回其磋商保证金。</w:t>
      </w:r>
      <w:r>
        <w:rPr>
          <w:rFonts w:ascii="宋体" w:hAnsi="宋体" w:eastAsia="宋体" w:cs="Arial"/>
          <w:kern w:val="0"/>
          <w:sz w:val="24"/>
          <w:szCs w:val="24"/>
        </w:rPr>
        <w:t xml:space="preserve"> </w:t>
      </w:r>
    </w:p>
    <w:p w14:paraId="22B3C37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3.3.3</w:t>
      </w:r>
      <w:r>
        <w:rPr>
          <w:rFonts w:hint="eastAsia" w:ascii="宋体" w:hAnsi="宋体" w:eastAsia="宋体" w:cs="Arial"/>
          <w:kern w:val="0"/>
          <w:sz w:val="24"/>
          <w:szCs w:val="24"/>
        </w:rPr>
        <w:t>磋商保证金的有效期与响应有效期一致。</w:t>
      </w:r>
    </w:p>
    <w:p w14:paraId="02DF51C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3.4 </w:t>
      </w:r>
      <w:r>
        <w:rPr>
          <w:rFonts w:hint="eastAsia" w:ascii="宋体" w:hAnsi="宋体" w:eastAsia="宋体" w:cs="Arial"/>
          <w:kern w:val="0"/>
          <w:sz w:val="24"/>
          <w:szCs w:val="24"/>
        </w:rPr>
        <w:t>磋商保证金</w:t>
      </w:r>
    </w:p>
    <w:p w14:paraId="2EB69E85">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3.4.1</w:t>
      </w:r>
      <w:r>
        <w:rPr>
          <w:rFonts w:hint="eastAsia" w:ascii="宋体" w:hAnsi="宋体" w:eastAsia="宋体" w:cs="Arial"/>
          <w:kern w:val="0"/>
          <w:sz w:val="24"/>
          <w:szCs w:val="24"/>
        </w:rPr>
        <w:t>供应商应于投标截止时间前按供应商须知前附表规定数额提交磋商保证金。未提交磋商保证金的，将被视为非响应性投标而予以拒绝。联合体投标的，其磋商保证金由牵头人递交，并应符合供应商须知前附表的规定。</w:t>
      </w:r>
    </w:p>
    <w:p w14:paraId="11AC3E2C">
      <w:pPr>
        <w:shd w:val="clear" w:color="auto" w:fill="FFFFFF"/>
        <w:snapToGrid w:val="0"/>
        <w:spacing w:line="360" w:lineRule="auto"/>
        <w:ind w:firstLine="360" w:firstLineChars="150"/>
        <w:rPr>
          <w:rFonts w:ascii="宋体" w:hAnsi="宋体" w:eastAsia="宋体" w:cs="Times New Roman"/>
          <w:sz w:val="24"/>
          <w:szCs w:val="24"/>
        </w:rPr>
      </w:pPr>
      <w:r>
        <w:rPr>
          <w:rFonts w:ascii="宋体" w:hAnsi="宋体" w:eastAsia="宋体" w:cs="Arial"/>
          <w:kern w:val="0"/>
          <w:sz w:val="24"/>
          <w:szCs w:val="24"/>
        </w:rPr>
        <w:t>3.4.2</w:t>
      </w:r>
      <w:r>
        <w:rPr>
          <w:rFonts w:hint="eastAsia" w:ascii="宋体" w:hAnsi="宋体" w:eastAsia="宋体" w:cs="Times New Roman"/>
          <w:sz w:val="24"/>
          <w:szCs w:val="24"/>
        </w:rPr>
        <w:t>磋商保证金以支票、汇票、本票或者金融机构、担保机构出具的保函等非现金形式提交至采购代理机构。</w:t>
      </w:r>
    </w:p>
    <w:p w14:paraId="0FB8AF0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3.4.</w:t>
      </w:r>
      <w:r>
        <w:rPr>
          <w:rFonts w:hint="eastAsia" w:ascii="宋体" w:hAnsi="宋体" w:eastAsia="宋体" w:cs="Arial"/>
          <w:kern w:val="0"/>
          <w:sz w:val="24"/>
          <w:szCs w:val="24"/>
        </w:rPr>
        <w:t>3磋商保证金是为了保护采购人免遭因供应商的行为而蒙受损失。采购人在因供应商的行为受到损害时可根据相关法律规定没收供应商的磋商保证金。</w:t>
      </w:r>
    </w:p>
    <w:p w14:paraId="0A39D8D4">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3.4.</w:t>
      </w:r>
      <w:r>
        <w:rPr>
          <w:rFonts w:hint="eastAsia" w:ascii="宋体" w:hAnsi="宋体" w:eastAsia="宋体" w:cs="Arial"/>
          <w:kern w:val="0"/>
          <w:sz w:val="24"/>
          <w:szCs w:val="24"/>
        </w:rPr>
        <w:t>4</w:t>
      </w:r>
      <w:r>
        <w:rPr>
          <w:rFonts w:ascii="宋体" w:hAnsi="宋体" w:eastAsia="宋体" w:cs="Arial"/>
          <w:kern w:val="0"/>
          <w:sz w:val="24"/>
          <w:szCs w:val="24"/>
        </w:rPr>
        <w:t>采购人或者采购代理机构应当自成交通知书发出之日起5个工作日内退还未成交供应商的磋商保证金，自采购合同签订之日起5个工作日内退还成交供应商的磋商保证金</w:t>
      </w:r>
      <w:r>
        <w:rPr>
          <w:rFonts w:hint="eastAsia" w:ascii="宋体" w:hAnsi="宋体" w:eastAsia="宋体" w:cs="Arial"/>
          <w:kern w:val="0"/>
          <w:sz w:val="24"/>
          <w:szCs w:val="24"/>
        </w:rPr>
        <w:t>。</w:t>
      </w:r>
    </w:p>
    <w:p w14:paraId="22171E2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3.4.</w:t>
      </w:r>
      <w:r>
        <w:rPr>
          <w:rFonts w:hint="eastAsia" w:ascii="宋体" w:hAnsi="宋体" w:eastAsia="宋体" w:cs="Arial"/>
          <w:kern w:val="0"/>
          <w:sz w:val="24"/>
          <w:szCs w:val="24"/>
        </w:rPr>
        <w:t>5磋商保证金有效期与响应有效期一致。</w:t>
      </w:r>
    </w:p>
    <w:p w14:paraId="0ECB5C82">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3.4.</w:t>
      </w:r>
      <w:r>
        <w:rPr>
          <w:rFonts w:hint="eastAsia" w:ascii="宋体" w:hAnsi="宋体" w:eastAsia="宋体" w:cs="Arial"/>
          <w:kern w:val="0"/>
          <w:sz w:val="24"/>
          <w:szCs w:val="24"/>
        </w:rPr>
        <w:t>6有下列情形之一的，磋商保证金不予退还：</w:t>
      </w:r>
    </w:p>
    <w:p w14:paraId="5920531B">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）供应商在规定的响应有效期内撤销或修改其响应文件的；</w:t>
      </w:r>
    </w:p>
    <w:p w14:paraId="621C7BC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）成交供应商在收到成交通知书后，无正当理由拒签合同协议书或在签订合同时提出附加条件或者更改合同实质性内容的；</w:t>
      </w:r>
    </w:p>
    <w:p w14:paraId="5D398AB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）未按竞争性磋商文件规定提交履约保证金的。</w:t>
      </w:r>
    </w:p>
    <w:p w14:paraId="659F157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3.5</w:t>
      </w:r>
      <w:r>
        <w:rPr>
          <w:rFonts w:hint="eastAsia" w:ascii="宋体" w:hAnsi="宋体" w:eastAsia="宋体" w:cs="Arial"/>
          <w:kern w:val="0"/>
          <w:sz w:val="24"/>
          <w:szCs w:val="24"/>
        </w:rPr>
        <w:t>响应文件的编制</w:t>
      </w:r>
    </w:p>
    <w:p w14:paraId="5F0BD95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3.5.1</w:t>
      </w:r>
      <w:r>
        <w:rPr>
          <w:rFonts w:hint="eastAsia" w:ascii="宋体" w:hAnsi="宋体" w:eastAsia="宋体" w:cs="Arial"/>
          <w:kern w:val="0"/>
          <w:sz w:val="24"/>
          <w:szCs w:val="24"/>
        </w:rPr>
        <w:t>响应文件应按</w:t>
      </w:r>
      <w:r>
        <w:rPr>
          <w:rFonts w:hint="eastAsia" w:ascii="宋体" w:hAnsi="宋体" w:eastAsia="宋体" w:cs="Arial"/>
          <w:kern w:val="0"/>
          <w:sz w:val="24"/>
          <w:szCs w:val="24"/>
          <w:lang w:eastAsia="zh-CN"/>
        </w:rPr>
        <w:t>第五章</w:t>
      </w:r>
      <w:r>
        <w:rPr>
          <w:rFonts w:hint="eastAsia" w:ascii="宋体" w:hAnsi="宋体" w:eastAsia="宋体" w:cs="Arial"/>
          <w:kern w:val="0"/>
          <w:sz w:val="24"/>
          <w:szCs w:val="24"/>
        </w:rPr>
        <w:t>“响应文件格式”进行编写，如有必要，可以增加附页，作为响应文件的组成部分。</w:t>
      </w:r>
    </w:p>
    <w:p w14:paraId="4C9705F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3.5.2</w:t>
      </w:r>
      <w:r>
        <w:rPr>
          <w:rFonts w:hint="eastAsia" w:ascii="宋体" w:hAnsi="宋体" w:eastAsia="宋体" w:cs="Arial"/>
          <w:kern w:val="0"/>
          <w:sz w:val="24"/>
          <w:szCs w:val="24"/>
        </w:rPr>
        <w:t>响应文件应当对竞争性磋商文件有关采购范围、采购需求、技术标准和要求等实质性内容做出响应。</w:t>
      </w:r>
    </w:p>
    <w:p w14:paraId="2D204F8D">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3.5.3电子响应文件使用政采云平台响应文件制作工具以及竞争性磋商文件要求进行制作编制。响应文件制作时，按照竞争性磋商文件中明确的响应文件目录和格式进行编制，保证目录清晰、内容完整。</w:t>
      </w:r>
    </w:p>
    <w:p w14:paraId="1534226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3.5.4电子响应文件须使用供应商电子公章及法定代表人的电子签名。若无电子签章和签名，则视为无效响应。</w:t>
      </w:r>
    </w:p>
    <w:p w14:paraId="6FF2262D">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3.5.5电子招投标文件具有法律效力，与其他形式的招投标文件在内容和格式上等同，若响应文件与竞争性磋商文件要求不一致，其内容影响成交结果时，责任由供应商自行承担。供应商递交的电子响应文件因供应商自身原因而导致无法导入电子辅助评标系统，该响应文件视为无效响应文件，将导致其投标被拒绝。</w:t>
      </w:r>
    </w:p>
    <w:p w14:paraId="0F90548C">
      <w:pPr>
        <w:widowControl/>
        <w:shd w:val="clear" w:color="auto" w:fill="FFFFFF"/>
        <w:snapToGrid w:val="0"/>
        <w:spacing w:line="360" w:lineRule="auto"/>
        <w:ind w:firstLine="480" w:firstLineChars="200"/>
        <w:rPr>
          <w:rFonts w:ascii="宋体" w:cs="Arial"/>
          <w:kern w:val="0"/>
          <w:sz w:val="24"/>
          <w:szCs w:val="24"/>
        </w:rPr>
      </w:pPr>
      <w:r>
        <w:rPr>
          <w:rFonts w:hint="eastAsia" w:ascii="宋体" w:hAnsi="宋体" w:cs="Arial"/>
          <w:kern w:val="0"/>
          <w:sz w:val="24"/>
          <w:szCs w:val="24"/>
        </w:rPr>
        <w:t>3.5.6未按竞争性磋商文件要求签署和盖章的响应文件，其投标将被认定为投标无效。</w:t>
      </w:r>
    </w:p>
    <w:p w14:paraId="04A62D86">
      <w:pPr>
        <w:tabs>
          <w:tab w:val="center" w:pos="4832"/>
          <w:tab w:val="left" w:pos="7140"/>
        </w:tabs>
        <w:spacing w:line="360" w:lineRule="auto"/>
        <w:ind w:firstLine="470" w:firstLineChars="196"/>
        <w:jc w:val="left"/>
        <w:outlineLvl w:val="1"/>
        <w:rPr>
          <w:rFonts w:ascii="宋体" w:hAnsi="Calibri" w:eastAsia="宋体" w:cs="宋体"/>
          <w:b/>
          <w:sz w:val="24"/>
          <w:szCs w:val="24"/>
        </w:rPr>
      </w:pPr>
      <w:bookmarkStart w:id="15" w:name="_BookMark_7"/>
      <w:bookmarkEnd w:id="15"/>
      <w:bookmarkStart w:id="16" w:name="_Toc535592198"/>
      <w:bookmarkStart w:id="17" w:name="_Toc17647"/>
      <w:r>
        <w:rPr>
          <w:rFonts w:ascii="宋体" w:hAnsi="宋体" w:eastAsia="宋体" w:cs="宋体"/>
          <w:b/>
          <w:sz w:val="24"/>
          <w:szCs w:val="24"/>
        </w:rPr>
        <w:t>4</w:t>
      </w:r>
      <w:r>
        <w:rPr>
          <w:rFonts w:hint="eastAsia" w:ascii="宋体" w:hAnsi="宋体" w:eastAsia="宋体" w:cs="宋体"/>
          <w:b/>
          <w:sz w:val="24"/>
          <w:szCs w:val="24"/>
        </w:rPr>
        <w:t>．投标</w:t>
      </w:r>
      <w:bookmarkEnd w:id="16"/>
      <w:bookmarkEnd w:id="17"/>
    </w:p>
    <w:p w14:paraId="03CE41EA">
      <w:pPr>
        <w:widowControl/>
        <w:shd w:val="clear" w:color="auto" w:fill="FFFFFF"/>
        <w:snapToGrid w:val="0"/>
        <w:spacing w:line="360" w:lineRule="auto"/>
        <w:ind w:firstLine="480" w:firstLineChars="200"/>
        <w:jc w:val="left"/>
        <w:rPr>
          <w:rFonts w:ascii="宋体" w:hAnsi="宋体" w:eastAsia="宋体" w:cs="Arial"/>
          <w:kern w:val="0"/>
          <w:sz w:val="24"/>
          <w:szCs w:val="24"/>
        </w:rPr>
      </w:pPr>
      <w:r>
        <w:rPr>
          <w:rFonts w:hint="eastAsia" w:ascii="宋体" w:hAnsi="宋体" w:eastAsia="宋体" w:cs="Arial"/>
          <w:kern w:val="0"/>
          <w:sz w:val="24"/>
          <w:szCs w:val="24"/>
        </w:rPr>
        <w:t>4.1本次采购采用电子交易方式，电子交易平台为“政采云平台（https://www.zcy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投标或投标失败等后果由供应商自行承担。</w:t>
      </w:r>
    </w:p>
    <w:p w14:paraId="253B7A5D">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4.2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p>
    <w:p w14:paraId="5EC3560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4.3</w:t>
      </w:r>
      <w:r>
        <w:rPr>
          <w:rFonts w:hint="eastAsia" w:ascii="宋体" w:hAnsi="宋体" w:eastAsia="宋体" w:cs="Arial"/>
          <w:kern w:val="0"/>
          <w:sz w:val="24"/>
          <w:szCs w:val="24"/>
        </w:rPr>
        <w:t>响应文件的递交</w:t>
      </w:r>
    </w:p>
    <w:p w14:paraId="218CE9C8">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4.3.1加密的电子响应文件应在响应文件递交截止时间前通过政采云平台上传完成。逾期上传或者未上传指定地点的响应文件，采购人不予受理。</w:t>
      </w:r>
    </w:p>
    <w:p w14:paraId="7413567C">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4.3.2采购人事先约定延长响应文件递交截止时间的，采购人与供应商以前的投标截止期方面的全部权利、责任和义务，将适用延长至新的投标截止期。</w:t>
      </w:r>
    </w:p>
    <w:p w14:paraId="1A039C76">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4.3.3供应商或其响应文件存在下列情形之一的，采购人对其响应文件不予受理：</w:t>
      </w:r>
    </w:p>
    <w:p w14:paraId="68D4DB97">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（1）逾期上传的响应文件；</w:t>
      </w:r>
    </w:p>
    <w:p w14:paraId="6C919105">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（2）未按本章第4.2.1款要求加密的响应文件。</w:t>
      </w:r>
    </w:p>
    <w:p w14:paraId="5843A40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4.4 </w:t>
      </w:r>
      <w:r>
        <w:rPr>
          <w:rFonts w:hint="eastAsia" w:ascii="宋体" w:hAnsi="宋体" w:eastAsia="宋体" w:cs="Arial"/>
          <w:kern w:val="0"/>
          <w:sz w:val="24"/>
          <w:szCs w:val="24"/>
        </w:rPr>
        <w:t>响应文件的修改与撤回</w:t>
      </w:r>
    </w:p>
    <w:p w14:paraId="116DD179">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4.4.1供应商应在投标须知前附表中规定的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60E4472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4.5</w:t>
      </w:r>
      <w:r>
        <w:rPr>
          <w:rFonts w:hint="eastAsia" w:ascii="宋体" w:hAnsi="宋体" w:eastAsia="宋体" w:cs="Arial"/>
          <w:kern w:val="0"/>
          <w:sz w:val="24"/>
          <w:szCs w:val="24"/>
        </w:rPr>
        <w:t>响应文件格式</w:t>
      </w:r>
    </w:p>
    <w:p w14:paraId="62A83F8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4.5.1</w:t>
      </w:r>
      <w:r>
        <w:rPr>
          <w:rFonts w:hint="eastAsia" w:ascii="宋体" w:hAnsi="宋体" w:eastAsia="宋体" w:cs="Arial"/>
          <w:kern w:val="0"/>
          <w:sz w:val="24"/>
          <w:szCs w:val="24"/>
        </w:rPr>
        <w:t>响应文件格式见</w:t>
      </w:r>
      <w:r>
        <w:rPr>
          <w:rFonts w:hint="eastAsia" w:ascii="宋体" w:hAnsi="宋体" w:eastAsia="宋体" w:cs="Arial"/>
          <w:kern w:val="0"/>
          <w:sz w:val="24"/>
          <w:szCs w:val="24"/>
          <w:lang w:eastAsia="zh-CN"/>
        </w:rPr>
        <w:t>第五章</w:t>
      </w:r>
      <w:r>
        <w:rPr>
          <w:rFonts w:hint="eastAsia" w:ascii="宋体" w:hAnsi="宋体" w:eastAsia="宋体" w:cs="Arial"/>
          <w:kern w:val="0"/>
          <w:sz w:val="24"/>
          <w:szCs w:val="24"/>
        </w:rPr>
        <w:t>。</w:t>
      </w:r>
    </w:p>
    <w:p w14:paraId="5CB4CAF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4.5.2</w:t>
      </w:r>
      <w:r>
        <w:rPr>
          <w:rFonts w:hint="eastAsia" w:ascii="宋体" w:hAnsi="宋体" w:eastAsia="宋体" w:cs="Arial"/>
          <w:kern w:val="0"/>
          <w:sz w:val="24"/>
          <w:szCs w:val="24"/>
        </w:rPr>
        <w:t>供应商应使用本竞争性磋商文件后面提供的响应文件格式填写，如不够用时，供应商可按同样格式自行编制和填补，如果本竞争性磋商文件未提供格式的，供应商可自行编制。</w:t>
      </w:r>
    </w:p>
    <w:p w14:paraId="690950BB">
      <w:pPr>
        <w:tabs>
          <w:tab w:val="center" w:pos="4832"/>
          <w:tab w:val="left" w:pos="7140"/>
        </w:tabs>
        <w:spacing w:line="360" w:lineRule="auto"/>
        <w:ind w:firstLine="470" w:firstLineChars="196"/>
        <w:jc w:val="left"/>
        <w:outlineLvl w:val="1"/>
        <w:rPr>
          <w:rFonts w:ascii="宋体" w:hAnsi="Calibri" w:eastAsia="宋体" w:cs="宋体"/>
          <w:b/>
          <w:sz w:val="24"/>
          <w:szCs w:val="24"/>
        </w:rPr>
      </w:pPr>
      <w:bookmarkStart w:id="18" w:name="_BookMark_8"/>
      <w:bookmarkEnd w:id="18"/>
      <w:bookmarkStart w:id="19" w:name="_Toc16176"/>
      <w:bookmarkStart w:id="20" w:name="_Toc535592199"/>
      <w:r>
        <w:rPr>
          <w:rFonts w:ascii="宋体" w:hAnsi="宋体" w:eastAsia="宋体" w:cs="宋体"/>
          <w:b/>
          <w:sz w:val="24"/>
          <w:szCs w:val="24"/>
        </w:rPr>
        <w:t>5</w:t>
      </w:r>
      <w:r>
        <w:rPr>
          <w:rFonts w:hint="eastAsia" w:ascii="宋体" w:hAnsi="宋体" w:eastAsia="宋体" w:cs="宋体"/>
          <w:b/>
          <w:sz w:val="24"/>
          <w:szCs w:val="24"/>
        </w:rPr>
        <w:t>．开标</w:t>
      </w:r>
      <w:bookmarkEnd w:id="19"/>
      <w:bookmarkEnd w:id="20"/>
    </w:p>
    <w:p w14:paraId="60F6B5A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5.1</w:t>
      </w:r>
      <w:r>
        <w:rPr>
          <w:rFonts w:hint="eastAsia" w:ascii="宋体" w:hAnsi="宋体" w:eastAsia="宋体" w:cs="Arial"/>
          <w:kern w:val="0"/>
          <w:sz w:val="24"/>
          <w:szCs w:val="24"/>
        </w:rPr>
        <w:t>开标时间和地点</w:t>
      </w:r>
    </w:p>
    <w:p w14:paraId="04F6E73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采购人在供应商须知前附表规定的时间、地点公开开标，并邀请所有供应商的法定代表人或其授权委托人参加。</w:t>
      </w:r>
    </w:p>
    <w:p w14:paraId="1B442752">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5.2开标时，各供应商应对本单位的加密的电子响应文件现场解密，采购代理机构工作人员在监督人员或公证人员监督下解密所有响应文件。</w:t>
      </w:r>
    </w:p>
    <w:p w14:paraId="7435E6E1">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5.3根据政府采购法及有关政策规定，不能公开供应商的技术资料、价格和其他信息，因此本项目不予唱标。</w:t>
      </w:r>
    </w:p>
    <w:p w14:paraId="3BE2D906">
      <w:pPr>
        <w:tabs>
          <w:tab w:val="center" w:pos="4832"/>
          <w:tab w:val="left" w:pos="7140"/>
        </w:tabs>
        <w:spacing w:line="360" w:lineRule="auto"/>
        <w:ind w:firstLine="470" w:firstLineChars="196"/>
        <w:jc w:val="left"/>
        <w:outlineLvl w:val="1"/>
        <w:rPr>
          <w:rFonts w:ascii="宋体" w:hAnsi="Calibri" w:eastAsia="宋体" w:cs="宋体"/>
          <w:b/>
          <w:sz w:val="24"/>
          <w:szCs w:val="24"/>
        </w:rPr>
      </w:pPr>
      <w:bookmarkStart w:id="21" w:name="_Toc23422"/>
      <w:bookmarkStart w:id="22" w:name="_Toc535592200"/>
      <w:r>
        <w:rPr>
          <w:rFonts w:ascii="宋体" w:hAnsi="宋体" w:eastAsia="宋体" w:cs="宋体"/>
          <w:b/>
          <w:sz w:val="24"/>
          <w:szCs w:val="24"/>
        </w:rPr>
        <w:t>6</w:t>
      </w:r>
      <w:r>
        <w:rPr>
          <w:rFonts w:hint="eastAsia" w:ascii="宋体" w:hAnsi="宋体" w:eastAsia="宋体" w:cs="宋体"/>
          <w:b/>
          <w:sz w:val="24"/>
          <w:szCs w:val="24"/>
        </w:rPr>
        <w:t>．评审</w:t>
      </w:r>
      <w:bookmarkEnd w:id="21"/>
      <w:bookmarkEnd w:id="22"/>
    </w:p>
    <w:p w14:paraId="46DD50A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6.1</w:t>
      </w:r>
      <w:r>
        <w:rPr>
          <w:rFonts w:hint="eastAsia" w:ascii="宋体" w:hAnsi="宋体" w:eastAsia="宋体" w:cs="Arial"/>
          <w:kern w:val="0"/>
          <w:sz w:val="24"/>
          <w:szCs w:val="24"/>
        </w:rPr>
        <w:t>磋商小组</w:t>
      </w:r>
    </w:p>
    <w:p w14:paraId="7934A0DA">
      <w:pPr>
        <w:tabs>
          <w:tab w:val="center" w:pos="4832"/>
          <w:tab w:val="left" w:pos="7140"/>
        </w:tabs>
        <w:spacing w:line="360" w:lineRule="auto"/>
        <w:ind w:firstLine="470" w:firstLineChars="196"/>
        <w:jc w:val="left"/>
        <w:rPr>
          <w:rFonts w:ascii="宋体" w:hAnsi="宋体" w:eastAsia="宋体" w:cs="Arial"/>
          <w:kern w:val="0"/>
          <w:sz w:val="24"/>
          <w:szCs w:val="24"/>
        </w:rPr>
      </w:pPr>
      <w:bookmarkStart w:id="23" w:name="_BookMark_10"/>
      <w:bookmarkEnd w:id="23"/>
      <w:bookmarkStart w:id="24" w:name="_Toc138150746"/>
      <w:bookmarkStart w:id="25" w:name="_Toc535592201"/>
      <w:r>
        <w:rPr>
          <w:rFonts w:hint="eastAsia" w:ascii="宋体" w:hAnsi="宋体" w:eastAsia="宋体" w:cs="Arial"/>
          <w:kern w:val="0"/>
          <w:sz w:val="24"/>
          <w:szCs w:val="24"/>
        </w:rPr>
        <w:t>6.1.1磋商小组由新疆政府采购网随机抽取评审专家，共3人以上单数组成。采购人代表不得以评审专家身份参加本部门或本单位采购项目的评审。采购代理机构人员不得参加本机构代理的采购项目的评审。</w:t>
      </w:r>
      <w:bookmarkEnd w:id="24"/>
    </w:p>
    <w:p w14:paraId="72D9FE43">
      <w:pPr>
        <w:tabs>
          <w:tab w:val="center" w:pos="4832"/>
          <w:tab w:val="left" w:pos="7140"/>
        </w:tabs>
        <w:spacing w:line="360" w:lineRule="auto"/>
        <w:ind w:firstLine="470" w:firstLineChars="196"/>
        <w:jc w:val="left"/>
        <w:rPr>
          <w:rFonts w:ascii="宋体" w:hAnsi="宋体" w:eastAsia="宋体" w:cs="Arial"/>
          <w:kern w:val="0"/>
          <w:sz w:val="24"/>
          <w:szCs w:val="24"/>
        </w:rPr>
      </w:pPr>
      <w:bookmarkStart w:id="26" w:name="_Toc138150747"/>
      <w:r>
        <w:rPr>
          <w:rFonts w:hint="eastAsia" w:ascii="宋体" w:hAnsi="宋体" w:eastAsia="宋体" w:cs="Arial"/>
          <w:kern w:val="0"/>
          <w:sz w:val="24"/>
          <w:szCs w:val="24"/>
        </w:rPr>
        <w:t>6.2 评审原则</w:t>
      </w:r>
      <w:bookmarkEnd w:id="26"/>
      <w:r>
        <w:rPr>
          <w:rFonts w:hint="eastAsia" w:ascii="宋体" w:hAnsi="宋体" w:eastAsia="宋体" w:cs="Arial"/>
          <w:kern w:val="0"/>
          <w:sz w:val="24"/>
          <w:szCs w:val="24"/>
        </w:rPr>
        <w:t xml:space="preserve"> </w:t>
      </w:r>
    </w:p>
    <w:p w14:paraId="62B8A77B">
      <w:pPr>
        <w:tabs>
          <w:tab w:val="center" w:pos="4832"/>
          <w:tab w:val="left" w:pos="7140"/>
        </w:tabs>
        <w:spacing w:line="360" w:lineRule="auto"/>
        <w:ind w:firstLine="470" w:firstLineChars="196"/>
        <w:jc w:val="left"/>
        <w:rPr>
          <w:rFonts w:ascii="宋体" w:hAnsi="宋体" w:eastAsia="宋体" w:cs="Arial"/>
          <w:kern w:val="0"/>
          <w:sz w:val="24"/>
          <w:szCs w:val="24"/>
        </w:rPr>
      </w:pPr>
      <w:bookmarkStart w:id="27" w:name="_Toc138150748"/>
      <w:r>
        <w:rPr>
          <w:rFonts w:hint="eastAsia" w:ascii="宋体" w:hAnsi="宋体" w:eastAsia="宋体" w:cs="Arial"/>
          <w:kern w:val="0"/>
          <w:sz w:val="24"/>
          <w:szCs w:val="24"/>
        </w:rPr>
        <w:t>评审活动遵循公平、公正、科学和择优的原则。</w:t>
      </w:r>
      <w:bookmarkEnd w:id="27"/>
    </w:p>
    <w:p w14:paraId="1DB7A59E">
      <w:pPr>
        <w:tabs>
          <w:tab w:val="center" w:pos="4832"/>
          <w:tab w:val="left" w:pos="7140"/>
        </w:tabs>
        <w:spacing w:line="360" w:lineRule="auto"/>
        <w:ind w:firstLine="470" w:firstLineChars="196"/>
        <w:jc w:val="left"/>
        <w:rPr>
          <w:rFonts w:ascii="宋体" w:hAnsi="宋体" w:eastAsia="宋体" w:cs="Arial"/>
          <w:kern w:val="0"/>
          <w:sz w:val="24"/>
          <w:szCs w:val="24"/>
        </w:rPr>
      </w:pPr>
      <w:bookmarkStart w:id="28" w:name="_Toc138150749"/>
      <w:r>
        <w:rPr>
          <w:rFonts w:hint="eastAsia" w:ascii="宋体" w:hAnsi="宋体" w:eastAsia="宋体" w:cs="Arial"/>
          <w:kern w:val="0"/>
          <w:sz w:val="24"/>
          <w:szCs w:val="24"/>
        </w:rPr>
        <w:t>6.3 评审</w:t>
      </w:r>
      <w:bookmarkEnd w:id="28"/>
    </w:p>
    <w:p w14:paraId="5A7C066A">
      <w:pPr>
        <w:tabs>
          <w:tab w:val="center" w:pos="4832"/>
          <w:tab w:val="left" w:pos="7140"/>
        </w:tabs>
        <w:spacing w:line="360" w:lineRule="auto"/>
        <w:ind w:firstLine="470" w:firstLineChars="196"/>
        <w:jc w:val="left"/>
        <w:rPr>
          <w:rFonts w:ascii="宋体" w:hAnsi="宋体" w:eastAsia="宋体" w:cs="Arial"/>
          <w:kern w:val="0"/>
          <w:sz w:val="24"/>
          <w:szCs w:val="24"/>
        </w:rPr>
      </w:pPr>
      <w:bookmarkStart w:id="29" w:name="_Toc138150750"/>
      <w:r>
        <w:rPr>
          <w:rFonts w:hint="eastAsia" w:ascii="宋体" w:hAnsi="宋体" w:eastAsia="宋体" w:cs="Arial"/>
          <w:kern w:val="0"/>
          <w:sz w:val="24"/>
          <w:szCs w:val="24"/>
        </w:rPr>
        <w:t>磋商小组按照竞争性磋商文件中规定的方法、评审因素、标准和程序对响应文件进行评审。</w:t>
      </w:r>
      <w:bookmarkEnd w:id="29"/>
    </w:p>
    <w:p w14:paraId="0AA8A15F">
      <w:pPr>
        <w:tabs>
          <w:tab w:val="center" w:pos="4832"/>
          <w:tab w:val="left" w:pos="7140"/>
        </w:tabs>
        <w:spacing w:line="360" w:lineRule="auto"/>
        <w:ind w:firstLine="470" w:firstLineChars="196"/>
        <w:jc w:val="left"/>
        <w:outlineLvl w:val="1"/>
        <w:rPr>
          <w:rFonts w:ascii="宋体" w:hAnsi="Calibri" w:eastAsia="宋体" w:cs="宋体"/>
          <w:b/>
          <w:sz w:val="24"/>
          <w:szCs w:val="24"/>
        </w:rPr>
      </w:pPr>
      <w:bookmarkStart w:id="30" w:name="_Toc16275"/>
      <w:r>
        <w:rPr>
          <w:rFonts w:ascii="宋体" w:hAnsi="宋体" w:eastAsia="宋体" w:cs="宋体"/>
          <w:b/>
          <w:sz w:val="24"/>
          <w:szCs w:val="24"/>
        </w:rPr>
        <w:t>7</w:t>
      </w:r>
      <w:r>
        <w:rPr>
          <w:rFonts w:hint="eastAsia" w:ascii="宋体" w:hAnsi="宋体" w:eastAsia="宋体" w:cs="宋体"/>
          <w:b/>
          <w:sz w:val="24"/>
          <w:szCs w:val="24"/>
        </w:rPr>
        <w:t>．定标及合同授予</w:t>
      </w:r>
      <w:bookmarkEnd w:id="25"/>
      <w:bookmarkEnd w:id="30"/>
    </w:p>
    <w:p w14:paraId="405B296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7.1</w:t>
      </w:r>
      <w:r>
        <w:rPr>
          <w:rFonts w:hint="eastAsia" w:ascii="宋体" w:hAnsi="宋体" w:eastAsia="宋体" w:cs="Arial"/>
          <w:kern w:val="0"/>
          <w:sz w:val="24"/>
          <w:szCs w:val="24"/>
        </w:rPr>
        <w:t>定标方法</w:t>
      </w:r>
    </w:p>
    <w:p w14:paraId="5E0210B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7.1.1</w:t>
      </w:r>
      <w:r>
        <w:rPr>
          <w:rFonts w:hint="eastAsia" w:ascii="宋体" w:hAnsi="宋体" w:eastAsia="宋体" w:cs="Arial"/>
          <w:kern w:val="0"/>
          <w:sz w:val="24"/>
          <w:szCs w:val="24"/>
        </w:rPr>
        <w:t>评审活动遵循公平、公正、科学和择优的原则。磋商小组按照竞争性磋商文件中规定的方法、评审因素、标准和程序对响应文件进行评审，并按供应商须知前附表的规定向采购人推荐成交候选人。采购人依据磋商小组推荐的成交候选人确定成交供应商。</w:t>
      </w:r>
    </w:p>
    <w:p w14:paraId="234ABD8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7.1.</w:t>
      </w:r>
      <w:r>
        <w:rPr>
          <w:rFonts w:hint="eastAsia" w:ascii="宋体" w:hAnsi="宋体" w:eastAsia="宋体" w:cs="Arial"/>
          <w:kern w:val="0"/>
          <w:sz w:val="24"/>
          <w:szCs w:val="24"/>
        </w:rPr>
        <w:t>2采购人从成交候选人中确定出成交供应商的原则：采购人应当确定排名第一的成交候选人为成交供应商。排名第一的成交候选人放弃中标、因不可抗力不能履行合同，不按照竞争性磋商文件要求提交履约保证金、或者被查实存在影响中标结果的违法行为等情形，不符合中标条件的，采购人可以按照磋商小组提出的成交候选人名单排名依次确定其他成交候选人为成交供应商。</w:t>
      </w:r>
    </w:p>
    <w:p w14:paraId="5D95596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7.2</w:t>
      </w:r>
      <w:r>
        <w:rPr>
          <w:rFonts w:hint="eastAsia" w:ascii="宋体" w:hAnsi="宋体" w:eastAsia="宋体" w:cs="Arial"/>
          <w:kern w:val="0"/>
          <w:sz w:val="24"/>
          <w:szCs w:val="24"/>
        </w:rPr>
        <w:t>成交候选人公示</w:t>
      </w:r>
    </w:p>
    <w:p w14:paraId="2079E67B">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在成交通知书发出前，成交候选人的情况将在竞争性磋商公告发布的媒体上公示，公示期不得少于1个工作日。</w:t>
      </w:r>
    </w:p>
    <w:p w14:paraId="1299A59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7.3</w:t>
      </w:r>
      <w:r>
        <w:rPr>
          <w:rFonts w:hint="eastAsia" w:ascii="宋体" w:hAnsi="宋体" w:eastAsia="宋体" w:cs="Arial"/>
          <w:kern w:val="0"/>
          <w:sz w:val="24"/>
          <w:szCs w:val="24"/>
        </w:rPr>
        <w:t>中标通知</w:t>
      </w:r>
    </w:p>
    <w:p w14:paraId="1821B26F">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公示期满后，采购人以书面形式向成交供应商发出成交通知书，并及时通知其它供应商中标结果。</w:t>
      </w:r>
    </w:p>
    <w:p w14:paraId="5D7DECB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7.4</w:t>
      </w:r>
      <w:r>
        <w:rPr>
          <w:rFonts w:hint="eastAsia" w:ascii="宋体" w:hAnsi="宋体" w:eastAsia="宋体" w:cs="Arial"/>
          <w:kern w:val="0"/>
          <w:sz w:val="24"/>
          <w:szCs w:val="24"/>
        </w:rPr>
        <w:t>履约保证金</w:t>
      </w:r>
    </w:p>
    <w:p w14:paraId="5DB7FDE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7.4.1</w:t>
      </w:r>
      <w:r>
        <w:rPr>
          <w:rFonts w:hint="eastAsia" w:ascii="宋体" w:hAnsi="宋体" w:eastAsia="宋体" w:cs="Arial"/>
          <w:kern w:val="0"/>
          <w:sz w:val="24"/>
          <w:szCs w:val="24"/>
        </w:rPr>
        <w:t>在签订合同前，成交供应商应按供应商须知前附表规定的金额、形式向采购人提交履约保证金。联合体中标的，其履约保证金由牵头人提交，并应符合供应商须知前附表的规定。</w:t>
      </w:r>
    </w:p>
    <w:p w14:paraId="6C3400B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7.4.2</w:t>
      </w:r>
      <w:r>
        <w:rPr>
          <w:rFonts w:hint="eastAsia" w:ascii="宋体" w:hAnsi="宋体" w:eastAsia="宋体" w:cs="Arial"/>
          <w:kern w:val="0"/>
          <w:sz w:val="24"/>
          <w:szCs w:val="24"/>
        </w:rPr>
        <w:t>成交供应商不能按本章第</w:t>
      </w:r>
      <w:r>
        <w:rPr>
          <w:rFonts w:ascii="宋体" w:hAnsi="宋体" w:eastAsia="宋体" w:cs="Arial"/>
          <w:kern w:val="0"/>
          <w:sz w:val="24"/>
          <w:szCs w:val="24"/>
        </w:rPr>
        <w:t>7.4.1</w:t>
      </w:r>
      <w:r>
        <w:rPr>
          <w:rFonts w:hint="eastAsia" w:ascii="宋体" w:hAnsi="宋体" w:eastAsia="宋体" w:cs="Arial"/>
          <w:kern w:val="0"/>
          <w:sz w:val="24"/>
          <w:szCs w:val="24"/>
        </w:rPr>
        <w:t>款要求提交履约保证金的，视为放弃中标，其磋商保证金不予退还；给采购人造成的损失超过磋商保证金数额的，成交供应商还应当对超过部分予以赔偿。</w:t>
      </w:r>
    </w:p>
    <w:p w14:paraId="74DE929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7.5</w:t>
      </w:r>
      <w:r>
        <w:rPr>
          <w:rFonts w:hint="eastAsia" w:ascii="宋体" w:hAnsi="宋体" w:eastAsia="宋体" w:cs="Arial"/>
          <w:kern w:val="0"/>
          <w:sz w:val="24"/>
          <w:szCs w:val="24"/>
        </w:rPr>
        <w:t>签订合同</w:t>
      </w:r>
    </w:p>
    <w:p w14:paraId="0AD0885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7.5.1</w:t>
      </w:r>
      <w:r>
        <w:rPr>
          <w:rFonts w:hint="eastAsia" w:ascii="宋体" w:hAnsi="Calibri" w:eastAsia="宋体" w:cs="Arial"/>
          <w:kern w:val="0"/>
          <w:sz w:val="24"/>
          <w:szCs w:val="24"/>
        </w:rPr>
        <w:t>采购人应当自成交通知书发出之日起30日内，按照竞争性磋商文件和成交供应商响应文件的规定，与成交供应商签订书面合同。所签订的合同不得对竞争性磋商文件确定的事项和成交供应商响应文件作实质性修改。采购人不得向成交供应商提出任何不合理的要求作为签订合同的条件。</w:t>
      </w:r>
    </w:p>
    <w:p w14:paraId="23772A75">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7.5.2发出成交通知书后，采购人无正当理由拒签合同的，给成交供应商造成损失的，还应当赔偿成交供应商损失。</w:t>
      </w:r>
    </w:p>
    <w:p w14:paraId="798C17E0">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Calibri" w:eastAsia="宋体" w:cs="Arial"/>
          <w:kern w:val="0"/>
          <w:sz w:val="24"/>
          <w:szCs w:val="24"/>
        </w:rPr>
        <w:t>7.5.</w:t>
      </w:r>
      <w:r>
        <w:rPr>
          <w:rFonts w:hint="eastAsia" w:ascii="宋体" w:hAnsi="Calibri" w:eastAsia="宋体" w:cs="Arial"/>
          <w:kern w:val="0"/>
          <w:sz w:val="24"/>
          <w:szCs w:val="24"/>
        </w:rPr>
        <w:t>3发出成交通知书后，成交供应商无正当理由拒签合同的，采购人取消其中标资格，其磋商保证金不予退还；给采购人造成的损失超过磋商保证金数额的，成交供应商还应当对超过部分予以赔偿。</w:t>
      </w:r>
    </w:p>
    <w:p w14:paraId="4DE9E981">
      <w:pPr>
        <w:tabs>
          <w:tab w:val="center" w:pos="4832"/>
          <w:tab w:val="left" w:pos="7140"/>
        </w:tabs>
        <w:spacing w:line="360" w:lineRule="auto"/>
        <w:ind w:firstLine="470" w:firstLineChars="196"/>
        <w:jc w:val="left"/>
        <w:outlineLvl w:val="1"/>
        <w:rPr>
          <w:rFonts w:ascii="宋体" w:hAnsi="Calibri" w:eastAsia="宋体" w:cs="宋体"/>
          <w:b/>
          <w:sz w:val="24"/>
          <w:szCs w:val="24"/>
        </w:rPr>
      </w:pPr>
      <w:bookmarkStart w:id="31" w:name="_BookMark_11"/>
      <w:bookmarkEnd w:id="31"/>
      <w:bookmarkStart w:id="32" w:name="_Toc6603"/>
      <w:bookmarkStart w:id="33" w:name="_Toc535592202"/>
      <w:r>
        <w:rPr>
          <w:rFonts w:ascii="宋体" w:hAnsi="宋体" w:eastAsia="宋体" w:cs="宋体"/>
          <w:b/>
          <w:sz w:val="24"/>
          <w:szCs w:val="24"/>
        </w:rPr>
        <w:t>8</w:t>
      </w:r>
      <w:r>
        <w:rPr>
          <w:rFonts w:hint="eastAsia" w:ascii="宋体" w:hAnsi="宋体" w:eastAsia="宋体" w:cs="宋体"/>
          <w:b/>
          <w:sz w:val="24"/>
          <w:szCs w:val="24"/>
        </w:rPr>
        <w:t>．纪律和监督</w:t>
      </w:r>
      <w:bookmarkEnd w:id="32"/>
      <w:bookmarkEnd w:id="33"/>
    </w:p>
    <w:p w14:paraId="5D6FD62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8.1</w:t>
      </w:r>
      <w:r>
        <w:rPr>
          <w:rFonts w:hint="eastAsia" w:ascii="宋体" w:hAnsi="宋体" w:eastAsia="宋体" w:cs="Arial"/>
          <w:kern w:val="0"/>
          <w:sz w:val="24"/>
          <w:szCs w:val="24"/>
        </w:rPr>
        <w:t>对采购人的纪律要求</w:t>
      </w:r>
    </w:p>
    <w:p w14:paraId="59B3A936">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采购人不得泄漏招标投标活动中应当保密的情况和资料，不得与供应商串通损害国家利益、社会公共利益或者他人合法权益。</w:t>
      </w:r>
    </w:p>
    <w:p w14:paraId="196223D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8.2</w:t>
      </w:r>
      <w:r>
        <w:rPr>
          <w:rFonts w:hint="eastAsia" w:ascii="宋体" w:hAnsi="宋体" w:eastAsia="宋体" w:cs="Arial"/>
          <w:kern w:val="0"/>
          <w:sz w:val="24"/>
          <w:szCs w:val="24"/>
        </w:rPr>
        <w:t>对供应商的纪律要求</w:t>
      </w:r>
    </w:p>
    <w:p w14:paraId="4A1B07D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供应商不得相互串通投标或者与采购人串通投标，不得向采购人或者磋商小组成员行贿谋取中标，不得以他人名义投标或者以其他方式弄虚作假骗取中标；供应商不得以任何方式干扰、影响评审工作。</w:t>
      </w:r>
    </w:p>
    <w:p w14:paraId="65C1F54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8.3</w:t>
      </w:r>
      <w:r>
        <w:rPr>
          <w:rFonts w:hint="eastAsia" w:ascii="宋体" w:hAnsi="宋体" w:eastAsia="宋体" w:cs="Arial"/>
          <w:kern w:val="0"/>
          <w:sz w:val="24"/>
          <w:szCs w:val="24"/>
        </w:rPr>
        <w:t>对磋商小组成员的纪律要求</w:t>
      </w:r>
    </w:p>
    <w:p w14:paraId="36DA81A5">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磋商小组成员不得收受他人的财物或者其他好处，不得向他人透漏对响应文件的评审和比较、成交候选人的推荐情况以及评审有关的其他情况。在评审活动中，磋商小组成员不得擅离职守，影响评审程序正常进行，不得使用评审办法没有规定的评审因素和标准进行评审。</w:t>
      </w:r>
    </w:p>
    <w:p w14:paraId="32C7D6D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8.4</w:t>
      </w:r>
      <w:r>
        <w:rPr>
          <w:rFonts w:hint="eastAsia" w:ascii="宋体" w:hAnsi="宋体" w:eastAsia="宋体" w:cs="Arial"/>
          <w:kern w:val="0"/>
          <w:sz w:val="24"/>
          <w:szCs w:val="24"/>
        </w:rPr>
        <w:t>对与评审活动有关的工作人员的纪律要求</w:t>
      </w:r>
    </w:p>
    <w:p w14:paraId="1315100E">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14:paraId="0760336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8.5</w:t>
      </w:r>
      <w:r>
        <w:rPr>
          <w:rFonts w:hint="eastAsia" w:ascii="宋体" w:hAnsi="宋体" w:eastAsia="宋体" w:cs="Arial"/>
          <w:kern w:val="0"/>
          <w:sz w:val="24"/>
          <w:szCs w:val="24"/>
        </w:rPr>
        <w:t>监督</w:t>
      </w:r>
    </w:p>
    <w:p w14:paraId="392B33A4">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本项目的招标投标活动及其相关当事人应当接受有管辖权的监督部门依法实施的监督。</w:t>
      </w:r>
    </w:p>
    <w:p w14:paraId="5C93A2E1">
      <w:pPr>
        <w:tabs>
          <w:tab w:val="center" w:pos="4832"/>
          <w:tab w:val="left" w:pos="7140"/>
        </w:tabs>
        <w:spacing w:line="360" w:lineRule="auto"/>
        <w:ind w:firstLine="470" w:firstLineChars="196"/>
        <w:jc w:val="left"/>
        <w:outlineLvl w:val="1"/>
        <w:rPr>
          <w:rFonts w:ascii="宋体" w:hAnsi="宋体" w:eastAsia="宋体" w:cs="宋体"/>
          <w:b/>
          <w:sz w:val="24"/>
          <w:szCs w:val="24"/>
        </w:rPr>
      </w:pPr>
      <w:bookmarkStart w:id="34" w:name="_Toc9069"/>
      <w:r>
        <w:rPr>
          <w:rFonts w:hint="eastAsia" w:ascii="宋体" w:hAnsi="宋体" w:eastAsia="宋体" w:cs="宋体"/>
          <w:b/>
          <w:sz w:val="24"/>
          <w:szCs w:val="24"/>
        </w:rPr>
        <w:t>9．</w:t>
      </w:r>
      <w:r>
        <w:rPr>
          <w:rFonts w:ascii="宋体" w:hAnsi="宋体" w:eastAsia="宋体" w:cs="宋体"/>
          <w:b/>
          <w:sz w:val="24"/>
          <w:szCs w:val="24"/>
        </w:rPr>
        <w:t>需要补充的其他内容</w:t>
      </w:r>
      <w:bookmarkEnd w:id="34"/>
    </w:p>
    <w:p w14:paraId="45FBBDF3">
      <w:pPr>
        <w:widowControl/>
        <w:spacing w:line="360" w:lineRule="auto"/>
        <w:ind w:firstLine="480" w:firstLineChars="200"/>
        <w:jc w:val="left"/>
        <w:rPr>
          <w:rFonts w:ascii="宋体" w:hAnsi="宋体" w:eastAsia="宋体" w:cs="宋体"/>
          <w:b/>
          <w:sz w:val="24"/>
          <w:szCs w:val="24"/>
        </w:rPr>
      </w:pPr>
      <w:r>
        <w:rPr>
          <w:rFonts w:ascii="宋体" w:hAnsi="宋体" w:eastAsia="宋体" w:cs="宋体"/>
          <w:b/>
          <w:sz w:val="24"/>
          <w:szCs w:val="24"/>
        </w:rPr>
        <w:t>9</w:t>
      </w:r>
      <w:r>
        <w:rPr>
          <w:rFonts w:hint="eastAsia" w:ascii="宋体" w:hAnsi="宋体" w:eastAsia="宋体" w:cs="宋体"/>
          <w:b/>
          <w:sz w:val="24"/>
          <w:szCs w:val="24"/>
        </w:rPr>
        <w:t>.1质疑</w:t>
      </w:r>
    </w:p>
    <w:p w14:paraId="7744E95E">
      <w:pPr>
        <w:widowControl/>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.1.1供应商对政府采购活动事项有疑问的，可以向采购人提出询问，采购人应当及时作出答复，但答复的内容不得涉及商业秘密。</w:t>
      </w:r>
    </w:p>
    <w:p w14:paraId="48924BBD">
      <w:pPr>
        <w:widowControl/>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.1.2供应商认为磋商文件、采购过程和成交结果使自己的权益受到损害的，可以在知道或者应知其权益受到损害之日起七个工作日内，以书面形式向采购人提出质疑。</w:t>
      </w:r>
    </w:p>
    <w:p w14:paraId="19DD52FD">
      <w:pPr>
        <w:widowControl/>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.1.3采购人应当在收到供应商的书面质疑后七个工作日内作出答复，并以书面形式通知质疑供应商和其他有关供应商，但答复的内容不得涉及商业秘密。</w:t>
      </w:r>
    </w:p>
    <w:p w14:paraId="58FF5F69">
      <w:pPr>
        <w:widowControl/>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.1.4采购人委托采购代理机构采购的，供应商可以向采购代理机构提出询问或者质疑，采购代理机构应当依照本条款第10.1.1条、第10.1.3条的规定就采购人委托授权范围内的事项作出答复。</w:t>
      </w:r>
    </w:p>
    <w:p w14:paraId="3A3FAD0A">
      <w:pPr>
        <w:widowControl/>
        <w:spacing w:line="360" w:lineRule="auto"/>
        <w:ind w:firstLine="480" w:firstLineChars="200"/>
        <w:jc w:val="left"/>
        <w:rPr>
          <w:rFonts w:ascii="宋体" w:hAnsi="宋体" w:eastAsia="宋体" w:cs="宋体"/>
          <w:b/>
          <w:sz w:val="24"/>
          <w:szCs w:val="24"/>
        </w:rPr>
      </w:pPr>
      <w:r>
        <w:rPr>
          <w:rFonts w:ascii="宋体" w:hAnsi="宋体" w:eastAsia="宋体" w:cs="宋体"/>
          <w:b/>
          <w:sz w:val="24"/>
          <w:szCs w:val="24"/>
        </w:rPr>
        <w:t>9</w:t>
      </w:r>
      <w:r>
        <w:rPr>
          <w:rFonts w:hint="eastAsia" w:ascii="宋体" w:hAnsi="宋体" w:eastAsia="宋体" w:cs="宋体"/>
          <w:b/>
          <w:sz w:val="24"/>
          <w:szCs w:val="24"/>
        </w:rPr>
        <w:t>.2投诉</w:t>
      </w:r>
    </w:p>
    <w:p w14:paraId="211E3DBC">
      <w:pPr>
        <w:widowControl/>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.2.1质疑供应商对采购人、采购代理机构的答复不满意或者采购人、采购代理机构未在规定的时间内作出答复的，可以在答复期满后十五个工作日内向同级政府采购监督管理部门投诉。</w:t>
      </w:r>
    </w:p>
    <w:p w14:paraId="0D9C2F41">
      <w:pPr>
        <w:widowControl/>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.2.2政府采购监督管理部门应当在收到投诉后三十个工作日内，对投诉事项作出处理决定，并以书面形式通知投诉人和与投诉事项有关的当事人。</w:t>
      </w:r>
    </w:p>
    <w:p w14:paraId="794E9FC8">
      <w:pPr>
        <w:widowControl/>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.2.3政府采购监督管理部门在处理投诉事项期间，可以视具体情况书面通知采购人暂停采购活动，但暂停时间最长不得超过三十日。</w:t>
      </w:r>
    </w:p>
    <w:p w14:paraId="0146243E">
      <w:pPr>
        <w:spacing w:line="360" w:lineRule="auto"/>
        <w:ind w:firstLine="480" w:firstLineChars="200"/>
      </w:pPr>
      <w:r>
        <w:rPr>
          <w:rFonts w:ascii="宋体" w:hAnsi="宋体" w:eastAsia="宋体" w:cs="宋体"/>
          <w:sz w:val="24"/>
          <w:szCs w:val="24"/>
        </w:rPr>
        <w:t>9</w:t>
      </w:r>
      <w:r>
        <w:rPr>
          <w:rFonts w:hint="eastAsia" w:ascii="宋体" w:hAnsi="宋体" w:eastAsia="宋体" w:cs="宋体"/>
          <w:sz w:val="24"/>
          <w:szCs w:val="24"/>
        </w:rPr>
        <w:t>.2.4投诉人对政府采购监督管理部门的投诉处理决定不服或者政府采购监督管理部门逾期未作处理的，可以依法申请行政复议或者向人民法院提起行政诉讼。</w:t>
      </w:r>
    </w:p>
    <w:p w14:paraId="7B4A97D2">
      <w:pPr>
        <w:widowControl/>
        <w:spacing w:line="360" w:lineRule="auto"/>
        <w:jc w:val="left"/>
        <w:rPr>
          <w:rFonts w:ascii="宋体" w:hAnsi="宋体" w:eastAsia="宋体" w:cs="宋体"/>
          <w:b/>
          <w:sz w:val="24"/>
          <w:szCs w:val="24"/>
        </w:rPr>
      </w:pPr>
      <w:r>
        <w:rPr>
          <w:rFonts w:ascii="宋体" w:hAnsi="宋体" w:eastAsia="宋体" w:cs="宋体"/>
          <w:b/>
          <w:sz w:val="24"/>
          <w:szCs w:val="24"/>
        </w:rPr>
        <w:br w:type="page"/>
      </w:r>
    </w:p>
    <w:p w14:paraId="358397E5">
      <w:pPr>
        <w:spacing w:line="360" w:lineRule="auto"/>
        <w:jc w:val="center"/>
        <w:outlineLvl w:val="0"/>
        <w:rPr>
          <w:rFonts w:ascii="宋体" w:hAnsi="宋体" w:eastAsia="宋体" w:cs="宋体"/>
          <w:b/>
          <w:sz w:val="32"/>
          <w:szCs w:val="24"/>
        </w:rPr>
      </w:pPr>
      <w:bookmarkStart w:id="35" w:name="_Toc31384"/>
      <w:r>
        <w:rPr>
          <w:rFonts w:hint="eastAsia" w:ascii="宋体" w:hAnsi="宋体" w:eastAsia="宋体" w:cs="宋体"/>
          <w:b/>
          <w:sz w:val="32"/>
          <w:szCs w:val="24"/>
        </w:rPr>
        <w:t>第二章 评审办法</w:t>
      </w:r>
      <w:bookmarkEnd w:id="35"/>
    </w:p>
    <w:p w14:paraId="22E0670F">
      <w:pPr>
        <w:tabs>
          <w:tab w:val="center" w:pos="4832"/>
          <w:tab w:val="left" w:pos="7140"/>
        </w:tabs>
        <w:spacing w:line="360" w:lineRule="auto"/>
        <w:jc w:val="center"/>
        <w:outlineLvl w:val="2"/>
        <w:rPr>
          <w:rFonts w:ascii="宋体" w:hAnsi="宋体" w:eastAsia="宋体" w:cs="宋体"/>
          <w:b/>
          <w:sz w:val="24"/>
          <w:szCs w:val="24"/>
        </w:rPr>
      </w:pPr>
      <w:bookmarkStart w:id="36" w:name="_BookMark_1"/>
      <w:bookmarkEnd w:id="36"/>
      <w:bookmarkStart w:id="37" w:name="_Toc8725"/>
      <w:r>
        <w:rPr>
          <w:rFonts w:hint="eastAsia" w:ascii="宋体" w:hAnsi="宋体" w:eastAsia="宋体" w:cs="宋体"/>
          <w:b/>
          <w:sz w:val="32"/>
          <w:szCs w:val="32"/>
        </w:rPr>
        <w:t>评审办法前附表</w:t>
      </w:r>
      <w:bookmarkEnd w:id="37"/>
    </w:p>
    <w:tbl>
      <w:tblPr>
        <w:tblStyle w:val="37"/>
        <w:tblW w:w="10085" w:type="dxa"/>
        <w:jc w:val="center"/>
        <w:tblLayout w:type="autofit"/>
        <w:tblCellMar>
          <w:top w:w="0" w:type="dxa"/>
          <w:left w:w="0" w:type="dxa"/>
          <w:bottom w:w="0" w:type="dxa"/>
          <w:right w:w="0" w:type="dxa"/>
        </w:tblCellMar>
      </w:tblPr>
      <w:tblGrid>
        <w:gridCol w:w="638"/>
        <w:gridCol w:w="2705"/>
        <w:gridCol w:w="6742"/>
      </w:tblGrid>
      <w:tr w14:paraId="6805C1FC">
        <w:tblPrEx>
          <w:tblCellMar>
            <w:top w:w="0" w:type="dxa"/>
            <w:left w:w="0" w:type="dxa"/>
            <w:bottom w:w="0" w:type="dxa"/>
            <w:right w:w="0" w:type="dxa"/>
          </w:tblCellMar>
        </w:tblPrEx>
        <w:trPr>
          <w:cantSplit/>
          <w:trHeight w:val="329" w:hRule="atLeast"/>
          <w:jc w:val="center"/>
        </w:trPr>
        <w:tc>
          <w:tcPr>
            <w:tcW w:w="638"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46257DD4">
            <w:pPr>
              <w:spacing w:line="360" w:lineRule="auto"/>
              <w:jc w:val="center"/>
              <w:rPr>
                <w:rFonts w:ascii="宋体" w:hAnsi="Calibri" w:eastAsia="宋体" w:cs="Times New Roman"/>
                <w:sz w:val="24"/>
                <w:szCs w:val="24"/>
              </w:rPr>
            </w:pPr>
            <w:bookmarkStart w:id="38" w:name="_Toc501719166"/>
            <w:bookmarkStart w:id="39" w:name="_Toc38196497"/>
            <w:r>
              <w:rPr>
                <w:rFonts w:hint="eastAsia" w:ascii="宋体" w:hAnsi="宋体" w:eastAsia="宋体" w:cs="Times New Roman"/>
                <w:sz w:val="24"/>
                <w:szCs w:val="24"/>
              </w:rPr>
              <w:t>序号</w:t>
            </w:r>
          </w:p>
        </w:tc>
        <w:tc>
          <w:tcPr>
            <w:tcW w:w="270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0F634D1E">
            <w:pPr>
              <w:spacing w:line="360" w:lineRule="auto"/>
              <w:jc w:val="center"/>
              <w:rPr>
                <w:rFonts w:ascii="宋体" w:hAnsi="Calibri" w:eastAsia="宋体" w:cs="Times New Roman"/>
                <w:sz w:val="24"/>
                <w:szCs w:val="24"/>
              </w:rPr>
            </w:pPr>
            <w:r>
              <w:rPr>
                <w:rFonts w:hint="eastAsia" w:ascii="宋体" w:hAnsi="宋体" w:eastAsia="宋体" w:cs="Times New Roman"/>
                <w:sz w:val="24"/>
                <w:szCs w:val="24"/>
              </w:rPr>
              <w:t>条款内容</w:t>
            </w:r>
          </w:p>
        </w:tc>
        <w:tc>
          <w:tcPr>
            <w:tcW w:w="674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4BC7E685">
            <w:pPr>
              <w:spacing w:line="360" w:lineRule="auto"/>
              <w:jc w:val="center"/>
              <w:rPr>
                <w:rFonts w:ascii="宋体" w:hAnsi="Calibri" w:eastAsia="宋体" w:cs="Times New Roman"/>
                <w:sz w:val="24"/>
                <w:szCs w:val="24"/>
              </w:rPr>
            </w:pPr>
            <w:r>
              <w:rPr>
                <w:rFonts w:hint="eastAsia" w:ascii="宋体" w:hAnsi="宋体" w:eastAsia="宋体" w:cs="Times New Roman"/>
                <w:sz w:val="24"/>
                <w:szCs w:val="24"/>
              </w:rPr>
              <w:t>编列内容</w:t>
            </w:r>
          </w:p>
        </w:tc>
      </w:tr>
      <w:tr w14:paraId="4FBFB0AE">
        <w:tblPrEx>
          <w:tblCellMar>
            <w:top w:w="0" w:type="dxa"/>
            <w:left w:w="0" w:type="dxa"/>
            <w:bottom w:w="0" w:type="dxa"/>
            <w:right w:w="0" w:type="dxa"/>
          </w:tblCellMar>
        </w:tblPrEx>
        <w:trPr>
          <w:cantSplit/>
          <w:trHeight w:val="638" w:hRule="atLeast"/>
          <w:jc w:val="center"/>
        </w:trPr>
        <w:tc>
          <w:tcPr>
            <w:tcW w:w="638"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3A3DDF10">
            <w:pPr>
              <w:spacing w:line="360" w:lineRule="auto"/>
              <w:jc w:val="center"/>
              <w:rPr>
                <w:rFonts w:ascii="宋体" w:hAnsi="宋体" w:eastAsia="宋体" w:cs="Times New Roman"/>
                <w:sz w:val="24"/>
                <w:szCs w:val="24"/>
              </w:rPr>
            </w:pPr>
            <w:r>
              <w:rPr>
                <w:rFonts w:ascii="宋体" w:hAnsi="宋体" w:eastAsia="宋体" w:cs="Times New Roman"/>
                <w:sz w:val="24"/>
                <w:szCs w:val="24"/>
              </w:rPr>
              <w:t>1</w:t>
            </w:r>
          </w:p>
        </w:tc>
        <w:tc>
          <w:tcPr>
            <w:tcW w:w="270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79B7CA07">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分值构成</w:t>
            </w:r>
            <w:r>
              <w:rPr>
                <w:rFonts w:ascii="宋体" w:hAnsi="宋体" w:eastAsia="宋体" w:cs="Times New Roman"/>
                <w:sz w:val="24"/>
                <w:szCs w:val="24"/>
              </w:rPr>
              <w:t xml:space="preserve"> (</w:t>
            </w:r>
            <w:r>
              <w:rPr>
                <w:rFonts w:hint="eastAsia" w:ascii="宋体" w:hAnsi="宋体" w:eastAsia="宋体" w:cs="Times New Roman"/>
                <w:sz w:val="24"/>
                <w:szCs w:val="24"/>
              </w:rPr>
              <w:t>总分</w:t>
            </w:r>
            <w:r>
              <w:rPr>
                <w:rFonts w:ascii="宋体" w:hAnsi="宋体" w:eastAsia="宋体" w:cs="Times New Roman"/>
                <w:sz w:val="24"/>
                <w:szCs w:val="24"/>
              </w:rPr>
              <w:t>100</w:t>
            </w:r>
            <w:r>
              <w:rPr>
                <w:rFonts w:hint="eastAsia" w:ascii="宋体" w:hAnsi="宋体" w:eastAsia="宋体" w:cs="Times New Roman"/>
                <w:sz w:val="24"/>
                <w:szCs w:val="24"/>
              </w:rPr>
              <w:t>分</w:t>
            </w:r>
            <w:r>
              <w:rPr>
                <w:rFonts w:ascii="宋体" w:hAnsi="宋体" w:eastAsia="宋体" w:cs="Times New Roman"/>
                <w:sz w:val="24"/>
                <w:szCs w:val="24"/>
              </w:rPr>
              <w:t>)</w:t>
            </w:r>
          </w:p>
        </w:tc>
        <w:tc>
          <w:tcPr>
            <w:tcW w:w="674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441CCF37">
            <w:pPr>
              <w:spacing w:line="360" w:lineRule="auto"/>
              <w:rPr>
                <w:rFonts w:ascii="宋体" w:hAnsi="宋体"/>
                <w:sz w:val="24"/>
                <w:szCs w:val="24"/>
              </w:rPr>
            </w:pPr>
            <w:r>
              <w:rPr>
                <w:rFonts w:ascii="宋体" w:hAnsi="宋体"/>
                <w:sz w:val="24"/>
                <w:szCs w:val="24"/>
              </w:rPr>
              <w:t>1.</w:t>
            </w:r>
            <w:r>
              <w:rPr>
                <w:rFonts w:hint="eastAsia" w:ascii="宋体" w:hAnsi="宋体"/>
                <w:sz w:val="24"/>
                <w:szCs w:val="24"/>
              </w:rPr>
              <w:t>详细评审部分</w:t>
            </w:r>
            <w:r>
              <w:rPr>
                <w:rFonts w:ascii="宋体" w:hAnsi="宋体"/>
                <w:sz w:val="24"/>
                <w:szCs w:val="24"/>
              </w:rPr>
              <w:t>7</w:t>
            </w:r>
            <w:r>
              <w:rPr>
                <w:rFonts w:hint="eastAsia" w:ascii="宋体" w:hAnsi="宋体"/>
                <w:sz w:val="24"/>
                <w:szCs w:val="24"/>
              </w:rPr>
              <w:t>0分</w:t>
            </w:r>
            <w:r>
              <w:rPr>
                <w:rFonts w:ascii="宋体" w:hAnsi="宋体"/>
                <w:sz w:val="24"/>
                <w:szCs w:val="24"/>
              </w:rPr>
              <w:t xml:space="preserve"> </w:t>
            </w:r>
          </w:p>
          <w:p w14:paraId="560BF5BD">
            <w:pPr>
              <w:spacing w:line="360" w:lineRule="auto"/>
              <w:rPr>
                <w:rFonts w:ascii="宋体" w:hAnsi="宋体"/>
                <w:sz w:val="24"/>
                <w:szCs w:val="24"/>
              </w:rPr>
            </w:pPr>
            <w:r>
              <w:rPr>
                <w:rFonts w:ascii="宋体" w:hAnsi="宋体"/>
                <w:sz w:val="24"/>
                <w:szCs w:val="24"/>
              </w:rPr>
              <w:t>2.</w:t>
            </w:r>
            <w:r>
              <w:rPr>
                <w:rFonts w:hint="eastAsia" w:ascii="宋体" w:hAnsi="宋体" w:eastAsia="宋体" w:cs="Times New Roman"/>
                <w:sz w:val="24"/>
                <w:szCs w:val="24"/>
              </w:rPr>
              <w:t>磋商</w:t>
            </w:r>
            <w:r>
              <w:rPr>
                <w:rFonts w:hint="eastAsia" w:ascii="宋体" w:hAnsi="宋体"/>
                <w:sz w:val="24"/>
                <w:szCs w:val="24"/>
              </w:rPr>
              <w:t>报价</w:t>
            </w:r>
            <w:r>
              <w:rPr>
                <w:rFonts w:ascii="宋体" w:hAnsi="宋体"/>
                <w:sz w:val="24"/>
                <w:szCs w:val="24"/>
              </w:rPr>
              <w:t>3</w:t>
            </w:r>
            <w:r>
              <w:rPr>
                <w:rFonts w:hint="eastAsia" w:ascii="宋体" w:hAnsi="宋体"/>
                <w:sz w:val="24"/>
                <w:szCs w:val="24"/>
              </w:rPr>
              <w:t>0分</w:t>
            </w:r>
          </w:p>
        </w:tc>
      </w:tr>
      <w:tr w14:paraId="41C2FE59">
        <w:tblPrEx>
          <w:tblCellMar>
            <w:top w:w="0" w:type="dxa"/>
            <w:left w:w="0" w:type="dxa"/>
            <w:bottom w:w="0" w:type="dxa"/>
            <w:right w:w="0" w:type="dxa"/>
          </w:tblCellMar>
        </w:tblPrEx>
        <w:trPr>
          <w:cantSplit/>
          <w:trHeight w:val="358" w:hRule="atLeast"/>
          <w:jc w:val="center"/>
        </w:trPr>
        <w:tc>
          <w:tcPr>
            <w:tcW w:w="638"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0F85D93A">
            <w:pPr>
              <w:spacing w:line="360" w:lineRule="auto"/>
              <w:jc w:val="center"/>
              <w:rPr>
                <w:rFonts w:ascii="宋体" w:hAnsi="宋体" w:eastAsia="宋体" w:cs="Times New Roman"/>
                <w:sz w:val="24"/>
                <w:szCs w:val="24"/>
              </w:rPr>
            </w:pPr>
            <w:r>
              <w:rPr>
                <w:rFonts w:ascii="宋体" w:hAnsi="宋体" w:eastAsia="宋体" w:cs="Times New Roman"/>
                <w:sz w:val="24"/>
                <w:szCs w:val="24"/>
              </w:rPr>
              <w:t>2</w:t>
            </w:r>
          </w:p>
        </w:tc>
        <w:tc>
          <w:tcPr>
            <w:tcW w:w="270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455A3200">
            <w:pPr>
              <w:spacing w:line="360" w:lineRule="auto"/>
              <w:jc w:val="center"/>
              <w:rPr>
                <w:rFonts w:ascii="宋体" w:hAnsi="Calibri" w:eastAsia="宋体" w:cs="Times New Roman"/>
                <w:sz w:val="24"/>
                <w:szCs w:val="24"/>
              </w:rPr>
            </w:pPr>
            <w:r>
              <w:rPr>
                <w:rFonts w:hint="eastAsia" w:ascii="宋体" w:hAnsi="宋体" w:eastAsia="宋体" w:cs="Times New Roman"/>
                <w:sz w:val="24"/>
                <w:szCs w:val="24"/>
              </w:rPr>
              <w:t>资格审查</w:t>
            </w:r>
          </w:p>
        </w:tc>
        <w:tc>
          <w:tcPr>
            <w:tcW w:w="674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3AF6852E">
            <w:pPr>
              <w:spacing w:line="360" w:lineRule="auto"/>
              <w:rPr>
                <w:rFonts w:ascii="宋体" w:hAnsi="Calibri" w:eastAsia="宋体" w:cs="Times New Roman"/>
                <w:sz w:val="24"/>
                <w:szCs w:val="24"/>
              </w:rPr>
            </w:pPr>
            <w:r>
              <w:rPr>
                <w:rFonts w:hint="eastAsia" w:ascii="宋体" w:hAnsi="宋体" w:eastAsia="宋体" w:cs="Times New Roman"/>
                <w:sz w:val="24"/>
                <w:szCs w:val="24"/>
              </w:rPr>
              <w:t>详见《资格审查标准》</w:t>
            </w:r>
          </w:p>
        </w:tc>
      </w:tr>
      <w:tr w14:paraId="68282BB0">
        <w:tblPrEx>
          <w:tblCellMar>
            <w:top w:w="0" w:type="dxa"/>
            <w:left w:w="0" w:type="dxa"/>
            <w:bottom w:w="0" w:type="dxa"/>
            <w:right w:w="0" w:type="dxa"/>
          </w:tblCellMar>
        </w:tblPrEx>
        <w:trPr>
          <w:cantSplit/>
          <w:trHeight w:val="148" w:hRule="atLeast"/>
          <w:jc w:val="center"/>
        </w:trPr>
        <w:tc>
          <w:tcPr>
            <w:tcW w:w="638"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5CC568D6">
            <w:pPr>
              <w:spacing w:line="360" w:lineRule="auto"/>
              <w:jc w:val="center"/>
              <w:rPr>
                <w:rFonts w:ascii="宋体" w:hAnsi="宋体" w:eastAsia="宋体" w:cs="Times New Roman"/>
                <w:sz w:val="24"/>
                <w:szCs w:val="24"/>
              </w:rPr>
            </w:pPr>
            <w:r>
              <w:rPr>
                <w:rFonts w:ascii="宋体" w:hAnsi="宋体" w:eastAsia="宋体" w:cs="Times New Roman"/>
                <w:sz w:val="24"/>
                <w:szCs w:val="24"/>
              </w:rPr>
              <w:t>3</w:t>
            </w:r>
          </w:p>
        </w:tc>
        <w:tc>
          <w:tcPr>
            <w:tcW w:w="270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0A26AA8A">
            <w:pPr>
              <w:spacing w:line="360" w:lineRule="auto"/>
              <w:jc w:val="center"/>
              <w:rPr>
                <w:rFonts w:ascii="宋体" w:hAnsi="Calibri" w:eastAsia="宋体" w:cs="Times New Roman"/>
                <w:sz w:val="24"/>
                <w:szCs w:val="24"/>
              </w:rPr>
            </w:pPr>
            <w:r>
              <w:rPr>
                <w:rFonts w:hint="eastAsia" w:ascii="宋体" w:hAnsi="宋体" w:eastAsia="宋体" w:cs="Times New Roman"/>
                <w:sz w:val="24"/>
                <w:szCs w:val="24"/>
              </w:rPr>
              <w:t>完备性及符合性审查</w:t>
            </w:r>
          </w:p>
        </w:tc>
        <w:tc>
          <w:tcPr>
            <w:tcW w:w="674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4CC86C64">
            <w:pPr>
              <w:spacing w:line="360" w:lineRule="auto"/>
              <w:rPr>
                <w:rFonts w:ascii="宋体" w:hAnsi="Calibri" w:eastAsia="宋体" w:cs="Times New Roman"/>
                <w:sz w:val="24"/>
                <w:szCs w:val="24"/>
              </w:rPr>
            </w:pPr>
            <w:r>
              <w:rPr>
                <w:rFonts w:hint="eastAsia" w:ascii="宋体" w:hAnsi="宋体" w:eastAsia="宋体" w:cs="Times New Roman"/>
                <w:sz w:val="24"/>
                <w:szCs w:val="24"/>
              </w:rPr>
              <w:t>详见《完备性及符合性审查标准》</w:t>
            </w:r>
          </w:p>
        </w:tc>
      </w:tr>
      <w:tr w14:paraId="330BCBF3">
        <w:tblPrEx>
          <w:tblCellMar>
            <w:top w:w="0" w:type="dxa"/>
            <w:left w:w="0" w:type="dxa"/>
            <w:bottom w:w="0" w:type="dxa"/>
            <w:right w:w="0" w:type="dxa"/>
          </w:tblCellMar>
        </w:tblPrEx>
        <w:trPr>
          <w:cantSplit/>
          <w:trHeight w:val="329" w:hRule="atLeast"/>
          <w:jc w:val="center"/>
        </w:trPr>
        <w:tc>
          <w:tcPr>
            <w:tcW w:w="638" w:type="dxa"/>
            <w:tcBorders>
              <w:top w:val="single" w:color="auto" w:sz="8" w:space="0"/>
              <w:left w:val="single" w:color="auto" w:sz="8" w:space="0"/>
              <w:bottom w:val="single" w:color="000000" w:sz="8" w:space="0"/>
              <w:right w:val="single" w:color="auto" w:sz="8" w:space="0"/>
            </w:tcBorders>
            <w:tcMar>
              <w:top w:w="0" w:type="dxa"/>
              <w:left w:w="28" w:type="dxa"/>
              <w:bottom w:w="0" w:type="dxa"/>
              <w:right w:w="28" w:type="dxa"/>
            </w:tcMar>
            <w:vAlign w:val="center"/>
          </w:tcPr>
          <w:p w14:paraId="2E9C4405">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4</w:t>
            </w:r>
          </w:p>
        </w:tc>
        <w:tc>
          <w:tcPr>
            <w:tcW w:w="2705" w:type="dxa"/>
            <w:tcBorders>
              <w:top w:val="single" w:color="auto" w:sz="8" w:space="0"/>
              <w:left w:val="single" w:color="auto" w:sz="8" w:space="0"/>
              <w:bottom w:val="single" w:color="000000" w:sz="8" w:space="0"/>
              <w:right w:val="single" w:color="auto" w:sz="8" w:space="0"/>
            </w:tcBorders>
            <w:tcMar>
              <w:top w:w="0" w:type="dxa"/>
              <w:left w:w="28" w:type="dxa"/>
              <w:bottom w:w="0" w:type="dxa"/>
              <w:right w:w="28" w:type="dxa"/>
            </w:tcMar>
            <w:vAlign w:val="center"/>
          </w:tcPr>
          <w:p w14:paraId="1801BCC4">
            <w:pPr>
              <w:spacing w:line="360" w:lineRule="auto"/>
              <w:jc w:val="center"/>
              <w:rPr>
                <w:rFonts w:ascii="宋体" w:hAnsi="Calibri" w:eastAsia="宋体" w:cs="Times New Roman"/>
                <w:sz w:val="24"/>
                <w:szCs w:val="24"/>
              </w:rPr>
            </w:pPr>
            <w:r>
              <w:rPr>
                <w:rFonts w:hint="eastAsia" w:ascii="宋体" w:hAnsi="宋体" w:eastAsia="宋体" w:cs="Times New Roman"/>
                <w:sz w:val="24"/>
                <w:szCs w:val="24"/>
              </w:rPr>
              <w:t>详细评审</w:t>
            </w:r>
          </w:p>
        </w:tc>
        <w:tc>
          <w:tcPr>
            <w:tcW w:w="6742" w:type="dxa"/>
            <w:tcBorders>
              <w:top w:val="single" w:color="auto" w:sz="8" w:space="0"/>
              <w:left w:val="single" w:color="auto" w:sz="8" w:space="0"/>
              <w:bottom w:val="single" w:color="000000" w:sz="8" w:space="0"/>
              <w:right w:val="single" w:color="auto" w:sz="8" w:space="0"/>
            </w:tcBorders>
            <w:tcMar>
              <w:top w:w="0" w:type="dxa"/>
              <w:left w:w="28" w:type="dxa"/>
              <w:bottom w:w="0" w:type="dxa"/>
              <w:right w:w="28" w:type="dxa"/>
            </w:tcMar>
            <w:vAlign w:val="center"/>
          </w:tcPr>
          <w:p w14:paraId="4CDF7F72">
            <w:pPr>
              <w:spacing w:line="360" w:lineRule="auto"/>
              <w:rPr>
                <w:rFonts w:ascii="宋体" w:hAnsi="Calibri" w:eastAsia="宋体" w:cs="Times New Roman"/>
                <w:sz w:val="24"/>
                <w:szCs w:val="24"/>
              </w:rPr>
            </w:pPr>
            <w:r>
              <w:rPr>
                <w:rFonts w:hint="eastAsia" w:ascii="宋体" w:hAnsi="宋体" w:eastAsia="宋体" w:cs="Times New Roman"/>
                <w:sz w:val="24"/>
                <w:szCs w:val="24"/>
              </w:rPr>
              <w:t>详见《详细评审标准》及</w:t>
            </w:r>
            <w:r>
              <w:rPr>
                <w:rFonts w:hint="eastAsia" w:ascii="宋体" w:hAnsi="Calibri" w:eastAsia="宋体" w:cs="Arial"/>
                <w:kern w:val="0"/>
                <w:sz w:val="24"/>
                <w:szCs w:val="24"/>
              </w:rPr>
              <w:t>本节第3.</w:t>
            </w:r>
            <w:r>
              <w:rPr>
                <w:rFonts w:ascii="宋体" w:hAnsi="Calibri" w:eastAsia="宋体" w:cs="Arial"/>
                <w:kern w:val="0"/>
                <w:sz w:val="24"/>
                <w:szCs w:val="24"/>
              </w:rPr>
              <w:t>6</w:t>
            </w:r>
            <w:r>
              <w:rPr>
                <w:rFonts w:hint="eastAsia" w:ascii="宋体" w:hAnsi="Calibri" w:eastAsia="宋体" w:cs="Arial"/>
                <w:kern w:val="0"/>
                <w:sz w:val="24"/>
                <w:szCs w:val="24"/>
              </w:rPr>
              <w:t>款</w:t>
            </w:r>
          </w:p>
        </w:tc>
      </w:tr>
      <w:bookmarkEnd w:id="38"/>
    </w:tbl>
    <w:p w14:paraId="0EADCF82">
      <w:pPr>
        <w:tabs>
          <w:tab w:val="center" w:pos="4832"/>
          <w:tab w:val="left" w:pos="7140"/>
        </w:tabs>
        <w:spacing w:line="360" w:lineRule="auto"/>
        <w:jc w:val="center"/>
        <w:outlineLvl w:val="2"/>
        <w:rPr>
          <w:rFonts w:ascii="宋体" w:hAnsi="宋体" w:eastAsia="宋体" w:cs="宋体"/>
          <w:b/>
          <w:sz w:val="24"/>
          <w:szCs w:val="24"/>
        </w:rPr>
      </w:pPr>
      <w:bookmarkStart w:id="40" w:name="_Toc18707"/>
      <w:r>
        <w:rPr>
          <w:rFonts w:hint="eastAsia" w:ascii="宋体" w:hAnsi="宋体" w:eastAsia="宋体" w:cs="宋体"/>
          <w:b/>
          <w:sz w:val="32"/>
          <w:szCs w:val="32"/>
        </w:rPr>
        <w:t>《资格审查标准》</w:t>
      </w:r>
      <w:bookmarkEnd w:id="40"/>
    </w:p>
    <w:tbl>
      <w:tblPr>
        <w:tblStyle w:val="37"/>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9143"/>
      </w:tblGrid>
      <w:tr w14:paraId="7D61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17" w:type="dxa"/>
          </w:tcPr>
          <w:p w14:paraId="5D3EB7B8">
            <w:pPr>
              <w:adjustRightInd w:val="0"/>
              <w:spacing w:line="360" w:lineRule="auto"/>
              <w:ind w:firstLine="21" w:firstLineChars="9"/>
              <w:jc w:val="center"/>
              <w:textAlignment w:val="baseline"/>
              <w:rPr>
                <w:rFonts w:ascii="宋体" w:hAnsi="宋体" w:eastAsia="宋体" w:cs="Times New Roman"/>
                <w:b/>
                <w:bCs/>
                <w:sz w:val="24"/>
                <w:szCs w:val="24"/>
              </w:rPr>
            </w:pPr>
            <w:r>
              <w:rPr>
                <w:rFonts w:hint="eastAsia" w:ascii="宋体" w:hAnsi="宋体" w:eastAsia="宋体" w:cs="Times New Roman"/>
                <w:b/>
                <w:bCs/>
                <w:sz w:val="24"/>
                <w:szCs w:val="24"/>
              </w:rPr>
              <w:t>序号</w:t>
            </w:r>
          </w:p>
        </w:tc>
        <w:tc>
          <w:tcPr>
            <w:tcW w:w="9143" w:type="dxa"/>
            <w:vAlign w:val="center"/>
          </w:tcPr>
          <w:p w14:paraId="41A8FD86">
            <w:pPr>
              <w:adjustRightInd w:val="0"/>
              <w:spacing w:line="360" w:lineRule="auto"/>
              <w:ind w:firstLine="21" w:firstLineChars="9"/>
              <w:jc w:val="center"/>
              <w:textAlignment w:val="baseline"/>
              <w:rPr>
                <w:rFonts w:ascii="宋体" w:hAnsi="宋体" w:eastAsia="宋体" w:cs="Times New Roman"/>
                <w:b/>
                <w:bCs/>
                <w:sz w:val="24"/>
                <w:szCs w:val="24"/>
              </w:rPr>
            </w:pPr>
            <w:r>
              <w:rPr>
                <w:rFonts w:hint="eastAsia" w:ascii="宋体" w:hAnsi="宋体" w:eastAsia="宋体" w:cs="Times New Roman"/>
                <w:b/>
                <w:bCs/>
                <w:sz w:val="24"/>
                <w:szCs w:val="24"/>
              </w:rPr>
              <w:t>内容</w:t>
            </w:r>
          </w:p>
        </w:tc>
      </w:tr>
      <w:tr w14:paraId="2620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jc w:val="center"/>
        </w:trPr>
        <w:tc>
          <w:tcPr>
            <w:tcW w:w="1117" w:type="dxa"/>
            <w:vAlign w:val="center"/>
          </w:tcPr>
          <w:p w14:paraId="0AB7DBE5">
            <w:pPr>
              <w:adjustRightInd w:val="0"/>
              <w:spacing w:line="36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w:t>
            </w:r>
          </w:p>
        </w:tc>
        <w:tc>
          <w:tcPr>
            <w:tcW w:w="9143" w:type="dxa"/>
            <w:vAlign w:val="center"/>
          </w:tcPr>
          <w:p w14:paraId="4A7630B2">
            <w:pPr>
              <w:adjustRightInd w:val="0"/>
              <w:spacing w:line="360" w:lineRule="auto"/>
              <w:textAlignment w:val="baseline"/>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.供应商应具备《中华人民共和国政府采购法》第二十二条规定的条件，提供下列材料：</w:t>
            </w:r>
          </w:p>
          <w:p w14:paraId="5C548472">
            <w:pPr>
              <w:adjustRightInd w:val="0"/>
              <w:spacing w:line="360" w:lineRule="auto"/>
              <w:textAlignment w:val="baseline"/>
              <w:rPr>
                <w:rFonts w:ascii="宋体" w:hAnsi="宋体" w:eastAsia="宋体" w:cs="Times New Roman"/>
                <w:sz w:val="24"/>
                <w:szCs w:val="24"/>
                <w:lang w:val="zh-CN"/>
              </w:rPr>
            </w:pPr>
            <w:r>
              <w:rPr>
                <w:rFonts w:ascii="宋体" w:hAnsi="宋体" w:eastAsia="宋体" w:cs="Times New Roman"/>
                <w:sz w:val="24"/>
                <w:szCs w:val="24"/>
              </w:rPr>
              <w:t>1）具有独立承担民事责任的能力</w:t>
            </w:r>
            <w:r>
              <w:rPr>
                <w:rFonts w:hint="eastAsia" w:ascii="宋体" w:hAnsi="宋体" w:eastAsia="宋体" w:cs="Times New Roman"/>
                <w:sz w:val="24"/>
                <w:szCs w:val="24"/>
              </w:rPr>
              <w:t>；</w:t>
            </w:r>
            <w:r>
              <w:rPr>
                <w:rFonts w:hint="eastAsia" w:ascii="宋体" w:hAnsi="宋体" w:eastAsia="宋体" w:cs="Times New Roman"/>
                <w:b/>
                <w:bCs/>
                <w:sz w:val="24"/>
                <w:szCs w:val="24"/>
              </w:rPr>
              <w:t>（投标时，</w:t>
            </w:r>
            <w:r>
              <w:rPr>
                <w:rFonts w:ascii="宋体" w:hAnsi="宋体" w:eastAsia="宋体" w:cs="Times New Roman"/>
                <w:b/>
                <w:bCs/>
                <w:sz w:val="24"/>
                <w:szCs w:val="24"/>
              </w:rPr>
              <w:t>提供在中华人民共和国境内注册的法人或其他组织的营业执照或事业单位法人证书或社会团体法人登记证书复印件/扫描件。）</w:t>
            </w:r>
          </w:p>
        </w:tc>
      </w:tr>
      <w:tr w14:paraId="0D92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1117" w:type="dxa"/>
            <w:vAlign w:val="center"/>
          </w:tcPr>
          <w:p w14:paraId="1DF18C6A">
            <w:pPr>
              <w:adjustRightInd w:val="0"/>
              <w:spacing w:line="36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2</w:t>
            </w:r>
          </w:p>
        </w:tc>
        <w:tc>
          <w:tcPr>
            <w:tcW w:w="9143" w:type="dxa"/>
            <w:vAlign w:val="center"/>
          </w:tcPr>
          <w:p w14:paraId="19F62FFD">
            <w:pPr>
              <w:adjustRightInd w:val="0"/>
              <w:spacing w:line="360" w:lineRule="auto"/>
              <w:textAlignment w:val="baseline"/>
              <w:rPr>
                <w:rFonts w:ascii="宋体" w:hAnsi="宋体" w:eastAsia="宋体" w:cs="Times New Roman"/>
                <w:sz w:val="24"/>
                <w:szCs w:val="24"/>
                <w:lang w:val="zh-CN"/>
              </w:rPr>
            </w:pPr>
            <w:r>
              <w:rPr>
                <w:rFonts w:ascii="宋体" w:hAnsi="宋体" w:eastAsia="宋体" w:cs="Times New Roman"/>
                <w:sz w:val="24"/>
                <w:szCs w:val="24"/>
              </w:rPr>
              <w:t>2）有依法缴纳税收和社会保障资金的良好记录</w:t>
            </w:r>
            <w:r>
              <w:rPr>
                <w:rFonts w:hint="eastAsia" w:ascii="宋体" w:hAnsi="宋体" w:eastAsia="宋体" w:cs="Times New Roman"/>
                <w:sz w:val="24"/>
                <w:szCs w:val="24"/>
              </w:rPr>
              <w:t>；</w:t>
            </w:r>
            <w:r>
              <w:rPr>
                <w:rFonts w:hint="eastAsia" w:ascii="宋体" w:hAnsi="宋体" w:eastAsia="宋体" w:cs="Times New Roman"/>
                <w:b/>
                <w:bCs/>
                <w:sz w:val="24"/>
                <w:szCs w:val="24"/>
              </w:rPr>
              <w:t>（投标时，提供至本项目投标截止时间前一年内任意1个月缴纳税收凭据证明材料复印件/扫描件；如依法免税的，应提供相应文件证明；提供至本项目投标截止时间前一年内任意1个月缴纳社会保险的凭据证明材料复印件/扫描件；如依法不需要缴纳社会保障资金的，应提供相应文件证明。）</w:t>
            </w:r>
          </w:p>
        </w:tc>
      </w:tr>
      <w:tr w14:paraId="08D8D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1117" w:type="dxa"/>
            <w:vAlign w:val="center"/>
          </w:tcPr>
          <w:p w14:paraId="003B8D74">
            <w:pPr>
              <w:adjustRightInd w:val="0"/>
              <w:spacing w:line="36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3</w:t>
            </w:r>
          </w:p>
        </w:tc>
        <w:tc>
          <w:tcPr>
            <w:tcW w:w="9143" w:type="dxa"/>
            <w:vAlign w:val="center"/>
          </w:tcPr>
          <w:p w14:paraId="759A113C">
            <w:pPr>
              <w:adjustRightInd w:val="0"/>
              <w:spacing w:line="360" w:lineRule="auto"/>
              <w:textAlignment w:val="baseline"/>
              <w:rPr>
                <w:rFonts w:ascii="宋体" w:hAnsi="宋体" w:eastAsia="宋体" w:cs="Times New Roman"/>
                <w:sz w:val="24"/>
                <w:szCs w:val="24"/>
                <w:lang w:val="zh-CN"/>
              </w:rPr>
            </w:pPr>
            <w:r>
              <w:rPr>
                <w:rFonts w:ascii="宋体" w:hAnsi="宋体" w:eastAsia="宋体" w:cs="Times New Roman"/>
                <w:sz w:val="24"/>
                <w:szCs w:val="24"/>
              </w:rPr>
              <w:t>3）具有良好的商业信誉和健全的财务会计制度</w:t>
            </w:r>
            <w:r>
              <w:rPr>
                <w:rFonts w:hint="eastAsia" w:ascii="宋体" w:hAnsi="宋体" w:eastAsia="宋体" w:cs="Times New Roman"/>
                <w:sz w:val="24"/>
                <w:szCs w:val="24"/>
              </w:rPr>
              <w:t>；</w:t>
            </w:r>
            <w:r>
              <w:rPr>
                <w:rFonts w:hint="eastAsia" w:ascii="宋体" w:hAnsi="宋体" w:eastAsia="宋体" w:cs="Times New Roman"/>
                <w:b/>
                <w:bCs/>
                <w:sz w:val="24"/>
                <w:szCs w:val="24"/>
              </w:rPr>
              <w:t>（投标时，提供2023年度财务状况报告复印件/扫描件，成立不足一个年度的提供近三个月内任意一个月的银行资信证明材料复印件/扫描件）</w:t>
            </w:r>
          </w:p>
        </w:tc>
      </w:tr>
      <w:tr w14:paraId="06A4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117" w:type="dxa"/>
            <w:vAlign w:val="center"/>
          </w:tcPr>
          <w:p w14:paraId="0A72A6E9">
            <w:pPr>
              <w:adjustRightInd w:val="0"/>
              <w:spacing w:line="36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4</w:t>
            </w:r>
          </w:p>
        </w:tc>
        <w:tc>
          <w:tcPr>
            <w:tcW w:w="9143" w:type="dxa"/>
            <w:vAlign w:val="center"/>
          </w:tcPr>
          <w:p w14:paraId="332ACB2D">
            <w:pPr>
              <w:adjustRightInd w:val="0"/>
              <w:spacing w:line="360" w:lineRule="auto"/>
              <w:textAlignment w:val="baseline"/>
              <w:rPr>
                <w:rFonts w:ascii="宋体" w:hAnsi="宋体" w:eastAsia="宋体" w:cs="Times New Roman"/>
                <w:sz w:val="24"/>
                <w:szCs w:val="24"/>
                <w:lang w:val="zh-CN"/>
              </w:rPr>
            </w:pPr>
            <w:r>
              <w:rPr>
                <w:rFonts w:ascii="宋体" w:hAnsi="宋体" w:eastAsia="宋体" w:cs="Times New Roman"/>
                <w:sz w:val="24"/>
                <w:szCs w:val="24"/>
              </w:rPr>
              <w:t>4）</w:t>
            </w:r>
            <w:r>
              <w:rPr>
                <w:rFonts w:hint="eastAsia" w:ascii="宋体" w:hAnsi="宋体" w:eastAsia="宋体" w:cs="Times New Roman"/>
                <w:sz w:val="24"/>
                <w:szCs w:val="24"/>
              </w:rPr>
              <w:t>具有</w:t>
            </w:r>
            <w:r>
              <w:rPr>
                <w:rFonts w:ascii="宋体" w:hAnsi="宋体" w:eastAsia="宋体" w:cs="Times New Roman"/>
                <w:sz w:val="24"/>
                <w:szCs w:val="24"/>
              </w:rPr>
              <w:t>履行合同所必须的设备和专业技术能力</w:t>
            </w:r>
            <w:r>
              <w:rPr>
                <w:rFonts w:hint="eastAsia" w:ascii="宋体" w:hAnsi="宋体" w:eastAsia="宋体" w:cs="Times New Roman"/>
                <w:sz w:val="24"/>
                <w:szCs w:val="24"/>
              </w:rPr>
              <w:t>；</w:t>
            </w:r>
            <w:r>
              <w:rPr>
                <w:rFonts w:hint="eastAsia" w:ascii="宋体" w:hAnsi="宋体" w:eastAsia="宋体" w:cs="Times New Roman"/>
                <w:b/>
                <w:bCs/>
                <w:sz w:val="24"/>
                <w:szCs w:val="24"/>
              </w:rPr>
              <w:t>（投标时，供应商出具承诺函，承诺满足要求，加盖供应商公章）</w:t>
            </w:r>
          </w:p>
        </w:tc>
      </w:tr>
      <w:tr w14:paraId="482C9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1117" w:type="dxa"/>
            <w:vAlign w:val="center"/>
          </w:tcPr>
          <w:p w14:paraId="0C84B8C1">
            <w:pPr>
              <w:adjustRightInd w:val="0"/>
              <w:spacing w:line="36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5</w:t>
            </w:r>
          </w:p>
        </w:tc>
        <w:tc>
          <w:tcPr>
            <w:tcW w:w="9143" w:type="dxa"/>
            <w:vAlign w:val="center"/>
          </w:tcPr>
          <w:p w14:paraId="01F82D88">
            <w:pPr>
              <w:adjustRightInd w:val="0"/>
              <w:spacing w:line="360" w:lineRule="auto"/>
              <w:textAlignment w:val="baseline"/>
              <w:rPr>
                <w:rFonts w:ascii="宋体" w:hAnsi="宋体" w:eastAsia="宋体" w:cs="Times New Roman"/>
                <w:b/>
                <w:bCs/>
                <w:sz w:val="24"/>
                <w:szCs w:val="24"/>
              </w:rPr>
            </w:pPr>
            <w:r>
              <w:rPr>
                <w:rFonts w:ascii="宋体" w:hAnsi="宋体" w:eastAsia="宋体" w:cs="Times New Roman"/>
                <w:sz w:val="24"/>
                <w:szCs w:val="24"/>
              </w:rPr>
              <w:t>5）参加采购活动前3年内，在经营活动中没有重大违法记录</w:t>
            </w:r>
            <w:r>
              <w:rPr>
                <w:rFonts w:hint="eastAsia" w:ascii="宋体" w:hAnsi="宋体" w:eastAsia="宋体" w:cs="Times New Roman"/>
                <w:sz w:val="24"/>
                <w:szCs w:val="24"/>
              </w:rPr>
              <w:t>；</w:t>
            </w:r>
            <w:r>
              <w:rPr>
                <w:rFonts w:hint="eastAsia" w:ascii="宋体" w:hAnsi="宋体" w:eastAsia="宋体" w:cs="Times New Roman"/>
                <w:b/>
                <w:bCs/>
                <w:sz w:val="24"/>
                <w:szCs w:val="24"/>
              </w:rPr>
              <w:t>（投标时，供应商出具承诺函，加盖供应商公章）</w:t>
            </w:r>
          </w:p>
          <w:p w14:paraId="7F7D477C">
            <w:pPr>
              <w:adjustRightInd w:val="0"/>
              <w:spacing w:line="360" w:lineRule="auto"/>
              <w:textAlignment w:val="baseline"/>
              <w:rPr>
                <w:rFonts w:ascii="宋体" w:hAnsi="宋体" w:eastAsia="宋体" w:cs="Times New Roman"/>
                <w:sz w:val="24"/>
                <w:szCs w:val="24"/>
                <w:lang w:val="zh-CN"/>
              </w:rPr>
            </w:pPr>
            <w:r>
              <w:rPr>
                <w:rFonts w:hint="eastAsia" w:ascii="宋体" w:hAnsi="宋体" w:eastAsia="宋体" w:cs="Times New Roman"/>
                <w:sz w:val="24"/>
                <w:szCs w:val="24"/>
              </w:rPr>
              <w:t>注：</w:t>
            </w:r>
            <w:r>
              <w:rPr>
                <w:rFonts w:ascii="宋体" w:hAnsi="宋体" w:eastAsia="宋体" w:cs="Times New Roman"/>
                <w:sz w:val="24"/>
                <w:szCs w:val="24"/>
              </w:rPr>
              <w:t>重大违法记录，是指供应商因违法经营受到刑事处罚或者责令停产停业、吊销许可证或者执照、较大数额罚款等行政处罚。（较大数额罚款按照发出行政处罚决定书部门所在省级政府，或实行垂直领导的国</w:t>
            </w:r>
            <w:r>
              <w:rPr>
                <w:rFonts w:hint="eastAsia" w:ascii="宋体" w:hAnsi="宋体" w:eastAsia="宋体" w:cs="Times New Roman"/>
                <w:sz w:val="24"/>
                <w:szCs w:val="24"/>
              </w:rPr>
              <w:t>务院</w:t>
            </w:r>
            <w:r>
              <w:rPr>
                <w:rFonts w:ascii="宋体" w:hAnsi="宋体" w:eastAsia="宋体" w:cs="Times New Roman"/>
                <w:sz w:val="24"/>
                <w:szCs w:val="24"/>
              </w:rPr>
              <w:t>有关行政主管部门制定的较大数额罚款标准，或罚款决定之前需要举行听证会的金额标准来认定）</w:t>
            </w:r>
          </w:p>
        </w:tc>
      </w:tr>
      <w:tr w14:paraId="4411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7" w:type="dxa"/>
            <w:vAlign w:val="center"/>
          </w:tcPr>
          <w:p w14:paraId="69C56375">
            <w:pPr>
              <w:adjustRightInd w:val="0"/>
              <w:spacing w:line="36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6</w:t>
            </w:r>
          </w:p>
        </w:tc>
        <w:tc>
          <w:tcPr>
            <w:tcW w:w="9143" w:type="dxa"/>
            <w:vAlign w:val="center"/>
          </w:tcPr>
          <w:p w14:paraId="32D073ED">
            <w:pPr>
              <w:adjustRightInd w:val="0"/>
              <w:spacing w:line="360" w:lineRule="auto"/>
              <w:textAlignment w:val="baseline"/>
              <w:rPr>
                <w:rFonts w:ascii="宋体" w:hAnsi="宋体" w:eastAsia="宋体" w:cs="Times New Roman"/>
                <w:sz w:val="24"/>
                <w:szCs w:val="24"/>
                <w:lang w:val="zh-CN"/>
              </w:rPr>
            </w:pPr>
            <w:r>
              <w:rPr>
                <w:rFonts w:ascii="宋体" w:hAnsi="宋体" w:eastAsia="宋体" w:cs="Times New Roman"/>
                <w:sz w:val="24"/>
                <w:szCs w:val="24"/>
              </w:rPr>
              <w:t>6）信用记录：供应商未被列入“信用中国”网站(www.creditchina.gov.cn)“记录失信被执行人、重大税收违法案件当事人名单、政府采购严重违法失信行为”记录名单；不处于中国政府采购网(www.ccgp.gov.cn)“政府采购严重违法失信行为信息记录”中的禁止参加政府采购活动期间。如相关失信记录已失效，供应商需提供相关证明资料</w:t>
            </w:r>
            <w:r>
              <w:rPr>
                <w:rFonts w:hint="eastAsia" w:ascii="宋体" w:hAnsi="宋体" w:eastAsia="宋体" w:cs="Times New Roman"/>
                <w:sz w:val="24"/>
                <w:szCs w:val="24"/>
              </w:rPr>
              <w:t>，如在上述网站查询结果均显示没有相关记录，视为没有上述不良信用记录。</w:t>
            </w:r>
            <w:r>
              <w:rPr>
                <w:rFonts w:ascii="宋体" w:hAnsi="宋体" w:eastAsia="宋体" w:cs="Times New Roman"/>
                <w:sz w:val="24"/>
                <w:szCs w:val="24"/>
              </w:rPr>
              <w:t>）</w:t>
            </w:r>
            <w:r>
              <w:rPr>
                <w:rFonts w:hint="eastAsia" w:ascii="宋体" w:hAnsi="宋体" w:eastAsia="宋体" w:cs="Times New Roman"/>
                <w:sz w:val="24"/>
                <w:szCs w:val="24"/>
              </w:rPr>
              <w:t>以代理机构或监督人员现场查询结果为准</w:t>
            </w:r>
            <w:r>
              <w:rPr>
                <w:rFonts w:ascii="宋体" w:hAnsi="宋体" w:eastAsia="宋体" w:cs="Times New Roman"/>
                <w:sz w:val="24"/>
                <w:szCs w:val="24"/>
              </w:rPr>
              <w:t>。</w:t>
            </w:r>
          </w:p>
        </w:tc>
      </w:tr>
      <w:tr w14:paraId="7926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1117" w:type="dxa"/>
            <w:vAlign w:val="center"/>
          </w:tcPr>
          <w:p w14:paraId="6E5156F6">
            <w:pPr>
              <w:adjustRightInd w:val="0"/>
              <w:spacing w:line="36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7</w:t>
            </w:r>
          </w:p>
        </w:tc>
        <w:tc>
          <w:tcPr>
            <w:tcW w:w="9143" w:type="dxa"/>
            <w:vAlign w:val="center"/>
          </w:tcPr>
          <w:p w14:paraId="24758B84">
            <w:pPr>
              <w:adjustRightInd w:val="0"/>
              <w:spacing w:line="360" w:lineRule="auto"/>
              <w:textAlignment w:val="baseline"/>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单位负责人为同一人或者存在直接控股、管理关系的不同供应商，不得参加同一合同项下的政府采购活动。与采购人存在利害关系可能影响招标公正性的法人、其他组织或者个人，不得参加投标。</w:t>
            </w:r>
          </w:p>
          <w:p w14:paraId="32C7116B">
            <w:pPr>
              <w:adjustRightInd w:val="0"/>
              <w:spacing w:line="360" w:lineRule="auto"/>
              <w:textAlignment w:val="baseline"/>
              <w:rPr>
                <w:rFonts w:ascii="宋体" w:hAnsi="宋体" w:eastAsia="宋体" w:cs="Times New Roman"/>
                <w:sz w:val="24"/>
                <w:szCs w:val="24"/>
                <w:lang w:val="zh-CN"/>
              </w:rPr>
            </w:pPr>
            <w:r>
              <w:rPr>
                <w:rFonts w:hint="eastAsia" w:ascii="宋体" w:hAnsi="宋体" w:eastAsia="宋体" w:cs="Times New Roman"/>
                <w:b/>
                <w:bCs/>
                <w:sz w:val="24"/>
                <w:szCs w:val="24"/>
              </w:rPr>
              <w:t>（投标时，供应商出具承诺函，加盖供应商公章）</w:t>
            </w:r>
            <w:r>
              <w:rPr>
                <w:rFonts w:ascii="宋体" w:hAnsi="宋体" w:eastAsia="宋体" w:cs="Times New Roman"/>
                <w:b/>
                <w:bCs/>
                <w:sz w:val="24"/>
                <w:szCs w:val="24"/>
              </w:rPr>
              <w:t>。</w:t>
            </w:r>
          </w:p>
        </w:tc>
      </w:tr>
      <w:tr w14:paraId="3855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117" w:type="dxa"/>
            <w:vAlign w:val="center"/>
          </w:tcPr>
          <w:p w14:paraId="29E40CDD">
            <w:pPr>
              <w:adjustRightInd w:val="0"/>
              <w:spacing w:line="36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8</w:t>
            </w:r>
          </w:p>
        </w:tc>
        <w:tc>
          <w:tcPr>
            <w:tcW w:w="9143" w:type="dxa"/>
            <w:vAlign w:val="center"/>
          </w:tcPr>
          <w:p w14:paraId="77D4F3E8">
            <w:pPr>
              <w:adjustRightInd w:val="0"/>
              <w:spacing w:line="360" w:lineRule="auto"/>
              <w:textAlignment w:val="baseline"/>
              <w:rPr>
                <w:rFonts w:ascii="宋体" w:hAnsi="宋体" w:eastAsia="宋体" w:cs="Times New Roman"/>
                <w:sz w:val="24"/>
                <w:szCs w:val="24"/>
              </w:rPr>
            </w:pPr>
            <w:r>
              <w:rPr>
                <w:rFonts w:ascii="宋体" w:hAnsi="宋体" w:eastAsia="宋体" w:cs="Times New Roman"/>
                <w:sz w:val="24"/>
                <w:szCs w:val="24"/>
              </w:rPr>
              <w:t>落实政府采购政策需满足的资格要求：本项目属于专门面向中小微企业采购的</w:t>
            </w:r>
            <w:r>
              <w:rPr>
                <w:rFonts w:hint="eastAsia" w:ascii="宋体" w:hAnsi="宋体" w:eastAsia="宋体" w:cs="Times New Roman"/>
                <w:sz w:val="24"/>
                <w:szCs w:val="24"/>
              </w:rPr>
              <w:t>项目，供应商需提供《中小企业声明函》，</w:t>
            </w:r>
            <w:r>
              <w:rPr>
                <w:rFonts w:hint="eastAsia" w:ascii="宋体" w:hAnsi="宋体" w:eastAsia="宋体" w:cs="Times New Roman"/>
                <w:b/>
                <w:sz w:val="24"/>
                <w:szCs w:val="24"/>
              </w:rPr>
              <w:t>（按照磋商文件规定的中小企业声明函格式及要求提供，否则将不予认可，格式详见</w:t>
            </w:r>
            <w:r>
              <w:rPr>
                <w:rFonts w:hint="eastAsia" w:ascii="宋体" w:hAnsi="宋体" w:eastAsia="宋体" w:cs="Times New Roman"/>
                <w:b/>
                <w:sz w:val="24"/>
                <w:szCs w:val="24"/>
                <w:lang w:eastAsia="zh-CN"/>
              </w:rPr>
              <w:t>第五章</w:t>
            </w:r>
            <w:r>
              <w:rPr>
                <w:rFonts w:hint="eastAsia" w:ascii="宋体" w:hAnsi="宋体" w:eastAsia="宋体" w:cs="Times New Roman"/>
                <w:b/>
                <w:sz w:val="24"/>
                <w:szCs w:val="24"/>
              </w:rPr>
              <w:t>）</w:t>
            </w:r>
            <w:r>
              <w:rPr>
                <w:rFonts w:hint="eastAsia" w:ascii="宋体" w:hAnsi="宋体" w:eastAsia="宋体" w:cs="Times New Roman"/>
                <w:sz w:val="24"/>
                <w:szCs w:val="24"/>
              </w:rPr>
              <w:t>。</w:t>
            </w:r>
          </w:p>
        </w:tc>
      </w:tr>
      <w:tr w14:paraId="794D0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117" w:type="dxa"/>
            <w:vAlign w:val="center"/>
          </w:tcPr>
          <w:p w14:paraId="191E0D1C">
            <w:pPr>
              <w:adjustRightInd w:val="0"/>
              <w:spacing w:line="36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9</w:t>
            </w:r>
          </w:p>
        </w:tc>
        <w:tc>
          <w:tcPr>
            <w:tcW w:w="9143" w:type="dxa"/>
            <w:vAlign w:val="center"/>
          </w:tcPr>
          <w:p w14:paraId="719A9E9D">
            <w:pPr>
              <w:adjustRightInd w:val="0"/>
              <w:spacing w:line="360" w:lineRule="auto"/>
              <w:textAlignment w:val="baseline"/>
              <w:rPr>
                <w:rFonts w:hint="eastAsia" w:ascii="宋体" w:hAnsi="宋体" w:eastAsia="宋体" w:cs="Times New Roman"/>
                <w:sz w:val="24"/>
                <w:szCs w:val="24"/>
                <w:lang w:eastAsia="zh-CN"/>
              </w:rPr>
            </w:pPr>
            <w:r>
              <w:rPr>
                <w:rFonts w:hint="eastAsia" w:ascii="宋体" w:hAnsi="宋体" w:eastAsia="宋体" w:cs="Times New Roman"/>
                <w:sz w:val="24"/>
                <w:szCs w:val="24"/>
              </w:rPr>
              <w:t>特定资格要求：</w:t>
            </w:r>
            <w:r>
              <w:rPr>
                <w:rFonts w:hint="eastAsia" w:ascii="宋体" w:hAnsi="宋体" w:eastAsia="宋体" w:cs="Times New Roman"/>
                <w:sz w:val="24"/>
                <w:szCs w:val="24"/>
                <w:lang w:val="en-US" w:eastAsia="zh-CN"/>
              </w:rPr>
              <w:t>无</w:t>
            </w:r>
          </w:p>
        </w:tc>
      </w:tr>
      <w:tr w14:paraId="763B6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117" w:type="dxa"/>
            <w:vAlign w:val="center"/>
          </w:tcPr>
          <w:p w14:paraId="3FF531EE">
            <w:pPr>
              <w:adjustRightInd w:val="0"/>
              <w:spacing w:line="360" w:lineRule="auto"/>
              <w:jc w:val="center"/>
              <w:textAlignment w:val="baseline"/>
              <w:rPr>
                <w:rFonts w:ascii="宋体" w:hAnsi="宋体" w:eastAsia="宋体" w:cs="Times New Roman"/>
                <w:sz w:val="24"/>
                <w:szCs w:val="24"/>
              </w:rPr>
            </w:pPr>
            <w:r>
              <w:rPr>
                <w:rFonts w:ascii="宋体" w:hAnsi="宋体" w:eastAsia="宋体" w:cs="Times New Roman"/>
                <w:sz w:val="24"/>
                <w:szCs w:val="24"/>
              </w:rPr>
              <w:t>10</w:t>
            </w:r>
          </w:p>
        </w:tc>
        <w:tc>
          <w:tcPr>
            <w:tcW w:w="9143" w:type="dxa"/>
            <w:vAlign w:val="center"/>
          </w:tcPr>
          <w:p w14:paraId="55578502">
            <w:pPr>
              <w:adjustRightInd w:val="0"/>
              <w:spacing w:line="360" w:lineRule="auto"/>
              <w:textAlignment w:val="baseline"/>
              <w:rPr>
                <w:rFonts w:ascii="宋体" w:hAnsi="宋体" w:eastAsia="宋体" w:cs="Times New Roman"/>
                <w:sz w:val="24"/>
                <w:szCs w:val="24"/>
              </w:rPr>
            </w:pPr>
            <w:r>
              <w:rPr>
                <w:rFonts w:hint="eastAsia" w:ascii="宋体" w:hAnsi="宋体" w:eastAsia="宋体" w:cs="Times New Roman"/>
                <w:sz w:val="24"/>
                <w:szCs w:val="24"/>
              </w:rPr>
              <w:t>本项目不接受联合体投标，（投标时，供应商出具承诺函，加盖供应商公章）</w:t>
            </w:r>
          </w:p>
        </w:tc>
      </w:tr>
    </w:tbl>
    <w:p w14:paraId="1422C162">
      <w:pPr>
        <w:spacing w:line="360" w:lineRule="auto"/>
        <w:rPr>
          <w:rFonts w:ascii="宋体" w:hAnsi="宋体" w:eastAsia="宋体" w:cs="宋体"/>
          <w:b/>
          <w:sz w:val="24"/>
          <w:szCs w:val="24"/>
        </w:rPr>
      </w:pPr>
      <w:r>
        <w:rPr>
          <w:rFonts w:hint="eastAsia" w:ascii="宋体" w:hAnsi="宋体" w:eastAsia="宋体" w:cs="宋体"/>
          <w:b/>
          <w:sz w:val="24"/>
          <w:szCs w:val="24"/>
        </w:rPr>
        <w:br w:type="page"/>
      </w:r>
    </w:p>
    <w:p w14:paraId="30FD5BC8">
      <w:pPr>
        <w:tabs>
          <w:tab w:val="center" w:pos="4832"/>
          <w:tab w:val="left" w:pos="7140"/>
        </w:tabs>
        <w:spacing w:line="360" w:lineRule="auto"/>
        <w:jc w:val="center"/>
        <w:outlineLvl w:val="2"/>
        <w:rPr>
          <w:rFonts w:ascii="宋体" w:hAnsi="宋体" w:eastAsia="宋体" w:cs="宋体"/>
          <w:b/>
          <w:sz w:val="24"/>
          <w:szCs w:val="24"/>
        </w:rPr>
      </w:pPr>
      <w:bookmarkStart w:id="41" w:name="_Toc20075"/>
      <w:r>
        <w:rPr>
          <w:rFonts w:hint="eastAsia" w:ascii="宋体" w:hAnsi="宋体" w:eastAsia="宋体" w:cs="宋体"/>
          <w:b/>
          <w:sz w:val="32"/>
          <w:szCs w:val="32"/>
        </w:rPr>
        <w:t>《完备性及符合性审查标准</w:t>
      </w:r>
      <w:bookmarkEnd w:id="39"/>
      <w:r>
        <w:rPr>
          <w:rFonts w:hint="eastAsia" w:ascii="宋体" w:hAnsi="宋体" w:eastAsia="宋体" w:cs="宋体"/>
          <w:b/>
          <w:sz w:val="32"/>
          <w:szCs w:val="32"/>
        </w:rPr>
        <w:t>》</w:t>
      </w:r>
      <w:bookmarkEnd w:id="41"/>
    </w:p>
    <w:tbl>
      <w:tblPr>
        <w:tblStyle w:val="37"/>
        <w:tblW w:w="10324" w:type="dxa"/>
        <w:jc w:val="center"/>
        <w:tblLayout w:type="fixed"/>
        <w:tblCellMar>
          <w:top w:w="0" w:type="dxa"/>
          <w:left w:w="0" w:type="dxa"/>
          <w:bottom w:w="0" w:type="dxa"/>
          <w:right w:w="0" w:type="dxa"/>
        </w:tblCellMar>
      </w:tblPr>
      <w:tblGrid>
        <w:gridCol w:w="1107"/>
        <w:gridCol w:w="9217"/>
      </w:tblGrid>
      <w:tr w14:paraId="6E6C4672">
        <w:tblPrEx>
          <w:tblCellMar>
            <w:top w:w="0" w:type="dxa"/>
            <w:left w:w="0" w:type="dxa"/>
            <w:bottom w:w="0" w:type="dxa"/>
            <w:right w:w="0" w:type="dxa"/>
          </w:tblCellMar>
        </w:tblPrEx>
        <w:trPr>
          <w:cantSplit/>
          <w:trHeight w:val="329" w:hRule="atLeast"/>
          <w:jc w:val="center"/>
        </w:trPr>
        <w:tc>
          <w:tcPr>
            <w:tcW w:w="1107" w:type="dxa"/>
            <w:tcBorders>
              <w:top w:val="single" w:color="auto" w:sz="8" w:space="0"/>
              <w:left w:val="single" w:color="auto" w:sz="8" w:space="0"/>
              <w:bottom w:val="single" w:color="auto" w:sz="8" w:space="0"/>
              <w:right w:val="single" w:color="auto" w:sz="8" w:space="0"/>
            </w:tcBorders>
            <w:vAlign w:val="center"/>
          </w:tcPr>
          <w:p w14:paraId="4AC073F6">
            <w:pPr>
              <w:widowControl/>
              <w:shd w:val="clear" w:color="auto" w:fill="FFFFFF"/>
              <w:snapToGrid w:val="0"/>
              <w:spacing w:line="360" w:lineRule="auto"/>
              <w:jc w:val="center"/>
              <w:rPr>
                <w:rFonts w:ascii="宋体" w:hAnsi="宋体" w:eastAsia="宋体" w:cs="Arial"/>
                <w:kern w:val="0"/>
                <w:sz w:val="28"/>
                <w:szCs w:val="22"/>
              </w:rPr>
            </w:pPr>
            <w:r>
              <w:rPr>
                <w:rFonts w:hint="eastAsia" w:ascii="宋体" w:hAnsi="宋体" w:eastAsia="宋体" w:cs="Arial"/>
                <w:kern w:val="0"/>
                <w:sz w:val="28"/>
                <w:szCs w:val="22"/>
              </w:rPr>
              <w:t>序号</w:t>
            </w:r>
          </w:p>
        </w:tc>
        <w:tc>
          <w:tcPr>
            <w:tcW w:w="9217" w:type="dxa"/>
            <w:tcBorders>
              <w:top w:val="single" w:color="auto" w:sz="8" w:space="0"/>
              <w:left w:val="single" w:color="auto" w:sz="8" w:space="0"/>
              <w:bottom w:val="single" w:color="auto" w:sz="8" w:space="0"/>
              <w:right w:val="single" w:color="auto" w:sz="8" w:space="0"/>
            </w:tcBorders>
            <w:vAlign w:val="center"/>
          </w:tcPr>
          <w:p w14:paraId="358ADF33">
            <w:pPr>
              <w:widowControl/>
              <w:shd w:val="clear" w:color="auto" w:fill="FFFFFF"/>
              <w:snapToGrid w:val="0"/>
              <w:spacing w:line="360" w:lineRule="auto"/>
              <w:jc w:val="center"/>
              <w:rPr>
                <w:rFonts w:ascii="宋体" w:hAnsi="宋体" w:eastAsia="宋体" w:cs="Arial"/>
                <w:kern w:val="0"/>
                <w:sz w:val="28"/>
                <w:szCs w:val="22"/>
              </w:rPr>
            </w:pPr>
            <w:r>
              <w:rPr>
                <w:rFonts w:hint="eastAsia" w:ascii="宋体" w:hAnsi="宋体" w:eastAsia="宋体" w:cs="Arial"/>
                <w:kern w:val="0"/>
                <w:sz w:val="28"/>
                <w:szCs w:val="22"/>
              </w:rPr>
              <w:t>评审标准</w:t>
            </w:r>
          </w:p>
        </w:tc>
      </w:tr>
      <w:tr w14:paraId="18FA552E">
        <w:tblPrEx>
          <w:tblCellMar>
            <w:top w:w="0" w:type="dxa"/>
            <w:left w:w="0" w:type="dxa"/>
            <w:bottom w:w="0" w:type="dxa"/>
            <w:right w:w="0" w:type="dxa"/>
          </w:tblCellMar>
        </w:tblPrEx>
        <w:trPr>
          <w:cantSplit/>
          <w:trHeight w:val="733" w:hRule="atLeast"/>
          <w:jc w:val="center"/>
        </w:trPr>
        <w:tc>
          <w:tcPr>
            <w:tcW w:w="1107"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07A2810B">
            <w:pPr>
              <w:widowControl/>
              <w:shd w:val="clear" w:color="auto" w:fill="FFFFFF"/>
              <w:snapToGrid w:val="0"/>
              <w:spacing w:line="360" w:lineRule="auto"/>
              <w:jc w:val="center"/>
              <w:rPr>
                <w:rFonts w:ascii="宋体" w:hAnsi="宋体" w:eastAsia="宋体" w:cs="Arial"/>
                <w:kern w:val="0"/>
                <w:sz w:val="28"/>
                <w:szCs w:val="22"/>
              </w:rPr>
            </w:pPr>
            <w:r>
              <w:rPr>
                <w:rFonts w:ascii="宋体" w:hAnsi="宋体" w:eastAsia="宋体" w:cs="Arial"/>
                <w:kern w:val="0"/>
                <w:sz w:val="28"/>
                <w:szCs w:val="22"/>
              </w:rPr>
              <w:t>1</w:t>
            </w:r>
          </w:p>
        </w:tc>
        <w:tc>
          <w:tcPr>
            <w:tcW w:w="9217" w:type="dxa"/>
            <w:tcBorders>
              <w:top w:val="nil"/>
              <w:left w:val="nil"/>
              <w:bottom w:val="single" w:color="auto" w:sz="8" w:space="0"/>
              <w:right w:val="single" w:color="auto" w:sz="8" w:space="0"/>
            </w:tcBorders>
            <w:tcMar>
              <w:top w:w="0" w:type="dxa"/>
              <w:left w:w="28" w:type="dxa"/>
              <w:bottom w:w="0" w:type="dxa"/>
              <w:right w:w="28" w:type="dxa"/>
            </w:tcMar>
            <w:vAlign w:val="center"/>
          </w:tcPr>
          <w:p w14:paraId="2799A00D">
            <w:pPr>
              <w:widowControl/>
              <w:shd w:val="clear" w:color="auto" w:fill="FFFFFF"/>
              <w:snapToGrid w:val="0"/>
              <w:spacing w:line="360" w:lineRule="auto"/>
              <w:jc w:val="both"/>
              <w:rPr>
                <w:rFonts w:ascii="宋体" w:hAnsi="宋体" w:eastAsia="宋体" w:cs="Arial"/>
                <w:kern w:val="0"/>
                <w:sz w:val="28"/>
                <w:szCs w:val="22"/>
              </w:rPr>
            </w:pPr>
            <w:r>
              <w:rPr>
                <w:rFonts w:hint="eastAsia" w:ascii="宋体" w:hAnsi="宋体" w:eastAsia="宋体" w:cs="Arial"/>
                <w:kern w:val="0"/>
                <w:sz w:val="28"/>
                <w:szCs w:val="22"/>
              </w:rPr>
              <w:t>响应文件按照磋商文件规定要求签署、盖章的；</w:t>
            </w:r>
          </w:p>
        </w:tc>
      </w:tr>
      <w:tr w14:paraId="0E25CC3D">
        <w:tblPrEx>
          <w:tblCellMar>
            <w:top w:w="0" w:type="dxa"/>
            <w:left w:w="0" w:type="dxa"/>
            <w:bottom w:w="0" w:type="dxa"/>
            <w:right w:w="0" w:type="dxa"/>
          </w:tblCellMar>
        </w:tblPrEx>
        <w:trPr>
          <w:cantSplit/>
          <w:trHeight w:val="664" w:hRule="atLeast"/>
          <w:jc w:val="center"/>
        </w:trPr>
        <w:tc>
          <w:tcPr>
            <w:tcW w:w="1107"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1E16927E">
            <w:pPr>
              <w:widowControl/>
              <w:shd w:val="clear" w:color="auto" w:fill="FFFFFF"/>
              <w:snapToGrid w:val="0"/>
              <w:spacing w:line="360" w:lineRule="auto"/>
              <w:jc w:val="center"/>
              <w:rPr>
                <w:rFonts w:ascii="宋体" w:hAnsi="宋体" w:eastAsia="宋体" w:cs="Arial"/>
                <w:kern w:val="0"/>
                <w:sz w:val="28"/>
                <w:szCs w:val="22"/>
              </w:rPr>
            </w:pPr>
            <w:r>
              <w:rPr>
                <w:rFonts w:ascii="宋体" w:hAnsi="宋体" w:eastAsia="宋体" w:cs="Arial"/>
                <w:kern w:val="0"/>
                <w:sz w:val="28"/>
                <w:szCs w:val="22"/>
              </w:rPr>
              <w:t>2</w:t>
            </w:r>
          </w:p>
        </w:tc>
        <w:tc>
          <w:tcPr>
            <w:tcW w:w="9217" w:type="dxa"/>
            <w:tcBorders>
              <w:top w:val="nil"/>
              <w:left w:val="nil"/>
              <w:bottom w:val="single" w:color="auto" w:sz="8" w:space="0"/>
              <w:right w:val="single" w:color="auto" w:sz="8" w:space="0"/>
            </w:tcBorders>
            <w:tcMar>
              <w:top w:w="0" w:type="dxa"/>
              <w:left w:w="28" w:type="dxa"/>
              <w:bottom w:w="0" w:type="dxa"/>
              <w:right w:w="28" w:type="dxa"/>
            </w:tcMar>
            <w:vAlign w:val="center"/>
          </w:tcPr>
          <w:p w14:paraId="45C8E4D7">
            <w:pPr>
              <w:widowControl/>
              <w:shd w:val="clear" w:color="auto" w:fill="FFFFFF"/>
              <w:snapToGrid w:val="0"/>
              <w:spacing w:line="360" w:lineRule="auto"/>
              <w:jc w:val="both"/>
              <w:rPr>
                <w:rFonts w:ascii="宋体" w:hAnsi="宋体" w:eastAsia="宋体" w:cs="Arial"/>
                <w:kern w:val="0"/>
                <w:sz w:val="28"/>
                <w:szCs w:val="22"/>
              </w:rPr>
            </w:pPr>
            <w:r>
              <w:rPr>
                <w:rFonts w:hint="eastAsia" w:ascii="宋体" w:hAnsi="宋体" w:eastAsia="宋体" w:cs="Arial"/>
                <w:kern w:val="0"/>
                <w:sz w:val="28"/>
                <w:szCs w:val="22"/>
              </w:rPr>
              <w:t>按</w:t>
            </w:r>
            <w:r>
              <w:rPr>
                <w:rFonts w:hint="eastAsia" w:ascii="宋体" w:hAnsi="宋体" w:eastAsia="宋体" w:cs="Arial"/>
                <w:kern w:val="0"/>
                <w:sz w:val="28"/>
                <w:szCs w:val="22"/>
                <w:lang w:val="en-US" w:eastAsia="zh-CN"/>
              </w:rPr>
              <w:t>磋商文件</w:t>
            </w:r>
            <w:r>
              <w:rPr>
                <w:rFonts w:hint="eastAsia" w:ascii="宋体" w:hAnsi="宋体" w:eastAsia="宋体" w:cs="Arial"/>
                <w:kern w:val="0"/>
                <w:sz w:val="28"/>
                <w:szCs w:val="22"/>
              </w:rPr>
              <w:t>规定的格式填写，没有内容不全或关键字迹模糊、无法辨认的；</w:t>
            </w:r>
          </w:p>
        </w:tc>
      </w:tr>
      <w:tr w14:paraId="40AC6E31">
        <w:tblPrEx>
          <w:tblCellMar>
            <w:top w:w="0" w:type="dxa"/>
            <w:left w:w="0" w:type="dxa"/>
            <w:bottom w:w="0" w:type="dxa"/>
            <w:right w:w="0" w:type="dxa"/>
          </w:tblCellMar>
        </w:tblPrEx>
        <w:trPr>
          <w:cantSplit/>
          <w:trHeight w:val="677" w:hRule="atLeast"/>
          <w:jc w:val="center"/>
        </w:trPr>
        <w:tc>
          <w:tcPr>
            <w:tcW w:w="1107"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26BA514E">
            <w:pPr>
              <w:widowControl/>
              <w:shd w:val="clear" w:color="auto" w:fill="FFFFFF"/>
              <w:snapToGrid w:val="0"/>
              <w:spacing w:line="360" w:lineRule="auto"/>
              <w:jc w:val="center"/>
              <w:rPr>
                <w:rFonts w:hint="eastAsia" w:ascii="宋体" w:hAnsi="宋体" w:eastAsia="宋体" w:cs="Arial"/>
                <w:kern w:val="0"/>
                <w:sz w:val="28"/>
                <w:szCs w:val="22"/>
                <w:lang w:eastAsia="zh-CN"/>
              </w:rPr>
            </w:pPr>
            <w:r>
              <w:rPr>
                <w:rFonts w:hint="eastAsia" w:ascii="宋体" w:hAnsi="宋体" w:eastAsia="宋体" w:cs="Arial"/>
                <w:kern w:val="0"/>
                <w:sz w:val="28"/>
                <w:szCs w:val="22"/>
                <w:lang w:val="en-US" w:eastAsia="zh-CN"/>
              </w:rPr>
              <w:t>3</w:t>
            </w:r>
          </w:p>
        </w:tc>
        <w:tc>
          <w:tcPr>
            <w:tcW w:w="9217" w:type="dxa"/>
            <w:tcBorders>
              <w:top w:val="nil"/>
              <w:left w:val="nil"/>
              <w:bottom w:val="single" w:color="auto" w:sz="8" w:space="0"/>
              <w:right w:val="single" w:color="auto" w:sz="8" w:space="0"/>
            </w:tcBorders>
            <w:tcMar>
              <w:top w:w="0" w:type="dxa"/>
              <w:left w:w="28" w:type="dxa"/>
              <w:bottom w:w="0" w:type="dxa"/>
              <w:right w:w="28" w:type="dxa"/>
            </w:tcMar>
            <w:vAlign w:val="center"/>
          </w:tcPr>
          <w:p w14:paraId="48B63EAB">
            <w:pPr>
              <w:autoSpaceDE w:val="0"/>
              <w:autoSpaceDN w:val="0"/>
              <w:snapToGrid w:val="0"/>
              <w:spacing w:line="360" w:lineRule="auto"/>
              <w:jc w:val="both"/>
              <w:rPr>
                <w:rFonts w:ascii="宋体" w:hAnsi="宋体" w:eastAsia="宋体"/>
                <w:sz w:val="28"/>
                <w:szCs w:val="24"/>
              </w:rPr>
            </w:pPr>
            <w:r>
              <w:rPr>
                <w:rFonts w:hint="eastAsia" w:ascii="宋体" w:hAnsi="宋体" w:eastAsia="宋体"/>
                <w:sz w:val="28"/>
                <w:szCs w:val="24"/>
              </w:rPr>
              <w:t>按磋商文件规定的金额和办法缴纳了投标保证金</w:t>
            </w:r>
          </w:p>
        </w:tc>
      </w:tr>
      <w:tr w14:paraId="5F52157B">
        <w:tblPrEx>
          <w:tblCellMar>
            <w:top w:w="0" w:type="dxa"/>
            <w:left w:w="0" w:type="dxa"/>
            <w:bottom w:w="0" w:type="dxa"/>
            <w:right w:w="0" w:type="dxa"/>
          </w:tblCellMar>
        </w:tblPrEx>
        <w:trPr>
          <w:cantSplit/>
          <w:trHeight w:val="1022" w:hRule="atLeast"/>
          <w:jc w:val="center"/>
        </w:trPr>
        <w:tc>
          <w:tcPr>
            <w:tcW w:w="1107"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71A5DFFF">
            <w:pPr>
              <w:widowControl/>
              <w:shd w:val="clear" w:color="auto" w:fill="FFFFFF"/>
              <w:snapToGrid w:val="0"/>
              <w:spacing w:line="360" w:lineRule="auto"/>
              <w:jc w:val="center"/>
              <w:rPr>
                <w:rFonts w:hint="eastAsia" w:ascii="宋体" w:hAnsi="宋体" w:eastAsia="宋体" w:cs="Arial"/>
                <w:kern w:val="0"/>
                <w:sz w:val="28"/>
                <w:szCs w:val="22"/>
                <w:lang w:eastAsia="zh-CN"/>
              </w:rPr>
            </w:pPr>
            <w:r>
              <w:rPr>
                <w:rFonts w:hint="eastAsia" w:ascii="宋体" w:hAnsi="宋体" w:eastAsia="宋体" w:cs="Arial"/>
                <w:kern w:val="0"/>
                <w:sz w:val="28"/>
                <w:szCs w:val="22"/>
                <w:lang w:val="en-US" w:eastAsia="zh-CN"/>
              </w:rPr>
              <w:t>4</w:t>
            </w:r>
          </w:p>
        </w:tc>
        <w:tc>
          <w:tcPr>
            <w:tcW w:w="9217" w:type="dxa"/>
            <w:tcBorders>
              <w:top w:val="nil"/>
              <w:left w:val="nil"/>
              <w:bottom w:val="single" w:color="auto" w:sz="8" w:space="0"/>
              <w:right w:val="single" w:color="auto" w:sz="8" w:space="0"/>
            </w:tcBorders>
            <w:tcMar>
              <w:top w:w="0" w:type="dxa"/>
              <w:left w:w="28" w:type="dxa"/>
              <w:bottom w:w="0" w:type="dxa"/>
              <w:right w:w="28" w:type="dxa"/>
            </w:tcMar>
            <w:vAlign w:val="center"/>
          </w:tcPr>
          <w:p w14:paraId="65E44BC3">
            <w:pPr>
              <w:autoSpaceDE w:val="0"/>
              <w:autoSpaceDN w:val="0"/>
              <w:snapToGrid w:val="0"/>
              <w:spacing w:line="360" w:lineRule="auto"/>
              <w:jc w:val="both"/>
              <w:rPr>
                <w:rFonts w:hint="default"/>
                <w:sz w:val="22"/>
                <w:szCs w:val="24"/>
                <w:lang w:val="en-US" w:eastAsia="zh-CN"/>
              </w:rPr>
            </w:pPr>
            <w:r>
              <w:rPr>
                <w:rFonts w:hint="eastAsia" w:ascii="宋体" w:hAnsi="宋体" w:eastAsia="宋体"/>
                <w:sz w:val="28"/>
                <w:szCs w:val="24"/>
              </w:rPr>
              <w:t>响应报价：</w:t>
            </w:r>
            <w:r>
              <w:rPr>
                <w:rFonts w:hint="eastAsia" w:ascii="宋体" w:hAnsi="宋体"/>
                <w:sz w:val="28"/>
                <w:szCs w:val="24"/>
                <w:lang w:eastAsia="zh-CN"/>
              </w:rPr>
              <w:t>响应报价（单价及总价）均未超过预算金额及最高限价，且只有一个有效报价，不接受有选择性的报价。</w:t>
            </w:r>
          </w:p>
        </w:tc>
      </w:tr>
      <w:tr w14:paraId="134B02D7">
        <w:tblPrEx>
          <w:tblCellMar>
            <w:top w:w="0" w:type="dxa"/>
            <w:left w:w="0" w:type="dxa"/>
            <w:bottom w:w="0" w:type="dxa"/>
            <w:right w:w="0" w:type="dxa"/>
          </w:tblCellMar>
        </w:tblPrEx>
        <w:trPr>
          <w:cantSplit/>
          <w:trHeight w:val="731" w:hRule="atLeast"/>
          <w:jc w:val="center"/>
        </w:trPr>
        <w:tc>
          <w:tcPr>
            <w:tcW w:w="1107"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2B2EEF36">
            <w:pPr>
              <w:widowControl/>
              <w:shd w:val="clear" w:color="auto" w:fill="FFFFFF"/>
              <w:snapToGrid w:val="0"/>
              <w:spacing w:line="360" w:lineRule="auto"/>
              <w:jc w:val="center"/>
              <w:rPr>
                <w:rFonts w:hint="eastAsia" w:ascii="宋体" w:hAnsi="宋体" w:eastAsia="宋体" w:cs="Arial"/>
                <w:kern w:val="0"/>
                <w:sz w:val="28"/>
                <w:szCs w:val="22"/>
                <w:lang w:eastAsia="zh-CN"/>
              </w:rPr>
            </w:pPr>
            <w:r>
              <w:rPr>
                <w:rFonts w:hint="eastAsia" w:ascii="宋体" w:hAnsi="宋体" w:eastAsia="宋体" w:cs="Arial"/>
                <w:kern w:val="0"/>
                <w:sz w:val="28"/>
                <w:szCs w:val="22"/>
                <w:lang w:val="en-US" w:eastAsia="zh-CN"/>
              </w:rPr>
              <w:t>5</w:t>
            </w:r>
          </w:p>
        </w:tc>
        <w:tc>
          <w:tcPr>
            <w:tcW w:w="9217" w:type="dxa"/>
            <w:tcBorders>
              <w:top w:val="nil"/>
              <w:left w:val="nil"/>
              <w:bottom w:val="single" w:color="auto" w:sz="8" w:space="0"/>
              <w:right w:val="single" w:color="auto" w:sz="8" w:space="0"/>
            </w:tcBorders>
            <w:tcMar>
              <w:top w:w="0" w:type="dxa"/>
              <w:left w:w="28" w:type="dxa"/>
              <w:bottom w:w="0" w:type="dxa"/>
              <w:right w:w="28" w:type="dxa"/>
            </w:tcMar>
            <w:vAlign w:val="center"/>
          </w:tcPr>
          <w:p w14:paraId="61A5AB4A">
            <w:pPr>
              <w:autoSpaceDE w:val="0"/>
              <w:autoSpaceDN w:val="0"/>
              <w:snapToGrid w:val="0"/>
              <w:spacing w:line="360" w:lineRule="auto"/>
              <w:jc w:val="both"/>
              <w:rPr>
                <w:rFonts w:ascii="宋体" w:hAnsi="宋体" w:eastAsia="宋体"/>
                <w:sz w:val="28"/>
                <w:szCs w:val="24"/>
              </w:rPr>
            </w:pPr>
            <w:r>
              <w:rPr>
                <w:rFonts w:hint="eastAsia" w:ascii="宋体" w:hAnsi="宋体" w:eastAsia="宋体"/>
                <w:sz w:val="28"/>
                <w:szCs w:val="24"/>
              </w:rPr>
              <w:t>磋商有效期为报价截止日后的90天</w:t>
            </w:r>
          </w:p>
        </w:tc>
      </w:tr>
      <w:tr w14:paraId="6AC45C76">
        <w:tblPrEx>
          <w:tblCellMar>
            <w:top w:w="0" w:type="dxa"/>
            <w:left w:w="0" w:type="dxa"/>
            <w:bottom w:w="0" w:type="dxa"/>
            <w:right w:w="0" w:type="dxa"/>
          </w:tblCellMar>
        </w:tblPrEx>
        <w:trPr>
          <w:cantSplit/>
          <w:trHeight w:val="784" w:hRule="atLeast"/>
          <w:jc w:val="center"/>
        </w:trPr>
        <w:tc>
          <w:tcPr>
            <w:tcW w:w="1107"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524C092E">
            <w:pPr>
              <w:widowControl/>
              <w:shd w:val="clear" w:color="auto" w:fill="FFFFFF"/>
              <w:snapToGrid w:val="0"/>
              <w:spacing w:line="360" w:lineRule="auto"/>
              <w:jc w:val="center"/>
              <w:rPr>
                <w:rFonts w:hint="eastAsia" w:ascii="宋体" w:hAnsi="宋体" w:eastAsia="宋体" w:cs="Arial"/>
                <w:kern w:val="0"/>
                <w:sz w:val="28"/>
                <w:szCs w:val="22"/>
                <w:lang w:eastAsia="zh-CN"/>
              </w:rPr>
            </w:pPr>
            <w:r>
              <w:rPr>
                <w:rFonts w:hint="eastAsia" w:ascii="宋体" w:hAnsi="宋体" w:eastAsia="宋体" w:cs="Arial"/>
                <w:kern w:val="0"/>
                <w:sz w:val="28"/>
                <w:szCs w:val="22"/>
                <w:lang w:val="en-US" w:eastAsia="zh-CN"/>
              </w:rPr>
              <w:t>6</w:t>
            </w:r>
          </w:p>
        </w:tc>
        <w:tc>
          <w:tcPr>
            <w:tcW w:w="9217" w:type="dxa"/>
            <w:tcBorders>
              <w:top w:val="nil"/>
              <w:left w:val="nil"/>
              <w:bottom w:val="single" w:color="auto" w:sz="8" w:space="0"/>
              <w:right w:val="single" w:color="auto" w:sz="8" w:space="0"/>
            </w:tcBorders>
            <w:tcMar>
              <w:top w:w="0" w:type="dxa"/>
              <w:left w:w="28" w:type="dxa"/>
              <w:bottom w:w="0" w:type="dxa"/>
              <w:right w:w="28" w:type="dxa"/>
            </w:tcMar>
            <w:vAlign w:val="center"/>
          </w:tcPr>
          <w:p w14:paraId="1A43B1A8">
            <w:pPr>
              <w:widowControl/>
              <w:shd w:val="clear" w:color="auto" w:fill="FFFFFF"/>
              <w:snapToGrid w:val="0"/>
              <w:spacing w:line="360" w:lineRule="auto"/>
              <w:jc w:val="both"/>
              <w:rPr>
                <w:rFonts w:ascii="宋体" w:hAnsi="宋体" w:eastAsia="宋体" w:cs="Arial"/>
                <w:kern w:val="0"/>
                <w:sz w:val="28"/>
                <w:szCs w:val="22"/>
              </w:rPr>
            </w:pPr>
            <w:r>
              <w:rPr>
                <w:rFonts w:hint="eastAsia" w:ascii="宋体" w:hAnsi="宋体" w:eastAsia="宋体"/>
                <w:bCs/>
                <w:sz w:val="28"/>
                <w:szCs w:val="22"/>
                <w:lang w:val="en-US" w:eastAsia="zh-CN"/>
              </w:rPr>
              <w:t>符合磋商文件中规定的实质性要求</w:t>
            </w:r>
            <w:r>
              <w:rPr>
                <w:rFonts w:hint="eastAsia" w:ascii="宋体" w:hAnsi="宋体" w:eastAsia="宋体"/>
                <w:bCs/>
                <w:sz w:val="28"/>
                <w:szCs w:val="22"/>
              </w:rPr>
              <w:t>。</w:t>
            </w:r>
          </w:p>
        </w:tc>
      </w:tr>
      <w:tr w14:paraId="79728DAB">
        <w:tblPrEx>
          <w:tblCellMar>
            <w:top w:w="0" w:type="dxa"/>
            <w:left w:w="0" w:type="dxa"/>
            <w:bottom w:w="0" w:type="dxa"/>
            <w:right w:w="0" w:type="dxa"/>
          </w:tblCellMar>
        </w:tblPrEx>
        <w:trPr>
          <w:cantSplit/>
          <w:trHeight w:val="771" w:hRule="atLeast"/>
          <w:jc w:val="center"/>
        </w:trPr>
        <w:tc>
          <w:tcPr>
            <w:tcW w:w="1107"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60D96E6A">
            <w:pPr>
              <w:widowControl/>
              <w:shd w:val="clear" w:color="auto" w:fill="FFFFFF"/>
              <w:snapToGrid w:val="0"/>
              <w:spacing w:line="360" w:lineRule="auto"/>
              <w:jc w:val="center"/>
              <w:rPr>
                <w:rFonts w:hint="eastAsia" w:ascii="宋体" w:hAnsi="宋体" w:eastAsia="宋体" w:cs="Arial"/>
                <w:kern w:val="0"/>
                <w:sz w:val="28"/>
                <w:szCs w:val="22"/>
                <w:lang w:eastAsia="zh-CN"/>
              </w:rPr>
            </w:pPr>
            <w:r>
              <w:rPr>
                <w:rFonts w:hint="eastAsia" w:ascii="宋体" w:hAnsi="宋体" w:eastAsia="宋体" w:cs="Arial"/>
                <w:kern w:val="0"/>
                <w:sz w:val="28"/>
                <w:szCs w:val="22"/>
                <w:lang w:val="en-US" w:eastAsia="zh-CN"/>
              </w:rPr>
              <w:t>7</w:t>
            </w:r>
          </w:p>
        </w:tc>
        <w:tc>
          <w:tcPr>
            <w:tcW w:w="9217" w:type="dxa"/>
            <w:tcBorders>
              <w:top w:val="nil"/>
              <w:left w:val="nil"/>
              <w:bottom w:val="single" w:color="auto" w:sz="8" w:space="0"/>
              <w:right w:val="single" w:color="auto" w:sz="8" w:space="0"/>
            </w:tcBorders>
            <w:tcMar>
              <w:top w:w="0" w:type="dxa"/>
              <w:left w:w="28" w:type="dxa"/>
              <w:bottom w:w="0" w:type="dxa"/>
              <w:right w:w="28" w:type="dxa"/>
            </w:tcMar>
            <w:vAlign w:val="center"/>
          </w:tcPr>
          <w:p w14:paraId="3B672629">
            <w:pPr>
              <w:autoSpaceDE w:val="0"/>
              <w:autoSpaceDN w:val="0"/>
              <w:snapToGrid w:val="0"/>
              <w:spacing w:line="360" w:lineRule="auto"/>
              <w:jc w:val="both"/>
              <w:rPr>
                <w:rFonts w:ascii="宋体" w:hAnsi="宋体" w:eastAsia="宋体"/>
                <w:sz w:val="28"/>
                <w:szCs w:val="24"/>
              </w:rPr>
            </w:pPr>
            <w:r>
              <w:rPr>
                <w:rFonts w:hint="eastAsia" w:ascii="宋体" w:hAnsi="宋体" w:eastAsia="宋体"/>
                <w:sz w:val="28"/>
                <w:szCs w:val="24"/>
                <w:lang w:val="en-US" w:eastAsia="zh-CN"/>
              </w:rPr>
              <w:t>响应</w:t>
            </w:r>
            <w:r>
              <w:rPr>
                <w:rFonts w:hint="eastAsia" w:ascii="宋体" w:hAnsi="宋体" w:eastAsia="宋体"/>
                <w:sz w:val="28"/>
                <w:szCs w:val="24"/>
              </w:rPr>
              <w:t>文件中未附有</w:t>
            </w:r>
            <w:r>
              <w:rPr>
                <w:rFonts w:hint="eastAsia" w:ascii="宋体" w:hAnsi="宋体" w:eastAsia="宋体"/>
                <w:sz w:val="28"/>
                <w:szCs w:val="24"/>
                <w:lang w:val="en-US" w:eastAsia="zh-CN"/>
              </w:rPr>
              <w:t>采购</w:t>
            </w:r>
            <w:r>
              <w:rPr>
                <w:rFonts w:hint="eastAsia" w:ascii="宋体" w:hAnsi="宋体" w:eastAsia="宋体"/>
                <w:sz w:val="28"/>
                <w:szCs w:val="24"/>
              </w:rPr>
              <w:t>人不能接受的附加条件的；</w:t>
            </w:r>
          </w:p>
        </w:tc>
      </w:tr>
      <w:tr w14:paraId="53C3810F">
        <w:tblPrEx>
          <w:tblCellMar>
            <w:top w:w="0" w:type="dxa"/>
            <w:left w:w="0" w:type="dxa"/>
            <w:bottom w:w="0" w:type="dxa"/>
            <w:right w:w="0" w:type="dxa"/>
          </w:tblCellMar>
        </w:tblPrEx>
        <w:trPr>
          <w:cantSplit/>
          <w:trHeight w:val="20" w:hRule="atLeast"/>
          <w:jc w:val="center"/>
        </w:trPr>
        <w:tc>
          <w:tcPr>
            <w:tcW w:w="1107"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628EE113">
            <w:pPr>
              <w:widowControl/>
              <w:shd w:val="clear" w:color="auto" w:fill="FFFFFF"/>
              <w:snapToGrid w:val="0"/>
              <w:spacing w:line="360" w:lineRule="auto"/>
              <w:jc w:val="center"/>
              <w:rPr>
                <w:rFonts w:hint="default" w:ascii="宋体" w:hAnsi="宋体" w:eastAsia="宋体" w:cs="Arial"/>
                <w:kern w:val="0"/>
                <w:sz w:val="28"/>
                <w:szCs w:val="22"/>
                <w:lang w:val="en-US" w:eastAsia="zh-CN"/>
              </w:rPr>
            </w:pPr>
            <w:r>
              <w:rPr>
                <w:rFonts w:hint="eastAsia" w:ascii="宋体" w:hAnsi="宋体" w:eastAsia="宋体" w:cs="Arial"/>
                <w:kern w:val="0"/>
                <w:sz w:val="28"/>
                <w:szCs w:val="22"/>
                <w:lang w:val="en-US" w:eastAsia="zh-CN"/>
              </w:rPr>
              <w:t>8</w:t>
            </w:r>
          </w:p>
        </w:tc>
        <w:tc>
          <w:tcPr>
            <w:tcW w:w="9217" w:type="dxa"/>
            <w:tcBorders>
              <w:top w:val="nil"/>
              <w:left w:val="nil"/>
              <w:bottom w:val="single" w:color="auto" w:sz="8" w:space="0"/>
              <w:right w:val="single" w:color="auto" w:sz="8" w:space="0"/>
            </w:tcBorders>
            <w:tcMar>
              <w:top w:w="0" w:type="dxa"/>
              <w:left w:w="28" w:type="dxa"/>
              <w:bottom w:w="0" w:type="dxa"/>
              <w:right w:w="28" w:type="dxa"/>
            </w:tcMar>
            <w:vAlign w:val="center"/>
          </w:tcPr>
          <w:p w14:paraId="579CD0F2">
            <w:pPr>
              <w:autoSpaceDE w:val="0"/>
              <w:autoSpaceDN w:val="0"/>
              <w:snapToGrid w:val="0"/>
              <w:spacing w:line="360" w:lineRule="auto"/>
              <w:jc w:val="both"/>
              <w:rPr>
                <w:rFonts w:hint="eastAsia" w:ascii="宋体" w:hAnsi="宋体" w:eastAsia="宋体"/>
                <w:sz w:val="28"/>
                <w:szCs w:val="24"/>
                <w:lang w:eastAsia="zh-CN"/>
              </w:rPr>
            </w:pPr>
            <w:r>
              <w:rPr>
                <w:rFonts w:hint="eastAsia" w:ascii="宋体" w:hAnsi="宋体" w:eastAsia="宋体"/>
                <w:sz w:val="28"/>
                <w:szCs w:val="24"/>
              </w:rPr>
              <w:t>未存在按照法律、法规、规章和规范性文件规定的其他废标情形、响应文件中有关材料未存在虚作材料</w:t>
            </w:r>
            <w:r>
              <w:rPr>
                <w:rFonts w:hint="eastAsia" w:ascii="宋体" w:hAnsi="宋体" w:eastAsia="宋体"/>
                <w:sz w:val="28"/>
                <w:szCs w:val="24"/>
                <w:lang w:eastAsia="zh-CN"/>
              </w:rPr>
              <w:t>。</w:t>
            </w:r>
          </w:p>
        </w:tc>
      </w:tr>
      <w:tr w14:paraId="470ACDF0">
        <w:tblPrEx>
          <w:tblCellMar>
            <w:top w:w="0" w:type="dxa"/>
            <w:left w:w="0" w:type="dxa"/>
            <w:bottom w:w="0" w:type="dxa"/>
            <w:right w:w="0" w:type="dxa"/>
          </w:tblCellMar>
        </w:tblPrEx>
        <w:trPr>
          <w:cantSplit/>
          <w:trHeight w:val="20" w:hRule="atLeast"/>
          <w:jc w:val="center"/>
        </w:trPr>
        <w:tc>
          <w:tcPr>
            <w:tcW w:w="10324"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787BE557">
            <w:pPr>
              <w:widowControl/>
              <w:shd w:val="clear" w:color="auto" w:fill="FFFFFF"/>
              <w:snapToGrid w:val="0"/>
              <w:spacing w:line="360" w:lineRule="auto"/>
              <w:rPr>
                <w:rFonts w:ascii="宋体" w:hAnsi="宋体" w:eastAsia="宋体" w:cs="Arial"/>
                <w:kern w:val="0"/>
                <w:sz w:val="28"/>
                <w:szCs w:val="22"/>
              </w:rPr>
            </w:pPr>
            <w:r>
              <w:rPr>
                <w:rFonts w:hint="eastAsia" w:ascii="宋体" w:hAnsi="宋体" w:eastAsia="宋体" w:cs="Arial"/>
                <w:kern w:val="0"/>
                <w:sz w:val="28"/>
                <w:szCs w:val="22"/>
              </w:rPr>
              <w:t>备注：完备性及符合性审查中有一项不满足评审标准的，磋商小组将认定该供应商不通过商务标完备性及符合性审查，不得进入下一阶段评审。并且不允许供应商通过修改或撤销其不符合要求的差异或保留，使之成为具有响应性的投标。</w:t>
            </w:r>
          </w:p>
        </w:tc>
      </w:tr>
    </w:tbl>
    <w:p w14:paraId="5D4522D6">
      <w:pPr>
        <w:rPr>
          <w:rFonts w:hint="eastAsia" w:ascii="宋体" w:hAnsi="宋体" w:eastAsia="宋体" w:cs="宋体"/>
          <w:b/>
          <w:sz w:val="24"/>
          <w:szCs w:val="24"/>
        </w:rPr>
      </w:pPr>
      <w:bookmarkStart w:id="42" w:name="_Toc38196498"/>
      <w:r>
        <w:rPr>
          <w:rFonts w:hint="eastAsia" w:ascii="宋体" w:hAnsi="宋体" w:eastAsia="宋体" w:cs="宋体"/>
          <w:b/>
          <w:sz w:val="24"/>
          <w:szCs w:val="24"/>
        </w:rPr>
        <w:br w:type="page"/>
      </w:r>
    </w:p>
    <w:p w14:paraId="37882A01">
      <w:pPr>
        <w:tabs>
          <w:tab w:val="center" w:pos="4832"/>
          <w:tab w:val="left" w:pos="7140"/>
        </w:tabs>
        <w:spacing w:line="360" w:lineRule="auto"/>
        <w:jc w:val="center"/>
        <w:outlineLvl w:val="2"/>
        <w:rPr>
          <w:rFonts w:ascii="宋体" w:hAnsi="宋体" w:eastAsia="宋体" w:cs="宋体"/>
          <w:b/>
          <w:sz w:val="32"/>
          <w:szCs w:val="32"/>
        </w:rPr>
      </w:pPr>
      <w:bookmarkStart w:id="43" w:name="_Toc5982"/>
      <w:r>
        <w:rPr>
          <w:rFonts w:hint="eastAsia" w:ascii="宋体" w:hAnsi="宋体" w:eastAsia="宋体" w:cs="宋体"/>
          <w:b/>
          <w:sz w:val="32"/>
          <w:szCs w:val="32"/>
        </w:rPr>
        <w:t>《详细评审标准</w:t>
      </w:r>
      <w:bookmarkEnd w:id="42"/>
      <w:r>
        <w:rPr>
          <w:rFonts w:hint="eastAsia" w:ascii="宋体" w:hAnsi="宋体" w:eastAsia="宋体" w:cs="宋体"/>
          <w:b/>
          <w:sz w:val="32"/>
          <w:szCs w:val="32"/>
        </w:rPr>
        <w:t>》</w:t>
      </w:r>
      <w:bookmarkEnd w:id="43"/>
    </w:p>
    <w:tbl>
      <w:tblPr>
        <w:tblStyle w:val="37"/>
        <w:tblW w:w="546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7"/>
        <w:gridCol w:w="1522"/>
        <w:gridCol w:w="6908"/>
        <w:gridCol w:w="914"/>
      </w:tblGrid>
      <w:tr w14:paraId="1FB9F7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58" w:type="pct"/>
            <w:tcBorders>
              <w:tl2br w:val="nil"/>
              <w:tr2bl w:val="nil"/>
            </w:tcBorders>
            <w:noWrap/>
            <w:vAlign w:val="center"/>
          </w:tcPr>
          <w:p w14:paraId="01324516">
            <w:pPr>
              <w:spacing w:line="360" w:lineRule="auto"/>
              <w:jc w:val="center"/>
              <w:rPr>
                <w:rFonts w:ascii="宋体" w:hAnsi="宋体" w:eastAsia="宋体" w:cs="宋体"/>
                <w:sz w:val="24"/>
                <w:szCs w:val="24"/>
              </w:rPr>
            </w:pPr>
            <w:bookmarkStart w:id="44" w:name="_Toc38196500"/>
            <w:r>
              <w:rPr>
                <w:rFonts w:hint="eastAsia" w:ascii="宋体" w:hAnsi="宋体" w:eastAsia="宋体" w:cs="宋体"/>
                <w:sz w:val="24"/>
                <w:szCs w:val="24"/>
              </w:rPr>
              <w:t>评分项目</w:t>
            </w:r>
          </w:p>
        </w:tc>
        <w:tc>
          <w:tcPr>
            <w:tcW w:w="3916" w:type="pct"/>
            <w:gridSpan w:val="2"/>
            <w:tcBorders>
              <w:tl2br w:val="nil"/>
              <w:tr2bl w:val="nil"/>
            </w:tcBorders>
            <w:noWrap/>
            <w:vAlign w:val="center"/>
          </w:tcPr>
          <w:p w14:paraId="63D390B0">
            <w:pPr>
              <w:spacing w:line="360" w:lineRule="auto"/>
              <w:jc w:val="center"/>
              <w:rPr>
                <w:rFonts w:ascii="宋体" w:hAnsi="宋体" w:eastAsia="宋体" w:cs="宋体"/>
                <w:sz w:val="24"/>
                <w:szCs w:val="24"/>
              </w:rPr>
            </w:pPr>
            <w:r>
              <w:rPr>
                <w:rFonts w:hint="eastAsia" w:ascii="宋体" w:hAnsi="宋体" w:eastAsia="宋体" w:cs="宋体"/>
                <w:sz w:val="24"/>
                <w:szCs w:val="24"/>
              </w:rPr>
              <w:t>评分办法</w:t>
            </w:r>
          </w:p>
        </w:tc>
        <w:tc>
          <w:tcPr>
            <w:tcW w:w="424" w:type="pct"/>
            <w:tcBorders>
              <w:tl2br w:val="nil"/>
              <w:tr2bl w:val="nil"/>
            </w:tcBorders>
            <w:noWrap/>
            <w:vAlign w:val="center"/>
          </w:tcPr>
          <w:p w14:paraId="7D32B8F7">
            <w:pPr>
              <w:spacing w:line="360" w:lineRule="auto"/>
              <w:jc w:val="center"/>
              <w:rPr>
                <w:rFonts w:ascii="宋体" w:hAnsi="宋体" w:eastAsia="宋体" w:cs="宋体"/>
                <w:sz w:val="24"/>
                <w:szCs w:val="24"/>
              </w:rPr>
            </w:pPr>
            <w:r>
              <w:rPr>
                <w:rFonts w:hint="eastAsia" w:ascii="宋体" w:hAnsi="宋体" w:eastAsia="宋体" w:cs="宋体"/>
                <w:sz w:val="24"/>
                <w:szCs w:val="24"/>
              </w:rPr>
              <w:t>分值</w:t>
            </w:r>
          </w:p>
        </w:tc>
      </w:tr>
      <w:tr w14:paraId="6E623E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658" w:type="pct"/>
            <w:tcBorders>
              <w:tl2br w:val="nil"/>
              <w:tr2bl w:val="nil"/>
            </w:tcBorders>
            <w:noWrap/>
            <w:vAlign w:val="center"/>
          </w:tcPr>
          <w:p w14:paraId="3BD6DAB1">
            <w:pPr>
              <w:widowControl/>
              <w:shd w:val="clear" w:color="auto" w:fill="FFFFFF"/>
              <w:snapToGrid w:val="0"/>
              <w:spacing w:line="360" w:lineRule="auto"/>
              <w:jc w:val="center"/>
              <w:rPr>
                <w:rFonts w:ascii="宋体" w:hAnsi="宋体" w:eastAsia="宋体"/>
                <w:sz w:val="24"/>
                <w:szCs w:val="24"/>
              </w:rPr>
            </w:pPr>
            <w:r>
              <w:rPr>
                <w:rFonts w:hint="eastAsia" w:ascii="宋体" w:hAnsi="宋体" w:eastAsia="宋体"/>
                <w:sz w:val="24"/>
                <w:szCs w:val="24"/>
              </w:rPr>
              <w:t>报价</w:t>
            </w:r>
          </w:p>
          <w:p w14:paraId="12380F82">
            <w:pPr>
              <w:widowControl/>
              <w:shd w:val="clear" w:color="auto" w:fill="FFFFFF"/>
              <w:snapToGrid w:val="0"/>
              <w:spacing w:line="360" w:lineRule="auto"/>
              <w:jc w:val="center"/>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0分</w:t>
            </w:r>
          </w:p>
        </w:tc>
        <w:tc>
          <w:tcPr>
            <w:tcW w:w="3916" w:type="pct"/>
            <w:gridSpan w:val="2"/>
            <w:tcBorders>
              <w:tl2br w:val="nil"/>
              <w:tr2bl w:val="nil"/>
            </w:tcBorders>
            <w:noWrap/>
            <w:vAlign w:val="center"/>
          </w:tcPr>
          <w:p w14:paraId="35B7A9AA">
            <w:pPr>
              <w:widowControl/>
              <w:shd w:val="clear" w:color="auto" w:fill="FFFFFF"/>
              <w:snapToGrid w:val="0"/>
              <w:spacing w:line="360" w:lineRule="auto"/>
              <w:rPr>
                <w:rFonts w:ascii="宋体" w:hAnsi="宋体" w:eastAsia="宋体"/>
                <w:sz w:val="24"/>
                <w:szCs w:val="24"/>
              </w:rPr>
            </w:pPr>
            <w:r>
              <w:rPr>
                <w:rFonts w:hint="eastAsia" w:ascii="宋体" w:hAnsi="宋体" w:eastAsia="宋体"/>
                <w:sz w:val="24"/>
                <w:szCs w:val="24"/>
              </w:rPr>
              <w:t>价格分应当采用低价优先法计算，满足磋商文件要求且最终报价最低的</w:t>
            </w:r>
            <w:r>
              <w:rPr>
                <w:rFonts w:hint="eastAsia" w:ascii="宋体" w:hAnsi="宋体" w:eastAsia="宋体"/>
                <w:sz w:val="24"/>
                <w:szCs w:val="24"/>
                <w:lang w:eastAsia="zh-CN"/>
              </w:rPr>
              <w:t>（</w:t>
            </w:r>
            <w:r>
              <w:rPr>
                <w:rFonts w:hint="eastAsia" w:ascii="宋体" w:hAnsi="宋体" w:eastAsia="宋体"/>
                <w:sz w:val="24"/>
                <w:szCs w:val="24"/>
                <w:lang w:val="en-US" w:eastAsia="zh-CN"/>
              </w:rPr>
              <w:t>最终报价</w:t>
            </w:r>
            <w:r>
              <w:rPr>
                <w:rFonts w:hint="eastAsia" w:ascii="宋体" w:hAnsi="宋体" w:eastAsia="宋体"/>
                <w:sz w:val="24"/>
                <w:szCs w:val="24"/>
                <w:lang w:eastAsia="zh-CN"/>
              </w:rPr>
              <w:t>）</w:t>
            </w:r>
            <w:r>
              <w:rPr>
                <w:rFonts w:hint="eastAsia" w:ascii="宋体" w:hAnsi="宋体" w:eastAsia="宋体"/>
                <w:sz w:val="24"/>
                <w:szCs w:val="24"/>
              </w:rPr>
              <w:t>为评审基准价，其价格分为满分</w:t>
            </w:r>
            <w:r>
              <w:rPr>
                <w:rFonts w:hint="eastAsia" w:ascii="宋体" w:hAnsi="宋体" w:eastAsia="宋体"/>
                <w:sz w:val="24"/>
                <w:szCs w:val="24"/>
                <w:lang w:eastAsia="zh-CN"/>
              </w:rPr>
              <w:t>。其他供应商的价格分统一按照下列公式计算：</w:t>
            </w:r>
            <w:r>
              <w:rPr>
                <w:rFonts w:hint="eastAsia" w:ascii="宋体" w:hAnsi="宋体" w:eastAsia="宋体"/>
                <w:sz w:val="24"/>
                <w:szCs w:val="24"/>
              </w:rPr>
              <w:t>价格得分=（评审基准价/</w:t>
            </w:r>
            <w:r>
              <w:rPr>
                <w:rFonts w:hint="eastAsia" w:ascii="宋体" w:hAnsi="宋体" w:eastAsia="宋体"/>
                <w:sz w:val="24"/>
                <w:szCs w:val="24"/>
                <w:lang w:eastAsia="zh-CN"/>
              </w:rPr>
              <w:t>（</w:t>
            </w:r>
            <w:r>
              <w:rPr>
                <w:rFonts w:hint="eastAsia" w:ascii="宋体" w:hAnsi="宋体" w:eastAsia="宋体"/>
                <w:sz w:val="24"/>
                <w:szCs w:val="24"/>
                <w:lang w:val="en-US" w:eastAsia="zh-CN"/>
              </w:rPr>
              <w:t>最终报价</w:t>
            </w:r>
            <w:r>
              <w:rPr>
                <w:rFonts w:hint="eastAsia" w:ascii="宋体" w:hAnsi="宋体" w:eastAsia="宋体"/>
                <w:sz w:val="24"/>
                <w:szCs w:val="24"/>
                <w:lang w:eastAsia="zh-CN"/>
              </w:rPr>
              <w:t>）</w:t>
            </w:r>
            <w:r>
              <w:rPr>
                <w:rFonts w:hint="eastAsia" w:ascii="宋体" w:hAnsi="宋体" w:eastAsia="宋体"/>
                <w:sz w:val="24"/>
                <w:szCs w:val="24"/>
              </w:rPr>
              <w:t>）×价格分值</w:t>
            </w:r>
          </w:p>
          <w:p w14:paraId="466F555B">
            <w:pPr>
              <w:widowControl/>
              <w:shd w:val="clear" w:color="auto" w:fill="FFFFFF"/>
              <w:snapToGrid w:val="0"/>
              <w:spacing w:line="360" w:lineRule="auto"/>
              <w:rPr>
                <w:rFonts w:ascii="宋体" w:hAnsi="宋体" w:eastAsia="宋体"/>
                <w:sz w:val="24"/>
                <w:szCs w:val="24"/>
              </w:rPr>
            </w:pPr>
            <w:r>
              <w:rPr>
                <w:rFonts w:hint="eastAsia" w:ascii="宋体" w:hAnsi="宋体" w:eastAsia="宋体"/>
                <w:sz w:val="24"/>
                <w:szCs w:val="24"/>
              </w:rPr>
              <w:t>1.投标价格评分采用低价优先法计算；</w:t>
            </w:r>
            <w:bookmarkStart w:id="121" w:name="_GoBack"/>
            <w:bookmarkEnd w:id="121"/>
          </w:p>
          <w:p w14:paraId="6890F840">
            <w:pPr>
              <w:widowControl/>
              <w:shd w:val="clear" w:color="auto" w:fill="FFFFFF"/>
              <w:snapToGrid w:val="0"/>
              <w:spacing w:line="360" w:lineRule="auto"/>
              <w:rPr>
                <w:rFonts w:ascii="宋体" w:hAnsi="宋体" w:eastAsia="宋体"/>
                <w:sz w:val="24"/>
                <w:szCs w:val="24"/>
              </w:rPr>
            </w:pPr>
            <w:r>
              <w:rPr>
                <w:rFonts w:hint="eastAsia" w:ascii="宋体" w:hAnsi="宋体" w:eastAsia="宋体"/>
                <w:sz w:val="24"/>
                <w:szCs w:val="24"/>
              </w:rPr>
              <w:t>2.评标基准价：满足磋商文件要求且经修正，依据政府采购政策进行价格扣除后的最低报价为评标基准价（本项目为专门面向中小企业，不进行价格扣除）；</w:t>
            </w:r>
          </w:p>
        </w:tc>
        <w:tc>
          <w:tcPr>
            <w:tcW w:w="424" w:type="pct"/>
            <w:tcBorders>
              <w:tl2br w:val="nil"/>
              <w:tr2bl w:val="nil"/>
            </w:tcBorders>
            <w:noWrap/>
            <w:vAlign w:val="center"/>
          </w:tcPr>
          <w:p w14:paraId="386C1CEC">
            <w:pPr>
              <w:widowControl/>
              <w:shd w:val="clear" w:color="auto" w:fill="FFFFFF"/>
              <w:snapToGrid w:val="0"/>
              <w:spacing w:line="360" w:lineRule="auto"/>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0分</w:t>
            </w:r>
          </w:p>
        </w:tc>
      </w:tr>
      <w:tr w14:paraId="3AF9D1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0" w:hRule="atLeast"/>
          <w:jc w:val="center"/>
        </w:trPr>
        <w:tc>
          <w:tcPr>
            <w:tcW w:w="658" w:type="pct"/>
            <w:vMerge w:val="restart"/>
            <w:tcBorders>
              <w:tl2br w:val="nil"/>
              <w:tr2bl w:val="nil"/>
            </w:tcBorders>
            <w:noWrap/>
            <w:vAlign w:val="center"/>
          </w:tcPr>
          <w:p w14:paraId="4576FF0B">
            <w:pPr>
              <w:widowControl/>
              <w:shd w:val="clear" w:color="auto" w:fill="FFFFFF"/>
              <w:snapToGrid w:val="0"/>
              <w:spacing w:line="360" w:lineRule="auto"/>
              <w:jc w:val="center"/>
              <w:rPr>
                <w:rFonts w:hint="eastAsia" w:ascii="宋体" w:hAnsi="宋体" w:eastAsia="宋体"/>
                <w:sz w:val="24"/>
                <w:szCs w:val="24"/>
                <w:lang w:eastAsia="zh-CN"/>
              </w:rPr>
            </w:pPr>
            <w:r>
              <w:rPr>
                <w:rFonts w:hint="eastAsia" w:ascii="宋体" w:hAnsi="宋体" w:eastAsia="宋体"/>
                <w:sz w:val="24"/>
                <w:szCs w:val="24"/>
              </w:rPr>
              <w:t>商务</w:t>
            </w:r>
            <w:r>
              <w:rPr>
                <w:rFonts w:hint="eastAsia" w:ascii="宋体" w:hAnsi="宋体" w:eastAsia="宋体"/>
                <w:sz w:val="24"/>
                <w:szCs w:val="24"/>
                <w:lang w:eastAsia="zh-CN"/>
              </w:rPr>
              <w:t>、</w:t>
            </w:r>
          </w:p>
          <w:p w14:paraId="6C446E80">
            <w:pPr>
              <w:widowControl/>
              <w:shd w:val="clear" w:color="auto" w:fill="FFFFFF"/>
              <w:snapToGrid w:val="0"/>
              <w:spacing w:line="360" w:lineRule="auto"/>
              <w:jc w:val="center"/>
              <w:rPr>
                <w:rFonts w:ascii="宋体" w:hAnsi="宋体" w:eastAsia="宋体"/>
                <w:sz w:val="24"/>
                <w:szCs w:val="24"/>
              </w:rPr>
            </w:pPr>
            <w:r>
              <w:rPr>
                <w:rFonts w:hint="eastAsia" w:ascii="宋体" w:hAnsi="宋体" w:eastAsia="宋体"/>
                <w:sz w:val="24"/>
                <w:szCs w:val="24"/>
              </w:rPr>
              <w:t>技术部分</w:t>
            </w:r>
            <w:r>
              <w:rPr>
                <w:rFonts w:hint="eastAsia" w:ascii="宋体" w:hAnsi="宋体" w:eastAsia="宋体"/>
                <w:sz w:val="24"/>
                <w:szCs w:val="24"/>
                <w:lang w:val="en-US" w:eastAsia="zh-CN"/>
              </w:rPr>
              <w:t>7</w:t>
            </w:r>
            <w:r>
              <w:rPr>
                <w:rFonts w:ascii="宋体" w:hAnsi="宋体" w:eastAsia="宋体"/>
                <w:sz w:val="24"/>
                <w:szCs w:val="24"/>
              </w:rPr>
              <w:t>0</w:t>
            </w:r>
            <w:r>
              <w:rPr>
                <w:rFonts w:hint="eastAsia" w:ascii="宋体" w:hAnsi="宋体" w:eastAsia="宋体"/>
                <w:sz w:val="24"/>
                <w:szCs w:val="24"/>
              </w:rPr>
              <w:t>分</w:t>
            </w:r>
          </w:p>
        </w:tc>
        <w:tc>
          <w:tcPr>
            <w:tcW w:w="707" w:type="pct"/>
            <w:tcBorders>
              <w:tl2br w:val="nil"/>
              <w:tr2bl w:val="nil"/>
            </w:tcBorders>
            <w:noWrap/>
            <w:vAlign w:val="center"/>
          </w:tcPr>
          <w:p w14:paraId="2C9514AB">
            <w:pPr>
              <w:widowControl/>
              <w:shd w:val="clear" w:color="auto" w:fill="FFFFFF"/>
              <w:snapToGrid w:val="0"/>
              <w:spacing w:line="360" w:lineRule="auto"/>
              <w:rPr>
                <w:rFonts w:ascii="宋体" w:hAnsi="宋体" w:eastAsia="宋体"/>
                <w:sz w:val="24"/>
                <w:szCs w:val="24"/>
                <w:highlight w:val="none"/>
              </w:rPr>
            </w:pPr>
            <w:r>
              <w:rPr>
                <w:rFonts w:hint="eastAsia" w:ascii="宋体" w:hAnsi="宋体" w:eastAsia="宋体"/>
                <w:sz w:val="24"/>
                <w:szCs w:val="24"/>
                <w:highlight w:val="none"/>
              </w:rPr>
              <w:t>企业业绩</w:t>
            </w:r>
          </w:p>
        </w:tc>
        <w:tc>
          <w:tcPr>
            <w:tcW w:w="3209" w:type="pct"/>
            <w:tcBorders>
              <w:tl2br w:val="nil"/>
              <w:tr2bl w:val="nil"/>
            </w:tcBorders>
            <w:noWrap/>
            <w:vAlign w:val="center"/>
          </w:tcPr>
          <w:p w14:paraId="0DE447FE">
            <w:pPr>
              <w:widowControl/>
              <w:shd w:val="clear" w:color="auto" w:fill="FFFFFF"/>
              <w:snapToGrid w:val="0"/>
              <w:spacing w:line="360" w:lineRule="auto"/>
              <w:rPr>
                <w:rFonts w:hint="eastAsia" w:ascii="宋体" w:hAnsi="宋体" w:eastAsia="宋体"/>
                <w:sz w:val="24"/>
                <w:szCs w:val="24"/>
                <w:highlight w:val="none"/>
                <w:lang w:val="en-US" w:eastAsia="zh-CN"/>
              </w:rPr>
            </w:pPr>
            <w:r>
              <w:rPr>
                <w:rFonts w:hint="eastAsia" w:ascii="宋体" w:hAnsi="宋体" w:eastAsia="宋体"/>
                <w:sz w:val="24"/>
                <w:szCs w:val="24"/>
                <w:highlight w:val="none"/>
              </w:rPr>
              <w:t>供应商提供近三年（202</w:t>
            </w:r>
            <w:r>
              <w:rPr>
                <w:rFonts w:hint="eastAsia" w:ascii="宋体" w:hAnsi="宋体" w:eastAsia="宋体"/>
                <w:sz w:val="24"/>
                <w:szCs w:val="24"/>
                <w:highlight w:val="none"/>
                <w:lang w:val="en-US" w:eastAsia="zh-CN"/>
              </w:rPr>
              <w:t>2</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4</w:t>
            </w:r>
            <w:r>
              <w:rPr>
                <w:rFonts w:hint="eastAsia" w:ascii="宋体" w:hAnsi="宋体" w:eastAsia="宋体"/>
                <w:sz w:val="24"/>
                <w:szCs w:val="24"/>
                <w:highlight w:val="none"/>
              </w:rPr>
              <w:t>月至今）业绩以合同签订日期为准“承担过类似业绩”（类似业绩是指</w:t>
            </w:r>
            <w:r>
              <w:rPr>
                <w:rFonts w:hint="eastAsia" w:ascii="宋体" w:hAnsi="宋体" w:eastAsia="宋体"/>
                <w:sz w:val="24"/>
                <w:szCs w:val="24"/>
                <w:highlight w:val="none"/>
                <w:lang w:val="en-US" w:eastAsia="zh-CN"/>
              </w:rPr>
              <w:t>油烟机清洗服务类</w:t>
            </w:r>
            <w:r>
              <w:rPr>
                <w:rFonts w:hint="eastAsia" w:ascii="宋体" w:hAnsi="宋体" w:eastAsia="宋体"/>
                <w:sz w:val="24"/>
                <w:szCs w:val="24"/>
                <w:highlight w:val="none"/>
              </w:rPr>
              <w:t>）需提供合同</w:t>
            </w:r>
            <w:r>
              <w:rPr>
                <w:rFonts w:hint="eastAsia" w:ascii="宋体" w:hAnsi="宋体" w:eastAsia="宋体"/>
                <w:sz w:val="24"/>
                <w:szCs w:val="24"/>
                <w:highlight w:val="none"/>
                <w:lang w:val="en-US" w:eastAsia="zh-CN"/>
              </w:rPr>
              <w:t>及</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中标/成交</w:t>
            </w:r>
            <w:r>
              <w:rPr>
                <w:rFonts w:hint="eastAsia" w:ascii="宋体" w:hAnsi="宋体" w:eastAsia="宋体"/>
                <w:sz w:val="24"/>
                <w:szCs w:val="24"/>
                <w:highlight w:val="none"/>
                <w:lang w:eastAsia="zh-CN"/>
              </w:rPr>
              <w:t>）</w:t>
            </w:r>
            <w:r>
              <w:rPr>
                <w:rFonts w:hint="eastAsia" w:ascii="宋体" w:hAnsi="宋体" w:eastAsia="宋体"/>
                <w:sz w:val="24"/>
                <w:szCs w:val="24"/>
                <w:highlight w:val="none"/>
              </w:rPr>
              <w:t>通知书等</w:t>
            </w:r>
            <w:r>
              <w:rPr>
                <w:rFonts w:hint="eastAsia" w:ascii="宋体" w:hAnsi="宋体" w:eastAsia="宋体"/>
                <w:sz w:val="24"/>
                <w:szCs w:val="24"/>
                <w:highlight w:val="none"/>
                <w:lang w:val="en-US" w:eastAsia="zh-CN"/>
              </w:rPr>
              <w:t>扫描件</w:t>
            </w:r>
            <w:r>
              <w:rPr>
                <w:rFonts w:hint="eastAsia" w:ascii="宋体" w:hAnsi="宋体" w:eastAsia="宋体"/>
                <w:sz w:val="24"/>
                <w:szCs w:val="24"/>
                <w:highlight w:val="none"/>
              </w:rPr>
              <w:t>。每提供一项</w:t>
            </w:r>
            <w:r>
              <w:rPr>
                <w:rFonts w:hint="eastAsia" w:ascii="宋体" w:hAnsi="宋体" w:eastAsia="宋体"/>
                <w:sz w:val="24"/>
                <w:szCs w:val="24"/>
                <w:highlight w:val="none"/>
                <w:lang w:val="en-US" w:eastAsia="zh-CN"/>
              </w:rPr>
              <w:t>得3分，此项满分15分。</w:t>
            </w:r>
          </w:p>
          <w:p w14:paraId="2D658EFF">
            <w:pPr>
              <w:pStyle w:val="212"/>
              <w:rPr>
                <w:rFonts w:hint="default"/>
                <w:highlight w:val="none"/>
                <w:lang w:val="en-US" w:eastAsia="zh-CN"/>
              </w:rPr>
            </w:pPr>
            <w:r>
              <w:rPr>
                <w:rFonts w:hint="eastAsia" w:ascii="宋体" w:hAnsi="宋体" w:eastAsia="宋体" w:cs="宋体"/>
                <w:color w:val="auto"/>
                <w:kern w:val="2"/>
                <w:sz w:val="24"/>
                <w:szCs w:val="24"/>
                <w:highlight w:val="none"/>
                <w:lang w:val="en-US" w:eastAsia="zh-CN" w:bidi="ar-SA"/>
              </w:rPr>
              <w:t>注：未提供或证明资料不全的，无法清晰辨认的不得分</w:t>
            </w:r>
            <w:r>
              <w:rPr>
                <w:rFonts w:hint="eastAsia" w:ascii="宋体" w:hAnsi="宋体" w:cs="宋体"/>
                <w:color w:val="auto"/>
                <w:kern w:val="2"/>
                <w:sz w:val="24"/>
                <w:szCs w:val="24"/>
                <w:highlight w:val="none"/>
                <w:lang w:val="en-US" w:eastAsia="zh-CN" w:bidi="ar-SA"/>
              </w:rPr>
              <w:t>，同一年度的同一家单位的业绩只认可为1份。</w:t>
            </w:r>
          </w:p>
        </w:tc>
        <w:tc>
          <w:tcPr>
            <w:tcW w:w="424" w:type="pct"/>
            <w:tcBorders>
              <w:tl2br w:val="nil"/>
              <w:tr2bl w:val="nil"/>
            </w:tcBorders>
            <w:noWrap/>
            <w:vAlign w:val="center"/>
          </w:tcPr>
          <w:p w14:paraId="3F809552">
            <w:pPr>
              <w:widowControl/>
              <w:shd w:val="clear" w:color="auto" w:fill="FFFFFF"/>
              <w:snapToGrid w:val="0"/>
              <w:spacing w:line="360" w:lineRule="auto"/>
              <w:rPr>
                <w:rFonts w:ascii="宋体" w:hAnsi="宋体" w:eastAsia="宋体"/>
                <w:sz w:val="24"/>
                <w:szCs w:val="24"/>
                <w:highlight w:val="none"/>
              </w:rPr>
            </w:pPr>
            <w:r>
              <w:rPr>
                <w:rFonts w:ascii="宋体" w:hAnsi="宋体" w:eastAsia="宋体"/>
                <w:sz w:val="24"/>
                <w:szCs w:val="24"/>
                <w:highlight w:val="none"/>
              </w:rPr>
              <w:t>1</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分</w:t>
            </w:r>
          </w:p>
        </w:tc>
      </w:tr>
      <w:tr w14:paraId="0EF9EC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04" w:hRule="atLeast"/>
          <w:jc w:val="center"/>
        </w:trPr>
        <w:tc>
          <w:tcPr>
            <w:tcW w:w="658" w:type="pct"/>
            <w:vMerge w:val="continue"/>
            <w:tcBorders>
              <w:tl2br w:val="nil"/>
              <w:tr2bl w:val="nil"/>
            </w:tcBorders>
            <w:noWrap/>
            <w:vAlign w:val="center"/>
          </w:tcPr>
          <w:p w14:paraId="733C12C6">
            <w:pPr>
              <w:widowControl/>
              <w:shd w:val="clear" w:color="auto" w:fill="FFFFFF"/>
              <w:snapToGrid w:val="0"/>
              <w:spacing w:line="360" w:lineRule="auto"/>
              <w:jc w:val="center"/>
              <w:rPr>
                <w:rFonts w:ascii="宋体" w:hAnsi="宋体" w:eastAsia="宋体"/>
                <w:sz w:val="24"/>
                <w:szCs w:val="24"/>
              </w:rPr>
            </w:pPr>
          </w:p>
        </w:tc>
        <w:tc>
          <w:tcPr>
            <w:tcW w:w="707" w:type="pct"/>
            <w:tcBorders>
              <w:tl2br w:val="nil"/>
              <w:tr2bl w:val="nil"/>
            </w:tcBorders>
            <w:noWrap/>
            <w:vAlign w:val="center"/>
          </w:tcPr>
          <w:p w14:paraId="754055CE">
            <w:pPr>
              <w:widowControl/>
              <w:shd w:val="clear" w:color="auto" w:fill="FFFFFF"/>
              <w:snapToGri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lang w:val="en-US" w:eastAsia="zh-CN"/>
              </w:rPr>
              <w:t>企业资质</w:t>
            </w:r>
          </w:p>
        </w:tc>
        <w:tc>
          <w:tcPr>
            <w:tcW w:w="3209" w:type="pct"/>
            <w:tcBorders>
              <w:tl2br w:val="nil"/>
              <w:tr2bl w:val="nil"/>
            </w:tcBorders>
            <w:noWrap/>
            <w:vAlign w:val="center"/>
          </w:tcPr>
          <w:p w14:paraId="0032445B">
            <w:pPr>
              <w:widowControl/>
              <w:numPr>
                <w:ilvl w:val="0"/>
                <w:numId w:val="0"/>
              </w:numPr>
              <w:shd w:val="clear" w:color="auto" w:fill="FFFFFF"/>
              <w:snapToGrid w:val="0"/>
              <w:spacing w:line="360" w:lineRule="auto"/>
              <w:rPr>
                <w:rFonts w:hint="eastAsia" w:ascii="宋体" w:hAnsi="宋体" w:eastAsia="宋体"/>
                <w:sz w:val="24"/>
                <w:szCs w:val="24"/>
                <w:highlight w:val="none"/>
                <w:lang w:val="en-US" w:eastAsia="zh-CN"/>
              </w:rPr>
            </w:pPr>
            <w:r>
              <w:rPr>
                <w:rFonts w:hint="eastAsia" w:ascii="宋体" w:hAnsi="宋体" w:eastAsia="宋体" w:cstheme="minorBidi"/>
                <w:kern w:val="2"/>
                <w:sz w:val="24"/>
                <w:szCs w:val="24"/>
                <w:lang w:val="en-US" w:eastAsia="zh-CN" w:bidi="ar-SA"/>
              </w:rPr>
              <w:t>1、</w:t>
            </w:r>
            <w:r>
              <w:rPr>
                <w:rFonts w:hint="eastAsia" w:ascii="宋体" w:hAnsi="宋体" w:eastAsia="宋体"/>
                <w:sz w:val="24"/>
                <w:szCs w:val="24"/>
                <w:highlight w:val="none"/>
                <w:lang w:val="en-US" w:eastAsia="zh-CN"/>
              </w:rPr>
              <w:t>提供有效期内的质量管理体系认证证书的，得1分；</w:t>
            </w:r>
          </w:p>
          <w:p w14:paraId="2F7E16F2">
            <w:pPr>
              <w:widowControl/>
              <w:numPr>
                <w:ilvl w:val="0"/>
                <w:numId w:val="0"/>
              </w:numPr>
              <w:shd w:val="clear" w:color="auto" w:fill="FFFFFF"/>
              <w:snapToGrid w:val="0"/>
              <w:spacing w:line="360" w:lineRule="auto"/>
              <w:rPr>
                <w:rFonts w:hint="eastAsia" w:ascii="宋体" w:hAnsi="宋体" w:eastAsia="宋体"/>
                <w:sz w:val="24"/>
                <w:szCs w:val="24"/>
                <w:highlight w:val="none"/>
                <w:lang w:val="en-US" w:eastAsia="zh-CN"/>
              </w:rPr>
            </w:pPr>
            <w:r>
              <w:rPr>
                <w:rFonts w:hint="eastAsia" w:ascii="宋体" w:hAnsi="宋体" w:eastAsia="宋体" w:cstheme="minorBidi"/>
                <w:kern w:val="2"/>
                <w:sz w:val="24"/>
                <w:szCs w:val="24"/>
                <w:lang w:val="en-US" w:eastAsia="zh-CN" w:bidi="ar-SA"/>
              </w:rPr>
              <w:t>2、</w:t>
            </w:r>
            <w:r>
              <w:rPr>
                <w:rFonts w:hint="eastAsia" w:ascii="宋体" w:hAnsi="宋体" w:eastAsia="宋体"/>
                <w:sz w:val="24"/>
                <w:szCs w:val="24"/>
                <w:highlight w:val="none"/>
                <w:lang w:val="en-US" w:eastAsia="zh-CN"/>
              </w:rPr>
              <w:t>提供有效期内环境管理体系认证证书的，得1分；</w:t>
            </w:r>
          </w:p>
          <w:p w14:paraId="23A9D8FE">
            <w:pPr>
              <w:widowControl/>
              <w:numPr>
                <w:ilvl w:val="0"/>
                <w:numId w:val="0"/>
              </w:numPr>
              <w:shd w:val="clear" w:color="auto" w:fill="FFFFFF"/>
              <w:snapToGrid w:val="0"/>
              <w:spacing w:line="360" w:lineRule="auto"/>
              <w:rPr>
                <w:rFonts w:hint="eastAsia" w:ascii="宋体" w:hAnsi="宋体" w:eastAsia="宋体"/>
                <w:sz w:val="24"/>
                <w:szCs w:val="24"/>
                <w:highlight w:val="none"/>
                <w:lang w:val="en-US" w:eastAsia="zh-CN"/>
              </w:rPr>
            </w:pPr>
            <w:r>
              <w:rPr>
                <w:rFonts w:hint="eastAsia" w:ascii="宋体" w:hAnsi="宋体" w:eastAsia="宋体" w:cstheme="minorBidi"/>
                <w:kern w:val="2"/>
                <w:sz w:val="24"/>
                <w:szCs w:val="24"/>
                <w:lang w:val="en-US" w:eastAsia="zh-CN" w:bidi="ar-SA"/>
              </w:rPr>
              <w:t>3、</w:t>
            </w:r>
            <w:r>
              <w:rPr>
                <w:rFonts w:hint="eastAsia" w:ascii="宋体" w:hAnsi="宋体" w:eastAsia="宋体"/>
                <w:sz w:val="24"/>
                <w:szCs w:val="24"/>
                <w:highlight w:val="none"/>
                <w:lang w:val="en-US" w:eastAsia="zh-CN"/>
              </w:rPr>
              <w:t>提供有效期内职业健康安全管理体系认证证书的，得1分；</w:t>
            </w:r>
          </w:p>
          <w:p w14:paraId="4D3E65DE">
            <w:pPr>
              <w:widowControl/>
              <w:numPr>
                <w:ilvl w:val="0"/>
                <w:numId w:val="0"/>
              </w:numPr>
              <w:shd w:val="clear" w:color="auto" w:fill="FFFFFF"/>
              <w:snapToGrid w:val="0"/>
              <w:spacing w:line="360" w:lineRule="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注：相关证明材料提供不齐全、不清晰、未提供的、有错误的，不纳入评分。认证证书已失效、撤销、暂停的均不得分。</w:t>
            </w:r>
          </w:p>
        </w:tc>
        <w:tc>
          <w:tcPr>
            <w:tcW w:w="424" w:type="pct"/>
            <w:tcBorders>
              <w:tl2br w:val="nil"/>
              <w:tr2bl w:val="nil"/>
            </w:tcBorders>
            <w:noWrap/>
            <w:vAlign w:val="center"/>
          </w:tcPr>
          <w:p w14:paraId="1E5C2501">
            <w:pPr>
              <w:widowControl/>
              <w:shd w:val="clear" w:color="auto" w:fill="FFFFFF"/>
              <w:snapToGrid w:val="0"/>
              <w:spacing w:line="360" w:lineRule="auto"/>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3分</w:t>
            </w:r>
          </w:p>
        </w:tc>
      </w:tr>
      <w:tr w14:paraId="137A25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04" w:hRule="atLeast"/>
          <w:jc w:val="center"/>
        </w:trPr>
        <w:tc>
          <w:tcPr>
            <w:tcW w:w="658" w:type="pct"/>
            <w:vMerge w:val="continue"/>
            <w:tcBorders>
              <w:tl2br w:val="nil"/>
              <w:tr2bl w:val="nil"/>
            </w:tcBorders>
            <w:noWrap/>
            <w:vAlign w:val="center"/>
          </w:tcPr>
          <w:p w14:paraId="04939DA4">
            <w:pPr>
              <w:widowControl/>
              <w:shd w:val="clear" w:color="auto" w:fill="FFFFFF"/>
              <w:snapToGrid w:val="0"/>
              <w:spacing w:line="360" w:lineRule="auto"/>
              <w:jc w:val="center"/>
              <w:rPr>
                <w:rFonts w:ascii="宋体" w:hAnsi="宋体" w:eastAsia="宋体"/>
                <w:sz w:val="24"/>
                <w:szCs w:val="24"/>
              </w:rPr>
            </w:pPr>
          </w:p>
        </w:tc>
        <w:tc>
          <w:tcPr>
            <w:tcW w:w="707" w:type="pct"/>
            <w:tcBorders>
              <w:tl2br w:val="nil"/>
              <w:tr2bl w:val="nil"/>
            </w:tcBorders>
            <w:noWrap/>
            <w:vAlign w:val="center"/>
          </w:tcPr>
          <w:p w14:paraId="43616FC4">
            <w:pPr>
              <w:widowControl/>
              <w:kinsoku/>
              <w:overflowPunct/>
              <w:bidi w:val="0"/>
              <w:spacing w:line="360" w:lineRule="auto"/>
              <w:jc w:val="center"/>
              <w:rPr>
                <w:rFonts w:hint="eastAsia" w:ascii="宋体" w:hAnsi="宋体" w:eastAsia="宋体"/>
                <w:sz w:val="24"/>
                <w:szCs w:val="24"/>
                <w:highlight w:val="none"/>
                <w:lang w:val="en-US" w:eastAsia="zh-CN"/>
              </w:rPr>
            </w:pPr>
            <w:r>
              <w:rPr>
                <w:rFonts w:hint="eastAsia" w:ascii="宋体" w:hAnsi="宋体" w:eastAsia="宋体" w:cs="宋体"/>
                <w:sz w:val="24"/>
                <w:highlight w:val="none"/>
                <w:lang w:val="en-US" w:eastAsia="zh-CN"/>
              </w:rPr>
              <w:t>人员配备</w:t>
            </w:r>
          </w:p>
        </w:tc>
        <w:tc>
          <w:tcPr>
            <w:tcW w:w="3209" w:type="pct"/>
            <w:tcBorders>
              <w:tl2br w:val="nil"/>
              <w:tr2bl w:val="nil"/>
            </w:tcBorders>
            <w:noWrap/>
            <w:vAlign w:val="center"/>
          </w:tcPr>
          <w:p w14:paraId="115B57CC">
            <w:pPr>
              <w:widowControl/>
              <w:numPr>
                <w:ilvl w:val="0"/>
                <w:numId w:val="0"/>
              </w:numPr>
              <w:shd w:val="clear" w:color="auto" w:fill="FFFFFF"/>
              <w:snapToGrid w:val="0"/>
              <w:spacing w:line="360" w:lineRule="auto"/>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考察供应商为拟投入本项目的清洗服务人员配置情况。在满足基本要求（基础配置2人）的基础上每增加1人得2.5分，人员须同时具备（高空作业证及有限空间作业证），不满足基本配置不得分。此项满分10分。</w:t>
            </w:r>
          </w:p>
          <w:p w14:paraId="5D56064A">
            <w:pPr>
              <w:widowControl/>
              <w:numPr>
                <w:ilvl w:val="0"/>
                <w:numId w:val="0"/>
              </w:numPr>
              <w:shd w:val="clear" w:color="auto" w:fill="FFFFFF"/>
              <w:snapToGrid w:val="0"/>
              <w:spacing w:line="360" w:lineRule="auto"/>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并提供①人员清单（清单中包含人员姓名、联系方式）；②人员身份证扫描件；③有效的资格证书；④有效期内的劳动合同或近3个月内任意一个月的社保证明材料。；⑤为拟派人员购买高危职业保险，提供有效期的保单扫描件。</w:t>
            </w:r>
          </w:p>
          <w:p w14:paraId="2144E712">
            <w:pPr>
              <w:widowControl/>
              <w:numPr>
                <w:ilvl w:val="0"/>
                <w:numId w:val="0"/>
              </w:numPr>
              <w:shd w:val="clear" w:color="auto" w:fill="FFFFFF"/>
              <w:snapToGrid w:val="0"/>
              <w:spacing w:line="360" w:lineRule="auto"/>
              <w:ind w:left="0" w:leftChars="0" w:firstLine="0" w:firstLineChars="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注：未提供或证明资料不全的，无法清晰辨认的不得分。</w:t>
            </w:r>
          </w:p>
        </w:tc>
        <w:tc>
          <w:tcPr>
            <w:tcW w:w="424" w:type="pct"/>
            <w:tcBorders>
              <w:tl2br w:val="nil"/>
              <w:tr2bl w:val="nil"/>
            </w:tcBorders>
            <w:noWrap/>
            <w:vAlign w:val="center"/>
          </w:tcPr>
          <w:p w14:paraId="248789F1">
            <w:pPr>
              <w:widowControl/>
              <w:shd w:val="clear" w:color="auto" w:fill="FFFFFF"/>
              <w:snapToGrid w:val="0"/>
              <w:spacing w:line="360" w:lineRule="auto"/>
              <w:rPr>
                <w:rFonts w:hint="default" w:ascii="宋体" w:hAnsi="宋体" w:eastAsia="宋体"/>
                <w:sz w:val="24"/>
                <w:szCs w:val="24"/>
                <w:highlight w:val="none"/>
                <w:lang w:val="en-US"/>
              </w:rPr>
            </w:pPr>
            <w:r>
              <w:rPr>
                <w:rFonts w:hint="eastAsia" w:ascii="宋体" w:hAnsi="宋体" w:eastAsia="宋体"/>
                <w:sz w:val="24"/>
                <w:szCs w:val="24"/>
                <w:highlight w:val="none"/>
                <w:lang w:val="en-US" w:eastAsia="zh-CN"/>
              </w:rPr>
              <w:t>10分</w:t>
            </w:r>
          </w:p>
        </w:tc>
      </w:tr>
      <w:tr w14:paraId="72B378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5" w:hRule="atLeast"/>
          <w:jc w:val="center"/>
        </w:trPr>
        <w:tc>
          <w:tcPr>
            <w:tcW w:w="658" w:type="pct"/>
            <w:vMerge w:val="continue"/>
            <w:tcBorders>
              <w:tl2br w:val="nil"/>
              <w:tr2bl w:val="nil"/>
            </w:tcBorders>
            <w:noWrap/>
            <w:vAlign w:val="center"/>
          </w:tcPr>
          <w:p w14:paraId="214AD5F0">
            <w:pPr>
              <w:widowControl/>
              <w:shd w:val="clear" w:color="auto" w:fill="FFFFFF"/>
              <w:snapToGrid w:val="0"/>
              <w:spacing w:line="360" w:lineRule="auto"/>
              <w:jc w:val="center"/>
              <w:rPr>
                <w:rFonts w:ascii="宋体" w:hAnsi="宋体" w:eastAsia="宋体"/>
                <w:sz w:val="24"/>
                <w:szCs w:val="24"/>
              </w:rPr>
            </w:pPr>
          </w:p>
        </w:tc>
        <w:tc>
          <w:tcPr>
            <w:tcW w:w="707" w:type="pct"/>
            <w:tcBorders>
              <w:tl2br w:val="nil"/>
              <w:tr2bl w:val="nil"/>
            </w:tcBorders>
            <w:noWrap/>
            <w:vAlign w:val="center"/>
          </w:tcPr>
          <w:p w14:paraId="43254F45">
            <w:pPr>
              <w:widowControl/>
              <w:kinsoku/>
              <w:overflowPunct/>
              <w:bidi w:val="0"/>
              <w:spacing w:line="360" w:lineRule="auto"/>
              <w:jc w:val="center"/>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工器具</w:t>
            </w:r>
          </w:p>
        </w:tc>
        <w:tc>
          <w:tcPr>
            <w:tcW w:w="3209" w:type="pct"/>
            <w:tcBorders>
              <w:tl2br w:val="nil"/>
              <w:tr2bl w:val="nil"/>
            </w:tcBorders>
            <w:noWrap/>
            <w:vAlign w:val="center"/>
          </w:tcPr>
          <w:p w14:paraId="2916208A">
            <w:pPr>
              <w:widowControl/>
              <w:numPr>
                <w:ilvl w:val="0"/>
                <w:numId w:val="0"/>
              </w:numPr>
              <w:shd w:val="clear" w:color="auto" w:fill="FFFFFF"/>
              <w:snapToGrid w:val="0"/>
              <w:spacing w:line="360" w:lineRule="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考察供应商为拟投入本项目的工器具情况。拟投入本项目的工器具包含但不限于以下内容：</w:t>
            </w:r>
          </w:p>
          <w:p w14:paraId="3A6F85F0">
            <w:pPr>
              <w:widowControl/>
              <w:numPr>
                <w:ilvl w:val="0"/>
                <w:numId w:val="0"/>
              </w:numPr>
              <w:shd w:val="clear" w:color="auto" w:fill="FFFFFF"/>
              <w:snapToGrid w:val="0"/>
              <w:spacing w:line="360" w:lineRule="auto"/>
              <w:rPr>
                <w:rFonts w:hint="eastAsia" w:ascii="宋体" w:hAnsi="宋体" w:eastAsia="宋体"/>
                <w:sz w:val="24"/>
                <w:szCs w:val="24"/>
                <w:highlight w:val="none"/>
                <w:lang w:val="en-US" w:eastAsia="zh-CN"/>
              </w:rPr>
            </w:pPr>
            <w:r>
              <w:rPr>
                <w:rFonts w:hint="eastAsia" w:ascii="宋体" w:hAnsi="宋体" w:eastAsia="宋体" w:cstheme="minorBidi"/>
                <w:kern w:val="2"/>
                <w:sz w:val="24"/>
                <w:szCs w:val="24"/>
                <w:lang w:val="en-US" w:eastAsia="zh-CN" w:bidi="ar-SA"/>
              </w:rPr>
              <w:t>1、</w:t>
            </w:r>
            <w:r>
              <w:rPr>
                <w:rFonts w:hint="eastAsia" w:ascii="宋体" w:hAnsi="宋体" w:eastAsia="宋体"/>
                <w:sz w:val="24"/>
                <w:szCs w:val="24"/>
                <w:highlight w:val="none"/>
                <w:lang w:val="en-US" w:eastAsia="zh-CN"/>
              </w:rPr>
              <w:t>管道机器人；2、高压蒸汽清洁机；3、高温蒸汽清洁机；4、防护用品（手套、眼镜、口罩）；5、清洁药剂（严禁使用PH大于12的碱性药剂），须提供证明材料。</w:t>
            </w:r>
          </w:p>
          <w:p w14:paraId="3DCBF7A1">
            <w:pPr>
              <w:widowControl/>
              <w:numPr>
                <w:ilvl w:val="0"/>
                <w:numId w:val="0"/>
              </w:numPr>
              <w:shd w:val="clear" w:color="auto" w:fill="FFFFFF"/>
              <w:snapToGrid w:val="0"/>
              <w:spacing w:line="360" w:lineRule="auto"/>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共计5项全部提供得满分14分；提供4项内容得10分；提供3项得7分；提供2项得4分；提供1项得1分。</w:t>
            </w:r>
          </w:p>
          <w:p w14:paraId="49F31ED3">
            <w:pPr>
              <w:widowControl/>
              <w:numPr>
                <w:ilvl w:val="0"/>
                <w:numId w:val="0"/>
              </w:numPr>
              <w:shd w:val="clear" w:color="auto" w:fill="FFFFFF"/>
              <w:snapToGrid w:val="0"/>
              <w:spacing w:line="360" w:lineRule="auto"/>
              <w:jc w:val="both"/>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证明材料要求：提供①、工器具清单（清单须包含设备名称、型号、数量等）；②工器具图片（每类最少一张）；③工器具若为自有须提供购置凭证；若为租赁须提供有效的租赁合同。</w:t>
            </w:r>
          </w:p>
          <w:p w14:paraId="2A2113F3">
            <w:pPr>
              <w:widowControl/>
              <w:numPr>
                <w:ilvl w:val="0"/>
                <w:numId w:val="0"/>
              </w:numPr>
              <w:shd w:val="clear" w:color="auto" w:fill="FFFFFF"/>
              <w:snapToGrid w:val="0"/>
              <w:spacing w:line="360" w:lineRule="auto"/>
              <w:jc w:val="both"/>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注：未提供或证明资料不全的，无法清晰辨认的不得分。</w:t>
            </w:r>
          </w:p>
        </w:tc>
        <w:tc>
          <w:tcPr>
            <w:tcW w:w="424" w:type="pct"/>
            <w:tcBorders>
              <w:tl2br w:val="nil"/>
              <w:tr2bl w:val="nil"/>
            </w:tcBorders>
            <w:noWrap/>
            <w:vAlign w:val="center"/>
          </w:tcPr>
          <w:p w14:paraId="6807B489">
            <w:pPr>
              <w:widowControl/>
              <w:shd w:val="clear" w:color="auto" w:fill="FFFFFF"/>
              <w:snapToGrid w:val="0"/>
              <w:spacing w:line="360" w:lineRule="auto"/>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14分</w:t>
            </w:r>
          </w:p>
        </w:tc>
      </w:tr>
      <w:tr w14:paraId="355D45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5" w:hRule="atLeast"/>
          <w:jc w:val="center"/>
        </w:trPr>
        <w:tc>
          <w:tcPr>
            <w:tcW w:w="658" w:type="pct"/>
            <w:vMerge w:val="continue"/>
            <w:tcBorders>
              <w:tl2br w:val="nil"/>
              <w:tr2bl w:val="nil"/>
            </w:tcBorders>
            <w:noWrap/>
            <w:vAlign w:val="center"/>
          </w:tcPr>
          <w:p w14:paraId="1F378B05">
            <w:pPr>
              <w:widowControl/>
              <w:shd w:val="clear" w:color="auto" w:fill="FFFFFF"/>
              <w:snapToGrid w:val="0"/>
              <w:spacing w:line="360" w:lineRule="auto"/>
              <w:jc w:val="center"/>
              <w:rPr>
                <w:rFonts w:ascii="宋体" w:hAnsi="宋体" w:eastAsia="宋体"/>
                <w:sz w:val="24"/>
                <w:szCs w:val="24"/>
              </w:rPr>
            </w:pPr>
          </w:p>
        </w:tc>
        <w:tc>
          <w:tcPr>
            <w:tcW w:w="707" w:type="pct"/>
            <w:tcBorders>
              <w:tl2br w:val="nil"/>
              <w:tr2bl w:val="nil"/>
            </w:tcBorders>
            <w:noWrap/>
            <w:vAlign w:val="center"/>
          </w:tcPr>
          <w:p w14:paraId="52A72D62">
            <w:pPr>
              <w:widowControl/>
              <w:kinsoku/>
              <w:overflowPunct/>
              <w:bidi w:val="0"/>
              <w:spacing w:line="360" w:lineRule="auto"/>
              <w:jc w:val="center"/>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服务方案</w:t>
            </w:r>
          </w:p>
        </w:tc>
        <w:tc>
          <w:tcPr>
            <w:tcW w:w="3209" w:type="pct"/>
            <w:tcBorders>
              <w:tl2br w:val="nil"/>
              <w:tr2bl w:val="nil"/>
            </w:tcBorders>
            <w:noWrap/>
            <w:vAlign w:val="center"/>
          </w:tcPr>
          <w:p w14:paraId="06B02902">
            <w:pPr>
              <w:widowControl/>
              <w:numPr>
                <w:ilvl w:val="0"/>
                <w:numId w:val="0"/>
              </w:numPr>
              <w:shd w:val="clear" w:color="auto" w:fill="FFFFFF"/>
              <w:snapToGrid w:val="0"/>
              <w:spacing w:line="360" w:lineRule="auto"/>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供应商</w:t>
            </w:r>
            <w:r>
              <w:rPr>
                <w:rFonts w:hint="default" w:ascii="宋体" w:hAnsi="宋体" w:eastAsia="宋体"/>
                <w:sz w:val="24"/>
                <w:szCs w:val="24"/>
                <w:highlight w:val="none"/>
                <w:lang w:val="en-US" w:eastAsia="zh-CN"/>
              </w:rPr>
              <w:t>根据本项目特点，提供项目服务方案，包含但不限于以下内容：</w:t>
            </w:r>
          </w:p>
          <w:p w14:paraId="4DC97899">
            <w:pPr>
              <w:widowControl/>
              <w:numPr>
                <w:ilvl w:val="0"/>
                <w:numId w:val="0"/>
              </w:numPr>
              <w:shd w:val="clear" w:color="auto" w:fill="FFFFFF"/>
              <w:snapToGrid w:val="0"/>
              <w:spacing w:line="360" w:lineRule="auto"/>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1.</w:t>
            </w:r>
            <w:r>
              <w:rPr>
                <w:rFonts w:hint="eastAsia" w:ascii="宋体" w:hAnsi="宋体" w:eastAsia="宋体"/>
                <w:sz w:val="24"/>
                <w:szCs w:val="24"/>
                <w:highlight w:val="none"/>
                <w:lang w:val="en-US" w:eastAsia="zh-CN"/>
              </w:rPr>
              <w:t>服务方案及计划（提供服务流程图）</w:t>
            </w:r>
            <w:r>
              <w:rPr>
                <w:rFonts w:hint="default" w:ascii="宋体" w:hAnsi="宋体" w:eastAsia="宋体"/>
                <w:sz w:val="24"/>
                <w:szCs w:val="24"/>
                <w:highlight w:val="none"/>
                <w:lang w:val="en-US" w:eastAsia="zh-CN"/>
              </w:rPr>
              <w:t>。</w:t>
            </w:r>
          </w:p>
          <w:p w14:paraId="0B343CCD">
            <w:pPr>
              <w:widowControl/>
              <w:numPr>
                <w:ilvl w:val="0"/>
                <w:numId w:val="0"/>
              </w:numPr>
              <w:shd w:val="clear" w:color="auto" w:fill="FFFFFF"/>
              <w:snapToGrid w:val="0"/>
              <w:spacing w:line="360" w:lineRule="auto"/>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2.</w:t>
            </w:r>
            <w:r>
              <w:rPr>
                <w:rFonts w:hint="eastAsia" w:ascii="宋体" w:hAnsi="宋体" w:eastAsia="宋体"/>
                <w:sz w:val="24"/>
                <w:szCs w:val="24"/>
                <w:highlight w:val="none"/>
                <w:lang w:val="en-US" w:eastAsia="zh-CN"/>
              </w:rPr>
              <w:t>人员组织、培训、协调管理方案</w:t>
            </w:r>
            <w:r>
              <w:rPr>
                <w:rFonts w:hint="default" w:ascii="宋体" w:hAnsi="宋体" w:eastAsia="宋体"/>
                <w:sz w:val="24"/>
                <w:szCs w:val="24"/>
                <w:highlight w:val="none"/>
                <w:lang w:val="en-US" w:eastAsia="zh-CN"/>
              </w:rPr>
              <w:t>。</w:t>
            </w:r>
          </w:p>
          <w:p w14:paraId="6C98381F">
            <w:pPr>
              <w:widowControl/>
              <w:numPr>
                <w:ilvl w:val="0"/>
                <w:numId w:val="0"/>
              </w:numPr>
              <w:shd w:val="clear" w:color="auto" w:fill="FFFFFF"/>
              <w:snapToGrid w:val="0"/>
              <w:spacing w:line="360" w:lineRule="auto"/>
              <w:rPr>
                <w:rFonts w:hint="eastAsia" w:ascii="宋体" w:hAnsi="宋体" w:eastAsia="宋体"/>
                <w:sz w:val="24"/>
                <w:szCs w:val="24"/>
                <w:highlight w:val="none"/>
                <w:lang w:val="en-US" w:eastAsia="zh-CN"/>
              </w:rPr>
            </w:pPr>
            <w:r>
              <w:rPr>
                <w:rFonts w:hint="default" w:ascii="宋体" w:hAnsi="宋体" w:eastAsia="宋体"/>
                <w:sz w:val="24"/>
                <w:szCs w:val="24"/>
                <w:highlight w:val="none"/>
                <w:lang w:val="en-US" w:eastAsia="zh-CN"/>
              </w:rPr>
              <w:t>3.</w:t>
            </w:r>
            <w:r>
              <w:rPr>
                <w:rFonts w:hint="eastAsia" w:ascii="宋体" w:hAnsi="宋体" w:eastAsia="宋体"/>
                <w:sz w:val="24"/>
                <w:szCs w:val="24"/>
                <w:highlight w:val="none"/>
                <w:lang w:val="en-US" w:eastAsia="zh-CN"/>
              </w:rPr>
              <w:t>服务质量管理方案及服务重点难点问题解决方案。</w:t>
            </w:r>
          </w:p>
          <w:p w14:paraId="386A2689">
            <w:pPr>
              <w:widowControl/>
              <w:numPr>
                <w:ilvl w:val="0"/>
                <w:numId w:val="0"/>
              </w:numPr>
              <w:shd w:val="clear" w:color="auto" w:fill="FFFFFF"/>
              <w:snapToGrid w:val="0"/>
              <w:spacing w:line="360" w:lineRule="auto"/>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4.根据本项目的服务特点，协助采购人完善验收标准及售后服务管理、考核的相关标准及方案或提升项目服务质量的其他优良思路。</w:t>
            </w:r>
          </w:p>
          <w:p w14:paraId="57FBA7AC">
            <w:pPr>
              <w:widowControl/>
              <w:numPr>
                <w:ilvl w:val="0"/>
                <w:numId w:val="0"/>
              </w:numPr>
              <w:shd w:val="clear" w:color="auto" w:fill="FFFFFF"/>
              <w:snapToGrid w:val="0"/>
              <w:spacing w:line="360" w:lineRule="auto"/>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每有一项内容方</w:t>
            </w:r>
            <w:r>
              <w:rPr>
                <w:rFonts w:hint="default" w:ascii="宋体" w:hAnsi="宋体" w:eastAsia="宋体"/>
                <w:sz w:val="21"/>
                <w:szCs w:val="21"/>
                <w:highlight w:val="none"/>
                <w:lang w:val="en-US" w:eastAsia="zh-CN"/>
              </w:rPr>
              <w:t xml:space="preserve">案完整详细得 </w:t>
            </w:r>
            <w:r>
              <w:rPr>
                <w:rFonts w:hint="eastAsia" w:ascii="宋体" w:hAnsi="宋体" w:eastAsia="宋体"/>
                <w:sz w:val="21"/>
                <w:szCs w:val="21"/>
                <w:highlight w:val="none"/>
                <w:lang w:val="en-US" w:eastAsia="zh-CN"/>
              </w:rPr>
              <w:t>4</w:t>
            </w:r>
            <w:r>
              <w:rPr>
                <w:rFonts w:hint="default" w:ascii="宋体" w:hAnsi="宋体" w:eastAsia="宋体"/>
                <w:sz w:val="21"/>
                <w:szCs w:val="21"/>
                <w:highlight w:val="none"/>
                <w:lang w:val="en-US" w:eastAsia="zh-CN"/>
              </w:rPr>
              <w:t>分，每小</w:t>
            </w:r>
            <w:r>
              <w:rPr>
                <w:rFonts w:hint="default" w:ascii="宋体" w:hAnsi="宋体" w:eastAsia="宋体"/>
                <w:sz w:val="24"/>
                <w:szCs w:val="24"/>
                <w:highlight w:val="none"/>
                <w:lang w:val="en-US" w:eastAsia="zh-CN"/>
              </w:rPr>
              <w:t>项内容中每存在一处缺陷的或不完整，不贴合实际的扣1分，每小项最低得0分。未提供不得分。（缺陷是指：与本项目采购标的无关、方案内容前后不一致、前后逻辑错误、涉及的相关规范及标准错误、地点区域错误、内容缺失、只有简单描述无实质性内容、可执行性不高）。</w:t>
            </w:r>
          </w:p>
        </w:tc>
        <w:tc>
          <w:tcPr>
            <w:tcW w:w="424" w:type="pct"/>
            <w:tcBorders>
              <w:tl2br w:val="nil"/>
              <w:tr2bl w:val="nil"/>
            </w:tcBorders>
            <w:noWrap/>
            <w:vAlign w:val="center"/>
          </w:tcPr>
          <w:p w14:paraId="1DC958C9">
            <w:pPr>
              <w:widowControl/>
              <w:shd w:val="clear" w:color="auto" w:fill="FFFFFF"/>
              <w:snapToGrid w:val="0"/>
              <w:spacing w:line="360" w:lineRule="auto"/>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16分</w:t>
            </w:r>
          </w:p>
        </w:tc>
      </w:tr>
      <w:tr w14:paraId="7A66B3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5" w:hRule="atLeast"/>
          <w:jc w:val="center"/>
        </w:trPr>
        <w:tc>
          <w:tcPr>
            <w:tcW w:w="658" w:type="pct"/>
            <w:vMerge w:val="continue"/>
            <w:tcBorders>
              <w:tl2br w:val="nil"/>
              <w:tr2bl w:val="nil"/>
            </w:tcBorders>
            <w:noWrap/>
            <w:vAlign w:val="center"/>
          </w:tcPr>
          <w:p w14:paraId="588B267E">
            <w:pPr>
              <w:widowControl/>
              <w:shd w:val="clear" w:color="auto" w:fill="FFFFFF"/>
              <w:snapToGrid w:val="0"/>
              <w:spacing w:line="360" w:lineRule="auto"/>
              <w:jc w:val="center"/>
              <w:rPr>
                <w:rFonts w:ascii="宋体" w:hAnsi="宋体" w:eastAsia="宋体"/>
                <w:sz w:val="24"/>
                <w:szCs w:val="24"/>
              </w:rPr>
            </w:pPr>
          </w:p>
        </w:tc>
        <w:tc>
          <w:tcPr>
            <w:tcW w:w="707" w:type="pct"/>
            <w:tcBorders>
              <w:tl2br w:val="nil"/>
              <w:tr2bl w:val="nil"/>
            </w:tcBorders>
            <w:noWrap/>
            <w:vAlign w:val="center"/>
          </w:tcPr>
          <w:p w14:paraId="5661DE3E">
            <w:pPr>
              <w:widowControl/>
              <w:kinsoku/>
              <w:overflowPunct/>
              <w:bidi w:val="0"/>
              <w:spacing w:line="360" w:lineRule="auto"/>
              <w:jc w:val="center"/>
              <w:rPr>
                <w:rFonts w:hint="default" w:ascii="宋体" w:hAnsi="宋体" w:eastAsia="宋体"/>
                <w:sz w:val="24"/>
                <w:szCs w:val="24"/>
                <w:highlight w:val="none"/>
                <w:lang w:val="en-US" w:eastAsia="zh-CN"/>
              </w:rPr>
            </w:pPr>
            <w:r>
              <w:rPr>
                <w:rFonts w:hint="eastAsia" w:ascii="宋体" w:hAnsi="宋体" w:eastAsia="宋体" w:cs="宋体"/>
                <w:sz w:val="24"/>
                <w:highlight w:val="none"/>
                <w:lang w:val="en-US" w:eastAsia="zh-CN"/>
              </w:rPr>
              <w:t>应急预案</w:t>
            </w:r>
          </w:p>
        </w:tc>
        <w:tc>
          <w:tcPr>
            <w:tcW w:w="3209" w:type="pct"/>
            <w:tcBorders>
              <w:tl2br w:val="nil"/>
              <w:tr2bl w:val="nil"/>
            </w:tcBorders>
            <w:noWrap/>
            <w:vAlign w:val="center"/>
          </w:tcPr>
          <w:p w14:paraId="0C841995">
            <w:pPr>
              <w:widowControl/>
              <w:numPr>
                <w:ilvl w:val="0"/>
                <w:numId w:val="0"/>
              </w:numPr>
              <w:shd w:val="clear" w:color="auto" w:fill="FFFFFF"/>
              <w:snapToGrid w:val="0"/>
              <w:spacing w:line="360" w:lineRule="auto"/>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供应商根据本项目特点，提供项目</w:t>
            </w:r>
            <w:r>
              <w:rPr>
                <w:rFonts w:hint="eastAsia" w:ascii="宋体" w:hAnsi="宋体" w:eastAsia="宋体"/>
                <w:sz w:val="24"/>
                <w:szCs w:val="24"/>
                <w:highlight w:val="none"/>
                <w:lang w:val="en-US" w:eastAsia="zh-CN"/>
              </w:rPr>
              <w:t>应急预案</w:t>
            </w:r>
            <w:r>
              <w:rPr>
                <w:rFonts w:hint="default" w:ascii="宋体" w:hAnsi="宋体" w:eastAsia="宋体"/>
                <w:sz w:val="24"/>
                <w:szCs w:val="24"/>
                <w:highlight w:val="none"/>
                <w:lang w:val="en-US" w:eastAsia="zh-CN"/>
              </w:rPr>
              <w:t>，包含但不限于以下内容：</w:t>
            </w:r>
          </w:p>
          <w:p w14:paraId="4E41210B">
            <w:pPr>
              <w:widowControl/>
              <w:numPr>
                <w:ilvl w:val="0"/>
                <w:numId w:val="0"/>
              </w:numPr>
              <w:shd w:val="clear" w:color="auto" w:fill="FFFFFF"/>
              <w:snapToGrid w:val="0"/>
              <w:spacing w:line="360" w:lineRule="auto"/>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1.</w:t>
            </w:r>
            <w:r>
              <w:rPr>
                <w:rFonts w:hint="eastAsia" w:ascii="宋体" w:hAnsi="宋体" w:eastAsia="宋体"/>
                <w:sz w:val="24"/>
                <w:szCs w:val="24"/>
                <w:highlight w:val="none"/>
                <w:lang w:val="en-US" w:eastAsia="zh-CN"/>
              </w:rPr>
              <w:t>如服务过程中发现或无意损坏采购相关设备设施的应对方案</w:t>
            </w:r>
            <w:r>
              <w:rPr>
                <w:rFonts w:hint="default" w:ascii="宋体" w:hAnsi="宋体" w:eastAsia="宋体"/>
                <w:sz w:val="24"/>
                <w:szCs w:val="24"/>
                <w:highlight w:val="none"/>
                <w:lang w:val="en-US" w:eastAsia="zh-CN"/>
              </w:rPr>
              <w:t>。</w:t>
            </w:r>
          </w:p>
          <w:p w14:paraId="694A4232">
            <w:pPr>
              <w:widowControl/>
              <w:numPr>
                <w:ilvl w:val="0"/>
                <w:numId w:val="0"/>
              </w:numPr>
              <w:shd w:val="clear" w:color="auto" w:fill="FFFFFF"/>
              <w:snapToGrid w:val="0"/>
              <w:spacing w:line="360" w:lineRule="auto"/>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2.</w:t>
            </w:r>
            <w:r>
              <w:rPr>
                <w:rFonts w:hint="eastAsia" w:ascii="宋体" w:hAnsi="宋体" w:eastAsia="宋体"/>
                <w:sz w:val="24"/>
                <w:szCs w:val="24"/>
                <w:highlight w:val="none"/>
                <w:lang w:val="en-US" w:eastAsia="zh-CN"/>
              </w:rPr>
              <w:t>如遇重大节假日或特殊时间段等情形，须紧急进行清洗服务的应急管理制度及响应时间（应急响应时间须提供承诺函）</w:t>
            </w:r>
            <w:r>
              <w:rPr>
                <w:rFonts w:hint="default" w:ascii="宋体" w:hAnsi="宋体" w:eastAsia="宋体"/>
                <w:sz w:val="24"/>
                <w:szCs w:val="24"/>
                <w:highlight w:val="none"/>
                <w:lang w:val="en-US" w:eastAsia="zh-CN"/>
              </w:rPr>
              <w:t>。</w:t>
            </w:r>
          </w:p>
          <w:p w14:paraId="33BA4BD6">
            <w:pPr>
              <w:widowControl/>
              <w:numPr>
                <w:ilvl w:val="0"/>
                <w:numId w:val="0"/>
              </w:numPr>
              <w:shd w:val="clear" w:color="auto" w:fill="FFFFFF"/>
              <w:snapToGrid w:val="0"/>
              <w:spacing w:line="360" w:lineRule="auto"/>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3.</w:t>
            </w:r>
            <w:r>
              <w:rPr>
                <w:rFonts w:hint="eastAsia" w:ascii="宋体" w:hAnsi="宋体" w:eastAsia="宋体"/>
                <w:sz w:val="24"/>
                <w:szCs w:val="24"/>
                <w:highlight w:val="none"/>
                <w:lang w:val="en-US" w:eastAsia="zh-CN"/>
              </w:rPr>
              <w:t>提供应急处理流程图及具体责任人（含联系方式）</w:t>
            </w:r>
            <w:r>
              <w:rPr>
                <w:rFonts w:hint="default" w:ascii="宋体" w:hAnsi="宋体" w:eastAsia="宋体"/>
                <w:sz w:val="24"/>
                <w:szCs w:val="24"/>
                <w:highlight w:val="none"/>
                <w:lang w:val="en-US" w:eastAsia="zh-CN"/>
              </w:rPr>
              <w:t>。</w:t>
            </w:r>
          </w:p>
          <w:p w14:paraId="55AF2443">
            <w:pPr>
              <w:widowControl/>
              <w:numPr>
                <w:ilvl w:val="0"/>
                <w:numId w:val="0"/>
              </w:numPr>
              <w:shd w:val="clear" w:color="auto" w:fill="FFFFFF"/>
              <w:snapToGrid w:val="0"/>
              <w:spacing w:line="360" w:lineRule="auto"/>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每有一项内容方案完整详细得1分，每小项内容中每存在一处缺陷的或不完整，不贴合实际的扣0.5分，每小项最低得0分。未提供不得分。（缺陷是指：与本项目采购标的无关、方案内容前后不一致、前后逻辑错误、涉及的相关规范及标准错误、地点区域错误、内容缺失、只有简单描述无实质性内容、可执行性不高）。</w:t>
            </w:r>
          </w:p>
        </w:tc>
        <w:tc>
          <w:tcPr>
            <w:tcW w:w="424" w:type="pct"/>
            <w:tcBorders>
              <w:tl2br w:val="nil"/>
              <w:tr2bl w:val="nil"/>
            </w:tcBorders>
            <w:noWrap/>
            <w:vAlign w:val="center"/>
          </w:tcPr>
          <w:p w14:paraId="6FFA8CDA">
            <w:pPr>
              <w:widowControl/>
              <w:shd w:val="clear" w:color="auto" w:fill="FFFFFF"/>
              <w:snapToGrid w:val="0"/>
              <w:spacing w:line="360" w:lineRule="auto"/>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6分</w:t>
            </w:r>
          </w:p>
        </w:tc>
      </w:tr>
      <w:tr w14:paraId="7380DD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5" w:hRule="atLeast"/>
          <w:jc w:val="center"/>
        </w:trPr>
        <w:tc>
          <w:tcPr>
            <w:tcW w:w="658" w:type="pct"/>
            <w:tcBorders>
              <w:tl2br w:val="nil"/>
              <w:tr2bl w:val="nil"/>
            </w:tcBorders>
            <w:noWrap/>
            <w:vAlign w:val="center"/>
          </w:tcPr>
          <w:p w14:paraId="4E5A2075">
            <w:pPr>
              <w:widowControl/>
              <w:shd w:val="clear" w:color="auto" w:fill="FFFFFF"/>
              <w:snapToGrid w:val="0"/>
              <w:spacing w:line="360" w:lineRule="auto"/>
              <w:jc w:val="center"/>
              <w:rPr>
                <w:rFonts w:ascii="宋体" w:hAnsi="宋体" w:eastAsia="宋体"/>
                <w:sz w:val="24"/>
                <w:szCs w:val="24"/>
                <w:highlight w:val="none"/>
              </w:rPr>
            </w:pPr>
          </w:p>
        </w:tc>
        <w:tc>
          <w:tcPr>
            <w:tcW w:w="707" w:type="pct"/>
            <w:tcBorders>
              <w:tl2br w:val="nil"/>
              <w:tr2bl w:val="nil"/>
            </w:tcBorders>
            <w:noWrap/>
            <w:vAlign w:val="center"/>
          </w:tcPr>
          <w:p w14:paraId="63F1518C">
            <w:pPr>
              <w:widowControl/>
              <w:numPr>
                <w:ilvl w:val="0"/>
                <w:numId w:val="0"/>
              </w:numPr>
              <w:shd w:val="clear" w:color="auto" w:fill="FFFFFF"/>
              <w:snapToGrid w:val="0"/>
              <w:spacing w:line="360" w:lineRule="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售后服务方案</w:t>
            </w:r>
          </w:p>
        </w:tc>
        <w:tc>
          <w:tcPr>
            <w:tcW w:w="3209" w:type="pct"/>
            <w:tcBorders>
              <w:tl2br w:val="nil"/>
              <w:tr2bl w:val="nil"/>
            </w:tcBorders>
            <w:noWrap/>
            <w:vAlign w:val="center"/>
          </w:tcPr>
          <w:p w14:paraId="583DAB0B">
            <w:pPr>
              <w:widowControl/>
              <w:numPr>
                <w:ilvl w:val="0"/>
                <w:numId w:val="0"/>
              </w:numPr>
              <w:shd w:val="clear" w:color="auto" w:fill="FFFFFF"/>
              <w:snapToGrid w:val="0"/>
              <w:spacing w:line="360" w:lineRule="auto"/>
              <w:rPr>
                <w:rFonts w:hint="eastAsia" w:ascii="宋体" w:hAnsi="宋体" w:eastAsia="宋体"/>
                <w:sz w:val="24"/>
                <w:szCs w:val="24"/>
                <w:highlight w:val="none"/>
                <w:lang w:val="en-US" w:eastAsia="zh-CN"/>
              </w:rPr>
            </w:pPr>
            <w:r>
              <w:rPr>
                <w:rFonts w:hint="default" w:ascii="宋体" w:hAnsi="宋体" w:eastAsia="宋体"/>
                <w:sz w:val="24"/>
                <w:szCs w:val="24"/>
                <w:highlight w:val="none"/>
                <w:lang w:val="en-US" w:eastAsia="zh-CN"/>
              </w:rPr>
              <w:t>供应商根据本项目特点，提供项目</w:t>
            </w:r>
            <w:r>
              <w:rPr>
                <w:rFonts w:hint="eastAsia" w:ascii="宋体" w:hAnsi="宋体" w:eastAsia="宋体"/>
                <w:sz w:val="24"/>
                <w:szCs w:val="24"/>
                <w:highlight w:val="none"/>
                <w:lang w:val="en-US" w:eastAsia="zh-CN"/>
              </w:rPr>
              <w:t>售后服务方案</w:t>
            </w:r>
            <w:r>
              <w:rPr>
                <w:rFonts w:hint="default" w:ascii="宋体" w:hAnsi="宋体" w:eastAsia="宋体"/>
                <w:sz w:val="24"/>
                <w:szCs w:val="24"/>
                <w:highlight w:val="none"/>
                <w:lang w:val="en-US" w:eastAsia="zh-CN"/>
              </w:rPr>
              <w:t>，包含但不限于以下</w:t>
            </w:r>
          </w:p>
          <w:p w14:paraId="76AC5DA5">
            <w:pPr>
              <w:widowControl/>
              <w:numPr>
                <w:ilvl w:val="0"/>
                <w:numId w:val="0"/>
              </w:numPr>
              <w:shd w:val="clear" w:color="auto" w:fill="FFFFFF"/>
              <w:snapToGrid w:val="0"/>
              <w:spacing w:line="360" w:lineRule="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1.售后响应时间及人员，包含人员职责、联系方式等。</w:t>
            </w:r>
          </w:p>
          <w:p w14:paraId="38D9E443">
            <w:pPr>
              <w:widowControl/>
              <w:numPr>
                <w:ilvl w:val="0"/>
                <w:numId w:val="0"/>
              </w:numPr>
              <w:shd w:val="clear" w:color="auto" w:fill="FFFFFF"/>
              <w:snapToGrid w:val="0"/>
              <w:spacing w:line="360" w:lineRule="auto"/>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2.</w:t>
            </w:r>
            <w:r>
              <w:rPr>
                <w:rFonts w:hint="eastAsia" w:ascii="宋体" w:hAnsi="宋体" w:eastAsia="宋体"/>
                <w:sz w:val="24"/>
                <w:szCs w:val="24"/>
                <w:highlight w:val="none"/>
                <w:lang w:val="en-US" w:eastAsia="zh-CN"/>
              </w:rPr>
              <w:t>售后服务方案，包含解决措施，解决时间等。</w:t>
            </w:r>
          </w:p>
          <w:p w14:paraId="29B9B72D">
            <w:pPr>
              <w:widowControl/>
              <w:numPr>
                <w:ilvl w:val="0"/>
                <w:numId w:val="0"/>
              </w:numPr>
              <w:shd w:val="clear" w:color="auto" w:fill="FFFFFF"/>
              <w:snapToGrid w:val="0"/>
              <w:spacing w:line="360" w:lineRule="auto"/>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3.</w:t>
            </w:r>
            <w:r>
              <w:rPr>
                <w:rFonts w:hint="eastAsia" w:ascii="宋体" w:hAnsi="宋体" w:eastAsia="宋体"/>
                <w:sz w:val="24"/>
                <w:szCs w:val="24"/>
                <w:highlight w:val="none"/>
                <w:lang w:val="en-US" w:eastAsia="zh-CN"/>
              </w:rPr>
              <w:t>清洗过程中环境维护及复原等措施</w:t>
            </w:r>
          </w:p>
          <w:p w14:paraId="365157DD">
            <w:pPr>
              <w:widowControl/>
              <w:numPr>
                <w:ilvl w:val="0"/>
                <w:numId w:val="0"/>
              </w:numPr>
              <w:shd w:val="clear" w:color="auto" w:fill="FFFFFF"/>
              <w:snapToGrid w:val="0"/>
              <w:spacing w:line="360" w:lineRule="auto"/>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每有一项内容方案完整详细得</w:t>
            </w:r>
            <w:r>
              <w:rPr>
                <w:rFonts w:hint="eastAsia" w:ascii="宋体" w:hAnsi="宋体" w:eastAsia="宋体"/>
                <w:sz w:val="24"/>
                <w:szCs w:val="24"/>
                <w:highlight w:val="none"/>
                <w:lang w:val="en-US" w:eastAsia="zh-CN"/>
              </w:rPr>
              <w:t>2</w:t>
            </w:r>
            <w:r>
              <w:rPr>
                <w:rFonts w:hint="default" w:ascii="宋体" w:hAnsi="宋体" w:eastAsia="宋体"/>
                <w:sz w:val="24"/>
                <w:szCs w:val="24"/>
                <w:highlight w:val="none"/>
                <w:lang w:val="en-US" w:eastAsia="zh-CN"/>
              </w:rPr>
              <w:t>分，每小项内容中每存在一处缺陷的或不完整，不贴合实际的扣0.5分，每小项最低得0分。未提供不得分。（缺陷是指：与本项目采购标的无关、方案内容前后不一致、前后逻辑错误、涉及的相关规范及标准错误、地点区域错误、内容缺失、只有简单描述无实质性内容、可执行性不高）。</w:t>
            </w:r>
          </w:p>
        </w:tc>
        <w:tc>
          <w:tcPr>
            <w:tcW w:w="424" w:type="pct"/>
            <w:tcBorders>
              <w:tl2br w:val="nil"/>
              <w:tr2bl w:val="nil"/>
            </w:tcBorders>
            <w:noWrap/>
            <w:vAlign w:val="center"/>
          </w:tcPr>
          <w:p w14:paraId="04D65662">
            <w:pPr>
              <w:widowControl/>
              <w:shd w:val="clear" w:color="auto" w:fill="FFFFFF"/>
              <w:snapToGrid w:val="0"/>
              <w:spacing w:line="360" w:lineRule="auto"/>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6分</w:t>
            </w:r>
          </w:p>
        </w:tc>
      </w:tr>
      <w:bookmarkEnd w:id="44"/>
    </w:tbl>
    <w:p w14:paraId="2689B026">
      <w:pPr>
        <w:rPr>
          <w:rFonts w:ascii="宋体" w:hAnsi="宋体" w:eastAsia="宋体" w:cs="宋体"/>
          <w:b/>
          <w:sz w:val="24"/>
          <w:szCs w:val="24"/>
        </w:rPr>
      </w:pPr>
      <w:r>
        <w:rPr>
          <w:rFonts w:ascii="宋体" w:hAnsi="宋体" w:eastAsia="宋体" w:cs="宋体"/>
          <w:b/>
          <w:sz w:val="24"/>
          <w:szCs w:val="24"/>
        </w:rPr>
        <w:br w:type="page"/>
      </w:r>
    </w:p>
    <w:p w14:paraId="2F3416BA">
      <w:pPr>
        <w:tabs>
          <w:tab w:val="center" w:pos="4832"/>
          <w:tab w:val="left" w:pos="7140"/>
        </w:tabs>
        <w:spacing w:line="360" w:lineRule="auto"/>
        <w:ind w:firstLine="470" w:firstLineChars="196"/>
        <w:jc w:val="left"/>
        <w:outlineLvl w:val="2"/>
        <w:rPr>
          <w:rFonts w:ascii="宋体" w:hAnsi="Calibri" w:eastAsia="宋体" w:cs="宋体"/>
          <w:b/>
          <w:sz w:val="24"/>
          <w:szCs w:val="24"/>
        </w:rPr>
      </w:pPr>
      <w:bookmarkStart w:id="45" w:name="_Toc6593"/>
      <w:r>
        <w:rPr>
          <w:rFonts w:ascii="宋体" w:hAnsi="宋体" w:eastAsia="宋体" w:cs="宋体"/>
          <w:b/>
          <w:sz w:val="24"/>
          <w:szCs w:val="24"/>
        </w:rPr>
        <w:t>1.</w:t>
      </w:r>
      <w:r>
        <w:rPr>
          <w:rFonts w:hint="eastAsia" w:ascii="宋体" w:hAnsi="宋体" w:eastAsia="宋体" w:cs="宋体"/>
          <w:b/>
          <w:sz w:val="24"/>
          <w:szCs w:val="24"/>
        </w:rPr>
        <w:t>评审方法</w:t>
      </w:r>
      <w:bookmarkEnd w:id="45"/>
    </w:p>
    <w:p w14:paraId="0A4DD841">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本次评审采用</w:t>
      </w:r>
      <w:r>
        <w:rPr>
          <w:rFonts w:hint="eastAsia" w:ascii="宋体" w:hAnsi="宋体" w:eastAsia="宋体" w:cs="Arial"/>
          <w:kern w:val="0"/>
          <w:sz w:val="24"/>
          <w:szCs w:val="24"/>
          <w:lang w:val="en-US" w:eastAsia="zh-CN"/>
        </w:rPr>
        <w:t>综合评分法</w:t>
      </w:r>
      <w:r>
        <w:rPr>
          <w:rFonts w:hint="eastAsia" w:ascii="宋体" w:hAnsi="宋体" w:eastAsia="宋体" w:cs="Arial"/>
          <w:kern w:val="0"/>
          <w:sz w:val="24"/>
          <w:szCs w:val="24"/>
        </w:rPr>
        <w:t>。磋商小组对满足竞争性磋商文件实质性要求的响应文件，按照本节规定的评审标准进行评审。评审中各评审专家若发生意见分歧，以少数服从多数原则确定。</w:t>
      </w:r>
    </w:p>
    <w:p w14:paraId="682610A3">
      <w:pPr>
        <w:tabs>
          <w:tab w:val="center" w:pos="4832"/>
          <w:tab w:val="left" w:pos="7140"/>
        </w:tabs>
        <w:spacing w:line="360" w:lineRule="auto"/>
        <w:ind w:firstLine="470" w:firstLineChars="196"/>
        <w:jc w:val="left"/>
        <w:outlineLvl w:val="2"/>
        <w:rPr>
          <w:rFonts w:ascii="宋体" w:hAnsi="宋体" w:eastAsia="宋体" w:cs="宋体"/>
          <w:b/>
          <w:sz w:val="24"/>
          <w:szCs w:val="24"/>
        </w:rPr>
      </w:pPr>
      <w:bookmarkStart w:id="46" w:name="_Toc597"/>
      <w:r>
        <w:rPr>
          <w:rFonts w:ascii="宋体" w:hAnsi="宋体" w:eastAsia="宋体" w:cs="宋体"/>
          <w:b/>
          <w:sz w:val="24"/>
          <w:szCs w:val="24"/>
        </w:rPr>
        <w:t>2.</w:t>
      </w:r>
      <w:r>
        <w:rPr>
          <w:rFonts w:hint="eastAsia" w:ascii="宋体" w:hAnsi="宋体" w:eastAsia="宋体" w:cs="宋体"/>
          <w:b/>
          <w:sz w:val="24"/>
          <w:szCs w:val="24"/>
        </w:rPr>
        <w:t>评审标准</w:t>
      </w:r>
      <w:bookmarkEnd w:id="46"/>
    </w:p>
    <w:p w14:paraId="34425A3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1资格审查：评审因素和评审标准见《资格审查标准》。</w:t>
      </w:r>
    </w:p>
    <w:p w14:paraId="461C801E">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2完备性及符合性审查：评审因素和评审标准见《完备性及符合性审查标准》。</w:t>
      </w:r>
    </w:p>
    <w:p w14:paraId="145B7A16">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2.3详细评审：</w:t>
      </w:r>
    </w:p>
    <w:p w14:paraId="63C5B94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Calibri" w:eastAsia="宋体" w:cs="Arial"/>
          <w:kern w:val="0"/>
          <w:sz w:val="24"/>
          <w:szCs w:val="24"/>
        </w:rPr>
        <w:t>2.3.1详细评审：评审因素和评审标准见《详细评审标准》及本节第3.6款。</w:t>
      </w:r>
    </w:p>
    <w:p w14:paraId="74C37932">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3</w:t>
      </w:r>
      <w:r>
        <w:rPr>
          <w:rFonts w:ascii="宋体" w:hAnsi="宋体" w:eastAsia="宋体" w:cs="Arial"/>
          <w:kern w:val="0"/>
          <w:sz w:val="24"/>
          <w:szCs w:val="24"/>
        </w:rPr>
        <w:t xml:space="preserve">.2 </w:t>
      </w:r>
      <w:r>
        <w:rPr>
          <w:rFonts w:hint="eastAsia" w:ascii="宋体" w:hAnsi="宋体" w:eastAsia="宋体" w:cs="Arial"/>
          <w:kern w:val="0"/>
          <w:sz w:val="24"/>
          <w:szCs w:val="24"/>
        </w:rPr>
        <w:t>磋商报价评分标准：</w:t>
      </w:r>
    </w:p>
    <w:p w14:paraId="0ADCF83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）分值构成及权重：见评审办法前附表。</w:t>
      </w:r>
    </w:p>
    <w:p w14:paraId="0808EEC8">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）磋商基准价计算：见评审办法前附表。</w:t>
      </w:r>
    </w:p>
    <w:p w14:paraId="17442291">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（3）磋商报价得分的计算：见评审办法前附表。</w:t>
      </w:r>
    </w:p>
    <w:p w14:paraId="66B91B12">
      <w:pPr>
        <w:tabs>
          <w:tab w:val="center" w:pos="4832"/>
          <w:tab w:val="left" w:pos="7140"/>
        </w:tabs>
        <w:spacing w:line="360" w:lineRule="auto"/>
        <w:ind w:firstLine="470" w:firstLineChars="196"/>
        <w:jc w:val="left"/>
        <w:outlineLvl w:val="2"/>
        <w:rPr>
          <w:rFonts w:ascii="宋体" w:hAnsi="Calibri" w:eastAsia="宋体" w:cs="宋体"/>
          <w:b/>
          <w:sz w:val="24"/>
          <w:szCs w:val="24"/>
        </w:rPr>
      </w:pPr>
      <w:bookmarkStart w:id="47" w:name="_Toc8974"/>
      <w:r>
        <w:rPr>
          <w:rFonts w:ascii="宋体" w:hAnsi="宋体" w:eastAsia="宋体" w:cs="宋体"/>
          <w:b/>
          <w:sz w:val="24"/>
          <w:szCs w:val="24"/>
        </w:rPr>
        <w:t>3.</w:t>
      </w:r>
      <w:r>
        <w:rPr>
          <w:rFonts w:hint="eastAsia" w:ascii="宋体" w:hAnsi="宋体" w:eastAsia="宋体" w:cs="宋体"/>
          <w:b/>
          <w:sz w:val="24"/>
          <w:szCs w:val="24"/>
        </w:rPr>
        <w:t>评审程序</w:t>
      </w:r>
      <w:bookmarkEnd w:id="47"/>
    </w:p>
    <w:p w14:paraId="47BB3D67">
      <w:pPr>
        <w:pStyle w:val="73"/>
        <w:widowControl/>
        <w:numPr>
          <w:ilvl w:val="1"/>
          <w:numId w:val="1"/>
        </w:numPr>
        <w:shd w:val="clear" w:color="auto" w:fill="FFFFFF"/>
        <w:snapToGrid w:val="0"/>
        <w:spacing w:line="360" w:lineRule="auto"/>
        <w:ind w:firstLineChars="0"/>
        <w:rPr>
          <w:rFonts w:ascii="宋体" w:cs="Arial"/>
          <w:kern w:val="0"/>
          <w:sz w:val="24"/>
          <w:szCs w:val="24"/>
        </w:rPr>
      </w:pPr>
      <w:r>
        <w:rPr>
          <w:rFonts w:hint="eastAsia" w:ascii="宋体" w:hAnsi="宋体" w:cs="Arial"/>
          <w:kern w:val="0"/>
          <w:sz w:val="24"/>
          <w:szCs w:val="24"/>
        </w:rPr>
        <w:t>基本程序</w:t>
      </w:r>
    </w:p>
    <w:p w14:paraId="5C5F66FD">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评审活动将按以下步骤进行：</w:t>
      </w:r>
    </w:p>
    <w:p w14:paraId="39E1E20E">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（1）</w:t>
      </w:r>
      <w:r>
        <w:rPr>
          <w:rFonts w:hint="eastAsia" w:ascii="宋体" w:hAnsi="宋体" w:cs="Arial"/>
          <w:kern w:val="0"/>
          <w:sz w:val="24"/>
          <w:szCs w:val="24"/>
        </w:rPr>
        <w:t>评审准备</w:t>
      </w:r>
    </w:p>
    <w:p w14:paraId="3E379725">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（2）资格审查</w:t>
      </w:r>
    </w:p>
    <w:p w14:paraId="1BF068B2">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（3）完备性及符合性审查</w:t>
      </w:r>
    </w:p>
    <w:p w14:paraId="60498C04">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（4）第二轮或多轮报价</w:t>
      </w:r>
    </w:p>
    <w:p w14:paraId="7748C3D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（5）详细评审</w:t>
      </w:r>
    </w:p>
    <w:p w14:paraId="6FA1EEF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（6）澄清、说明或补正</w:t>
      </w:r>
    </w:p>
    <w:p w14:paraId="53E5C3C1">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（7）推荐成交候选人及提交评审报告</w:t>
      </w:r>
    </w:p>
    <w:p w14:paraId="62106A2F">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3.2</w:t>
      </w:r>
      <w:r>
        <w:rPr>
          <w:rFonts w:hint="eastAsia" w:ascii="宋体" w:hAnsi="宋体" w:eastAsia="宋体" w:cs="Arial"/>
          <w:kern w:val="0"/>
          <w:sz w:val="24"/>
          <w:szCs w:val="24"/>
        </w:rPr>
        <w:t>评审准备</w:t>
      </w:r>
    </w:p>
    <w:p w14:paraId="2E6F7EF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3.2.1</w:t>
      </w:r>
      <w:r>
        <w:rPr>
          <w:rFonts w:hint="eastAsia" w:ascii="宋体" w:hAnsi="宋体" w:eastAsia="宋体" w:cs="Arial"/>
          <w:kern w:val="0"/>
          <w:sz w:val="24"/>
          <w:szCs w:val="24"/>
        </w:rPr>
        <w:t>磋商小组成员签到</w:t>
      </w:r>
    </w:p>
    <w:p w14:paraId="3329757B">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磋商小组成员到达评审现场时应当在签到表上签到以证明其出席。</w:t>
      </w:r>
    </w:p>
    <w:p w14:paraId="474069D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3.2.2</w:t>
      </w:r>
      <w:r>
        <w:rPr>
          <w:rFonts w:hint="eastAsia" w:ascii="宋体" w:hAnsi="宋体" w:eastAsia="宋体" w:cs="Arial"/>
          <w:kern w:val="0"/>
          <w:sz w:val="24"/>
          <w:szCs w:val="24"/>
        </w:rPr>
        <w:t>磋商小组的分工</w:t>
      </w:r>
    </w:p>
    <w:p w14:paraId="119AB3EA">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3.2.2.1</w:t>
      </w:r>
      <w:r>
        <w:rPr>
          <w:rFonts w:hint="eastAsia" w:ascii="宋体" w:hAnsi="宋体" w:eastAsia="宋体" w:cs="Arial"/>
          <w:kern w:val="0"/>
          <w:sz w:val="24"/>
          <w:szCs w:val="24"/>
        </w:rPr>
        <w:t>磋商小组首先推选一名磋商小组组长。磋商小组组长负责评审活动的组织领导工作。磋商小组组长与磋商小组其他成员具有同等的评审权力。</w:t>
      </w:r>
    </w:p>
    <w:p w14:paraId="067784B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3.2.2.2 </w:t>
      </w:r>
      <w:r>
        <w:rPr>
          <w:rFonts w:hint="eastAsia" w:ascii="宋体" w:hAnsi="宋体" w:eastAsia="宋体" w:cs="Arial"/>
          <w:kern w:val="0"/>
          <w:sz w:val="24"/>
          <w:szCs w:val="24"/>
        </w:rPr>
        <w:t>磋商小组组长除履行自己作为磋商小组成员独立评审的职责外，主要负责以下工作：</w:t>
      </w:r>
    </w:p>
    <w:p w14:paraId="64971DE8">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）组织磋商小组成员学习竞争性磋商文件；</w:t>
      </w:r>
    </w:p>
    <w:p w14:paraId="77992639">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）汇总各磋商小组成员认为需要供应商澄清、说明或者补正的问题；</w:t>
      </w:r>
    </w:p>
    <w:p w14:paraId="0371D11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）组织磋商小组对供应商质询并对供应商的答复进行评审；</w:t>
      </w:r>
    </w:p>
    <w:p w14:paraId="75399DA1">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4</w:t>
      </w:r>
      <w:r>
        <w:rPr>
          <w:rFonts w:hint="eastAsia" w:ascii="宋体" w:hAnsi="宋体" w:eastAsia="宋体" w:cs="Arial"/>
          <w:kern w:val="0"/>
          <w:sz w:val="24"/>
          <w:szCs w:val="24"/>
        </w:rPr>
        <w:t>）对出现较大争议的事项进行书面记录；</w:t>
      </w:r>
    </w:p>
    <w:p w14:paraId="6377AD80">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5</w:t>
      </w:r>
      <w:r>
        <w:rPr>
          <w:rFonts w:hint="eastAsia" w:ascii="宋体" w:hAnsi="宋体" w:eastAsia="宋体" w:cs="Arial"/>
          <w:kern w:val="0"/>
          <w:sz w:val="24"/>
          <w:szCs w:val="24"/>
        </w:rPr>
        <w:t>）组织收回评审过程中使用的文件、表格和评审记录以及其他资料，并查验评审记录的完整性及有效性；</w:t>
      </w:r>
    </w:p>
    <w:p w14:paraId="69930F50">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6</w:t>
      </w:r>
      <w:r>
        <w:rPr>
          <w:rFonts w:hint="eastAsia" w:ascii="宋体" w:hAnsi="宋体" w:eastAsia="宋体" w:cs="Arial"/>
          <w:kern w:val="0"/>
          <w:sz w:val="24"/>
          <w:szCs w:val="24"/>
        </w:rPr>
        <w:t>）组织对评审结论进行复核确认；</w:t>
      </w:r>
    </w:p>
    <w:p w14:paraId="7C49572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7</w:t>
      </w:r>
      <w:r>
        <w:rPr>
          <w:rFonts w:hint="eastAsia" w:ascii="宋体" w:hAnsi="宋体" w:eastAsia="宋体" w:cs="Arial"/>
          <w:kern w:val="0"/>
          <w:sz w:val="24"/>
          <w:szCs w:val="24"/>
        </w:rPr>
        <w:t>）组织编写评审报告。</w:t>
      </w:r>
    </w:p>
    <w:p w14:paraId="2AE31DE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3.2.3</w:t>
      </w:r>
      <w:r>
        <w:rPr>
          <w:rFonts w:hint="eastAsia" w:ascii="宋体" w:hAnsi="宋体" w:eastAsia="宋体" w:cs="Arial"/>
          <w:kern w:val="0"/>
          <w:sz w:val="24"/>
          <w:szCs w:val="24"/>
        </w:rPr>
        <w:t>熟悉文件资料</w:t>
      </w:r>
    </w:p>
    <w:p w14:paraId="6D8DF62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3.2.3.1</w:t>
      </w:r>
      <w:r>
        <w:rPr>
          <w:rFonts w:hint="eastAsia" w:ascii="宋体" w:hAnsi="宋体" w:eastAsia="宋体" w:cs="Arial"/>
          <w:kern w:val="0"/>
          <w:sz w:val="24"/>
          <w:szCs w:val="24"/>
        </w:rPr>
        <w:t>磋商小组组长应当组织磋商小组成员认真研究竞争性磋商文件，了解和熟悉采购目的、采购范围、采购需求、主要合同条件、技术标准和要求，掌握评审标准和方法，熟悉本章及附件中包括的评审表格的使用，如果本章及附件所附的表格不能满足评审所需时，磋商小组应当补充编制评审所需的表格。</w:t>
      </w:r>
    </w:p>
    <w:p w14:paraId="5070D4C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3.2.3.2</w:t>
      </w:r>
      <w:r>
        <w:rPr>
          <w:rFonts w:hint="eastAsia" w:ascii="宋体" w:hAnsi="宋体" w:eastAsia="宋体" w:cs="Arial"/>
          <w:kern w:val="0"/>
          <w:sz w:val="24"/>
          <w:szCs w:val="24"/>
        </w:rPr>
        <w:t>采购人或采购代理机构应当向磋商小组提供评审所需的信息和数据，包括：</w:t>
      </w:r>
    </w:p>
    <w:p w14:paraId="166E3EA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）竞争性磋商文件及其澄清修改等竞争性磋商文件补充；</w:t>
      </w:r>
    </w:p>
    <w:p w14:paraId="10977EAF">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）未在开标会上当场拒绝的各响应文件；</w:t>
      </w:r>
    </w:p>
    <w:p w14:paraId="35810256">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）开标会记录；</w:t>
      </w:r>
    </w:p>
    <w:p w14:paraId="0D063FC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4</w:t>
      </w:r>
      <w:r>
        <w:rPr>
          <w:rFonts w:hint="eastAsia" w:ascii="宋体" w:hAnsi="宋体" w:eastAsia="宋体" w:cs="Arial"/>
          <w:kern w:val="0"/>
          <w:sz w:val="24"/>
          <w:szCs w:val="24"/>
        </w:rPr>
        <w:t>）评审表格；</w:t>
      </w:r>
    </w:p>
    <w:p w14:paraId="03A86269">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5</w:t>
      </w:r>
      <w:r>
        <w:rPr>
          <w:rFonts w:hint="eastAsia" w:ascii="宋体" w:hAnsi="宋体" w:eastAsia="宋体" w:cs="Arial"/>
          <w:kern w:val="0"/>
          <w:sz w:val="24"/>
          <w:szCs w:val="24"/>
        </w:rPr>
        <w:t>）其他信息和数据。</w:t>
      </w:r>
    </w:p>
    <w:p w14:paraId="16073CBB">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3.3资格审查（适用于资格后审）</w:t>
      </w:r>
    </w:p>
    <w:p w14:paraId="0558E33F">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采购人会依据本章规定的评审因素和审查标准，对供应商的资格审查资料进行资格审查。资格审查有一项未通过审查标准，采购人将认定整个响应文件不响应竞争性磋商文件而否决其投标，并且不允许供应商通过修改或撤销其不符合要求的差异或保留，使之成为具有响应性的投标。</w:t>
      </w:r>
    </w:p>
    <w:p w14:paraId="6DF63A98">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3.4完备性及符合性审查</w:t>
      </w:r>
    </w:p>
    <w:p w14:paraId="3CEBEDA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4</w:t>
      </w:r>
      <w:r>
        <w:rPr>
          <w:rFonts w:ascii="宋体" w:hAnsi="宋体" w:eastAsia="宋体" w:cs="Arial"/>
          <w:kern w:val="0"/>
          <w:sz w:val="24"/>
          <w:szCs w:val="24"/>
        </w:rPr>
        <w:t>.1</w:t>
      </w:r>
      <w:r>
        <w:rPr>
          <w:rFonts w:hint="eastAsia" w:ascii="宋体" w:hAnsi="宋体" w:eastAsia="宋体" w:cs="Arial"/>
          <w:kern w:val="0"/>
          <w:sz w:val="24"/>
          <w:szCs w:val="24"/>
        </w:rPr>
        <w:t>磋商小组依据本章规定的评审因素和评审标准，对供应商的响应文件进行完备性及符合性审查。完备性及符合性审查有一项未通过评审标准，磋商小组将认定整个响应文件不响应竞争性磋商文件而否决其投标，并且不允许供应商通过修改或撤销其不符合要求的差异或保留，使之成为具有响应性的投标。</w:t>
      </w:r>
    </w:p>
    <w:p w14:paraId="3E2847C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4</w:t>
      </w:r>
      <w:r>
        <w:rPr>
          <w:rFonts w:ascii="宋体" w:hAnsi="宋体" w:eastAsia="宋体" w:cs="Arial"/>
          <w:kern w:val="0"/>
          <w:sz w:val="24"/>
          <w:szCs w:val="24"/>
        </w:rPr>
        <w:t>.2</w:t>
      </w:r>
      <w:r>
        <w:rPr>
          <w:rFonts w:hint="eastAsia" w:ascii="宋体" w:hAnsi="宋体" w:eastAsia="宋体" w:cs="Arial"/>
          <w:kern w:val="0"/>
          <w:sz w:val="24"/>
          <w:szCs w:val="24"/>
        </w:rPr>
        <w:t>完备性及符合性审查条款是指对本采购项目产生了重大影响的重大偏差，而且纠正此类偏差将会对响应本次招标的其他供应商的竞争地位产生不公正的影响。</w:t>
      </w:r>
    </w:p>
    <w:p w14:paraId="2809D87C">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4</w:t>
      </w:r>
      <w:r>
        <w:rPr>
          <w:rFonts w:ascii="宋体" w:hAnsi="宋体" w:eastAsia="宋体" w:cs="Arial"/>
          <w:kern w:val="0"/>
          <w:sz w:val="24"/>
          <w:szCs w:val="24"/>
        </w:rPr>
        <w:t>.3</w:t>
      </w:r>
      <w:r>
        <w:rPr>
          <w:rFonts w:hint="eastAsia" w:ascii="宋体" w:hAnsi="宋体" w:eastAsia="宋体" w:cs="Arial"/>
          <w:kern w:val="0"/>
          <w:sz w:val="24"/>
          <w:szCs w:val="24"/>
        </w:rPr>
        <w:t>细微偏差是指响应文件在实质上响应竞争性磋商文件要求，但在个别地方存在疏漏或者提供了不完整的技术信息和数据等情况，并且补正这些遗漏和不完整不会对其他供应商造成不公平的结果。细微偏差不影响响应文件的有效性，磋商小组可要求存在细微偏差的供应商予以补正。</w:t>
      </w:r>
    </w:p>
    <w:p w14:paraId="1580D14E">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3.5第二轮报价</w:t>
      </w:r>
    </w:p>
    <w:p w14:paraId="5033BEC4">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3.5.1只有通过了资格审查、完备性及符合性审查且供应商不少于</w:t>
      </w:r>
      <w:r>
        <w:rPr>
          <w:rFonts w:ascii="宋体" w:hAnsi="宋体" w:eastAsia="宋体" w:cs="Arial"/>
          <w:kern w:val="0"/>
          <w:sz w:val="24"/>
          <w:szCs w:val="24"/>
        </w:rPr>
        <w:t>3</w:t>
      </w:r>
      <w:r>
        <w:rPr>
          <w:rFonts w:hint="eastAsia" w:ascii="宋体" w:hAnsi="宋体" w:eastAsia="宋体" w:cs="Arial"/>
          <w:kern w:val="0"/>
          <w:sz w:val="24"/>
          <w:szCs w:val="24"/>
        </w:rPr>
        <w:t>个方可进入第二轮报价。</w:t>
      </w:r>
    </w:p>
    <w:p w14:paraId="228F06C0">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3.5.2、按照供应商递交响应文件的逆顺序，由每位供应商对本企业情况及本次响应情况进行简要介绍，</w:t>
      </w:r>
      <w:r>
        <w:rPr>
          <w:rFonts w:hint="eastAsia" w:ascii="宋体" w:hAnsi="Calibri" w:eastAsia="宋体" w:cs="Arial"/>
          <w:kern w:val="0"/>
          <w:sz w:val="24"/>
          <w:szCs w:val="24"/>
        </w:rPr>
        <w:t>磋商</w:t>
      </w:r>
      <w:r>
        <w:rPr>
          <w:rFonts w:hint="eastAsia" w:ascii="宋体" w:hAnsi="宋体" w:eastAsia="宋体" w:cs="Arial"/>
          <w:kern w:val="0"/>
          <w:sz w:val="24"/>
          <w:szCs w:val="24"/>
        </w:rPr>
        <w:t>小组与其进行</w:t>
      </w:r>
      <w:r>
        <w:rPr>
          <w:rFonts w:hint="eastAsia" w:ascii="宋体" w:hAnsi="Calibri" w:eastAsia="宋体" w:cs="Arial"/>
          <w:kern w:val="0"/>
          <w:sz w:val="24"/>
          <w:szCs w:val="24"/>
        </w:rPr>
        <w:t>磋商</w:t>
      </w:r>
      <w:r>
        <w:rPr>
          <w:rFonts w:hint="eastAsia" w:ascii="宋体" w:hAnsi="宋体" w:eastAsia="宋体" w:cs="Arial"/>
          <w:kern w:val="0"/>
          <w:sz w:val="24"/>
          <w:szCs w:val="24"/>
        </w:rPr>
        <w:t>，对响应文件中的漏项、错误等问题进行统一补充和修正并告知供应商，在此基础上进行第二轮磋商报价。</w:t>
      </w:r>
    </w:p>
    <w:p w14:paraId="028E8992">
      <w:pPr>
        <w:widowControl/>
        <w:shd w:val="clear" w:color="auto" w:fill="FFFFFF"/>
        <w:snapToGrid w:val="0"/>
        <w:spacing w:line="360" w:lineRule="auto"/>
        <w:ind w:firstLine="480" w:firstLineChars="200"/>
        <w:rPr>
          <w:rFonts w:ascii="宋体" w:cs="Arial"/>
          <w:kern w:val="0"/>
          <w:sz w:val="24"/>
          <w:szCs w:val="24"/>
        </w:rPr>
      </w:pPr>
      <w:r>
        <w:rPr>
          <w:rFonts w:hint="eastAsia" w:ascii="宋体" w:hAnsi="宋体" w:eastAsia="宋体" w:cs="Arial"/>
          <w:kern w:val="0"/>
          <w:sz w:val="24"/>
          <w:szCs w:val="24"/>
        </w:rPr>
        <w:t>3.5.3、供应商分别进行各自第二轮磋商报价，经签字确认后，作为最终磋商报价的依据。</w:t>
      </w:r>
    </w:p>
    <w:p w14:paraId="358882A0">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cs="Arial"/>
          <w:kern w:val="0"/>
          <w:sz w:val="24"/>
          <w:szCs w:val="24"/>
        </w:rPr>
        <w:t>3.5.4</w:t>
      </w:r>
      <w:r>
        <w:rPr>
          <w:rFonts w:hint="eastAsia" w:ascii="宋体" w:hAnsi="宋体" w:eastAsia="宋体" w:cs="Arial"/>
          <w:kern w:val="0"/>
          <w:sz w:val="24"/>
          <w:szCs w:val="24"/>
        </w:rPr>
        <w:t>磋商小组将根据现场评审情况确定报价次数.</w:t>
      </w:r>
    </w:p>
    <w:p w14:paraId="26972F2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6详细评审</w:t>
      </w:r>
    </w:p>
    <w:p w14:paraId="6E511C3A">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.1</w:t>
      </w:r>
      <w:r>
        <w:rPr>
          <w:rFonts w:hint="eastAsia" w:ascii="宋体" w:hAnsi="宋体" w:eastAsia="宋体" w:cs="Arial"/>
          <w:kern w:val="0"/>
          <w:sz w:val="24"/>
          <w:szCs w:val="24"/>
        </w:rPr>
        <w:t>只有通过了第二轮报价方可进入详细评审。</w:t>
      </w:r>
    </w:p>
    <w:p w14:paraId="73FFC7E7">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.2</w:t>
      </w:r>
      <w:r>
        <w:rPr>
          <w:rFonts w:hint="eastAsia" w:ascii="宋体" w:hAnsi="宋体" w:eastAsia="宋体" w:cs="Arial"/>
          <w:kern w:val="0"/>
          <w:sz w:val="24"/>
          <w:szCs w:val="24"/>
        </w:rPr>
        <w:t>澄清、说明和补正</w:t>
      </w:r>
    </w:p>
    <w:p w14:paraId="213AD9E6">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.2</w:t>
      </w:r>
      <w:r>
        <w:rPr>
          <w:rFonts w:hint="eastAsia" w:ascii="宋体" w:hAnsi="宋体" w:eastAsia="宋体" w:cs="Arial"/>
          <w:kern w:val="0"/>
          <w:sz w:val="24"/>
          <w:szCs w:val="24"/>
        </w:rPr>
        <w:t>.1在不改变供应商响应文件实质性内容的前提下，磋商小组应当对响应文件进行基础性数据分析和整理，从而发现并提取其中可能存在的对采购范围理解的偏差、技术响应偏离、磋商价格的算术性错误、错漏项、磋商价格构成不合理、不平衡报价等存在明显异常的问题。</w:t>
      </w:r>
    </w:p>
    <w:p w14:paraId="275E2611">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.2</w:t>
      </w:r>
      <w:r>
        <w:rPr>
          <w:rFonts w:hint="eastAsia" w:ascii="宋体" w:hAnsi="宋体" w:eastAsia="宋体" w:cs="Arial"/>
          <w:kern w:val="0"/>
          <w:sz w:val="24"/>
          <w:szCs w:val="24"/>
        </w:rPr>
        <w:t>.2澄清、说明和补正内容不得改变响应文件的实质性内容（算术性错误修正的除外）。供应商的书面澄清、说明和补正属于响应文件的组成部分。</w:t>
      </w:r>
    </w:p>
    <w:p w14:paraId="66EC88A5">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.2</w:t>
      </w:r>
      <w:r>
        <w:rPr>
          <w:rFonts w:hint="eastAsia" w:ascii="宋体" w:hAnsi="宋体" w:eastAsia="宋体" w:cs="Arial"/>
          <w:kern w:val="0"/>
          <w:sz w:val="24"/>
          <w:szCs w:val="24"/>
        </w:rPr>
        <w:t>.3磋商小组针对需要供应商对所提交响应文件中不明确的内容进行书面澄清、说明或补正。澄清通知不得向供应商提出带有暗示性或诱导性问题，或向其明确响应文件中的遗漏和错误。供应商接到磋商小组发出的书面澄清通知后，应按磋商小组的要求提供书面澄清资料，并在规定的时间递交到指定地点。磋商小组不接受供应商主动提出的澄清、说明或补正。</w:t>
      </w:r>
    </w:p>
    <w:p w14:paraId="42844FAD">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.2</w:t>
      </w:r>
      <w:r>
        <w:rPr>
          <w:rFonts w:hint="eastAsia" w:ascii="宋体" w:hAnsi="宋体" w:eastAsia="宋体" w:cs="Arial"/>
          <w:kern w:val="0"/>
          <w:sz w:val="24"/>
          <w:szCs w:val="24"/>
        </w:rPr>
        <w:t>.4磋商小组对供应商提交的澄清、说明或补正有疑问的，可以要求供应商进一步澄清、说明或补正，直至满足磋商小组的要求。</w:t>
      </w:r>
    </w:p>
    <w:p w14:paraId="302EB5B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.3</w:t>
      </w:r>
      <w:r>
        <w:rPr>
          <w:rFonts w:hint="eastAsia" w:ascii="宋体" w:hAnsi="宋体" w:eastAsia="宋体" w:cs="Arial"/>
          <w:kern w:val="0"/>
          <w:sz w:val="24"/>
          <w:szCs w:val="24"/>
        </w:rPr>
        <w:t>评审专家评分：评审专家按照《商务、技术详细评审标准》评分，供应商详细评审得分等于全部评审专家评分的算术平均值。</w:t>
      </w:r>
    </w:p>
    <w:p w14:paraId="0E3CDBAA">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.4</w:t>
      </w:r>
      <w:r>
        <w:rPr>
          <w:rFonts w:hint="eastAsia" w:ascii="宋体" w:hAnsi="宋体" w:eastAsia="宋体" w:cs="Arial"/>
          <w:kern w:val="0"/>
          <w:sz w:val="24"/>
          <w:szCs w:val="24"/>
        </w:rPr>
        <w:t>算术错误修正：磋商价格有算术错误的，磋商小组按以下原则对磋商价格进行修正，修正的价格经供应商书面确认后具有约束力。供应商不接受修正价格的，其投标将被否决。</w:t>
      </w:r>
    </w:p>
    <w:p w14:paraId="3394085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）响应文件中的大写金额与小写金额不一致的，以大写金额为准；</w:t>
      </w:r>
    </w:p>
    <w:p w14:paraId="657B3D8D">
      <w:pPr>
        <w:widowControl/>
        <w:shd w:val="clear" w:color="auto" w:fill="FFFFFF"/>
        <w:snapToGrid w:val="0"/>
        <w:spacing w:line="360" w:lineRule="auto"/>
        <w:ind w:firstLine="480" w:firstLineChars="200"/>
        <w:rPr>
          <w:rFonts w:hint="eastAsia" w:ascii="宋体" w:hAnsi="Calibri" w:eastAsia="宋体" w:cs="Arial"/>
          <w:kern w:val="0"/>
          <w:sz w:val="24"/>
          <w:szCs w:val="24"/>
          <w:lang w:eastAsia="zh-CN"/>
        </w:rPr>
      </w:pPr>
      <w:r>
        <w:rPr>
          <w:rFonts w:hint="eastAsia" w:ascii="宋体" w:hAnsi="宋体" w:eastAsia="宋体" w:cs="Arial"/>
          <w:kern w:val="0"/>
          <w:sz w:val="24"/>
          <w:szCs w:val="24"/>
          <w:lang w:eastAsia="zh-CN"/>
        </w:rPr>
        <w:t>（</w:t>
      </w:r>
      <w:r>
        <w:rPr>
          <w:rFonts w:hint="eastAsia" w:ascii="宋体" w:hAnsi="宋体" w:eastAsia="宋体" w:cs="Arial"/>
          <w:kern w:val="0"/>
          <w:sz w:val="24"/>
          <w:szCs w:val="24"/>
          <w:lang w:val="en-US" w:eastAsia="zh-CN"/>
        </w:rPr>
        <w:t>如有</w:t>
      </w:r>
      <w:r>
        <w:rPr>
          <w:rFonts w:hint="eastAsia" w:ascii="宋体" w:hAnsi="宋体" w:eastAsia="宋体" w:cs="Arial"/>
          <w:kern w:val="0"/>
          <w:sz w:val="24"/>
          <w:szCs w:val="24"/>
          <w:lang w:eastAsia="zh-CN"/>
        </w:rPr>
        <w:t>）</w:t>
      </w: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w:t>
      </w:r>
      <w:r>
        <w:rPr>
          <w:rFonts w:hint="eastAsia" w:ascii="宋体" w:hAnsi="宋体" w:eastAsia="宋体" w:cs="Arial"/>
          <w:kern w:val="0"/>
          <w:sz w:val="24"/>
          <w:szCs w:val="24"/>
          <w:lang w:val="en-US" w:eastAsia="zh-CN"/>
        </w:rPr>
        <w:t>报价</w:t>
      </w:r>
      <w:r>
        <w:rPr>
          <w:rFonts w:hint="eastAsia" w:ascii="宋体" w:hAnsi="宋体" w:eastAsia="宋体" w:cs="Arial"/>
          <w:kern w:val="0"/>
          <w:sz w:val="24"/>
          <w:szCs w:val="24"/>
        </w:rPr>
        <w:t>金额与依据单价计算出的结果不一致的，以单价金额为准修正</w:t>
      </w:r>
      <w:r>
        <w:rPr>
          <w:rFonts w:hint="eastAsia" w:ascii="宋体" w:hAnsi="宋体" w:eastAsia="宋体" w:cs="Arial"/>
          <w:kern w:val="0"/>
          <w:sz w:val="24"/>
          <w:szCs w:val="24"/>
          <w:lang w:val="en-US" w:eastAsia="zh-CN"/>
        </w:rPr>
        <w:t>总报</w:t>
      </w:r>
      <w:r>
        <w:rPr>
          <w:rFonts w:hint="eastAsia" w:ascii="宋体" w:hAnsi="宋体" w:eastAsia="宋体" w:cs="Arial"/>
          <w:kern w:val="0"/>
          <w:sz w:val="24"/>
          <w:szCs w:val="24"/>
        </w:rPr>
        <w:t>价，但单价金额小数点有明显错误的除外。</w:t>
      </w:r>
    </w:p>
    <w:p w14:paraId="22B60EC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.5</w:t>
      </w:r>
      <w:r>
        <w:rPr>
          <w:rFonts w:hint="eastAsia" w:ascii="宋体" w:hAnsi="宋体" w:eastAsia="宋体" w:cs="Arial"/>
          <w:kern w:val="0"/>
          <w:sz w:val="24"/>
          <w:szCs w:val="24"/>
        </w:rPr>
        <w:t>磋商小组发现供应商的报价明显低于其他供应商磋商价格，使得其磋商价格可能低于其成本的，应当要求该供应商作出书面说明并提供相应的证明材料。供应商不能合理说明或者不能提供相应证明材料的，由磋商小组认定该供应商以低于成本报价竞标，否决其投标。</w:t>
      </w:r>
    </w:p>
    <w:p w14:paraId="4E9F15EE">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.6</w:t>
      </w:r>
      <w:r>
        <w:rPr>
          <w:rFonts w:hint="eastAsia" w:ascii="宋体" w:hAnsi="宋体" w:eastAsia="宋体" w:cs="Arial"/>
          <w:kern w:val="0"/>
          <w:sz w:val="24"/>
          <w:szCs w:val="24"/>
        </w:rPr>
        <w:t>磋商报价评分：对磋商报价进行磋商报价得分计算，计算方法详见评审办法前附表。</w:t>
      </w:r>
    </w:p>
    <w:p w14:paraId="1792901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.7</w:t>
      </w:r>
      <w:r>
        <w:rPr>
          <w:rFonts w:hint="eastAsia" w:ascii="宋体" w:hAnsi="宋体" w:eastAsia="宋体" w:cs="Arial"/>
          <w:kern w:val="0"/>
          <w:sz w:val="24"/>
          <w:szCs w:val="24"/>
        </w:rPr>
        <w:t>汇总评分结果，评分分值计算保留小数点后两位，小数点后第三位“四舍五入”。</w:t>
      </w:r>
    </w:p>
    <w:p w14:paraId="29F539C1">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 xml:space="preserve">.8 </w:t>
      </w:r>
      <w:r>
        <w:rPr>
          <w:rFonts w:hint="eastAsia" w:ascii="宋体" w:hAnsi="宋体" w:eastAsia="宋体" w:cs="Arial"/>
          <w:kern w:val="0"/>
          <w:sz w:val="24"/>
          <w:szCs w:val="24"/>
        </w:rPr>
        <w:t>详细评审工作全部结束后，供应商总得分排序按照以下原则进行。</w:t>
      </w:r>
    </w:p>
    <w:p w14:paraId="11A83E74">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3.6.8.1按照总得分由高到低顺序对供应商进行排序；</w:t>
      </w:r>
    </w:p>
    <w:p w14:paraId="72D62D38">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3.6.8.2总</w:t>
      </w:r>
      <w:r>
        <w:rPr>
          <w:rFonts w:ascii="宋体" w:hAnsi="宋体" w:eastAsia="宋体" w:cs="Arial"/>
          <w:kern w:val="0"/>
          <w:sz w:val="24"/>
          <w:szCs w:val="24"/>
        </w:rPr>
        <w:t>得分</w:t>
      </w:r>
      <w:r>
        <w:rPr>
          <w:rFonts w:hint="eastAsia" w:ascii="宋体" w:hAnsi="宋体" w:eastAsia="宋体" w:cs="Arial"/>
          <w:kern w:val="0"/>
          <w:sz w:val="24"/>
          <w:szCs w:val="24"/>
        </w:rPr>
        <w:t>相同时报价低的</w:t>
      </w:r>
      <w:r>
        <w:rPr>
          <w:rFonts w:ascii="宋体" w:hAnsi="宋体" w:eastAsia="宋体" w:cs="Arial"/>
          <w:kern w:val="0"/>
          <w:sz w:val="24"/>
          <w:szCs w:val="24"/>
        </w:rPr>
        <w:t>供应商</w:t>
      </w:r>
      <w:r>
        <w:rPr>
          <w:rFonts w:hint="eastAsia" w:ascii="宋体" w:hAnsi="宋体" w:eastAsia="宋体" w:cs="Arial"/>
          <w:kern w:val="0"/>
          <w:sz w:val="24"/>
          <w:szCs w:val="24"/>
        </w:rPr>
        <w:t>排序靠前；</w:t>
      </w:r>
    </w:p>
    <w:p w14:paraId="181240E7">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3.6.8.3总</w:t>
      </w:r>
      <w:r>
        <w:rPr>
          <w:rFonts w:ascii="宋体" w:hAnsi="宋体" w:eastAsia="宋体" w:cs="Arial"/>
          <w:kern w:val="0"/>
          <w:sz w:val="24"/>
          <w:szCs w:val="24"/>
        </w:rPr>
        <w:t>得分相同</w:t>
      </w:r>
      <w:r>
        <w:rPr>
          <w:rFonts w:hint="eastAsia" w:ascii="宋体" w:hAnsi="宋体" w:eastAsia="宋体" w:cs="Arial"/>
          <w:kern w:val="0"/>
          <w:sz w:val="24"/>
          <w:szCs w:val="24"/>
        </w:rPr>
        <w:t>且报价相同的</w:t>
      </w:r>
      <w:r>
        <w:rPr>
          <w:rFonts w:ascii="宋体" w:hAnsi="宋体" w:eastAsia="宋体" w:cs="Arial"/>
          <w:kern w:val="0"/>
          <w:sz w:val="24"/>
          <w:szCs w:val="24"/>
        </w:rPr>
        <w:t>，</w:t>
      </w:r>
      <w:r>
        <w:rPr>
          <w:rFonts w:hint="eastAsia" w:ascii="宋体" w:hAnsi="宋体" w:eastAsia="宋体" w:cs="Arial"/>
          <w:kern w:val="0"/>
          <w:sz w:val="24"/>
          <w:szCs w:val="24"/>
        </w:rPr>
        <w:t>采取随机抽取方式</w:t>
      </w:r>
      <w:r>
        <w:rPr>
          <w:rFonts w:ascii="宋体" w:hAnsi="宋体" w:eastAsia="宋体" w:cs="Arial"/>
          <w:kern w:val="0"/>
          <w:sz w:val="24"/>
          <w:szCs w:val="24"/>
        </w:rPr>
        <w:t>确定</w:t>
      </w:r>
      <w:r>
        <w:rPr>
          <w:rFonts w:hint="eastAsia" w:ascii="宋体" w:hAnsi="宋体" w:eastAsia="宋体" w:cs="Arial"/>
          <w:kern w:val="0"/>
          <w:sz w:val="24"/>
          <w:szCs w:val="24"/>
        </w:rPr>
        <w:t>排序顺序。</w:t>
      </w:r>
    </w:p>
    <w:p w14:paraId="7C3CC13A">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7推荐成交候选人及提交评审报告</w:t>
      </w:r>
    </w:p>
    <w:p w14:paraId="1C7E4DC0">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7</w:t>
      </w:r>
      <w:r>
        <w:rPr>
          <w:rFonts w:ascii="宋体" w:hAnsi="宋体" w:eastAsia="宋体" w:cs="Arial"/>
          <w:kern w:val="0"/>
          <w:sz w:val="24"/>
          <w:szCs w:val="24"/>
        </w:rPr>
        <w:t>.1</w:t>
      </w:r>
      <w:r>
        <w:rPr>
          <w:rFonts w:hint="eastAsia" w:ascii="宋体" w:hAnsi="宋体" w:eastAsia="宋体" w:cs="Arial"/>
          <w:kern w:val="0"/>
          <w:sz w:val="24"/>
          <w:szCs w:val="24"/>
        </w:rPr>
        <w:t>磋商小组推荐成交候选人，总得分排序第一的供应商将被确定为第一成交候选人，以此类推确定出规定数量的的成交候选人。</w:t>
      </w:r>
    </w:p>
    <w:p w14:paraId="568DC1D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7</w:t>
      </w:r>
      <w:r>
        <w:rPr>
          <w:rFonts w:ascii="宋体" w:hAnsi="宋体" w:eastAsia="宋体" w:cs="Arial"/>
          <w:kern w:val="0"/>
          <w:sz w:val="24"/>
          <w:szCs w:val="24"/>
        </w:rPr>
        <w:t>.2</w:t>
      </w:r>
      <w:r>
        <w:rPr>
          <w:rFonts w:hint="eastAsia" w:ascii="宋体" w:hAnsi="宋体" w:eastAsia="宋体" w:cs="Arial"/>
          <w:kern w:val="0"/>
          <w:sz w:val="24"/>
          <w:szCs w:val="24"/>
        </w:rPr>
        <w:t>当通过了资格审查、完备性及符合性审查后，供应商少于</w:t>
      </w:r>
      <w:r>
        <w:rPr>
          <w:rFonts w:ascii="宋体" w:hAnsi="宋体" w:eastAsia="宋体" w:cs="Arial"/>
          <w:kern w:val="0"/>
          <w:sz w:val="24"/>
          <w:szCs w:val="24"/>
        </w:rPr>
        <w:t>3</w:t>
      </w:r>
      <w:r>
        <w:rPr>
          <w:rFonts w:hint="eastAsia" w:ascii="宋体" w:hAnsi="宋体" w:eastAsia="宋体" w:cs="Arial"/>
          <w:kern w:val="0"/>
          <w:sz w:val="24"/>
          <w:szCs w:val="24"/>
        </w:rPr>
        <w:t>个时，采购人应当依法重新招标。</w:t>
      </w:r>
    </w:p>
    <w:p w14:paraId="74BE9DC2">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7</w:t>
      </w:r>
      <w:r>
        <w:rPr>
          <w:rFonts w:ascii="宋体" w:hAnsi="宋体" w:eastAsia="宋体" w:cs="Arial"/>
          <w:kern w:val="0"/>
          <w:sz w:val="24"/>
          <w:szCs w:val="24"/>
        </w:rPr>
        <w:t>.3</w:t>
      </w:r>
      <w:r>
        <w:rPr>
          <w:rFonts w:hint="eastAsia" w:ascii="宋体" w:hAnsi="宋体" w:eastAsia="宋体" w:cs="Arial"/>
          <w:kern w:val="0"/>
          <w:sz w:val="24"/>
          <w:szCs w:val="24"/>
        </w:rPr>
        <w:t>磋商小组完成评审后，应当向采购人提交书面评审报告。</w:t>
      </w:r>
    </w:p>
    <w:p w14:paraId="06CAE00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8特殊情况的处置程序</w:t>
      </w:r>
    </w:p>
    <w:p w14:paraId="125B14D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8</w:t>
      </w:r>
      <w:r>
        <w:rPr>
          <w:rFonts w:ascii="宋体" w:hAnsi="宋体" w:eastAsia="宋体" w:cs="Arial"/>
          <w:kern w:val="0"/>
          <w:sz w:val="24"/>
          <w:szCs w:val="24"/>
        </w:rPr>
        <w:t>.1</w:t>
      </w:r>
      <w:r>
        <w:rPr>
          <w:rFonts w:hint="eastAsia" w:ascii="宋体" w:hAnsi="宋体" w:eastAsia="宋体" w:cs="Arial"/>
          <w:kern w:val="0"/>
          <w:sz w:val="24"/>
          <w:szCs w:val="24"/>
        </w:rPr>
        <w:t>关于评审活动暂停</w:t>
      </w:r>
    </w:p>
    <w:p w14:paraId="47FE8D6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磋商小组应当执行连续评审的原则，按评审办法中规定的程序、内容、方法、标准完成全部评审工作。只有发生不可抗力导致评审工作无法继续时，评审活动方可暂停。发生评审暂停情况时，应当封存全部响应文件和评审记录，待不可抗力的影响结束且具备继续评审的条件时，由原磋商小组继续评审。</w:t>
      </w:r>
    </w:p>
    <w:p w14:paraId="1BF5DCC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8</w:t>
      </w:r>
      <w:r>
        <w:rPr>
          <w:rFonts w:ascii="宋体" w:hAnsi="宋体" w:eastAsia="宋体" w:cs="Arial"/>
          <w:kern w:val="0"/>
          <w:sz w:val="24"/>
          <w:szCs w:val="24"/>
        </w:rPr>
        <w:t>.2</w:t>
      </w:r>
      <w:r>
        <w:rPr>
          <w:rFonts w:hint="eastAsia" w:ascii="宋体" w:hAnsi="宋体" w:eastAsia="宋体" w:cs="Arial"/>
          <w:kern w:val="0"/>
          <w:sz w:val="24"/>
          <w:szCs w:val="24"/>
        </w:rPr>
        <w:t>关于评审中途更换评审专家</w:t>
      </w:r>
    </w:p>
    <w:p w14:paraId="0A37120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8</w:t>
      </w:r>
      <w:r>
        <w:rPr>
          <w:rFonts w:ascii="宋体" w:hAnsi="宋体" w:eastAsia="宋体" w:cs="Arial"/>
          <w:kern w:val="0"/>
          <w:sz w:val="24"/>
          <w:szCs w:val="24"/>
        </w:rPr>
        <w:t>.2.1</w:t>
      </w:r>
      <w:r>
        <w:rPr>
          <w:rFonts w:hint="eastAsia" w:ascii="宋体" w:hAnsi="宋体" w:eastAsia="宋体" w:cs="Arial"/>
          <w:kern w:val="0"/>
          <w:sz w:val="24"/>
          <w:szCs w:val="24"/>
        </w:rPr>
        <w:t>除非发生下列情况之一，磋商小组成员不得在评审中途更换：</w:t>
      </w:r>
    </w:p>
    <w:p w14:paraId="1E8E0B91">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）因不可抗拒的客观原因，不能到场或需在评审中途退出评审活动。</w:t>
      </w:r>
    </w:p>
    <w:p w14:paraId="0BE432C0">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）根据法律法规规定，某个或某几个磋商小组成员需要回避。</w:t>
      </w:r>
    </w:p>
    <w:p w14:paraId="3DCB55F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8</w:t>
      </w:r>
      <w:r>
        <w:rPr>
          <w:rFonts w:ascii="宋体" w:hAnsi="宋体" w:eastAsia="宋体" w:cs="Arial"/>
          <w:kern w:val="0"/>
          <w:sz w:val="24"/>
          <w:szCs w:val="24"/>
        </w:rPr>
        <w:t>.2.2</w:t>
      </w:r>
      <w:r>
        <w:rPr>
          <w:rFonts w:hint="eastAsia" w:ascii="宋体" w:hAnsi="宋体" w:eastAsia="宋体" w:cs="Arial"/>
          <w:kern w:val="0"/>
          <w:sz w:val="24"/>
          <w:szCs w:val="24"/>
        </w:rPr>
        <w:t>退出评审的磋商小组成员，其已完成的评审行为无效，由更换的评审专家进行评审。</w:t>
      </w:r>
    </w:p>
    <w:p w14:paraId="2CB95334">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8</w:t>
      </w:r>
      <w:r>
        <w:rPr>
          <w:rFonts w:ascii="宋体" w:hAnsi="宋体" w:eastAsia="宋体" w:cs="Arial"/>
          <w:kern w:val="0"/>
          <w:sz w:val="24"/>
          <w:szCs w:val="24"/>
        </w:rPr>
        <w:t>.3</w:t>
      </w:r>
      <w:r>
        <w:rPr>
          <w:rFonts w:hint="eastAsia" w:ascii="宋体" w:hAnsi="宋体" w:eastAsia="宋体" w:cs="Arial"/>
          <w:kern w:val="0"/>
          <w:sz w:val="24"/>
          <w:szCs w:val="24"/>
        </w:rPr>
        <w:t>在评审环节中，需磋商小组就某项定性的评审结论做出表决的，由磋商小组全体成员按照少数服从多数的原则确定。</w:t>
      </w:r>
    </w:p>
    <w:p w14:paraId="77E02473">
      <w:pPr>
        <w:widowControl/>
        <w:spacing w:line="360" w:lineRule="auto"/>
        <w:jc w:val="left"/>
        <w:rPr>
          <w:rFonts w:ascii="宋体" w:hAnsi="宋体" w:eastAsia="宋体" w:cs="Times New Roman"/>
          <w:b/>
          <w:sz w:val="24"/>
          <w:szCs w:val="24"/>
        </w:rPr>
      </w:pPr>
      <w:bookmarkStart w:id="48" w:name="_Toc485312286"/>
      <w:r>
        <w:rPr>
          <w:rFonts w:ascii="宋体" w:hAnsi="宋体" w:eastAsia="宋体" w:cs="Times New Roman"/>
          <w:b/>
          <w:sz w:val="24"/>
          <w:szCs w:val="24"/>
        </w:rPr>
        <w:br w:type="page"/>
      </w:r>
    </w:p>
    <w:p w14:paraId="535FB886">
      <w:pPr>
        <w:widowControl/>
        <w:spacing w:line="360" w:lineRule="auto"/>
        <w:jc w:val="center"/>
        <w:rPr>
          <w:rFonts w:ascii="宋体" w:hAnsi="Calibri" w:eastAsia="宋体" w:cs="Times New Roman"/>
          <w:b/>
          <w:sz w:val="24"/>
          <w:szCs w:val="24"/>
        </w:rPr>
      </w:pPr>
      <w:r>
        <w:rPr>
          <w:rFonts w:hint="eastAsia" w:ascii="宋体" w:hAnsi="宋体" w:eastAsia="宋体" w:cs="Times New Roman"/>
          <w:b/>
          <w:sz w:val="24"/>
          <w:szCs w:val="24"/>
        </w:rPr>
        <w:t>问题澄清通知</w:t>
      </w:r>
    </w:p>
    <w:p w14:paraId="110A0F3F">
      <w:pPr>
        <w:spacing w:line="360" w:lineRule="auto"/>
        <w:rPr>
          <w:rFonts w:ascii="宋体" w:hAnsi="Calibri" w:eastAsia="宋体" w:cs="Times New Roman"/>
          <w:sz w:val="24"/>
          <w:szCs w:val="24"/>
        </w:rPr>
      </w:pPr>
    </w:p>
    <w:p w14:paraId="49E17FCB">
      <w:pPr>
        <w:spacing w:line="360" w:lineRule="auto"/>
        <w:rPr>
          <w:rFonts w:ascii="宋体" w:hAnsi="Calibri" w:eastAsia="宋体" w:cs="Arial"/>
          <w:kern w:val="0"/>
          <w:sz w:val="24"/>
          <w:szCs w:val="24"/>
        </w:rPr>
      </w:pPr>
      <w:r>
        <w:rPr>
          <w:rFonts w:ascii="宋体" w:hAnsi="宋体" w:eastAsia="宋体" w:cs="Arial"/>
          <w:kern w:val="0"/>
          <w:sz w:val="24"/>
          <w:szCs w:val="24"/>
          <w:u w:val="single"/>
        </w:rPr>
        <w:t xml:space="preserve">                         </w:t>
      </w:r>
      <w:r>
        <w:rPr>
          <w:rFonts w:hint="eastAsia" w:ascii="宋体" w:hAnsi="宋体" w:eastAsia="宋体" w:cs="Arial"/>
          <w:kern w:val="0"/>
          <w:sz w:val="24"/>
          <w:szCs w:val="24"/>
        </w:rPr>
        <w:t>（供应商名称）：</w:t>
      </w:r>
    </w:p>
    <w:p w14:paraId="14B9F59B">
      <w:pPr>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u w:val="single"/>
        </w:rPr>
        <w:t xml:space="preserve">                       </w:t>
      </w:r>
      <w:r>
        <w:rPr>
          <w:rFonts w:hint="eastAsia" w:ascii="宋体" w:hAnsi="宋体" w:eastAsia="宋体" w:cs="Arial"/>
          <w:kern w:val="0"/>
          <w:sz w:val="24"/>
          <w:szCs w:val="24"/>
        </w:rPr>
        <w:t>（采购项目名称）的磋商小组，对你方的响应文件进行了仔细的审查，现需你方对本通知所附质疑问卷中的问题以书面形式予以澄清、说明或者补正。</w:t>
      </w:r>
    </w:p>
    <w:p w14:paraId="19230915">
      <w:pPr>
        <w:spacing w:line="360" w:lineRule="auto"/>
        <w:rPr>
          <w:rFonts w:ascii="宋体" w:hAnsi="Calibri" w:eastAsia="宋体" w:cs="Arial"/>
          <w:kern w:val="0"/>
          <w:sz w:val="24"/>
          <w:szCs w:val="24"/>
        </w:rPr>
      </w:pPr>
      <w:r>
        <w:rPr>
          <w:rFonts w:hint="eastAsia" w:ascii="宋体" w:hAnsi="宋体" w:eastAsia="宋体" w:cs="Arial"/>
          <w:kern w:val="0"/>
          <w:sz w:val="24"/>
          <w:szCs w:val="24"/>
        </w:rPr>
        <w:t>质疑问题：</w:t>
      </w:r>
    </w:p>
    <w:p w14:paraId="5273CD1A">
      <w:pPr>
        <w:spacing w:line="360" w:lineRule="auto"/>
        <w:rPr>
          <w:rFonts w:ascii="宋体" w:hAnsi="Calibri" w:eastAsia="宋体" w:cs="Arial"/>
          <w:kern w:val="0"/>
          <w:sz w:val="24"/>
          <w:szCs w:val="24"/>
        </w:rPr>
      </w:pPr>
    </w:p>
    <w:p w14:paraId="10E3F1F4">
      <w:pPr>
        <w:spacing w:line="360" w:lineRule="auto"/>
        <w:rPr>
          <w:rFonts w:ascii="宋体" w:hAnsi="Calibri" w:eastAsia="宋体" w:cs="Arial"/>
          <w:kern w:val="0"/>
          <w:sz w:val="24"/>
          <w:szCs w:val="24"/>
        </w:rPr>
      </w:pPr>
    </w:p>
    <w:p w14:paraId="60A38DC0">
      <w:pPr>
        <w:spacing w:line="360" w:lineRule="auto"/>
        <w:rPr>
          <w:rFonts w:ascii="宋体" w:hAnsi="Calibri" w:eastAsia="宋体" w:cs="Arial"/>
          <w:kern w:val="0"/>
          <w:sz w:val="24"/>
          <w:szCs w:val="24"/>
        </w:rPr>
      </w:pPr>
    </w:p>
    <w:p w14:paraId="5AAB17CC">
      <w:pPr>
        <w:spacing w:line="360" w:lineRule="auto"/>
        <w:rPr>
          <w:rFonts w:ascii="宋体" w:hAnsi="Calibri" w:eastAsia="宋体" w:cs="Arial"/>
          <w:kern w:val="0"/>
          <w:sz w:val="24"/>
          <w:szCs w:val="24"/>
        </w:rPr>
      </w:pPr>
    </w:p>
    <w:p w14:paraId="5F2EE2E8">
      <w:pPr>
        <w:spacing w:line="360" w:lineRule="auto"/>
        <w:rPr>
          <w:rFonts w:ascii="宋体" w:hAnsi="Calibri" w:eastAsia="宋体" w:cs="Arial"/>
          <w:kern w:val="0"/>
          <w:sz w:val="24"/>
          <w:szCs w:val="24"/>
        </w:rPr>
      </w:pPr>
    </w:p>
    <w:p w14:paraId="688EDE1D">
      <w:pPr>
        <w:spacing w:line="360" w:lineRule="auto"/>
        <w:rPr>
          <w:rFonts w:ascii="宋体" w:hAnsi="Calibri" w:eastAsia="宋体" w:cs="Arial"/>
          <w:kern w:val="0"/>
          <w:sz w:val="24"/>
          <w:szCs w:val="24"/>
        </w:rPr>
      </w:pPr>
    </w:p>
    <w:p w14:paraId="2A65EFA6">
      <w:pPr>
        <w:spacing w:line="360" w:lineRule="auto"/>
        <w:rPr>
          <w:rFonts w:ascii="宋体" w:hAnsi="Calibri" w:eastAsia="宋体" w:cs="Arial"/>
          <w:kern w:val="0"/>
          <w:sz w:val="24"/>
          <w:szCs w:val="24"/>
        </w:rPr>
      </w:pPr>
    </w:p>
    <w:p w14:paraId="4906B67B">
      <w:pPr>
        <w:spacing w:line="360" w:lineRule="auto"/>
        <w:rPr>
          <w:rFonts w:ascii="宋体" w:hAnsi="Calibri" w:eastAsia="宋体" w:cs="Arial"/>
          <w:kern w:val="0"/>
          <w:sz w:val="24"/>
          <w:szCs w:val="24"/>
        </w:rPr>
      </w:pPr>
    </w:p>
    <w:p w14:paraId="05DE56AE">
      <w:pPr>
        <w:spacing w:line="360" w:lineRule="auto"/>
        <w:rPr>
          <w:rFonts w:ascii="宋体" w:hAnsi="Calibri" w:eastAsia="宋体" w:cs="Arial"/>
          <w:kern w:val="0"/>
          <w:sz w:val="24"/>
          <w:szCs w:val="24"/>
        </w:rPr>
      </w:pPr>
    </w:p>
    <w:p w14:paraId="5BD88FFE">
      <w:pPr>
        <w:spacing w:line="360" w:lineRule="auto"/>
        <w:rPr>
          <w:rFonts w:ascii="宋体" w:hAnsi="Calibri" w:eastAsia="宋体" w:cs="Arial"/>
          <w:kern w:val="0"/>
          <w:sz w:val="24"/>
          <w:szCs w:val="24"/>
        </w:rPr>
      </w:pPr>
    </w:p>
    <w:p w14:paraId="7F9CA3BA">
      <w:pPr>
        <w:spacing w:line="360" w:lineRule="auto"/>
        <w:rPr>
          <w:rFonts w:ascii="宋体" w:hAnsi="Calibri" w:eastAsia="宋体" w:cs="Arial"/>
          <w:kern w:val="0"/>
          <w:sz w:val="24"/>
          <w:szCs w:val="24"/>
        </w:rPr>
      </w:pPr>
    </w:p>
    <w:p w14:paraId="72072164">
      <w:pPr>
        <w:spacing w:line="360" w:lineRule="auto"/>
        <w:rPr>
          <w:rFonts w:ascii="宋体" w:hAnsi="Calibri" w:eastAsia="宋体" w:cs="Arial"/>
          <w:kern w:val="0"/>
          <w:sz w:val="24"/>
          <w:szCs w:val="24"/>
        </w:rPr>
      </w:pPr>
      <w:r>
        <w:rPr>
          <w:rFonts w:hint="eastAsia" w:ascii="宋体" w:hAnsi="宋体" w:eastAsia="宋体" w:cs="Arial"/>
          <w:kern w:val="0"/>
          <w:sz w:val="24"/>
          <w:szCs w:val="24"/>
        </w:rPr>
        <w:t>磋商小组员（签字）：</w:t>
      </w:r>
    </w:p>
    <w:p w14:paraId="200A1256">
      <w:pPr>
        <w:spacing w:line="360" w:lineRule="auto"/>
        <w:rPr>
          <w:rFonts w:ascii="宋体" w:hAnsi="Calibri" w:eastAsia="宋体" w:cs="Arial"/>
          <w:kern w:val="0"/>
          <w:sz w:val="24"/>
          <w:szCs w:val="24"/>
        </w:rPr>
      </w:pPr>
    </w:p>
    <w:p w14:paraId="70677E2F">
      <w:pPr>
        <w:spacing w:line="360" w:lineRule="auto"/>
        <w:rPr>
          <w:rFonts w:ascii="宋体" w:hAnsi="Calibri" w:eastAsia="宋体" w:cs="Arial"/>
          <w:kern w:val="0"/>
          <w:sz w:val="24"/>
          <w:szCs w:val="24"/>
        </w:rPr>
      </w:pPr>
      <w:r>
        <w:rPr>
          <w:rFonts w:hint="eastAsia" w:ascii="宋体" w:hAnsi="宋体" w:eastAsia="宋体" w:cs="Arial"/>
          <w:kern w:val="0"/>
          <w:sz w:val="24"/>
          <w:szCs w:val="24"/>
        </w:rPr>
        <w:t>日期：  年   月   日</w:t>
      </w:r>
    </w:p>
    <w:p w14:paraId="147F3987">
      <w:pPr>
        <w:spacing w:line="360" w:lineRule="auto"/>
        <w:jc w:val="center"/>
        <w:rPr>
          <w:rFonts w:ascii="宋体" w:hAnsi="Calibri" w:eastAsia="宋体" w:cs="Times New Roman"/>
          <w:b/>
          <w:sz w:val="24"/>
          <w:szCs w:val="24"/>
        </w:rPr>
      </w:pPr>
      <w:r>
        <w:rPr>
          <w:rFonts w:ascii="宋体" w:hAnsi="Calibri" w:eastAsia="宋体" w:cs="Arial"/>
          <w:kern w:val="0"/>
          <w:sz w:val="24"/>
          <w:szCs w:val="24"/>
        </w:rPr>
        <w:br w:type="page"/>
      </w:r>
      <w:r>
        <w:rPr>
          <w:rFonts w:hint="eastAsia" w:ascii="宋体" w:hAnsi="宋体" w:eastAsia="宋体" w:cs="Times New Roman"/>
          <w:b/>
          <w:sz w:val="24"/>
          <w:szCs w:val="24"/>
        </w:rPr>
        <w:t>问题的澄清、说明或补正</w:t>
      </w:r>
    </w:p>
    <w:p w14:paraId="6AD9D076">
      <w:pPr>
        <w:spacing w:line="360" w:lineRule="auto"/>
        <w:rPr>
          <w:rFonts w:ascii="宋体" w:hAnsi="宋体" w:eastAsia="宋体" w:cs="Arial"/>
          <w:kern w:val="0"/>
          <w:sz w:val="24"/>
          <w:szCs w:val="24"/>
        </w:rPr>
      </w:pPr>
    </w:p>
    <w:p w14:paraId="0BB550AB">
      <w:pPr>
        <w:spacing w:line="360" w:lineRule="auto"/>
        <w:rPr>
          <w:rFonts w:ascii="宋体" w:hAnsi="Calibri" w:eastAsia="宋体" w:cs="Arial"/>
          <w:kern w:val="0"/>
          <w:sz w:val="24"/>
          <w:szCs w:val="24"/>
        </w:rPr>
      </w:pPr>
      <w:r>
        <w:rPr>
          <w:rFonts w:hint="eastAsia" w:ascii="宋体" w:hAnsi="宋体" w:eastAsia="宋体" w:cs="Arial"/>
          <w:kern w:val="0"/>
          <w:sz w:val="24"/>
          <w:szCs w:val="24"/>
        </w:rPr>
        <w:t>磋商小组：</w:t>
      </w:r>
    </w:p>
    <w:p w14:paraId="5E504F94">
      <w:pPr>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u w:val="single"/>
        </w:rPr>
        <w:t xml:space="preserve">                  </w:t>
      </w:r>
      <w:r>
        <w:rPr>
          <w:rFonts w:hint="eastAsia" w:ascii="宋体" w:hAnsi="宋体" w:eastAsia="宋体" w:cs="Arial"/>
          <w:kern w:val="0"/>
          <w:sz w:val="24"/>
          <w:szCs w:val="24"/>
        </w:rPr>
        <w:t>（采购项目名称）的问题澄清通知已收悉，现澄清、说明或者补正如下：</w:t>
      </w:r>
    </w:p>
    <w:p w14:paraId="28C58272">
      <w:pPr>
        <w:spacing w:line="360" w:lineRule="auto"/>
        <w:rPr>
          <w:rFonts w:ascii="宋体" w:hAnsi="Calibri" w:eastAsia="宋体" w:cs="Arial"/>
          <w:kern w:val="0"/>
          <w:sz w:val="24"/>
          <w:szCs w:val="24"/>
        </w:rPr>
      </w:pPr>
    </w:p>
    <w:p w14:paraId="3DA6D9FE">
      <w:pPr>
        <w:spacing w:line="360" w:lineRule="auto"/>
        <w:rPr>
          <w:rFonts w:ascii="宋体" w:hAnsi="Calibri" w:eastAsia="宋体" w:cs="Arial"/>
          <w:kern w:val="0"/>
          <w:sz w:val="24"/>
          <w:szCs w:val="24"/>
        </w:rPr>
      </w:pPr>
    </w:p>
    <w:p w14:paraId="273280C3">
      <w:pPr>
        <w:spacing w:line="360" w:lineRule="auto"/>
        <w:rPr>
          <w:rFonts w:ascii="宋体" w:hAnsi="Calibri" w:eastAsia="宋体" w:cs="Arial"/>
          <w:kern w:val="0"/>
          <w:sz w:val="24"/>
          <w:szCs w:val="24"/>
        </w:rPr>
      </w:pPr>
    </w:p>
    <w:p w14:paraId="3B34B6FE">
      <w:pPr>
        <w:spacing w:line="360" w:lineRule="auto"/>
        <w:rPr>
          <w:rFonts w:ascii="宋体" w:hAnsi="Calibri" w:eastAsia="宋体" w:cs="Arial"/>
          <w:kern w:val="0"/>
          <w:sz w:val="24"/>
          <w:szCs w:val="24"/>
        </w:rPr>
      </w:pPr>
    </w:p>
    <w:p w14:paraId="7F21EC28">
      <w:pPr>
        <w:spacing w:line="360" w:lineRule="auto"/>
        <w:rPr>
          <w:rFonts w:ascii="宋体" w:hAnsi="Calibri" w:eastAsia="宋体" w:cs="Arial"/>
          <w:kern w:val="0"/>
          <w:sz w:val="24"/>
          <w:szCs w:val="24"/>
        </w:rPr>
      </w:pPr>
    </w:p>
    <w:p w14:paraId="409A1811">
      <w:pPr>
        <w:spacing w:line="360" w:lineRule="auto"/>
        <w:rPr>
          <w:rFonts w:ascii="宋体" w:hAnsi="Calibri" w:eastAsia="宋体" w:cs="Arial"/>
          <w:kern w:val="0"/>
          <w:sz w:val="24"/>
          <w:szCs w:val="24"/>
        </w:rPr>
      </w:pPr>
    </w:p>
    <w:p w14:paraId="558B2211">
      <w:pPr>
        <w:spacing w:line="360" w:lineRule="auto"/>
        <w:rPr>
          <w:rFonts w:ascii="宋体" w:hAnsi="Calibri" w:eastAsia="宋体" w:cs="Arial"/>
          <w:kern w:val="0"/>
          <w:sz w:val="24"/>
          <w:szCs w:val="24"/>
        </w:rPr>
      </w:pPr>
    </w:p>
    <w:p w14:paraId="257D9012">
      <w:pPr>
        <w:spacing w:line="360" w:lineRule="auto"/>
        <w:rPr>
          <w:rFonts w:ascii="宋体" w:hAnsi="Calibri" w:eastAsia="宋体" w:cs="Arial"/>
          <w:kern w:val="0"/>
          <w:sz w:val="24"/>
          <w:szCs w:val="24"/>
        </w:rPr>
      </w:pPr>
    </w:p>
    <w:p w14:paraId="7092565C">
      <w:pPr>
        <w:spacing w:line="360" w:lineRule="auto"/>
        <w:rPr>
          <w:rFonts w:ascii="宋体" w:hAnsi="Calibri" w:eastAsia="宋体" w:cs="Arial"/>
          <w:kern w:val="0"/>
          <w:sz w:val="24"/>
          <w:szCs w:val="24"/>
        </w:rPr>
      </w:pPr>
      <w:r>
        <w:rPr>
          <w:rFonts w:hint="eastAsia" w:ascii="宋体" w:hAnsi="宋体" w:eastAsia="宋体" w:cs="Arial"/>
          <w:kern w:val="0"/>
          <w:sz w:val="24"/>
          <w:szCs w:val="24"/>
        </w:rPr>
        <w:t>法定代表人或其授权委托人（签字）：</w:t>
      </w:r>
    </w:p>
    <w:p w14:paraId="16278D31">
      <w:pPr>
        <w:spacing w:line="360" w:lineRule="auto"/>
        <w:rPr>
          <w:rFonts w:ascii="宋体" w:hAnsi="Calibri" w:eastAsia="宋体" w:cs="Arial"/>
          <w:kern w:val="0"/>
          <w:sz w:val="24"/>
          <w:szCs w:val="24"/>
        </w:rPr>
      </w:pPr>
    </w:p>
    <w:p w14:paraId="08614271">
      <w:pPr>
        <w:spacing w:line="360" w:lineRule="auto"/>
        <w:rPr>
          <w:rFonts w:ascii="宋体" w:hAnsi="Calibri" w:eastAsia="宋体" w:cs="Arial"/>
          <w:kern w:val="0"/>
          <w:sz w:val="24"/>
          <w:szCs w:val="24"/>
        </w:rPr>
      </w:pPr>
      <w:r>
        <w:rPr>
          <w:rFonts w:hint="eastAsia" w:ascii="宋体" w:hAnsi="宋体" w:eastAsia="宋体" w:cs="Arial"/>
          <w:kern w:val="0"/>
          <w:sz w:val="24"/>
          <w:szCs w:val="24"/>
        </w:rPr>
        <w:t>日期：  年  月  日</w:t>
      </w:r>
    </w:p>
    <w:p w14:paraId="0D1F1BD1">
      <w:pPr>
        <w:spacing w:line="360" w:lineRule="auto"/>
        <w:jc w:val="center"/>
        <w:outlineLvl w:val="0"/>
        <w:rPr>
          <w:rFonts w:ascii="宋体" w:hAnsi="宋体" w:eastAsia="宋体" w:cs="宋体"/>
          <w:b/>
          <w:sz w:val="24"/>
          <w:szCs w:val="24"/>
        </w:rPr>
      </w:pPr>
      <w:r>
        <w:rPr>
          <w:rFonts w:ascii="宋体" w:hAnsi="Calibri" w:eastAsia="宋体" w:cs="Arial"/>
          <w:kern w:val="0"/>
          <w:sz w:val="24"/>
          <w:szCs w:val="24"/>
        </w:rPr>
        <w:br w:type="page"/>
      </w:r>
      <w:bookmarkEnd w:id="48"/>
      <w:bookmarkStart w:id="49" w:name="_Toc29815"/>
      <w:bookmarkStart w:id="50" w:name="_Toc47714172"/>
      <w:r>
        <w:rPr>
          <w:rFonts w:hint="eastAsia" w:ascii="宋体" w:hAnsi="宋体" w:eastAsia="宋体" w:cs="宋体"/>
          <w:b/>
          <w:sz w:val="32"/>
          <w:szCs w:val="24"/>
        </w:rPr>
        <w:t>第三章 合同条款及格式</w:t>
      </w:r>
      <w:bookmarkEnd w:id="49"/>
      <w:bookmarkEnd w:id="50"/>
    </w:p>
    <w:p w14:paraId="0D0704C3">
      <w:pPr>
        <w:spacing w:line="560" w:lineRule="exact"/>
        <w:ind w:firstLine="601"/>
        <w:jc w:val="center"/>
        <w:rPr>
          <w:rFonts w:hint="eastAsia" w:ascii="宋体" w:hAnsi="宋体" w:eastAsia="宋体" w:cs="Times New Roman"/>
          <w:b w:val="0"/>
          <w:bCs/>
          <w:sz w:val="22"/>
          <w:szCs w:val="22"/>
          <w:lang w:val="en-US" w:eastAsia="zh-CN"/>
        </w:rPr>
      </w:pPr>
      <w:bookmarkStart w:id="51" w:name="OLE_LINK1"/>
      <w:r>
        <w:rPr>
          <w:rFonts w:hint="eastAsia" w:ascii="宋体" w:hAnsi="宋体" w:eastAsia="宋体" w:cs="Times New Roman"/>
          <w:b w:val="0"/>
          <w:bCs/>
          <w:sz w:val="22"/>
          <w:szCs w:val="22"/>
          <w:lang w:val="en-US" w:eastAsia="zh-CN"/>
        </w:rPr>
        <w:t>（具体以签订实际合同为准）</w:t>
      </w:r>
    </w:p>
    <w:p w14:paraId="145D911A">
      <w:pPr>
        <w:spacing w:line="560" w:lineRule="exact"/>
        <w:ind w:firstLine="601"/>
        <w:jc w:val="center"/>
        <w:rPr>
          <w:rFonts w:ascii="宋体" w:hAnsi="宋体" w:eastAsia="宋体" w:cs="Times New Roman"/>
          <w:b/>
          <w:sz w:val="44"/>
          <w:szCs w:val="44"/>
        </w:rPr>
      </w:pPr>
    </w:p>
    <w:p w14:paraId="4DD6AF79">
      <w:pPr>
        <w:spacing w:line="560" w:lineRule="exact"/>
        <w:ind w:firstLine="601"/>
        <w:jc w:val="center"/>
        <w:rPr>
          <w:rFonts w:hint="eastAsia" w:ascii="仿宋" w:hAnsi="仿宋" w:eastAsia="仿宋" w:cs="仿宋"/>
          <w:b/>
          <w:sz w:val="44"/>
          <w:szCs w:val="44"/>
          <w:lang w:eastAsia="zh-CN"/>
        </w:rPr>
      </w:pPr>
      <w:r>
        <w:rPr>
          <w:rFonts w:hint="eastAsia" w:ascii="仿宋" w:hAnsi="仿宋" w:eastAsia="仿宋" w:cs="仿宋"/>
          <w:b/>
          <w:sz w:val="44"/>
          <w:szCs w:val="44"/>
        </w:rPr>
        <w:t>新疆医科大学</w:t>
      </w:r>
      <w:r>
        <w:rPr>
          <w:rFonts w:hint="eastAsia" w:ascii="仿宋" w:hAnsi="仿宋" w:eastAsia="仿宋" w:cs="仿宋"/>
          <w:b/>
          <w:sz w:val="44"/>
          <w:szCs w:val="44"/>
          <w:lang w:eastAsia="zh-CN"/>
        </w:rPr>
        <w:t>第一附属医院</w:t>
      </w:r>
    </w:p>
    <w:p w14:paraId="2B8B7845">
      <w:pPr>
        <w:spacing w:line="560" w:lineRule="exact"/>
        <w:ind w:firstLine="601"/>
        <w:jc w:val="center"/>
        <w:rPr>
          <w:rFonts w:hint="eastAsia" w:ascii="仿宋" w:hAnsi="仿宋" w:eastAsia="仿宋" w:cs="仿宋"/>
          <w:b/>
          <w:color w:val="auto"/>
          <w:sz w:val="44"/>
          <w:szCs w:val="44"/>
        </w:rPr>
      </w:pPr>
      <w:r>
        <w:rPr>
          <w:rFonts w:hint="eastAsia" w:ascii="仿宋" w:hAnsi="仿宋" w:eastAsia="仿宋" w:cs="仿宋"/>
          <w:b/>
          <w:color w:val="auto"/>
          <w:sz w:val="44"/>
          <w:szCs w:val="44"/>
          <w:lang w:eastAsia="zh-CN"/>
        </w:rPr>
        <w:t>油烟机清洗服务合同</w:t>
      </w:r>
    </w:p>
    <w:p w14:paraId="2701DD42">
      <w:pPr>
        <w:spacing w:line="560" w:lineRule="exact"/>
        <w:rPr>
          <w:rFonts w:ascii="仿宋" w:hAnsi="仿宋" w:eastAsia="仿宋" w:cs="Times New Roman"/>
          <w:color w:val="auto"/>
          <w:sz w:val="24"/>
          <w:szCs w:val="24"/>
        </w:rPr>
      </w:pPr>
    </w:p>
    <w:p w14:paraId="27E65FEE">
      <w:pPr>
        <w:spacing w:line="560" w:lineRule="exact"/>
        <w:rPr>
          <w:rFonts w:ascii="仿宋" w:hAnsi="仿宋" w:eastAsia="仿宋" w:cs="Times New Roman"/>
          <w:color w:val="auto"/>
          <w:sz w:val="24"/>
          <w:szCs w:val="24"/>
        </w:rPr>
      </w:pPr>
    </w:p>
    <w:p w14:paraId="4103F18B">
      <w:pPr>
        <w:spacing w:line="560" w:lineRule="exact"/>
        <w:jc w:val="left"/>
        <w:rPr>
          <w:rFonts w:ascii="仿宋" w:hAnsi="仿宋" w:eastAsia="仿宋" w:cs="Times New Roman"/>
          <w:color w:val="auto"/>
          <w:sz w:val="30"/>
          <w:szCs w:val="30"/>
        </w:rPr>
      </w:pPr>
    </w:p>
    <w:p w14:paraId="42678E03">
      <w:pPr>
        <w:spacing w:line="560" w:lineRule="exact"/>
        <w:jc w:val="both"/>
        <w:rPr>
          <w:rFonts w:hint="eastAsia" w:ascii="仿宋" w:hAnsi="仿宋" w:eastAsia="仿宋" w:cs="仿宋"/>
          <w:color w:val="auto"/>
          <w:sz w:val="30"/>
          <w:szCs w:val="30"/>
        </w:rPr>
      </w:pPr>
    </w:p>
    <w:p w14:paraId="6C4BF32D">
      <w:pPr>
        <w:spacing w:line="560" w:lineRule="exact"/>
        <w:ind w:firstLine="2100" w:firstLineChars="700"/>
        <w:jc w:val="both"/>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甲    方</w:t>
      </w:r>
      <w:r>
        <w:rPr>
          <w:rFonts w:hint="eastAsia" w:ascii="仿宋" w:hAnsi="仿宋" w:eastAsia="仿宋" w:cs="仿宋"/>
          <w:color w:val="auto"/>
          <w:sz w:val="30"/>
          <w:szCs w:val="30"/>
        </w:rPr>
        <w:t>：新疆医科大学</w:t>
      </w:r>
      <w:r>
        <w:rPr>
          <w:rFonts w:hint="eastAsia" w:ascii="仿宋" w:hAnsi="仿宋" w:eastAsia="仿宋" w:cs="仿宋"/>
          <w:color w:val="auto"/>
          <w:sz w:val="30"/>
          <w:szCs w:val="30"/>
          <w:lang w:eastAsia="zh-CN"/>
        </w:rPr>
        <w:t>第一附属医院</w:t>
      </w:r>
    </w:p>
    <w:p w14:paraId="1A0E5B06">
      <w:pPr>
        <w:spacing w:line="560" w:lineRule="exact"/>
        <w:ind w:firstLine="1350" w:firstLineChars="450"/>
        <w:jc w:val="center"/>
        <w:rPr>
          <w:rFonts w:hint="eastAsia" w:ascii="仿宋" w:hAnsi="仿宋" w:eastAsia="仿宋" w:cs="仿宋"/>
          <w:color w:val="auto"/>
          <w:sz w:val="30"/>
          <w:szCs w:val="30"/>
        </w:rPr>
      </w:pPr>
    </w:p>
    <w:p w14:paraId="3866303F">
      <w:pPr>
        <w:spacing w:line="560" w:lineRule="exact"/>
        <w:ind w:firstLine="2100" w:firstLineChars="700"/>
        <w:jc w:val="both"/>
        <w:rPr>
          <w:rFonts w:hint="eastAsia" w:ascii="仿宋" w:hAnsi="仿宋" w:eastAsia="仿宋" w:cs="仿宋"/>
          <w:color w:val="auto"/>
          <w:sz w:val="30"/>
          <w:szCs w:val="30"/>
          <w:lang w:eastAsia="zh-CN"/>
        </w:rPr>
      </w:pPr>
      <w:r>
        <w:rPr>
          <w:rFonts w:hint="eastAsia" w:ascii="仿宋" w:hAnsi="仿宋" w:eastAsia="仿宋" w:cs="仿宋"/>
          <w:color w:val="auto"/>
          <w:sz w:val="30"/>
          <w:szCs w:val="30"/>
        </w:rPr>
        <w:t>乙</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方：</w:t>
      </w:r>
    </w:p>
    <w:p w14:paraId="2752BE2F">
      <w:pPr>
        <w:spacing w:line="560" w:lineRule="exact"/>
        <w:ind w:firstLine="1350" w:firstLineChars="450"/>
        <w:jc w:val="center"/>
        <w:rPr>
          <w:rFonts w:hint="eastAsia" w:ascii="仿宋" w:hAnsi="仿宋" w:eastAsia="仿宋" w:cs="仿宋"/>
          <w:color w:val="auto"/>
          <w:sz w:val="30"/>
          <w:szCs w:val="30"/>
        </w:rPr>
      </w:pPr>
    </w:p>
    <w:p w14:paraId="083DBB83">
      <w:pPr>
        <w:spacing w:line="560" w:lineRule="exact"/>
        <w:ind w:firstLine="2100" w:firstLineChars="700"/>
        <w:jc w:val="both"/>
        <w:rPr>
          <w:rFonts w:hint="eastAsia" w:ascii="仿宋" w:hAnsi="仿宋" w:eastAsia="仿宋" w:cs="仿宋"/>
          <w:color w:val="auto"/>
          <w:sz w:val="30"/>
          <w:szCs w:val="30"/>
        </w:rPr>
      </w:pPr>
      <w:r>
        <w:rPr>
          <w:rFonts w:hint="eastAsia" w:ascii="仿宋" w:hAnsi="仿宋" w:eastAsia="仿宋" w:cs="仿宋"/>
          <w:color w:val="auto"/>
          <w:sz w:val="30"/>
          <w:szCs w:val="30"/>
        </w:rPr>
        <w:t>签约地点：新疆乌鲁木齐市</w:t>
      </w:r>
    </w:p>
    <w:p w14:paraId="575A2A25">
      <w:pPr>
        <w:spacing w:line="560" w:lineRule="exact"/>
        <w:jc w:val="center"/>
        <w:rPr>
          <w:rFonts w:hint="eastAsia" w:ascii="仿宋" w:hAnsi="仿宋" w:eastAsia="仿宋" w:cs="仿宋"/>
          <w:color w:val="auto"/>
          <w:sz w:val="30"/>
          <w:szCs w:val="30"/>
        </w:rPr>
      </w:pPr>
    </w:p>
    <w:p w14:paraId="32BCD046">
      <w:pPr>
        <w:spacing w:line="560" w:lineRule="exact"/>
        <w:ind w:firstLine="2100" w:firstLineChars="700"/>
        <w:jc w:val="both"/>
        <w:rPr>
          <w:rFonts w:hint="eastAsia" w:ascii="仿宋" w:hAnsi="仿宋" w:eastAsia="仿宋" w:cs="仿宋"/>
          <w:color w:val="auto"/>
          <w:sz w:val="30"/>
          <w:szCs w:val="30"/>
        </w:rPr>
      </w:pPr>
      <w:r>
        <w:rPr>
          <w:rFonts w:hint="eastAsia" w:ascii="仿宋" w:hAnsi="仿宋" w:eastAsia="仿宋" w:cs="仿宋"/>
          <w:color w:val="auto"/>
          <w:sz w:val="30"/>
          <w:szCs w:val="30"/>
        </w:rPr>
        <w:t>合同编号：</w:t>
      </w:r>
    </w:p>
    <w:p w14:paraId="65DF17EA">
      <w:pPr>
        <w:spacing w:line="560" w:lineRule="exact"/>
        <w:jc w:val="center"/>
        <w:rPr>
          <w:rFonts w:ascii="宋体" w:hAnsi="宋体" w:eastAsia="宋体" w:cs="Times New Roman"/>
          <w:color w:val="auto"/>
          <w:sz w:val="30"/>
          <w:szCs w:val="30"/>
        </w:rPr>
      </w:pPr>
    </w:p>
    <w:p w14:paraId="343F74F2">
      <w:pPr>
        <w:spacing w:line="560" w:lineRule="exact"/>
        <w:rPr>
          <w:rFonts w:ascii="宋体" w:hAnsi="宋体" w:eastAsia="宋体" w:cs="Times New Roman"/>
          <w:color w:val="auto"/>
          <w:sz w:val="24"/>
          <w:szCs w:val="24"/>
        </w:rPr>
      </w:pPr>
    </w:p>
    <w:p w14:paraId="5F6D338B">
      <w:pPr>
        <w:spacing w:line="560" w:lineRule="exact"/>
        <w:rPr>
          <w:rFonts w:ascii="仿宋" w:hAnsi="仿宋" w:eastAsia="仿宋" w:cs="Times New Roman"/>
          <w:color w:val="auto"/>
          <w:sz w:val="24"/>
          <w:szCs w:val="24"/>
        </w:rPr>
      </w:pPr>
    </w:p>
    <w:p w14:paraId="104BEAF3">
      <w:pPr>
        <w:spacing w:line="560" w:lineRule="exact"/>
        <w:rPr>
          <w:rFonts w:ascii="仿宋" w:hAnsi="仿宋" w:eastAsia="仿宋" w:cs="Times New Roman"/>
          <w:color w:val="auto"/>
          <w:sz w:val="24"/>
          <w:szCs w:val="24"/>
        </w:rPr>
      </w:pPr>
    </w:p>
    <w:p w14:paraId="4C519A64">
      <w:pPr>
        <w:spacing w:line="360" w:lineRule="auto"/>
        <w:jc w:val="center"/>
        <w:rPr>
          <w:rFonts w:ascii="宋体" w:hAnsi="宋体" w:eastAsia="宋体" w:cs="Times New Roman"/>
          <w:color w:val="auto"/>
          <w:sz w:val="36"/>
          <w:szCs w:val="36"/>
        </w:rPr>
      </w:pPr>
    </w:p>
    <w:p w14:paraId="6FB28010">
      <w:pPr>
        <w:spacing w:line="360" w:lineRule="auto"/>
        <w:jc w:val="center"/>
        <w:rPr>
          <w:rFonts w:ascii="宋体" w:hAnsi="宋体" w:eastAsia="宋体" w:cs="Times New Roman"/>
          <w:color w:val="auto"/>
          <w:sz w:val="36"/>
          <w:szCs w:val="36"/>
        </w:rPr>
      </w:pPr>
    </w:p>
    <w:p w14:paraId="3DCB8787">
      <w:pPr>
        <w:spacing w:line="360" w:lineRule="auto"/>
        <w:jc w:val="center"/>
        <w:rPr>
          <w:rFonts w:ascii="宋体" w:hAnsi="宋体" w:eastAsia="宋体" w:cs="Times New Roman"/>
          <w:color w:val="auto"/>
          <w:sz w:val="36"/>
          <w:szCs w:val="36"/>
        </w:rPr>
      </w:pPr>
    </w:p>
    <w:p w14:paraId="648E0BC4">
      <w:pPr>
        <w:spacing w:line="360" w:lineRule="auto"/>
        <w:jc w:val="center"/>
        <w:rPr>
          <w:rFonts w:hint="eastAsia" w:ascii="仿宋" w:hAnsi="仿宋" w:eastAsia="仿宋" w:cs="仿宋"/>
          <w:color w:val="auto"/>
          <w:sz w:val="30"/>
          <w:szCs w:val="30"/>
          <w:lang w:eastAsia="zh-CN"/>
        </w:rPr>
      </w:pP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lang w:eastAsia="zh-CN"/>
        </w:rPr>
        <w:t>日</w:t>
      </w:r>
    </w:p>
    <w:p w14:paraId="0190E006">
      <w:pPr>
        <w:jc w:val="both"/>
        <w:rPr>
          <w:rFonts w:hint="eastAsia" w:ascii="黑体" w:hAnsi="Times New Roman" w:eastAsia="黑体" w:cs="Times New Roman"/>
          <w:color w:val="auto"/>
          <w:sz w:val="32"/>
          <w:szCs w:val="32"/>
        </w:rPr>
      </w:pPr>
    </w:p>
    <w:p w14:paraId="3CB71EF5">
      <w:pPr>
        <w:ind w:firstLine="1440"/>
        <w:jc w:val="left"/>
        <w:rPr>
          <w:rFonts w:ascii="黑体" w:hAnsi="Times New Roman" w:eastAsia="黑体" w:cs="Times New Roman"/>
          <w:color w:val="auto"/>
          <w:sz w:val="18"/>
          <w:szCs w:val="18"/>
        </w:rPr>
      </w:pPr>
    </w:p>
    <w:p w14:paraId="0DEA389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甲方（清洗单位）</w:t>
      </w:r>
      <w:r>
        <w:rPr>
          <w:rFonts w:hint="eastAsia" w:ascii="仿宋" w:hAnsi="仿宋" w:eastAsia="仿宋" w:cs="仿宋"/>
          <w:color w:val="auto"/>
          <w:sz w:val="24"/>
          <w:szCs w:val="24"/>
        </w:rPr>
        <w:t>：</w:t>
      </w:r>
      <w:r>
        <w:rPr>
          <w:rFonts w:hint="eastAsia" w:ascii="仿宋" w:hAnsi="仿宋" w:eastAsia="仿宋" w:cs="仿宋"/>
          <w:color w:val="auto"/>
          <w:sz w:val="24"/>
          <w:szCs w:val="24"/>
          <w:u w:val="single"/>
          <w:lang w:eastAsia="zh-CN"/>
        </w:rPr>
        <w:t>新疆医科大学第一附属医院</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 xml:space="preserve"> </w:t>
      </w:r>
    </w:p>
    <w:p w14:paraId="423A176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地址：</w:t>
      </w:r>
    </w:p>
    <w:p w14:paraId="2842BAB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联系电话：</w:t>
      </w:r>
    </w:p>
    <w:p w14:paraId="0AFC210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lang w:val="en-US" w:eastAsia="zh-CN"/>
        </w:rPr>
        <w:t>乙方（服务单位）</w:t>
      </w:r>
      <w:r>
        <w:rPr>
          <w:rFonts w:hint="eastAsia" w:ascii="仿宋" w:hAnsi="仿宋" w:eastAsia="仿宋" w:cs="仿宋"/>
          <w:color w:val="auto"/>
          <w:sz w:val="24"/>
          <w:szCs w:val="24"/>
        </w:rPr>
        <w:t>：</w:t>
      </w:r>
      <w:r>
        <w:rPr>
          <w:rFonts w:hint="eastAsia" w:ascii="仿宋" w:hAnsi="仿宋" w:eastAsia="仿宋" w:cs="仿宋"/>
          <w:color w:val="auto"/>
          <w:sz w:val="24"/>
          <w:szCs w:val="24"/>
          <w:u w:val="single"/>
          <w:lang w:val="en-US" w:eastAsia="zh-CN"/>
        </w:rPr>
        <w:t xml:space="preserve">               </w:t>
      </w:r>
    </w:p>
    <w:p w14:paraId="7E6EF19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地址：</w:t>
      </w:r>
    </w:p>
    <w:p w14:paraId="0ACC7E2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联系电话：</w:t>
      </w:r>
    </w:p>
    <w:p w14:paraId="7A3F84E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p>
    <w:p w14:paraId="4B12B9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single"/>
        </w:rPr>
        <w:t>新疆医科大学第一附属医院</w:t>
      </w:r>
      <w:r>
        <w:rPr>
          <w:rFonts w:hint="eastAsia" w:ascii="仿宋" w:hAnsi="仿宋" w:eastAsia="仿宋" w:cs="仿宋"/>
          <w:color w:val="auto"/>
          <w:sz w:val="24"/>
          <w:szCs w:val="24"/>
        </w:rPr>
        <w:t>（以下简称甲方）与</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（以下简称乙方）就</w:t>
      </w:r>
      <w:r>
        <w:rPr>
          <w:rFonts w:hint="eastAsia" w:ascii="仿宋" w:hAnsi="仿宋" w:eastAsia="仿宋" w:cs="仿宋"/>
          <w:color w:val="auto"/>
          <w:sz w:val="24"/>
          <w:szCs w:val="24"/>
          <w:u w:val="single"/>
          <w:lang w:val="en-US" w:eastAsia="zh-CN"/>
        </w:rPr>
        <w:t xml:space="preserve">  油烟机清洗服务  </w:t>
      </w:r>
      <w:r>
        <w:rPr>
          <w:rFonts w:hint="eastAsia" w:ascii="仿宋" w:hAnsi="仿宋" w:eastAsia="仿宋" w:cs="仿宋"/>
          <w:color w:val="auto"/>
          <w:sz w:val="24"/>
          <w:szCs w:val="24"/>
          <w:lang w:val="en-US" w:eastAsia="zh-CN"/>
        </w:rPr>
        <w:t>事宜</w:t>
      </w:r>
      <w:r>
        <w:rPr>
          <w:rFonts w:hint="eastAsia" w:ascii="仿宋" w:hAnsi="仿宋" w:eastAsia="仿宋" w:cs="仿宋"/>
          <w:color w:val="auto"/>
          <w:sz w:val="24"/>
          <w:szCs w:val="24"/>
        </w:rPr>
        <w:t>，根据《中华人民共和国政府采购法</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中华人民共和国民法典》等规定，本着平等、自愿、互利、互惠的原则，经各方协商一致，订立本合同。</w:t>
      </w:r>
    </w:p>
    <w:p w14:paraId="0D0A6FF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一、清洗范围</w:t>
      </w:r>
    </w:p>
    <w:p w14:paraId="27A80DA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 xml:space="preserve"> 新疆医科学第一附属医院各餐厅及老干食堂所有抽油烟机设备设施清洗及保养服务。</w:t>
      </w:r>
    </w:p>
    <w:p w14:paraId="48240D8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二、清洗费用</w:t>
      </w:r>
    </w:p>
    <w:p w14:paraId="66FC399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在合同有效期内</w:t>
      </w:r>
      <w:r>
        <w:rPr>
          <w:rFonts w:hint="eastAsia" w:ascii="仿宋" w:hAnsi="仿宋" w:eastAsia="仿宋" w:cs="仿宋"/>
          <w:color w:val="auto"/>
          <w:sz w:val="24"/>
          <w:szCs w:val="24"/>
          <w:lang w:eastAsia="zh-CN"/>
        </w:rPr>
        <w:t>餐饮服务中心</w:t>
      </w:r>
      <w:r>
        <w:rPr>
          <w:rFonts w:hint="eastAsia" w:ascii="仿宋" w:hAnsi="仿宋" w:eastAsia="仿宋" w:cs="仿宋"/>
          <w:color w:val="auto"/>
          <w:sz w:val="24"/>
          <w:szCs w:val="24"/>
        </w:rPr>
        <w:t>重油烟区清洗：</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次，清洗费用每次</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元；轻油烟区清洗</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次</w:t>
      </w:r>
      <w:r>
        <w:rPr>
          <w:rFonts w:hint="eastAsia" w:ascii="仿宋" w:hAnsi="仿宋" w:eastAsia="仿宋" w:cs="仿宋"/>
          <w:color w:val="auto"/>
          <w:sz w:val="24"/>
          <w:szCs w:val="24"/>
          <w:lang w:eastAsia="zh-CN"/>
        </w:rPr>
        <w:t>，清</w:t>
      </w:r>
      <w:r>
        <w:rPr>
          <w:rFonts w:hint="eastAsia" w:ascii="仿宋" w:hAnsi="仿宋" w:eastAsia="仿宋" w:cs="仿宋"/>
          <w:color w:val="auto"/>
          <w:sz w:val="24"/>
          <w:szCs w:val="24"/>
        </w:rPr>
        <w:t>洗费用每次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。老干食堂油烟机清洗</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次，清洗费用每次</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p>
    <w:p w14:paraId="66BF81D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lang w:val="en-US" w:eastAsia="zh-CN"/>
        </w:rPr>
        <w:t>合同清洗总金额</w:t>
      </w:r>
      <w:r>
        <w:rPr>
          <w:rFonts w:hint="eastAsia" w:ascii="仿宋" w:hAnsi="仿宋" w:eastAsia="仿宋" w:cs="仿宋"/>
          <w:color w:val="auto"/>
          <w:sz w:val="24"/>
          <w:szCs w:val="24"/>
          <w:lang w:eastAsia="zh-CN"/>
        </w:rPr>
        <w:t>（含税价）</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 xml:space="preserve">元 </w:t>
      </w:r>
      <w:r>
        <w:rPr>
          <w:rFonts w:hint="eastAsia" w:ascii="仿宋" w:hAnsi="仿宋" w:eastAsia="仿宋" w:cs="仿宋"/>
          <w:color w:val="auto"/>
          <w:sz w:val="24"/>
          <w:szCs w:val="24"/>
        </w:rPr>
        <w:t>（大写）</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。合同价格已包括清洗的全部费用及相关税费。乙方应保证甲方除支付合同约定货款之外无需再行支付其他任何费用和款项。</w:t>
      </w:r>
    </w:p>
    <w:p w14:paraId="0902C06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三、合同期限及清洗时间</w:t>
      </w:r>
    </w:p>
    <w:p w14:paraId="12FEAE5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本合同有效期限为</w:t>
      </w:r>
      <w:r>
        <w:rPr>
          <w:rFonts w:hint="eastAsia" w:ascii="仿宋" w:hAnsi="仿宋" w:eastAsia="仿宋" w:cs="仿宋"/>
          <w:sz w:val="24"/>
          <w:szCs w:val="24"/>
          <w:lang w:eastAsia="zh-CN"/>
        </w:rPr>
        <w:t>：以第一次清洗服务时间开始计算有效期限，服务期为一年。</w:t>
      </w:r>
    </w:p>
    <w:p w14:paraId="1A74E36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b/>
          <w:bCs/>
          <w:sz w:val="24"/>
          <w:szCs w:val="24"/>
          <w:lang w:eastAsia="zh-CN"/>
        </w:rPr>
        <w:t>轻油烟区</w:t>
      </w:r>
      <w:r>
        <w:rPr>
          <w:rFonts w:hint="eastAsia" w:ascii="仿宋" w:hAnsi="仿宋" w:eastAsia="仿宋" w:cs="仿宋"/>
          <w:b/>
          <w:bCs/>
          <w:sz w:val="24"/>
          <w:szCs w:val="24"/>
        </w:rPr>
        <w:t>：</w:t>
      </w:r>
      <w:r>
        <w:rPr>
          <w:rFonts w:hint="eastAsia" w:ascii="仿宋" w:hAnsi="仿宋" w:eastAsia="仿宋" w:cs="仿宋"/>
          <w:sz w:val="24"/>
          <w:szCs w:val="24"/>
        </w:rPr>
        <w:t>第一次清洗时间为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 xml:space="preserve">  日</w:t>
      </w:r>
      <w:r>
        <w:rPr>
          <w:rFonts w:hint="eastAsia" w:ascii="仿宋" w:hAnsi="仿宋" w:eastAsia="仿宋" w:cs="仿宋"/>
          <w:sz w:val="24"/>
          <w:szCs w:val="24"/>
        </w:rPr>
        <w:t>；第二次清洗时间为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 xml:space="preserve">   日</w:t>
      </w:r>
      <w:r>
        <w:rPr>
          <w:rFonts w:hint="eastAsia" w:ascii="仿宋" w:hAnsi="仿宋" w:eastAsia="仿宋" w:cs="仿宋"/>
          <w:sz w:val="24"/>
          <w:szCs w:val="24"/>
        </w:rPr>
        <w:t>；第三次清洗时间为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 xml:space="preserve">   日</w:t>
      </w:r>
      <w:r>
        <w:rPr>
          <w:rFonts w:hint="eastAsia" w:ascii="仿宋" w:hAnsi="仿宋" w:eastAsia="仿宋" w:cs="仿宋"/>
          <w:sz w:val="24"/>
          <w:szCs w:val="24"/>
        </w:rPr>
        <w:t>；第四次清洗时间为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 xml:space="preserve">   日</w:t>
      </w:r>
      <w:r>
        <w:rPr>
          <w:rFonts w:hint="eastAsia" w:ascii="仿宋" w:hAnsi="仿宋" w:eastAsia="仿宋" w:cs="仿宋"/>
          <w:sz w:val="24"/>
          <w:szCs w:val="24"/>
        </w:rPr>
        <w:t>。</w:t>
      </w:r>
    </w:p>
    <w:p w14:paraId="21FAB00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u w:val="single"/>
          <w:lang w:val="en-US" w:eastAsia="zh-CN"/>
        </w:rPr>
      </w:pPr>
      <w:r>
        <w:rPr>
          <w:rFonts w:hint="eastAsia" w:ascii="仿宋" w:hAnsi="仿宋" w:eastAsia="仿宋" w:cs="仿宋"/>
          <w:b/>
          <w:bCs/>
          <w:sz w:val="24"/>
          <w:szCs w:val="24"/>
          <w:lang w:eastAsia="zh-CN"/>
        </w:rPr>
        <w:t>重油烟区：</w:t>
      </w:r>
      <w:r>
        <w:rPr>
          <w:rFonts w:hint="eastAsia" w:ascii="仿宋" w:hAnsi="仿宋" w:eastAsia="仿宋" w:cs="仿宋"/>
          <w:sz w:val="24"/>
          <w:szCs w:val="24"/>
        </w:rPr>
        <w:t>第一次清洗时间为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 xml:space="preserve">  日</w:t>
      </w:r>
      <w:r>
        <w:rPr>
          <w:rFonts w:hint="eastAsia" w:ascii="仿宋" w:hAnsi="仿宋" w:eastAsia="仿宋" w:cs="仿宋"/>
          <w:sz w:val="24"/>
          <w:szCs w:val="24"/>
        </w:rPr>
        <w:t>；第二次清洗时间为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 xml:space="preserve">    日</w:t>
      </w:r>
      <w:r>
        <w:rPr>
          <w:rFonts w:hint="eastAsia" w:ascii="仿宋" w:hAnsi="仿宋" w:eastAsia="仿宋" w:cs="仿宋"/>
          <w:sz w:val="24"/>
          <w:szCs w:val="24"/>
        </w:rPr>
        <w:t>；第三次清洗时间为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 xml:space="preserve">    日</w:t>
      </w:r>
      <w:r>
        <w:rPr>
          <w:rFonts w:hint="eastAsia" w:ascii="仿宋" w:hAnsi="仿宋" w:eastAsia="仿宋" w:cs="仿宋"/>
          <w:sz w:val="24"/>
          <w:szCs w:val="24"/>
        </w:rPr>
        <w:t>；第四次清洗时间为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 xml:space="preserve">    日</w:t>
      </w:r>
      <w:r>
        <w:rPr>
          <w:rFonts w:hint="eastAsia" w:ascii="仿宋" w:hAnsi="仿宋" w:eastAsia="仿宋" w:cs="仿宋"/>
          <w:sz w:val="24"/>
          <w:szCs w:val="24"/>
        </w:rPr>
        <w:t>。第</w:t>
      </w:r>
      <w:r>
        <w:rPr>
          <w:rFonts w:hint="eastAsia" w:ascii="仿宋" w:hAnsi="仿宋" w:eastAsia="仿宋" w:cs="仿宋"/>
          <w:sz w:val="24"/>
          <w:szCs w:val="24"/>
          <w:lang w:eastAsia="zh-CN"/>
        </w:rPr>
        <w:t>五</w:t>
      </w:r>
      <w:r>
        <w:rPr>
          <w:rFonts w:hint="eastAsia" w:ascii="仿宋" w:hAnsi="仿宋" w:eastAsia="仿宋" w:cs="仿宋"/>
          <w:sz w:val="24"/>
          <w:szCs w:val="24"/>
        </w:rPr>
        <w:t>次清洗时间为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 xml:space="preserve">    日</w:t>
      </w:r>
      <w:r>
        <w:rPr>
          <w:rFonts w:hint="eastAsia" w:ascii="仿宋" w:hAnsi="仿宋" w:eastAsia="仿宋" w:cs="仿宋"/>
          <w:sz w:val="24"/>
          <w:szCs w:val="24"/>
        </w:rPr>
        <w:t>；第</w:t>
      </w:r>
      <w:r>
        <w:rPr>
          <w:rFonts w:hint="eastAsia" w:ascii="仿宋" w:hAnsi="仿宋" w:eastAsia="仿宋" w:cs="仿宋"/>
          <w:sz w:val="24"/>
          <w:szCs w:val="24"/>
          <w:lang w:eastAsia="zh-CN"/>
        </w:rPr>
        <w:t>六</w:t>
      </w:r>
      <w:r>
        <w:rPr>
          <w:rFonts w:hint="eastAsia" w:ascii="仿宋" w:hAnsi="仿宋" w:eastAsia="仿宋" w:cs="仿宋"/>
          <w:sz w:val="24"/>
          <w:szCs w:val="24"/>
        </w:rPr>
        <w:t>次清洗时间为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 xml:space="preserve">    日</w:t>
      </w:r>
      <w:r>
        <w:rPr>
          <w:rFonts w:hint="eastAsia" w:ascii="仿宋" w:hAnsi="仿宋" w:eastAsia="仿宋" w:cs="仿宋"/>
          <w:sz w:val="24"/>
          <w:szCs w:val="24"/>
        </w:rPr>
        <w:t>；第</w:t>
      </w:r>
      <w:r>
        <w:rPr>
          <w:rFonts w:hint="eastAsia" w:ascii="仿宋" w:hAnsi="仿宋" w:eastAsia="仿宋" w:cs="仿宋"/>
          <w:sz w:val="24"/>
          <w:szCs w:val="24"/>
          <w:lang w:eastAsia="zh-CN"/>
        </w:rPr>
        <w:t>七</w:t>
      </w:r>
      <w:r>
        <w:rPr>
          <w:rFonts w:hint="eastAsia" w:ascii="仿宋" w:hAnsi="仿宋" w:eastAsia="仿宋" w:cs="仿宋"/>
          <w:sz w:val="24"/>
          <w:szCs w:val="24"/>
        </w:rPr>
        <w:t>次清洗时间为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 xml:space="preserve">  </w:t>
      </w:r>
    </w:p>
    <w:p w14:paraId="52AFDE7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sz w:val="24"/>
          <w:szCs w:val="24"/>
          <w:u w:val="single"/>
          <w:lang w:val="en-US" w:eastAsia="zh-CN"/>
        </w:rPr>
        <w:t xml:space="preserve"> 日</w:t>
      </w:r>
      <w:r>
        <w:rPr>
          <w:rFonts w:hint="eastAsia" w:ascii="仿宋" w:hAnsi="仿宋" w:eastAsia="仿宋" w:cs="仿宋"/>
          <w:sz w:val="24"/>
          <w:szCs w:val="24"/>
        </w:rPr>
        <w:t>；第</w:t>
      </w:r>
      <w:r>
        <w:rPr>
          <w:rFonts w:hint="eastAsia" w:ascii="仿宋" w:hAnsi="仿宋" w:eastAsia="仿宋" w:cs="仿宋"/>
          <w:color w:val="auto"/>
          <w:sz w:val="24"/>
          <w:szCs w:val="24"/>
          <w:lang w:eastAsia="zh-CN"/>
        </w:rPr>
        <w:t>八</w:t>
      </w:r>
      <w:r>
        <w:rPr>
          <w:rFonts w:hint="eastAsia" w:ascii="仿宋" w:hAnsi="仿宋" w:eastAsia="仿宋" w:cs="仿宋"/>
          <w:color w:val="auto"/>
          <w:sz w:val="24"/>
          <w:szCs w:val="24"/>
        </w:rPr>
        <w:t>次清洗时间为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 xml:space="preserve">    日</w:t>
      </w:r>
      <w:r>
        <w:rPr>
          <w:rFonts w:hint="eastAsia" w:ascii="仿宋" w:hAnsi="仿宋" w:eastAsia="仿宋" w:cs="仿宋"/>
          <w:color w:val="auto"/>
          <w:sz w:val="24"/>
          <w:szCs w:val="24"/>
        </w:rPr>
        <w:t>。</w:t>
      </w:r>
    </w:p>
    <w:p w14:paraId="08C2B30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每次具体清洗日期以甲方通知为准，如遇因甲方</w:t>
      </w:r>
      <w:r>
        <w:rPr>
          <w:rFonts w:hint="eastAsia" w:ascii="仿宋" w:hAnsi="仿宋" w:eastAsia="仿宋" w:cs="仿宋"/>
          <w:color w:val="auto"/>
          <w:sz w:val="24"/>
          <w:szCs w:val="24"/>
          <w:lang w:eastAsia="zh-CN"/>
        </w:rPr>
        <w:t>或其他</w:t>
      </w:r>
      <w:r>
        <w:rPr>
          <w:rFonts w:hint="eastAsia" w:ascii="仿宋" w:hAnsi="仿宋" w:eastAsia="仿宋" w:cs="仿宋"/>
          <w:color w:val="auto"/>
          <w:sz w:val="24"/>
          <w:szCs w:val="24"/>
        </w:rPr>
        <w:t>无法抗拒的因素，而无法清洗时，工期顺延，乙方不承担延误工期的后果。</w:t>
      </w:r>
      <w:r>
        <w:rPr>
          <w:rFonts w:hint="eastAsia" w:ascii="仿宋" w:hAnsi="仿宋" w:eastAsia="仿宋" w:cs="仿宋"/>
          <w:color w:val="auto"/>
          <w:sz w:val="24"/>
          <w:szCs w:val="24"/>
          <w:lang w:val="zh-TW"/>
        </w:rPr>
        <w:t>审查乙方及人员具备高空作业的资质</w:t>
      </w:r>
      <w:r>
        <w:rPr>
          <w:rFonts w:hint="eastAsia" w:ascii="仿宋" w:hAnsi="仿宋" w:eastAsia="仿宋" w:cs="仿宋"/>
          <w:color w:val="auto"/>
          <w:sz w:val="24"/>
          <w:szCs w:val="24"/>
          <w:lang w:val="zh-TW" w:eastAsia="zh-CN"/>
        </w:rPr>
        <w:t>，</w:t>
      </w:r>
      <w:r>
        <w:rPr>
          <w:rFonts w:hint="eastAsia" w:ascii="仿宋" w:hAnsi="仿宋" w:eastAsia="仿宋" w:cs="仿宋"/>
          <w:color w:val="auto"/>
          <w:sz w:val="24"/>
          <w:szCs w:val="24"/>
          <w:lang w:val="zh-TW"/>
        </w:rPr>
        <w:t>乙</w:t>
      </w:r>
      <w:r>
        <w:rPr>
          <w:rFonts w:hint="eastAsia" w:ascii="仿宋" w:hAnsi="仿宋" w:eastAsia="仿宋" w:cs="仿宋"/>
          <w:color w:val="auto"/>
          <w:sz w:val="24"/>
          <w:szCs w:val="24"/>
          <w:lang w:val="zh-TW" w:eastAsia="zh-CN"/>
        </w:rPr>
        <w:t>方向</w:t>
      </w:r>
      <w:r>
        <w:rPr>
          <w:rFonts w:hint="eastAsia" w:ascii="仿宋" w:hAnsi="仿宋" w:eastAsia="仿宋" w:cs="仿宋"/>
          <w:color w:val="auto"/>
          <w:sz w:val="24"/>
          <w:szCs w:val="24"/>
          <w:lang w:val="zh-TW"/>
        </w:rPr>
        <w:t>其员工购买相应的商业保险</w:t>
      </w:r>
      <w:r>
        <w:rPr>
          <w:rFonts w:hint="eastAsia" w:ascii="仿宋" w:hAnsi="仿宋" w:eastAsia="仿宋" w:cs="仿宋"/>
          <w:color w:val="auto"/>
          <w:sz w:val="24"/>
          <w:szCs w:val="24"/>
          <w:lang w:val="zh-TW" w:eastAsia="zh-CN"/>
        </w:rPr>
        <w:t>。</w:t>
      </w:r>
    </w:p>
    <w:p w14:paraId="796F9AA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结算方式：</w:t>
      </w:r>
      <w:r>
        <w:rPr>
          <w:rFonts w:hint="eastAsia" w:ascii="仿宋" w:hAnsi="仿宋" w:eastAsia="仿宋" w:cs="仿宋"/>
          <w:color w:val="auto"/>
          <w:sz w:val="24"/>
          <w:szCs w:val="24"/>
          <w:lang w:eastAsia="zh-CN"/>
        </w:rPr>
        <w:t>清洗一次结算一次服务费。</w:t>
      </w:r>
      <w:r>
        <w:rPr>
          <w:rFonts w:hint="eastAsia" w:ascii="仿宋" w:hAnsi="仿宋" w:eastAsia="仿宋" w:cs="仿宋"/>
          <w:color w:val="auto"/>
          <w:sz w:val="24"/>
          <w:szCs w:val="24"/>
          <w:lang w:val="en-US" w:eastAsia="zh-CN"/>
        </w:rPr>
        <w:t>甲方支付上述任何一笔费用前，</w:t>
      </w:r>
      <w:r>
        <w:rPr>
          <w:rFonts w:hint="eastAsia" w:ascii="仿宋" w:hAnsi="仿宋" w:eastAsia="仿宋" w:cs="仿宋"/>
          <w:color w:val="auto"/>
          <w:sz w:val="24"/>
          <w:szCs w:val="24"/>
          <w:lang w:eastAsia="zh-CN"/>
        </w:rPr>
        <w:t>甲方对乙方的清洗服务进行验收，验收合格之后，乙方应提供符合甲方财务做账要求的正规增值税发票（并提供发票查验单），甲方支付清洗服务费，</w:t>
      </w:r>
      <w:r>
        <w:rPr>
          <w:rFonts w:hint="eastAsia" w:ascii="仿宋" w:hAnsi="仿宋" w:eastAsia="仿宋" w:cs="仿宋"/>
          <w:color w:val="auto"/>
          <w:sz w:val="24"/>
          <w:szCs w:val="24"/>
          <w:lang w:val="en-US" w:eastAsia="zh-CN"/>
        </w:rPr>
        <w:t>否则，甲方有权拒绝付款且不承担任何违约责任</w:t>
      </w:r>
      <w:r>
        <w:rPr>
          <w:rFonts w:hint="eastAsia" w:ascii="仿宋" w:hAnsi="仿宋" w:eastAsia="仿宋" w:cs="仿宋"/>
          <w:color w:val="auto"/>
          <w:sz w:val="24"/>
          <w:szCs w:val="24"/>
          <w:lang w:eastAsia="zh-CN"/>
        </w:rPr>
        <w:t>。</w:t>
      </w:r>
    </w:p>
    <w:p w14:paraId="5479F9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乙方收款信息如下：</w:t>
      </w:r>
    </w:p>
    <w:p w14:paraId="5723AF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名称： </w:t>
      </w:r>
    </w:p>
    <w:p w14:paraId="41E93B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开户行：</w:t>
      </w:r>
    </w:p>
    <w:p w14:paraId="52C073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公司账户：</w:t>
      </w:r>
    </w:p>
    <w:p w14:paraId="6084CD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银行行号：</w:t>
      </w:r>
    </w:p>
    <w:p w14:paraId="5A5D4E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税号： </w:t>
      </w:r>
    </w:p>
    <w:p w14:paraId="52C1F4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地址： </w:t>
      </w:r>
    </w:p>
    <w:p w14:paraId="770AF6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电话：</w:t>
      </w:r>
    </w:p>
    <w:p w14:paraId="05842E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w:t>
      </w:r>
    </w:p>
    <w:p w14:paraId="326C6C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w:t>
      </w:r>
      <w:r>
        <w:rPr>
          <w:rFonts w:hint="eastAsia" w:ascii="仿宋" w:hAnsi="仿宋" w:eastAsia="仿宋" w:cs="仿宋"/>
          <w:color w:val="auto"/>
          <w:sz w:val="24"/>
          <w:szCs w:val="24"/>
          <w:lang w:eastAsia="zh-CN"/>
        </w:rPr>
        <w:t>双方的</w:t>
      </w:r>
      <w:r>
        <w:rPr>
          <w:rFonts w:hint="eastAsia" w:ascii="仿宋" w:hAnsi="仿宋" w:eastAsia="仿宋" w:cs="仿宋"/>
          <w:color w:val="auto"/>
          <w:sz w:val="24"/>
          <w:szCs w:val="24"/>
        </w:rPr>
        <w:t>权利</w:t>
      </w:r>
      <w:r>
        <w:rPr>
          <w:rFonts w:hint="eastAsia" w:ascii="仿宋" w:hAnsi="仿宋" w:eastAsia="仿宋" w:cs="仿宋"/>
          <w:color w:val="auto"/>
          <w:sz w:val="24"/>
          <w:szCs w:val="24"/>
          <w:lang w:eastAsia="zh-CN"/>
        </w:rPr>
        <w:t>及</w:t>
      </w:r>
      <w:r>
        <w:rPr>
          <w:rFonts w:hint="eastAsia" w:ascii="仿宋" w:hAnsi="仿宋" w:eastAsia="仿宋" w:cs="仿宋"/>
          <w:color w:val="auto"/>
          <w:sz w:val="24"/>
          <w:szCs w:val="24"/>
        </w:rPr>
        <w:t>义务</w:t>
      </w:r>
    </w:p>
    <w:p w14:paraId="45F513A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1、清洗施工前，甲方需提供的受损情况及其他注意事项的说明。</w:t>
      </w:r>
    </w:p>
    <w:p w14:paraId="48B34AD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清洗施工</w:t>
      </w:r>
      <w:r>
        <w:rPr>
          <w:rFonts w:hint="eastAsia" w:ascii="仿宋" w:hAnsi="仿宋" w:eastAsia="仿宋" w:cs="仿宋"/>
          <w:color w:val="auto"/>
          <w:sz w:val="24"/>
          <w:szCs w:val="24"/>
          <w:lang w:eastAsia="zh-CN"/>
        </w:rPr>
        <w:t>中</w:t>
      </w:r>
      <w:r>
        <w:rPr>
          <w:rFonts w:hint="eastAsia" w:ascii="仿宋" w:hAnsi="仿宋" w:eastAsia="仿宋" w:cs="仿宋"/>
          <w:color w:val="auto"/>
          <w:sz w:val="24"/>
          <w:szCs w:val="24"/>
        </w:rPr>
        <w:t>、甲方</w:t>
      </w:r>
      <w:r>
        <w:rPr>
          <w:rFonts w:hint="eastAsia" w:ascii="仿宋" w:hAnsi="仿宋" w:eastAsia="仿宋" w:cs="仿宋"/>
          <w:color w:val="auto"/>
          <w:sz w:val="24"/>
          <w:szCs w:val="24"/>
          <w:lang w:eastAsia="zh-CN"/>
        </w:rPr>
        <w:t>有权</w:t>
      </w:r>
      <w:r>
        <w:rPr>
          <w:rFonts w:hint="eastAsia" w:ascii="仿宋" w:hAnsi="仿宋" w:eastAsia="仿宋" w:cs="仿宋"/>
          <w:color w:val="auto"/>
          <w:sz w:val="24"/>
          <w:szCs w:val="24"/>
        </w:rPr>
        <w:t>对乙方施工进行必要的监督及协助，发现问题及时纠正，以确保施工</w:t>
      </w:r>
      <w:r>
        <w:rPr>
          <w:rFonts w:hint="eastAsia" w:ascii="仿宋" w:hAnsi="仿宋" w:eastAsia="仿宋" w:cs="仿宋"/>
          <w:color w:val="auto"/>
          <w:sz w:val="24"/>
          <w:szCs w:val="24"/>
          <w:lang w:eastAsia="zh-CN"/>
        </w:rPr>
        <w:t>人员的</w:t>
      </w:r>
      <w:r>
        <w:rPr>
          <w:rFonts w:hint="eastAsia" w:ascii="仿宋" w:hAnsi="仿宋" w:eastAsia="仿宋" w:cs="仿宋"/>
          <w:color w:val="auto"/>
          <w:sz w:val="24"/>
          <w:szCs w:val="24"/>
        </w:rPr>
        <w:t>安全</w:t>
      </w:r>
      <w:r>
        <w:rPr>
          <w:rFonts w:hint="eastAsia" w:ascii="仿宋" w:hAnsi="仿宋" w:eastAsia="仿宋" w:cs="仿宋"/>
          <w:color w:val="auto"/>
          <w:sz w:val="24"/>
          <w:szCs w:val="24"/>
          <w:lang w:eastAsia="zh-CN"/>
        </w:rPr>
        <w:t>及</w:t>
      </w:r>
      <w:r>
        <w:rPr>
          <w:rFonts w:hint="eastAsia" w:ascii="仿宋" w:hAnsi="仿宋" w:eastAsia="仿宋" w:cs="仿宋"/>
          <w:color w:val="auto"/>
          <w:sz w:val="24"/>
          <w:szCs w:val="24"/>
        </w:rPr>
        <w:t>设备设施</w:t>
      </w:r>
      <w:r>
        <w:rPr>
          <w:rFonts w:hint="eastAsia" w:ascii="仿宋" w:hAnsi="仿宋" w:eastAsia="仿宋" w:cs="仿宋"/>
          <w:color w:val="auto"/>
          <w:sz w:val="24"/>
          <w:szCs w:val="24"/>
          <w:lang w:eastAsia="zh-CN"/>
        </w:rPr>
        <w:t>完好无损。</w:t>
      </w:r>
    </w:p>
    <w:p w14:paraId="149C426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3、清洗施工中，乙方应严格遵守有关《高空清洗作业安全施工规范》采取相应的安全保</w:t>
      </w:r>
      <w:r>
        <w:rPr>
          <w:rFonts w:hint="eastAsia" w:ascii="仿宋" w:hAnsi="仿宋" w:eastAsia="仿宋" w:cs="仿宋"/>
          <w:color w:val="auto"/>
          <w:sz w:val="24"/>
          <w:szCs w:val="24"/>
          <w:lang w:eastAsia="zh-CN"/>
        </w:rPr>
        <w:t>护</w:t>
      </w:r>
      <w:r>
        <w:rPr>
          <w:rFonts w:hint="eastAsia" w:ascii="仿宋" w:hAnsi="仿宋" w:eastAsia="仿宋" w:cs="仿宋"/>
          <w:color w:val="auto"/>
          <w:sz w:val="24"/>
          <w:szCs w:val="24"/>
        </w:rPr>
        <w:t>措施，发生安全事故</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由乙方自行承担责任。</w:t>
      </w:r>
    </w:p>
    <w:p w14:paraId="0BF04D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4、清洗施工中，乙方应该有效保护甲方厨房的设备设施，不能使用对烟道系统有腐蚀清洗药剂，如有损坏、照价赔偿。</w:t>
      </w:r>
    </w:p>
    <w:p w14:paraId="01D5AA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清洗</w:t>
      </w:r>
      <w:r>
        <w:rPr>
          <w:rFonts w:hint="eastAsia" w:ascii="仿宋" w:hAnsi="仿宋" w:eastAsia="仿宋" w:cs="仿宋"/>
          <w:color w:val="auto"/>
          <w:sz w:val="24"/>
          <w:szCs w:val="24"/>
          <w:lang w:eastAsia="zh-CN"/>
        </w:rPr>
        <w:t>验收标准</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符合招标文件中的相关验收标准，</w:t>
      </w:r>
      <w:r>
        <w:rPr>
          <w:rFonts w:hint="eastAsia" w:ascii="仿宋" w:hAnsi="仿宋" w:eastAsia="仿宋" w:cs="仿宋"/>
          <w:color w:val="auto"/>
          <w:sz w:val="24"/>
          <w:szCs w:val="24"/>
        </w:rPr>
        <w:t>应该达到</w:t>
      </w:r>
      <w:r>
        <w:rPr>
          <w:rFonts w:hint="eastAsia" w:ascii="仿宋" w:hAnsi="仿宋" w:eastAsia="仿宋" w:cs="仿宋"/>
          <w:color w:val="auto"/>
          <w:sz w:val="24"/>
          <w:szCs w:val="24"/>
          <w:lang w:eastAsia="zh-CN"/>
        </w:rPr>
        <w:t>国家</w:t>
      </w:r>
      <w:r>
        <w:rPr>
          <w:rFonts w:hint="eastAsia" w:ascii="仿宋" w:hAnsi="仿宋" w:eastAsia="仿宋" w:cs="仿宋"/>
          <w:color w:val="auto"/>
          <w:sz w:val="24"/>
          <w:szCs w:val="24"/>
          <w:lang w:val="en-US" w:eastAsia="zh-CN"/>
        </w:rPr>
        <w:t>GBT40248-2021</w:t>
      </w:r>
      <w:r>
        <w:rPr>
          <w:rFonts w:hint="eastAsia" w:ascii="仿宋" w:hAnsi="仿宋" w:eastAsia="仿宋" w:cs="仿宋"/>
          <w:color w:val="auto"/>
          <w:sz w:val="24"/>
          <w:szCs w:val="24"/>
          <w:lang w:eastAsia="zh-CN"/>
        </w:rPr>
        <w:t>《人员密集场所消防安全管理》</w:t>
      </w:r>
      <w:r>
        <w:rPr>
          <w:rFonts w:hint="eastAsia" w:ascii="仿宋" w:hAnsi="仿宋" w:eastAsia="仿宋" w:cs="仿宋"/>
          <w:color w:val="auto"/>
          <w:sz w:val="24"/>
          <w:szCs w:val="24"/>
          <w:lang w:val="en-US" w:eastAsia="zh-CN"/>
        </w:rPr>
        <w:t>7.9.2关于餐饮场所厨房烟道的清洗规定，以及</w:t>
      </w:r>
      <w:r>
        <w:rPr>
          <w:rFonts w:hint="eastAsia" w:ascii="仿宋" w:hAnsi="仿宋" w:eastAsia="仿宋" w:cs="仿宋"/>
          <w:color w:val="auto"/>
          <w:sz w:val="24"/>
          <w:szCs w:val="24"/>
        </w:rPr>
        <w:t>《新疆维吾尔自治区建筑物消防安全管理规定》之相关</w:t>
      </w:r>
      <w:r>
        <w:rPr>
          <w:rFonts w:hint="eastAsia" w:ascii="仿宋" w:hAnsi="仿宋" w:eastAsia="仿宋" w:cs="仿宋"/>
          <w:color w:val="auto"/>
          <w:sz w:val="24"/>
          <w:szCs w:val="24"/>
          <w:lang w:eastAsia="zh-CN"/>
        </w:rPr>
        <w:t>要求</w:t>
      </w:r>
      <w:r>
        <w:rPr>
          <w:rFonts w:hint="eastAsia" w:ascii="仿宋" w:hAnsi="仿宋" w:eastAsia="仿宋" w:cs="仿宋"/>
          <w:color w:val="auto"/>
          <w:sz w:val="24"/>
          <w:szCs w:val="24"/>
        </w:rPr>
        <w:t>，保质保量，</w:t>
      </w:r>
      <w:r>
        <w:rPr>
          <w:rFonts w:hint="eastAsia" w:ascii="仿宋" w:hAnsi="仿宋" w:eastAsia="仿宋" w:cs="仿宋"/>
          <w:color w:val="auto"/>
          <w:sz w:val="24"/>
          <w:szCs w:val="24"/>
          <w:lang w:eastAsia="zh-CN"/>
        </w:rPr>
        <w:t>按</w:t>
      </w:r>
      <w:r>
        <w:rPr>
          <w:rFonts w:hint="eastAsia" w:ascii="仿宋" w:hAnsi="仿宋" w:eastAsia="仿宋" w:cs="仿宋"/>
          <w:color w:val="auto"/>
          <w:sz w:val="24"/>
          <w:szCs w:val="24"/>
        </w:rPr>
        <w:t>期完工。</w:t>
      </w:r>
    </w:p>
    <w:p w14:paraId="40DD15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清洗标准及工艺如下：</w:t>
      </w:r>
    </w:p>
    <w:tbl>
      <w:tblPr>
        <w:tblStyle w:val="37"/>
        <w:tblW w:w="10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265"/>
        <w:gridCol w:w="1748"/>
        <w:gridCol w:w="4125"/>
        <w:gridCol w:w="3122"/>
      </w:tblGrid>
      <w:tr w14:paraId="59F1C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20" w:type="dxa"/>
            <w:vMerge w:val="restart"/>
            <w:noWrap/>
            <w:vAlign w:val="center"/>
          </w:tcPr>
          <w:p w14:paraId="72D9C26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3013" w:type="dxa"/>
            <w:gridSpan w:val="2"/>
            <w:noWrap/>
            <w:vAlign w:val="center"/>
          </w:tcPr>
          <w:p w14:paraId="5E9A2C4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w:t>
            </w:r>
          </w:p>
        </w:tc>
        <w:tc>
          <w:tcPr>
            <w:tcW w:w="4125" w:type="dxa"/>
            <w:vMerge w:val="restart"/>
            <w:noWrap w:val="0"/>
            <w:vAlign w:val="center"/>
          </w:tcPr>
          <w:p w14:paraId="1092B4F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清洗工艺</w:t>
            </w:r>
          </w:p>
        </w:tc>
        <w:tc>
          <w:tcPr>
            <w:tcW w:w="3122" w:type="dxa"/>
            <w:vMerge w:val="restart"/>
            <w:noWrap w:val="0"/>
            <w:vAlign w:val="center"/>
          </w:tcPr>
          <w:p w14:paraId="7EF9C10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清洗标准</w:t>
            </w:r>
          </w:p>
        </w:tc>
      </w:tr>
      <w:tr w14:paraId="46EFF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20" w:type="dxa"/>
            <w:vMerge w:val="continue"/>
            <w:noWrap w:val="0"/>
            <w:vAlign w:val="center"/>
          </w:tcPr>
          <w:p w14:paraId="275B6DF1">
            <w:pPr>
              <w:widowControl/>
              <w:jc w:val="left"/>
              <w:rPr>
                <w:rFonts w:ascii="宋体" w:hAnsi="宋体" w:eastAsia="宋体" w:cs="宋体"/>
                <w:color w:val="000000"/>
                <w:kern w:val="0"/>
                <w:sz w:val="24"/>
                <w:szCs w:val="24"/>
              </w:rPr>
            </w:pPr>
          </w:p>
        </w:tc>
        <w:tc>
          <w:tcPr>
            <w:tcW w:w="1265" w:type="dxa"/>
            <w:noWrap/>
            <w:vAlign w:val="center"/>
          </w:tcPr>
          <w:p w14:paraId="46741F1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部件</w:t>
            </w:r>
          </w:p>
        </w:tc>
        <w:tc>
          <w:tcPr>
            <w:tcW w:w="1748" w:type="dxa"/>
            <w:noWrap/>
            <w:vAlign w:val="center"/>
          </w:tcPr>
          <w:p w14:paraId="69543B5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清洗范围</w:t>
            </w:r>
          </w:p>
        </w:tc>
        <w:tc>
          <w:tcPr>
            <w:tcW w:w="4125" w:type="dxa"/>
            <w:vMerge w:val="continue"/>
            <w:noWrap w:val="0"/>
            <w:vAlign w:val="center"/>
          </w:tcPr>
          <w:p w14:paraId="4D0BF806">
            <w:pPr>
              <w:widowControl/>
              <w:jc w:val="left"/>
              <w:rPr>
                <w:rFonts w:ascii="宋体" w:hAnsi="宋体" w:eastAsia="宋体" w:cs="宋体"/>
                <w:color w:val="000000"/>
                <w:kern w:val="0"/>
                <w:sz w:val="24"/>
                <w:szCs w:val="24"/>
              </w:rPr>
            </w:pPr>
          </w:p>
        </w:tc>
        <w:tc>
          <w:tcPr>
            <w:tcW w:w="3122" w:type="dxa"/>
            <w:vMerge w:val="continue"/>
            <w:noWrap w:val="0"/>
            <w:vAlign w:val="center"/>
          </w:tcPr>
          <w:p w14:paraId="127B3C84">
            <w:pPr>
              <w:widowControl/>
              <w:jc w:val="left"/>
              <w:rPr>
                <w:rFonts w:ascii="宋体" w:hAnsi="宋体" w:eastAsia="宋体" w:cs="宋体"/>
                <w:color w:val="000000"/>
                <w:kern w:val="0"/>
                <w:sz w:val="24"/>
                <w:szCs w:val="24"/>
              </w:rPr>
            </w:pPr>
          </w:p>
        </w:tc>
      </w:tr>
      <w:tr w14:paraId="16EA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20" w:type="dxa"/>
            <w:noWrap/>
            <w:vAlign w:val="center"/>
          </w:tcPr>
          <w:p w14:paraId="3D1C21F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265" w:type="dxa"/>
            <w:vMerge w:val="restart"/>
            <w:noWrap w:val="0"/>
            <w:vAlign w:val="center"/>
          </w:tcPr>
          <w:p w14:paraId="5B916F4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排油烟罩</w:t>
            </w:r>
          </w:p>
        </w:tc>
        <w:tc>
          <w:tcPr>
            <w:tcW w:w="1748" w:type="dxa"/>
            <w:noWrap/>
            <w:vAlign w:val="center"/>
          </w:tcPr>
          <w:p w14:paraId="5293724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内壁</w:t>
            </w:r>
          </w:p>
        </w:tc>
        <w:tc>
          <w:tcPr>
            <w:tcW w:w="4125" w:type="dxa"/>
            <w:vMerge w:val="restart"/>
            <w:noWrap w:val="0"/>
            <w:vAlign w:val="center"/>
          </w:tcPr>
          <w:p w14:paraId="6FB3576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高压枪喷打清洗剂、人工铲除或擦拭，消毒擦拭，清水全面清洗，擦干后擦拭保护膜</w:t>
            </w:r>
          </w:p>
        </w:tc>
        <w:tc>
          <w:tcPr>
            <w:tcW w:w="3122" w:type="dxa"/>
            <w:noWrap w:val="0"/>
            <w:vAlign w:val="center"/>
          </w:tcPr>
          <w:p w14:paraId="132FEFE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壁面光亮整洁无油污，清洁度9</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%以上</w:t>
            </w:r>
          </w:p>
        </w:tc>
      </w:tr>
      <w:tr w14:paraId="34FC7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20" w:type="dxa"/>
            <w:noWrap/>
            <w:vAlign w:val="center"/>
          </w:tcPr>
          <w:p w14:paraId="35290FF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265" w:type="dxa"/>
            <w:vMerge w:val="continue"/>
            <w:noWrap w:val="0"/>
            <w:vAlign w:val="center"/>
          </w:tcPr>
          <w:p w14:paraId="1065A258">
            <w:pPr>
              <w:widowControl/>
              <w:jc w:val="left"/>
              <w:rPr>
                <w:rFonts w:ascii="宋体" w:hAnsi="宋体" w:eastAsia="宋体" w:cs="宋体"/>
                <w:color w:val="000000"/>
                <w:kern w:val="0"/>
                <w:sz w:val="24"/>
                <w:szCs w:val="24"/>
              </w:rPr>
            </w:pPr>
          </w:p>
        </w:tc>
        <w:tc>
          <w:tcPr>
            <w:tcW w:w="1748" w:type="dxa"/>
            <w:noWrap/>
            <w:vAlign w:val="center"/>
          </w:tcPr>
          <w:p w14:paraId="0B1341A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外壁</w:t>
            </w:r>
          </w:p>
        </w:tc>
        <w:tc>
          <w:tcPr>
            <w:tcW w:w="4125" w:type="dxa"/>
            <w:vMerge w:val="continue"/>
            <w:noWrap w:val="0"/>
            <w:vAlign w:val="center"/>
          </w:tcPr>
          <w:p w14:paraId="242CAFC3">
            <w:pPr>
              <w:widowControl/>
              <w:jc w:val="left"/>
              <w:rPr>
                <w:rFonts w:ascii="宋体" w:hAnsi="宋体" w:eastAsia="宋体" w:cs="宋体"/>
                <w:color w:val="000000"/>
                <w:kern w:val="0"/>
                <w:sz w:val="24"/>
                <w:szCs w:val="24"/>
              </w:rPr>
            </w:pPr>
          </w:p>
        </w:tc>
        <w:tc>
          <w:tcPr>
            <w:tcW w:w="3122" w:type="dxa"/>
            <w:noWrap w:val="0"/>
            <w:vAlign w:val="center"/>
          </w:tcPr>
          <w:p w14:paraId="708FB2F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壁面光亮整洁无油污</w:t>
            </w:r>
          </w:p>
        </w:tc>
      </w:tr>
      <w:tr w14:paraId="55C6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20" w:type="dxa"/>
            <w:noWrap/>
            <w:vAlign w:val="center"/>
          </w:tcPr>
          <w:p w14:paraId="0151D4B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265" w:type="dxa"/>
            <w:vMerge w:val="continue"/>
            <w:noWrap w:val="0"/>
            <w:vAlign w:val="center"/>
          </w:tcPr>
          <w:p w14:paraId="52D62838">
            <w:pPr>
              <w:widowControl/>
              <w:jc w:val="left"/>
              <w:rPr>
                <w:rFonts w:ascii="宋体" w:hAnsi="宋体" w:eastAsia="宋体" w:cs="宋体"/>
                <w:color w:val="000000"/>
                <w:kern w:val="0"/>
                <w:sz w:val="24"/>
                <w:szCs w:val="24"/>
              </w:rPr>
            </w:pPr>
          </w:p>
        </w:tc>
        <w:tc>
          <w:tcPr>
            <w:tcW w:w="1748" w:type="dxa"/>
            <w:noWrap/>
            <w:vAlign w:val="center"/>
          </w:tcPr>
          <w:p w14:paraId="6AFFC63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托排</w:t>
            </w:r>
          </w:p>
        </w:tc>
        <w:tc>
          <w:tcPr>
            <w:tcW w:w="4125" w:type="dxa"/>
            <w:noWrap w:val="0"/>
            <w:vAlign w:val="center"/>
          </w:tcPr>
          <w:p w14:paraId="4E2B4B1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浸泡清洗</w:t>
            </w:r>
          </w:p>
        </w:tc>
        <w:tc>
          <w:tcPr>
            <w:tcW w:w="3122" w:type="dxa"/>
            <w:noWrap w:val="0"/>
            <w:vAlign w:val="center"/>
          </w:tcPr>
          <w:p w14:paraId="43B3920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光亮整洁无油污</w:t>
            </w:r>
          </w:p>
        </w:tc>
      </w:tr>
      <w:tr w14:paraId="5F858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20" w:type="dxa"/>
            <w:noWrap/>
            <w:vAlign w:val="center"/>
          </w:tcPr>
          <w:p w14:paraId="2154090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265" w:type="dxa"/>
            <w:vMerge w:val="continue"/>
            <w:noWrap w:val="0"/>
            <w:vAlign w:val="center"/>
          </w:tcPr>
          <w:p w14:paraId="03BD6120">
            <w:pPr>
              <w:widowControl/>
              <w:jc w:val="left"/>
              <w:rPr>
                <w:rFonts w:ascii="宋体" w:hAnsi="宋体" w:eastAsia="宋体" w:cs="宋体"/>
                <w:color w:val="000000"/>
                <w:kern w:val="0"/>
                <w:sz w:val="24"/>
                <w:szCs w:val="24"/>
              </w:rPr>
            </w:pPr>
          </w:p>
        </w:tc>
        <w:tc>
          <w:tcPr>
            <w:tcW w:w="1748" w:type="dxa"/>
            <w:noWrap/>
            <w:vAlign w:val="center"/>
          </w:tcPr>
          <w:p w14:paraId="79B3024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油槽</w:t>
            </w:r>
          </w:p>
        </w:tc>
        <w:tc>
          <w:tcPr>
            <w:tcW w:w="4125" w:type="dxa"/>
            <w:noWrap w:val="0"/>
            <w:vAlign w:val="center"/>
          </w:tcPr>
          <w:p w14:paraId="1E30A28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产出存油后药剂清洗</w:t>
            </w:r>
          </w:p>
        </w:tc>
        <w:tc>
          <w:tcPr>
            <w:tcW w:w="3122" w:type="dxa"/>
            <w:noWrap w:val="0"/>
            <w:vAlign w:val="center"/>
          </w:tcPr>
          <w:p w14:paraId="12E7310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无油垢、无存油</w:t>
            </w:r>
          </w:p>
        </w:tc>
      </w:tr>
      <w:tr w14:paraId="02AED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20" w:type="dxa"/>
            <w:noWrap/>
            <w:vAlign w:val="center"/>
          </w:tcPr>
          <w:p w14:paraId="7E07D02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265" w:type="dxa"/>
            <w:vMerge w:val="continue"/>
            <w:noWrap w:val="0"/>
            <w:vAlign w:val="center"/>
          </w:tcPr>
          <w:p w14:paraId="10A20159">
            <w:pPr>
              <w:widowControl/>
              <w:jc w:val="left"/>
              <w:rPr>
                <w:rFonts w:ascii="宋体" w:hAnsi="宋体" w:eastAsia="宋体" w:cs="宋体"/>
                <w:color w:val="000000"/>
                <w:kern w:val="0"/>
                <w:sz w:val="24"/>
                <w:szCs w:val="24"/>
              </w:rPr>
            </w:pPr>
          </w:p>
        </w:tc>
        <w:tc>
          <w:tcPr>
            <w:tcW w:w="1748" w:type="dxa"/>
            <w:noWrap/>
            <w:vAlign w:val="center"/>
          </w:tcPr>
          <w:p w14:paraId="533D21E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抽/送风口</w:t>
            </w:r>
          </w:p>
        </w:tc>
        <w:tc>
          <w:tcPr>
            <w:tcW w:w="4125" w:type="dxa"/>
            <w:noWrap/>
            <w:vAlign w:val="center"/>
          </w:tcPr>
          <w:p w14:paraId="6F07E31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药剂清洗、人工铲除</w:t>
            </w:r>
          </w:p>
        </w:tc>
        <w:tc>
          <w:tcPr>
            <w:tcW w:w="3122" w:type="dxa"/>
            <w:noWrap w:val="0"/>
            <w:vAlign w:val="center"/>
          </w:tcPr>
          <w:p w14:paraId="6EC17DB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无油垢</w:t>
            </w:r>
          </w:p>
        </w:tc>
      </w:tr>
      <w:tr w14:paraId="3482D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20" w:type="dxa"/>
            <w:noWrap/>
            <w:vAlign w:val="center"/>
          </w:tcPr>
          <w:p w14:paraId="48447B8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265" w:type="dxa"/>
            <w:vMerge w:val="continue"/>
            <w:noWrap w:val="0"/>
            <w:vAlign w:val="center"/>
          </w:tcPr>
          <w:p w14:paraId="619CECC7">
            <w:pPr>
              <w:widowControl/>
              <w:jc w:val="left"/>
              <w:rPr>
                <w:rFonts w:ascii="宋体" w:hAnsi="宋体" w:eastAsia="宋体" w:cs="宋体"/>
                <w:color w:val="000000"/>
                <w:kern w:val="0"/>
                <w:sz w:val="24"/>
                <w:szCs w:val="24"/>
              </w:rPr>
            </w:pPr>
          </w:p>
        </w:tc>
        <w:tc>
          <w:tcPr>
            <w:tcW w:w="1748" w:type="dxa"/>
            <w:noWrap/>
            <w:vAlign w:val="center"/>
          </w:tcPr>
          <w:p w14:paraId="696B333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管线</w:t>
            </w:r>
          </w:p>
        </w:tc>
        <w:tc>
          <w:tcPr>
            <w:tcW w:w="4125" w:type="dxa"/>
            <w:noWrap w:val="0"/>
            <w:vAlign w:val="center"/>
          </w:tcPr>
          <w:p w14:paraId="3899976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去油、擦拭</w:t>
            </w:r>
          </w:p>
        </w:tc>
        <w:tc>
          <w:tcPr>
            <w:tcW w:w="3122" w:type="dxa"/>
            <w:noWrap w:val="0"/>
            <w:vAlign w:val="center"/>
          </w:tcPr>
          <w:p w14:paraId="4197492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无油垢、干净</w:t>
            </w:r>
          </w:p>
        </w:tc>
      </w:tr>
      <w:tr w14:paraId="0934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20" w:type="dxa"/>
            <w:noWrap/>
            <w:vAlign w:val="center"/>
          </w:tcPr>
          <w:p w14:paraId="23DD08EC">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w:t>
            </w:r>
          </w:p>
        </w:tc>
        <w:tc>
          <w:tcPr>
            <w:tcW w:w="1265" w:type="dxa"/>
            <w:vMerge w:val="continue"/>
            <w:noWrap w:val="0"/>
            <w:vAlign w:val="center"/>
          </w:tcPr>
          <w:p w14:paraId="66E55869">
            <w:pPr>
              <w:widowControl/>
              <w:jc w:val="left"/>
              <w:rPr>
                <w:rFonts w:ascii="宋体" w:hAnsi="宋体" w:eastAsia="宋体" w:cs="宋体"/>
                <w:color w:val="000000"/>
                <w:kern w:val="0"/>
                <w:sz w:val="24"/>
                <w:szCs w:val="24"/>
              </w:rPr>
            </w:pPr>
          </w:p>
        </w:tc>
        <w:tc>
          <w:tcPr>
            <w:tcW w:w="1748" w:type="dxa"/>
            <w:noWrap/>
            <w:vAlign w:val="top"/>
          </w:tcPr>
          <w:p w14:paraId="5D820DD7">
            <w:pPr>
              <w:pStyle w:val="213"/>
              <w:spacing w:before="106" w:line="220" w:lineRule="auto"/>
              <w:ind w:left="302" w:leftChars="0"/>
              <w:rPr>
                <w:rFonts w:hint="eastAsia" w:ascii="宋体" w:hAnsi="宋体" w:eastAsia="宋体" w:cs="宋体"/>
                <w:color w:val="000000"/>
                <w:kern w:val="0"/>
                <w:sz w:val="36"/>
                <w:szCs w:val="36"/>
              </w:rPr>
            </w:pPr>
            <w:r>
              <w:rPr>
                <w:spacing w:val="-2"/>
                <w:sz w:val="22"/>
                <w:szCs w:val="22"/>
              </w:rPr>
              <w:t>烟罩喷嘴</w:t>
            </w:r>
          </w:p>
        </w:tc>
        <w:tc>
          <w:tcPr>
            <w:tcW w:w="4125" w:type="dxa"/>
            <w:noWrap w:val="0"/>
            <w:vAlign w:val="top"/>
          </w:tcPr>
          <w:p w14:paraId="4D640315">
            <w:pPr>
              <w:pStyle w:val="213"/>
              <w:spacing w:before="106" w:line="220" w:lineRule="auto"/>
              <w:rPr>
                <w:rFonts w:hint="eastAsia" w:ascii="宋体" w:hAnsi="宋体" w:eastAsia="宋体" w:cs="宋体"/>
                <w:color w:val="000000"/>
                <w:kern w:val="0"/>
                <w:sz w:val="36"/>
                <w:szCs w:val="36"/>
              </w:rPr>
            </w:pPr>
            <w:r>
              <w:rPr>
                <w:spacing w:val="-1"/>
                <w:sz w:val="22"/>
                <w:szCs w:val="22"/>
              </w:rPr>
              <w:t>浸泡清洗，喷嘴疏通</w:t>
            </w:r>
          </w:p>
        </w:tc>
        <w:tc>
          <w:tcPr>
            <w:tcW w:w="3122" w:type="dxa"/>
            <w:noWrap w:val="0"/>
            <w:vAlign w:val="top"/>
          </w:tcPr>
          <w:p w14:paraId="483493F2">
            <w:pPr>
              <w:pStyle w:val="213"/>
              <w:spacing w:before="106" w:line="221" w:lineRule="auto"/>
              <w:ind w:left="114" w:leftChars="0"/>
              <w:rPr>
                <w:rFonts w:hint="eastAsia" w:ascii="宋体" w:hAnsi="宋体" w:eastAsia="宋体" w:cs="宋体"/>
                <w:color w:val="000000"/>
                <w:kern w:val="0"/>
                <w:sz w:val="36"/>
                <w:szCs w:val="36"/>
              </w:rPr>
            </w:pPr>
            <w:r>
              <w:rPr>
                <w:spacing w:val="-1"/>
                <w:sz w:val="22"/>
                <w:szCs w:val="22"/>
              </w:rPr>
              <w:t>无油污，喷口喷洒成雾</w:t>
            </w:r>
          </w:p>
        </w:tc>
      </w:tr>
      <w:tr w14:paraId="77554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520" w:type="dxa"/>
            <w:noWrap/>
            <w:vAlign w:val="center"/>
          </w:tcPr>
          <w:p w14:paraId="6E8AD778">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w:t>
            </w:r>
          </w:p>
        </w:tc>
        <w:tc>
          <w:tcPr>
            <w:tcW w:w="1265" w:type="dxa"/>
            <w:vMerge w:val="continue"/>
            <w:noWrap w:val="0"/>
            <w:vAlign w:val="center"/>
          </w:tcPr>
          <w:p w14:paraId="5E2337F5">
            <w:pPr>
              <w:widowControl/>
              <w:jc w:val="left"/>
              <w:rPr>
                <w:rFonts w:ascii="宋体" w:hAnsi="宋体" w:eastAsia="宋体" w:cs="宋体"/>
                <w:color w:val="000000"/>
                <w:kern w:val="0"/>
                <w:sz w:val="24"/>
                <w:szCs w:val="24"/>
              </w:rPr>
            </w:pPr>
          </w:p>
        </w:tc>
        <w:tc>
          <w:tcPr>
            <w:tcW w:w="1748" w:type="dxa"/>
            <w:noWrap/>
            <w:vAlign w:val="top"/>
          </w:tcPr>
          <w:p w14:paraId="166319DD">
            <w:pPr>
              <w:pStyle w:val="213"/>
              <w:spacing w:before="163" w:line="221" w:lineRule="auto"/>
              <w:ind w:left="389" w:leftChars="0"/>
              <w:rPr>
                <w:rFonts w:hint="eastAsia" w:ascii="宋体" w:hAnsi="宋体" w:eastAsia="宋体" w:cs="宋体"/>
                <w:color w:val="000000"/>
                <w:kern w:val="0"/>
                <w:sz w:val="36"/>
                <w:szCs w:val="36"/>
              </w:rPr>
            </w:pPr>
            <w:r>
              <w:rPr>
                <w:spacing w:val="-3"/>
                <w:sz w:val="22"/>
                <w:szCs w:val="22"/>
              </w:rPr>
              <w:t>控制箱</w:t>
            </w:r>
          </w:p>
        </w:tc>
        <w:tc>
          <w:tcPr>
            <w:tcW w:w="4125" w:type="dxa"/>
            <w:noWrap w:val="0"/>
            <w:vAlign w:val="top"/>
          </w:tcPr>
          <w:p w14:paraId="20C4677F">
            <w:pPr>
              <w:pStyle w:val="213"/>
              <w:spacing w:before="163" w:line="220" w:lineRule="auto"/>
              <w:rPr>
                <w:rFonts w:hint="eastAsia" w:ascii="宋体" w:hAnsi="宋体" w:eastAsia="宋体" w:cs="宋体"/>
                <w:color w:val="000000"/>
                <w:kern w:val="0"/>
                <w:sz w:val="36"/>
                <w:szCs w:val="36"/>
              </w:rPr>
            </w:pPr>
            <w:r>
              <w:rPr>
                <w:spacing w:val="-1"/>
                <w:sz w:val="22"/>
                <w:szCs w:val="22"/>
              </w:rPr>
              <w:t>去油、擦拭，控制部件保养</w:t>
            </w:r>
          </w:p>
        </w:tc>
        <w:tc>
          <w:tcPr>
            <w:tcW w:w="3122" w:type="dxa"/>
            <w:noWrap w:val="0"/>
            <w:vAlign w:val="top"/>
          </w:tcPr>
          <w:p w14:paraId="7FBCEA27">
            <w:pPr>
              <w:pStyle w:val="213"/>
              <w:spacing w:before="28" w:line="258" w:lineRule="auto"/>
              <w:ind w:left="116" w:leftChars="0" w:right="185" w:rightChars="0" w:hanging="2" w:firstLineChars="0"/>
              <w:rPr>
                <w:rFonts w:hint="eastAsia" w:ascii="宋体" w:hAnsi="宋体" w:eastAsia="宋体" w:cs="宋体"/>
                <w:color w:val="000000"/>
                <w:kern w:val="0"/>
                <w:sz w:val="36"/>
                <w:szCs w:val="36"/>
              </w:rPr>
            </w:pPr>
            <w:r>
              <w:rPr>
                <w:spacing w:val="-1"/>
                <w:sz w:val="22"/>
                <w:szCs w:val="22"/>
              </w:rPr>
              <w:t>无油污，部件控制灵敏，操作</w:t>
            </w:r>
            <w:r>
              <w:rPr>
                <w:spacing w:val="3"/>
                <w:sz w:val="22"/>
                <w:szCs w:val="22"/>
              </w:rPr>
              <w:t xml:space="preserve"> </w:t>
            </w:r>
            <w:r>
              <w:rPr>
                <w:spacing w:val="-6"/>
                <w:sz w:val="22"/>
                <w:szCs w:val="22"/>
              </w:rPr>
              <w:t>正常</w:t>
            </w:r>
          </w:p>
        </w:tc>
      </w:tr>
      <w:tr w14:paraId="1E967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20" w:type="dxa"/>
            <w:noWrap/>
            <w:vAlign w:val="center"/>
          </w:tcPr>
          <w:p w14:paraId="79439898">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9</w:t>
            </w:r>
          </w:p>
        </w:tc>
        <w:tc>
          <w:tcPr>
            <w:tcW w:w="1265" w:type="dxa"/>
            <w:vMerge w:val="restart"/>
            <w:noWrap/>
            <w:vAlign w:val="center"/>
          </w:tcPr>
          <w:p w14:paraId="67F5C517">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油烟净化一体机</w:t>
            </w:r>
          </w:p>
        </w:tc>
        <w:tc>
          <w:tcPr>
            <w:tcW w:w="1748" w:type="dxa"/>
            <w:noWrap/>
            <w:vAlign w:val="center"/>
          </w:tcPr>
          <w:p w14:paraId="00DE039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内部</w:t>
            </w:r>
            <w:r>
              <w:rPr>
                <w:rFonts w:hint="eastAsia" w:ascii="宋体" w:hAnsi="宋体" w:eastAsia="宋体" w:cs="宋体"/>
                <w:color w:val="000000"/>
                <w:kern w:val="0"/>
                <w:sz w:val="24"/>
                <w:szCs w:val="24"/>
                <w:lang w:eastAsia="zh-CN"/>
              </w:rPr>
              <w:t>涡轮</w:t>
            </w:r>
            <w:r>
              <w:rPr>
                <w:rFonts w:hint="eastAsia" w:ascii="宋体" w:hAnsi="宋体" w:eastAsia="宋体" w:cs="宋体"/>
                <w:color w:val="000000"/>
                <w:kern w:val="0"/>
                <w:sz w:val="24"/>
                <w:szCs w:val="24"/>
              </w:rPr>
              <w:t>风机</w:t>
            </w:r>
          </w:p>
        </w:tc>
        <w:tc>
          <w:tcPr>
            <w:tcW w:w="4125" w:type="dxa"/>
            <w:noWrap w:val="0"/>
            <w:vAlign w:val="center"/>
          </w:tcPr>
          <w:p w14:paraId="707DB91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去油，擦拭，传动部件润滑保养</w:t>
            </w:r>
          </w:p>
        </w:tc>
        <w:tc>
          <w:tcPr>
            <w:tcW w:w="3122" w:type="dxa"/>
            <w:noWrap w:val="0"/>
            <w:vAlign w:val="center"/>
          </w:tcPr>
          <w:p w14:paraId="7C209D6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无油垢、运行平稳无异响</w:t>
            </w:r>
          </w:p>
        </w:tc>
      </w:tr>
      <w:tr w14:paraId="12E8D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20" w:type="dxa"/>
            <w:noWrap/>
            <w:vAlign w:val="center"/>
          </w:tcPr>
          <w:p w14:paraId="48E12201">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w:t>
            </w:r>
          </w:p>
        </w:tc>
        <w:tc>
          <w:tcPr>
            <w:tcW w:w="1265" w:type="dxa"/>
            <w:vMerge w:val="continue"/>
            <w:noWrap w:val="0"/>
            <w:vAlign w:val="center"/>
          </w:tcPr>
          <w:p w14:paraId="6FC97AA5">
            <w:pPr>
              <w:widowControl/>
              <w:jc w:val="left"/>
              <w:rPr>
                <w:rFonts w:ascii="宋体" w:hAnsi="宋体" w:eastAsia="宋体" w:cs="宋体"/>
                <w:color w:val="000000"/>
                <w:kern w:val="0"/>
                <w:sz w:val="24"/>
                <w:szCs w:val="24"/>
              </w:rPr>
            </w:pPr>
          </w:p>
        </w:tc>
        <w:tc>
          <w:tcPr>
            <w:tcW w:w="1748" w:type="dxa"/>
            <w:noWrap/>
            <w:vAlign w:val="center"/>
          </w:tcPr>
          <w:p w14:paraId="59FAE854">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内部低温等离子净化器</w:t>
            </w:r>
          </w:p>
        </w:tc>
        <w:tc>
          <w:tcPr>
            <w:tcW w:w="4125" w:type="dxa"/>
            <w:noWrap w:val="0"/>
            <w:vAlign w:val="center"/>
          </w:tcPr>
          <w:p w14:paraId="016EDEBF">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浸泡清洗，</w:t>
            </w:r>
            <w:r>
              <w:rPr>
                <w:rFonts w:hint="eastAsia" w:ascii="宋体" w:hAnsi="宋体" w:eastAsia="宋体" w:cs="宋体"/>
                <w:color w:val="000000"/>
                <w:kern w:val="0"/>
                <w:sz w:val="24"/>
                <w:szCs w:val="24"/>
                <w:lang w:eastAsia="zh-CN"/>
              </w:rPr>
              <w:t>擦拭，保养</w:t>
            </w:r>
          </w:p>
        </w:tc>
        <w:tc>
          <w:tcPr>
            <w:tcW w:w="3122" w:type="dxa"/>
            <w:noWrap w:val="0"/>
            <w:vAlign w:val="center"/>
          </w:tcPr>
          <w:p w14:paraId="6EC44D46">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无油污，部件控制灵敏，操作正常</w:t>
            </w:r>
          </w:p>
        </w:tc>
      </w:tr>
      <w:tr w14:paraId="1883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20" w:type="dxa"/>
            <w:noWrap/>
            <w:vAlign w:val="center"/>
          </w:tcPr>
          <w:p w14:paraId="6D89105E">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11</w:t>
            </w:r>
          </w:p>
        </w:tc>
        <w:tc>
          <w:tcPr>
            <w:tcW w:w="1265" w:type="dxa"/>
            <w:vMerge w:val="continue"/>
            <w:noWrap w:val="0"/>
            <w:vAlign w:val="center"/>
          </w:tcPr>
          <w:p w14:paraId="2A9C6CA5">
            <w:pPr>
              <w:widowControl/>
              <w:jc w:val="left"/>
              <w:rPr>
                <w:rFonts w:ascii="宋体" w:hAnsi="宋体" w:eastAsia="宋体" w:cs="宋体"/>
                <w:color w:val="000000"/>
                <w:kern w:val="0"/>
                <w:sz w:val="24"/>
                <w:szCs w:val="24"/>
              </w:rPr>
            </w:pPr>
          </w:p>
        </w:tc>
        <w:tc>
          <w:tcPr>
            <w:tcW w:w="1748" w:type="dxa"/>
            <w:noWrap/>
            <w:vAlign w:val="center"/>
          </w:tcPr>
          <w:p w14:paraId="4F3F0312">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防火筛</w:t>
            </w:r>
          </w:p>
        </w:tc>
        <w:tc>
          <w:tcPr>
            <w:tcW w:w="4125" w:type="dxa"/>
            <w:noWrap w:val="0"/>
            <w:vAlign w:val="center"/>
          </w:tcPr>
          <w:p w14:paraId="4B75C6F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浸泡清洗，</w:t>
            </w:r>
            <w:r>
              <w:rPr>
                <w:rFonts w:hint="eastAsia" w:ascii="宋体" w:hAnsi="宋体" w:eastAsia="宋体" w:cs="宋体"/>
                <w:color w:val="000000"/>
                <w:kern w:val="0"/>
                <w:sz w:val="24"/>
                <w:szCs w:val="24"/>
                <w:lang w:eastAsia="zh-CN"/>
              </w:rPr>
              <w:t>擦拭，保养</w:t>
            </w:r>
          </w:p>
        </w:tc>
        <w:tc>
          <w:tcPr>
            <w:tcW w:w="3122" w:type="dxa"/>
            <w:noWrap w:val="0"/>
            <w:vAlign w:val="center"/>
          </w:tcPr>
          <w:p w14:paraId="7B61270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无油污，部件控制灵敏，操作正常</w:t>
            </w:r>
          </w:p>
        </w:tc>
      </w:tr>
      <w:tr w14:paraId="01BA8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20" w:type="dxa"/>
            <w:noWrap/>
            <w:vAlign w:val="center"/>
          </w:tcPr>
          <w:p w14:paraId="5799ABDE">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12</w:t>
            </w:r>
          </w:p>
        </w:tc>
        <w:tc>
          <w:tcPr>
            <w:tcW w:w="1265" w:type="dxa"/>
            <w:vMerge w:val="continue"/>
            <w:noWrap w:val="0"/>
            <w:vAlign w:val="center"/>
          </w:tcPr>
          <w:p w14:paraId="1497EDF9">
            <w:pPr>
              <w:widowControl/>
              <w:jc w:val="left"/>
              <w:rPr>
                <w:rFonts w:ascii="宋体" w:hAnsi="宋体" w:eastAsia="宋体" w:cs="宋体"/>
                <w:color w:val="000000"/>
                <w:kern w:val="0"/>
                <w:sz w:val="24"/>
                <w:szCs w:val="24"/>
              </w:rPr>
            </w:pPr>
          </w:p>
        </w:tc>
        <w:tc>
          <w:tcPr>
            <w:tcW w:w="1748" w:type="dxa"/>
            <w:noWrap/>
            <w:vAlign w:val="center"/>
          </w:tcPr>
          <w:p w14:paraId="37254A03">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内置油气分离器</w:t>
            </w:r>
          </w:p>
        </w:tc>
        <w:tc>
          <w:tcPr>
            <w:tcW w:w="4125" w:type="dxa"/>
            <w:noWrap w:val="0"/>
            <w:vAlign w:val="center"/>
          </w:tcPr>
          <w:p w14:paraId="617AEC54">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去油，擦拭，</w:t>
            </w:r>
            <w:r>
              <w:rPr>
                <w:rFonts w:hint="eastAsia" w:ascii="宋体" w:hAnsi="宋体" w:eastAsia="宋体" w:cs="宋体"/>
                <w:color w:val="000000"/>
                <w:kern w:val="0"/>
                <w:sz w:val="24"/>
                <w:szCs w:val="24"/>
                <w:lang w:eastAsia="zh-CN"/>
              </w:rPr>
              <w:t>保养</w:t>
            </w:r>
          </w:p>
        </w:tc>
        <w:tc>
          <w:tcPr>
            <w:tcW w:w="3122" w:type="dxa"/>
            <w:noWrap w:val="0"/>
            <w:vAlign w:val="center"/>
          </w:tcPr>
          <w:p w14:paraId="6D20A4FE">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无油污，部件控制灵敏，操作正常</w:t>
            </w:r>
          </w:p>
        </w:tc>
      </w:tr>
      <w:tr w14:paraId="0408B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20" w:type="dxa"/>
            <w:noWrap/>
            <w:vAlign w:val="center"/>
          </w:tcPr>
          <w:p w14:paraId="18075B64">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p>
        </w:tc>
        <w:tc>
          <w:tcPr>
            <w:tcW w:w="1265" w:type="dxa"/>
            <w:vMerge w:val="continue"/>
            <w:noWrap w:val="0"/>
            <w:vAlign w:val="center"/>
          </w:tcPr>
          <w:p w14:paraId="1232BC26">
            <w:pPr>
              <w:widowControl/>
              <w:jc w:val="left"/>
              <w:rPr>
                <w:rFonts w:ascii="宋体" w:hAnsi="宋体" w:eastAsia="宋体" w:cs="宋体"/>
                <w:color w:val="000000"/>
                <w:kern w:val="0"/>
                <w:sz w:val="24"/>
                <w:szCs w:val="24"/>
              </w:rPr>
            </w:pPr>
          </w:p>
        </w:tc>
        <w:tc>
          <w:tcPr>
            <w:tcW w:w="1748" w:type="dxa"/>
            <w:noWrap/>
            <w:vAlign w:val="center"/>
          </w:tcPr>
          <w:p w14:paraId="513607F8">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离心分离器</w:t>
            </w:r>
          </w:p>
        </w:tc>
        <w:tc>
          <w:tcPr>
            <w:tcW w:w="4125" w:type="dxa"/>
            <w:noWrap w:val="0"/>
            <w:vAlign w:val="center"/>
          </w:tcPr>
          <w:p w14:paraId="59104891">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去油，擦拭，</w:t>
            </w:r>
            <w:r>
              <w:rPr>
                <w:rFonts w:hint="eastAsia" w:ascii="宋体" w:hAnsi="宋体" w:eastAsia="宋体" w:cs="宋体"/>
                <w:color w:val="000000"/>
                <w:kern w:val="0"/>
                <w:sz w:val="24"/>
                <w:szCs w:val="24"/>
                <w:lang w:eastAsia="zh-CN"/>
              </w:rPr>
              <w:t>保养</w:t>
            </w:r>
          </w:p>
        </w:tc>
        <w:tc>
          <w:tcPr>
            <w:tcW w:w="3122" w:type="dxa"/>
            <w:noWrap w:val="0"/>
            <w:vAlign w:val="center"/>
          </w:tcPr>
          <w:p w14:paraId="272BE67A">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无油污，部件控制灵敏，操作正常</w:t>
            </w:r>
          </w:p>
        </w:tc>
      </w:tr>
      <w:tr w14:paraId="6F32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520" w:type="dxa"/>
            <w:noWrap/>
            <w:vAlign w:val="center"/>
          </w:tcPr>
          <w:p w14:paraId="5C3A7E13">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14</w:t>
            </w:r>
          </w:p>
        </w:tc>
        <w:tc>
          <w:tcPr>
            <w:tcW w:w="1265" w:type="dxa"/>
            <w:vMerge w:val="continue"/>
            <w:noWrap w:val="0"/>
            <w:vAlign w:val="center"/>
          </w:tcPr>
          <w:p w14:paraId="1BE63B68">
            <w:pPr>
              <w:widowControl/>
              <w:jc w:val="left"/>
              <w:rPr>
                <w:rFonts w:ascii="宋体" w:hAnsi="宋体" w:eastAsia="宋体" w:cs="宋体"/>
                <w:color w:val="000000"/>
                <w:kern w:val="0"/>
                <w:sz w:val="24"/>
                <w:szCs w:val="24"/>
              </w:rPr>
            </w:pPr>
          </w:p>
        </w:tc>
        <w:tc>
          <w:tcPr>
            <w:tcW w:w="1748" w:type="dxa"/>
            <w:noWrap/>
            <w:vAlign w:val="center"/>
          </w:tcPr>
          <w:p w14:paraId="5C85B542">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高效过滤器</w:t>
            </w:r>
          </w:p>
          <w:p w14:paraId="6B0481E1">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（粗滤和精滤）</w:t>
            </w:r>
          </w:p>
        </w:tc>
        <w:tc>
          <w:tcPr>
            <w:tcW w:w="4125" w:type="dxa"/>
            <w:noWrap w:val="0"/>
            <w:vAlign w:val="center"/>
          </w:tcPr>
          <w:p w14:paraId="24CA8852">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浸泡去油，擦拭，</w:t>
            </w:r>
            <w:r>
              <w:rPr>
                <w:rFonts w:hint="eastAsia" w:ascii="宋体" w:hAnsi="宋体" w:eastAsia="宋体" w:cs="宋体"/>
                <w:color w:val="000000"/>
                <w:kern w:val="0"/>
                <w:sz w:val="24"/>
                <w:szCs w:val="24"/>
                <w:lang w:eastAsia="zh-CN"/>
              </w:rPr>
              <w:t>保养</w:t>
            </w:r>
          </w:p>
        </w:tc>
        <w:tc>
          <w:tcPr>
            <w:tcW w:w="3122" w:type="dxa"/>
            <w:noWrap w:val="0"/>
            <w:vAlign w:val="center"/>
          </w:tcPr>
          <w:p w14:paraId="520CEC2D">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无油污，部件控制灵敏，操作正常</w:t>
            </w:r>
          </w:p>
        </w:tc>
      </w:tr>
      <w:tr w14:paraId="37883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520" w:type="dxa"/>
            <w:noWrap/>
            <w:vAlign w:val="center"/>
          </w:tcPr>
          <w:p w14:paraId="510EC707">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5</w:t>
            </w:r>
          </w:p>
        </w:tc>
        <w:tc>
          <w:tcPr>
            <w:tcW w:w="1265" w:type="dxa"/>
            <w:vMerge w:val="continue"/>
            <w:noWrap w:val="0"/>
            <w:vAlign w:val="center"/>
          </w:tcPr>
          <w:p w14:paraId="0B1AC509">
            <w:pPr>
              <w:widowControl/>
              <w:jc w:val="left"/>
              <w:rPr>
                <w:rFonts w:ascii="宋体" w:hAnsi="宋体" w:eastAsia="宋体" w:cs="宋体"/>
                <w:color w:val="000000"/>
                <w:kern w:val="0"/>
                <w:sz w:val="24"/>
                <w:szCs w:val="24"/>
              </w:rPr>
            </w:pPr>
          </w:p>
        </w:tc>
        <w:tc>
          <w:tcPr>
            <w:tcW w:w="1748" w:type="dxa"/>
            <w:noWrap/>
            <w:vAlign w:val="center"/>
          </w:tcPr>
          <w:p w14:paraId="1A8736A5">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eastAsia="zh-CN"/>
              </w:rPr>
              <w:t>内外壁及隔油板</w:t>
            </w:r>
          </w:p>
        </w:tc>
        <w:tc>
          <w:tcPr>
            <w:tcW w:w="4125" w:type="dxa"/>
            <w:noWrap w:val="0"/>
            <w:vAlign w:val="center"/>
          </w:tcPr>
          <w:p w14:paraId="3076B16F">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高压枪喷打清洗剂、人工铲除或擦拭，消毒擦拭，清水全面清洗，擦干后擦拭保护膜</w:t>
            </w:r>
          </w:p>
        </w:tc>
        <w:tc>
          <w:tcPr>
            <w:tcW w:w="3122" w:type="dxa"/>
            <w:noWrap w:val="0"/>
            <w:vAlign w:val="center"/>
          </w:tcPr>
          <w:p w14:paraId="0BA4057C">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壁面光亮整洁无油污，清洁度9</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%以上</w:t>
            </w:r>
          </w:p>
        </w:tc>
      </w:tr>
      <w:tr w14:paraId="359F5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520" w:type="dxa"/>
            <w:noWrap/>
            <w:vAlign w:val="center"/>
          </w:tcPr>
          <w:p w14:paraId="11C3CA88">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6</w:t>
            </w:r>
          </w:p>
        </w:tc>
        <w:tc>
          <w:tcPr>
            <w:tcW w:w="1265" w:type="dxa"/>
            <w:vMerge w:val="restart"/>
            <w:noWrap/>
            <w:vAlign w:val="center"/>
          </w:tcPr>
          <w:p w14:paraId="05F6D734">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排油烟管道</w:t>
            </w:r>
            <w:r>
              <w:rPr>
                <w:rFonts w:hint="eastAsia" w:ascii="宋体" w:hAnsi="宋体" w:eastAsia="宋体" w:cs="宋体"/>
                <w:color w:val="000000"/>
                <w:kern w:val="0"/>
                <w:sz w:val="24"/>
                <w:szCs w:val="24"/>
                <w:lang w:eastAsia="zh-CN"/>
              </w:rPr>
              <w:t>（横竖）</w:t>
            </w:r>
          </w:p>
        </w:tc>
        <w:tc>
          <w:tcPr>
            <w:tcW w:w="1748" w:type="dxa"/>
            <w:noWrap/>
            <w:vAlign w:val="center"/>
          </w:tcPr>
          <w:p w14:paraId="4BF352B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内壁</w:t>
            </w:r>
          </w:p>
        </w:tc>
        <w:tc>
          <w:tcPr>
            <w:tcW w:w="4125" w:type="dxa"/>
            <w:noWrap w:val="0"/>
            <w:vAlign w:val="center"/>
          </w:tcPr>
          <w:p w14:paraId="3B377C5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人工+机器相结合，高温高压喷打清洗剂、铲刮、擦拭，或机器人高压射流清洗与专用设备吸油等</w:t>
            </w:r>
          </w:p>
        </w:tc>
        <w:tc>
          <w:tcPr>
            <w:tcW w:w="3122" w:type="dxa"/>
            <w:noWrap w:val="0"/>
            <w:vAlign w:val="center"/>
          </w:tcPr>
          <w:p w14:paraId="6054AEB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内壁90%以上可见原色，无块状干涸油污残留</w:t>
            </w:r>
          </w:p>
        </w:tc>
      </w:tr>
      <w:tr w14:paraId="5D2B4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20" w:type="dxa"/>
            <w:noWrap/>
            <w:vAlign w:val="center"/>
          </w:tcPr>
          <w:p w14:paraId="75737C4F">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7</w:t>
            </w:r>
          </w:p>
        </w:tc>
        <w:tc>
          <w:tcPr>
            <w:tcW w:w="1265" w:type="dxa"/>
            <w:vMerge w:val="continue"/>
            <w:noWrap w:val="0"/>
            <w:vAlign w:val="center"/>
          </w:tcPr>
          <w:p w14:paraId="4D8C9065">
            <w:pPr>
              <w:widowControl/>
              <w:jc w:val="left"/>
              <w:rPr>
                <w:rFonts w:ascii="宋体" w:hAnsi="宋体" w:eastAsia="宋体" w:cs="宋体"/>
                <w:color w:val="000000"/>
                <w:kern w:val="0"/>
                <w:sz w:val="24"/>
                <w:szCs w:val="24"/>
              </w:rPr>
            </w:pPr>
          </w:p>
        </w:tc>
        <w:tc>
          <w:tcPr>
            <w:tcW w:w="1748" w:type="dxa"/>
            <w:noWrap/>
            <w:vAlign w:val="center"/>
          </w:tcPr>
          <w:p w14:paraId="7D54845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连接口</w:t>
            </w:r>
          </w:p>
        </w:tc>
        <w:tc>
          <w:tcPr>
            <w:tcW w:w="4125" w:type="dxa"/>
            <w:noWrap w:val="0"/>
            <w:vAlign w:val="center"/>
          </w:tcPr>
          <w:p w14:paraId="61EDB12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铲刮清理、密封检查及修复</w:t>
            </w:r>
          </w:p>
        </w:tc>
        <w:tc>
          <w:tcPr>
            <w:tcW w:w="3122" w:type="dxa"/>
            <w:noWrap w:val="0"/>
            <w:vAlign w:val="center"/>
          </w:tcPr>
          <w:p w14:paraId="0D6747E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无油垢，无渗漏</w:t>
            </w:r>
          </w:p>
        </w:tc>
      </w:tr>
      <w:tr w14:paraId="33A11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20" w:type="dxa"/>
            <w:noWrap/>
            <w:vAlign w:val="center"/>
          </w:tcPr>
          <w:p w14:paraId="0AF59FED">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8</w:t>
            </w:r>
          </w:p>
        </w:tc>
        <w:tc>
          <w:tcPr>
            <w:tcW w:w="1265" w:type="dxa"/>
            <w:vMerge w:val="continue"/>
            <w:noWrap w:val="0"/>
            <w:vAlign w:val="center"/>
          </w:tcPr>
          <w:p w14:paraId="69ADFC09">
            <w:pPr>
              <w:widowControl/>
              <w:jc w:val="left"/>
              <w:rPr>
                <w:rFonts w:ascii="宋体" w:hAnsi="宋体" w:eastAsia="宋体" w:cs="宋体"/>
                <w:color w:val="000000"/>
                <w:kern w:val="0"/>
                <w:sz w:val="24"/>
                <w:szCs w:val="24"/>
              </w:rPr>
            </w:pPr>
          </w:p>
        </w:tc>
        <w:tc>
          <w:tcPr>
            <w:tcW w:w="1748" w:type="dxa"/>
            <w:noWrap/>
            <w:vAlign w:val="center"/>
          </w:tcPr>
          <w:p w14:paraId="5CDC126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软连接</w:t>
            </w:r>
          </w:p>
        </w:tc>
        <w:tc>
          <w:tcPr>
            <w:tcW w:w="4125" w:type="dxa"/>
            <w:noWrap w:val="0"/>
            <w:vAlign w:val="center"/>
          </w:tcPr>
          <w:p w14:paraId="64009C2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浸泡清洗</w:t>
            </w:r>
          </w:p>
        </w:tc>
        <w:tc>
          <w:tcPr>
            <w:tcW w:w="3122" w:type="dxa"/>
            <w:noWrap w:val="0"/>
            <w:vAlign w:val="center"/>
          </w:tcPr>
          <w:p w14:paraId="10B432F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无油垢，连接完好</w:t>
            </w:r>
          </w:p>
        </w:tc>
      </w:tr>
      <w:tr w14:paraId="2D4E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20" w:type="dxa"/>
            <w:noWrap/>
            <w:vAlign w:val="center"/>
          </w:tcPr>
          <w:p w14:paraId="6BB315D4">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9</w:t>
            </w:r>
          </w:p>
        </w:tc>
        <w:tc>
          <w:tcPr>
            <w:tcW w:w="1265" w:type="dxa"/>
            <w:vMerge w:val="restart"/>
            <w:noWrap/>
            <w:vAlign w:val="center"/>
          </w:tcPr>
          <w:p w14:paraId="5C26E7D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油烟</w:t>
            </w:r>
            <w:r>
              <w:rPr>
                <w:rFonts w:hint="eastAsia" w:ascii="宋体" w:hAnsi="宋体" w:eastAsia="宋体" w:cs="宋体"/>
                <w:color w:val="000000"/>
                <w:kern w:val="0"/>
                <w:sz w:val="24"/>
                <w:szCs w:val="24"/>
              </w:rPr>
              <w:t>净化器</w:t>
            </w:r>
          </w:p>
        </w:tc>
        <w:tc>
          <w:tcPr>
            <w:tcW w:w="1748" w:type="dxa"/>
            <w:noWrap/>
            <w:vAlign w:val="center"/>
          </w:tcPr>
          <w:p w14:paraId="0749D2B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滤网</w:t>
            </w:r>
          </w:p>
        </w:tc>
        <w:tc>
          <w:tcPr>
            <w:tcW w:w="4125" w:type="dxa"/>
            <w:noWrap w:val="0"/>
            <w:vAlign w:val="center"/>
          </w:tcPr>
          <w:p w14:paraId="4F0F10B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浸泡清洗</w:t>
            </w:r>
          </w:p>
        </w:tc>
        <w:tc>
          <w:tcPr>
            <w:tcW w:w="3122" w:type="dxa"/>
            <w:noWrap w:val="0"/>
            <w:vAlign w:val="center"/>
          </w:tcPr>
          <w:p w14:paraId="39FD85C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干净无油垢，滤网完好、透气</w:t>
            </w:r>
          </w:p>
        </w:tc>
      </w:tr>
      <w:tr w14:paraId="5987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20" w:type="dxa"/>
            <w:noWrap/>
            <w:vAlign w:val="center"/>
          </w:tcPr>
          <w:p w14:paraId="020075CE">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20</w:t>
            </w:r>
          </w:p>
        </w:tc>
        <w:tc>
          <w:tcPr>
            <w:tcW w:w="1265" w:type="dxa"/>
            <w:vMerge w:val="continue"/>
            <w:noWrap w:val="0"/>
            <w:vAlign w:val="center"/>
          </w:tcPr>
          <w:p w14:paraId="10A0F4EC">
            <w:pPr>
              <w:widowControl/>
              <w:jc w:val="left"/>
              <w:rPr>
                <w:rFonts w:ascii="宋体" w:hAnsi="宋体" w:eastAsia="宋体" w:cs="宋体"/>
                <w:color w:val="000000"/>
                <w:kern w:val="0"/>
                <w:sz w:val="24"/>
                <w:szCs w:val="24"/>
              </w:rPr>
            </w:pPr>
          </w:p>
        </w:tc>
        <w:tc>
          <w:tcPr>
            <w:tcW w:w="1748" w:type="dxa"/>
            <w:noWrap/>
            <w:vAlign w:val="center"/>
          </w:tcPr>
          <w:p w14:paraId="6B6AC3A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机箱内壁</w:t>
            </w:r>
          </w:p>
        </w:tc>
        <w:tc>
          <w:tcPr>
            <w:tcW w:w="4125" w:type="dxa"/>
            <w:noWrap w:val="0"/>
            <w:vAlign w:val="center"/>
          </w:tcPr>
          <w:p w14:paraId="30177FF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高压枪喷打清洗剂、人工铲刮或擦拭</w:t>
            </w:r>
          </w:p>
        </w:tc>
        <w:tc>
          <w:tcPr>
            <w:tcW w:w="3122" w:type="dxa"/>
            <w:noWrap w:val="0"/>
            <w:vAlign w:val="center"/>
          </w:tcPr>
          <w:p w14:paraId="29DF95A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内壁90%以上可见原色，无块状干涸油污残留</w:t>
            </w:r>
          </w:p>
        </w:tc>
      </w:tr>
      <w:tr w14:paraId="5E874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20" w:type="dxa"/>
            <w:noWrap/>
            <w:vAlign w:val="center"/>
          </w:tcPr>
          <w:p w14:paraId="434DA86D">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21</w:t>
            </w:r>
          </w:p>
        </w:tc>
        <w:tc>
          <w:tcPr>
            <w:tcW w:w="1265" w:type="dxa"/>
            <w:vMerge w:val="continue"/>
            <w:noWrap w:val="0"/>
            <w:vAlign w:val="center"/>
          </w:tcPr>
          <w:p w14:paraId="07AF7E68">
            <w:pPr>
              <w:widowControl/>
              <w:jc w:val="left"/>
              <w:rPr>
                <w:rFonts w:ascii="宋体" w:hAnsi="宋体" w:eastAsia="宋体" w:cs="宋体"/>
                <w:color w:val="000000"/>
                <w:kern w:val="0"/>
                <w:sz w:val="24"/>
                <w:szCs w:val="24"/>
              </w:rPr>
            </w:pPr>
          </w:p>
        </w:tc>
        <w:tc>
          <w:tcPr>
            <w:tcW w:w="1748" w:type="dxa"/>
            <w:noWrap/>
            <w:vAlign w:val="center"/>
          </w:tcPr>
          <w:p w14:paraId="6B97E6D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沉油槽/排油阀</w:t>
            </w:r>
          </w:p>
        </w:tc>
        <w:tc>
          <w:tcPr>
            <w:tcW w:w="4125" w:type="dxa"/>
            <w:noWrap w:val="0"/>
            <w:vAlign w:val="center"/>
          </w:tcPr>
          <w:p w14:paraId="6056F7F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高压枪喷打清洗剂、铲刮或擦拭</w:t>
            </w:r>
          </w:p>
        </w:tc>
        <w:tc>
          <w:tcPr>
            <w:tcW w:w="3122" w:type="dxa"/>
            <w:noWrap w:val="0"/>
            <w:vAlign w:val="center"/>
          </w:tcPr>
          <w:p w14:paraId="1A6ED54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光亮整洁无油污、无存油</w:t>
            </w:r>
          </w:p>
        </w:tc>
      </w:tr>
      <w:tr w14:paraId="542A1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520" w:type="dxa"/>
            <w:noWrap/>
            <w:vAlign w:val="center"/>
          </w:tcPr>
          <w:p w14:paraId="0D71ADA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22</w:t>
            </w:r>
          </w:p>
        </w:tc>
        <w:tc>
          <w:tcPr>
            <w:tcW w:w="1265" w:type="dxa"/>
            <w:vMerge w:val="continue"/>
            <w:noWrap w:val="0"/>
            <w:vAlign w:val="center"/>
          </w:tcPr>
          <w:p w14:paraId="745D36C5">
            <w:pPr>
              <w:widowControl/>
              <w:jc w:val="left"/>
              <w:rPr>
                <w:rFonts w:ascii="宋体" w:hAnsi="宋体" w:eastAsia="宋体" w:cs="宋体"/>
                <w:color w:val="000000"/>
                <w:kern w:val="0"/>
                <w:sz w:val="24"/>
                <w:szCs w:val="24"/>
              </w:rPr>
            </w:pPr>
          </w:p>
        </w:tc>
        <w:tc>
          <w:tcPr>
            <w:tcW w:w="1748" w:type="dxa"/>
            <w:noWrap/>
            <w:vAlign w:val="center"/>
          </w:tcPr>
          <w:p w14:paraId="47F1AF4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净化器风机</w:t>
            </w:r>
          </w:p>
        </w:tc>
        <w:tc>
          <w:tcPr>
            <w:tcW w:w="4125" w:type="dxa"/>
            <w:noWrap w:val="0"/>
            <w:vAlign w:val="center"/>
          </w:tcPr>
          <w:p w14:paraId="22DAF71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人工铲刮或擦拭、传动部件润滑保养</w:t>
            </w:r>
          </w:p>
        </w:tc>
        <w:tc>
          <w:tcPr>
            <w:tcW w:w="3122" w:type="dxa"/>
            <w:noWrap w:val="0"/>
            <w:vAlign w:val="center"/>
          </w:tcPr>
          <w:p w14:paraId="6E04FBB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叶轮和电机表面90%以上能见底漆，电机底部无沉淀的油污，运行平稳无异响</w:t>
            </w:r>
          </w:p>
        </w:tc>
      </w:tr>
      <w:tr w14:paraId="0505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20" w:type="dxa"/>
            <w:noWrap/>
            <w:vAlign w:val="center"/>
          </w:tcPr>
          <w:p w14:paraId="78BAD716">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23</w:t>
            </w:r>
          </w:p>
        </w:tc>
        <w:tc>
          <w:tcPr>
            <w:tcW w:w="1265" w:type="dxa"/>
            <w:vMerge w:val="restart"/>
            <w:noWrap/>
            <w:vAlign w:val="center"/>
          </w:tcPr>
          <w:p w14:paraId="00B6F35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排油烟风机</w:t>
            </w:r>
          </w:p>
        </w:tc>
        <w:tc>
          <w:tcPr>
            <w:tcW w:w="1748" w:type="dxa"/>
            <w:noWrap/>
            <w:vAlign w:val="center"/>
          </w:tcPr>
          <w:p w14:paraId="5A410E0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机箱内部</w:t>
            </w:r>
          </w:p>
        </w:tc>
        <w:tc>
          <w:tcPr>
            <w:tcW w:w="4125" w:type="dxa"/>
            <w:noWrap w:val="0"/>
            <w:vAlign w:val="center"/>
          </w:tcPr>
          <w:p w14:paraId="3ACE79B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高压枪喷打清洗剂、人工铲刮或擦拭</w:t>
            </w:r>
          </w:p>
        </w:tc>
        <w:tc>
          <w:tcPr>
            <w:tcW w:w="3122" w:type="dxa"/>
            <w:noWrap w:val="0"/>
            <w:vAlign w:val="center"/>
          </w:tcPr>
          <w:p w14:paraId="4BEA6A8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内壁90%以上可见原色，无块状干涸油污残留</w:t>
            </w:r>
          </w:p>
        </w:tc>
      </w:tr>
      <w:tr w14:paraId="0D8A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20" w:type="dxa"/>
            <w:noWrap/>
            <w:vAlign w:val="center"/>
          </w:tcPr>
          <w:p w14:paraId="39E74975">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24</w:t>
            </w:r>
          </w:p>
        </w:tc>
        <w:tc>
          <w:tcPr>
            <w:tcW w:w="1265" w:type="dxa"/>
            <w:vMerge w:val="continue"/>
            <w:noWrap w:val="0"/>
            <w:vAlign w:val="center"/>
          </w:tcPr>
          <w:p w14:paraId="5327524C">
            <w:pPr>
              <w:widowControl/>
              <w:jc w:val="left"/>
              <w:rPr>
                <w:rFonts w:ascii="宋体" w:hAnsi="宋体" w:eastAsia="宋体" w:cs="宋体"/>
                <w:color w:val="000000"/>
                <w:kern w:val="0"/>
                <w:sz w:val="24"/>
                <w:szCs w:val="24"/>
              </w:rPr>
            </w:pPr>
          </w:p>
        </w:tc>
        <w:tc>
          <w:tcPr>
            <w:tcW w:w="1748" w:type="dxa"/>
            <w:noWrap/>
            <w:vAlign w:val="center"/>
          </w:tcPr>
          <w:p w14:paraId="2C0C7C3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电</w:t>
            </w:r>
            <w:r>
              <w:rPr>
                <w:rFonts w:hint="eastAsia" w:ascii="宋体" w:hAnsi="宋体" w:eastAsia="宋体" w:cs="宋体"/>
                <w:color w:val="000000"/>
                <w:kern w:val="0"/>
                <w:sz w:val="24"/>
                <w:szCs w:val="24"/>
              </w:rPr>
              <w:t>机</w:t>
            </w:r>
          </w:p>
        </w:tc>
        <w:tc>
          <w:tcPr>
            <w:tcW w:w="4125" w:type="dxa"/>
            <w:noWrap w:val="0"/>
            <w:vAlign w:val="center"/>
          </w:tcPr>
          <w:p w14:paraId="6DFA06F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表面</w:t>
            </w:r>
            <w:r>
              <w:rPr>
                <w:rFonts w:hint="eastAsia" w:ascii="宋体" w:hAnsi="宋体" w:eastAsia="宋体" w:cs="宋体"/>
                <w:color w:val="000000"/>
                <w:kern w:val="0"/>
                <w:sz w:val="24"/>
                <w:szCs w:val="24"/>
              </w:rPr>
              <w:t>擦拭、传动部件润滑保养</w:t>
            </w:r>
          </w:p>
        </w:tc>
        <w:tc>
          <w:tcPr>
            <w:tcW w:w="3122" w:type="dxa"/>
            <w:noWrap w:val="0"/>
            <w:vAlign w:val="center"/>
          </w:tcPr>
          <w:p w14:paraId="272B6E6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电机底部无沉淀的油污，运行平稳无异响</w:t>
            </w:r>
          </w:p>
        </w:tc>
      </w:tr>
      <w:tr w14:paraId="670D2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520" w:type="dxa"/>
            <w:noWrap/>
            <w:vAlign w:val="center"/>
          </w:tcPr>
          <w:p w14:paraId="7D7E8A25">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25</w:t>
            </w:r>
          </w:p>
        </w:tc>
        <w:tc>
          <w:tcPr>
            <w:tcW w:w="1265" w:type="dxa"/>
            <w:vMerge w:val="continue"/>
            <w:noWrap w:val="0"/>
            <w:vAlign w:val="center"/>
          </w:tcPr>
          <w:p w14:paraId="0A1839CE">
            <w:pPr>
              <w:widowControl/>
              <w:jc w:val="left"/>
              <w:rPr>
                <w:rFonts w:ascii="宋体" w:hAnsi="宋体" w:eastAsia="宋体" w:cs="宋体"/>
                <w:color w:val="000000"/>
                <w:kern w:val="0"/>
                <w:sz w:val="24"/>
                <w:szCs w:val="24"/>
              </w:rPr>
            </w:pPr>
          </w:p>
        </w:tc>
        <w:tc>
          <w:tcPr>
            <w:tcW w:w="1748" w:type="dxa"/>
            <w:noWrap/>
            <w:vAlign w:val="center"/>
          </w:tcPr>
          <w:p w14:paraId="333E0C32">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风轮</w:t>
            </w:r>
          </w:p>
        </w:tc>
        <w:tc>
          <w:tcPr>
            <w:tcW w:w="4125" w:type="dxa"/>
            <w:noWrap w:val="0"/>
            <w:vAlign w:val="center"/>
          </w:tcPr>
          <w:p w14:paraId="3D95AA08">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在不解体机器的情况下，打开机盖或取掉软连接后施工</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可采用蒸汽法</w:t>
            </w:r>
          </w:p>
        </w:tc>
        <w:tc>
          <w:tcPr>
            <w:tcW w:w="3122" w:type="dxa"/>
            <w:noWrap w:val="0"/>
            <w:vAlign w:val="center"/>
          </w:tcPr>
          <w:p w14:paraId="7AC8A1AE">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叶轮清理表面90%以上能见底漆，涡轮不能偏心，要保证风机正常运转，达到9</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%以上洁净。</w:t>
            </w:r>
          </w:p>
        </w:tc>
      </w:tr>
      <w:tr w14:paraId="218BF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520" w:type="dxa"/>
            <w:noWrap/>
            <w:vAlign w:val="center"/>
          </w:tcPr>
          <w:p w14:paraId="2332F134">
            <w:pPr>
              <w:widowControl/>
              <w:jc w:val="center"/>
              <w:rPr>
                <w:rFonts w:hint="eastAsia" w:ascii="宋体" w:hAnsi="宋体" w:eastAsia="宋体" w:cs="宋体"/>
                <w:color w:val="000000"/>
                <w:kern w:val="0"/>
                <w:sz w:val="24"/>
                <w:szCs w:val="24"/>
                <w:lang w:val="en-US" w:eastAsia="zh-CN"/>
              </w:rPr>
            </w:pPr>
          </w:p>
        </w:tc>
        <w:tc>
          <w:tcPr>
            <w:tcW w:w="1265" w:type="dxa"/>
            <w:noWrap w:val="0"/>
            <w:vAlign w:val="center"/>
          </w:tcPr>
          <w:p w14:paraId="5F5DE2DF">
            <w:pPr>
              <w:widowControl/>
              <w:jc w:val="left"/>
              <w:rPr>
                <w:rFonts w:ascii="宋体" w:hAnsi="宋体" w:eastAsia="宋体" w:cs="宋体"/>
                <w:color w:val="000000"/>
                <w:kern w:val="0"/>
                <w:sz w:val="24"/>
                <w:szCs w:val="24"/>
              </w:rPr>
            </w:pPr>
            <w:r>
              <w:rPr>
                <w:rFonts w:hint="eastAsia" w:ascii="宋体" w:hAnsi="宋体" w:eastAsia="宋体" w:cs="宋体"/>
                <w:sz w:val="24"/>
                <w:szCs w:val="24"/>
                <w:lang w:val="en-US" w:eastAsia="zh-CN"/>
              </w:rPr>
              <w:t>隔油板</w:t>
            </w:r>
          </w:p>
        </w:tc>
        <w:tc>
          <w:tcPr>
            <w:tcW w:w="1748" w:type="dxa"/>
            <w:noWrap/>
            <w:vAlign w:val="center"/>
          </w:tcPr>
          <w:p w14:paraId="7C501A64">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sz w:val="24"/>
                <w:szCs w:val="24"/>
                <w:lang w:val="en-US" w:eastAsia="zh-CN"/>
              </w:rPr>
              <w:t>隔油板</w:t>
            </w:r>
          </w:p>
        </w:tc>
        <w:tc>
          <w:tcPr>
            <w:tcW w:w="4125" w:type="dxa"/>
            <w:noWrap w:val="0"/>
            <w:vAlign w:val="center"/>
          </w:tcPr>
          <w:p w14:paraId="492BEED9">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放入专用容器中，用油烟清洗剂进行专门的洗涤，再用细砂打磨，最后用清水冲洗</w:t>
            </w:r>
          </w:p>
        </w:tc>
        <w:tc>
          <w:tcPr>
            <w:tcW w:w="3122" w:type="dxa"/>
            <w:noWrap w:val="0"/>
            <w:vAlign w:val="center"/>
          </w:tcPr>
          <w:p w14:paraId="0ACAA4D1">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表面</w:t>
            </w:r>
            <w:r>
              <w:rPr>
                <w:rFonts w:hint="eastAsia" w:ascii="宋体" w:hAnsi="宋体" w:eastAsia="宋体" w:cs="宋体"/>
                <w:color w:val="000000"/>
                <w:kern w:val="0"/>
                <w:sz w:val="24"/>
                <w:szCs w:val="24"/>
              </w:rPr>
              <w:t>达到95%以上光洁</w:t>
            </w:r>
          </w:p>
        </w:tc>
      </w:tr>
      <w:tr w14:paraId="4255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10780" w:type="dxa"/>
            <w:gridSpan w:val="5"/>
            <w:noWrap w:val="0"/>
            <w:vAlign w:val="top"/>
          </w:tcPr>
          <w:p w14:paraId="7020701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备注：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1、清洗药剂严禁使用工业碱（PH大于12的碱性药剂），避免造成设备、管道腐蚀、损坏。</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2、清洗过程中如发现有易损部件（软连接、净化器滤网等）损坏，需进行更换。</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3、部件拆卸清洗后应恢复到原来所在位置，功能型部件应须保有原有功能。</w:t>
            </w:r>
            <w:r>
              <w:rPr>
                <w:rFonts w:hint="eastAsia" w:ascii="宋体" w:hAnsi="宋体" w:eastAsia="宋体" w:cs="宋体"/>
                <w:color w:val="000000"/>
                <w:kern w:val="0"/>
                <w:sz w:val="24"/>
                <w:szCs w:val="24"/>
              </w:rPr>
              <w:br w:type="textWrapping"/>
            </w:r>
            <w:r>
              <w:rPr>
                <w:rFonts w:ascii="宋体" w:hAnsi="宋体" w:eastAsia="宋体" w:cs="宋体"/>
                <w:color w:val="000000"/>
                <w:kern w:val="0"/>
                <w:sz w:val="24"/>
                <w:szCs w:val="24"/>
              </w:rPr>
              <w:t>4</w:t>
            </w:r>
            <w:r>
              <w:rPr>
                <w:rFonts w:hint="eastAsia" w:ascii="宋体" w:hAnsi="宋体" w:eastAsia="宋体" w:cs="宋体"/>
                <w:color w:val="000000"/>
                <w:kern w:val="0"/>
                <w:sz w:val="24"/>
                <w:szCs w:val="24"/>
              </w:rPr>
              <w:t>、清洗作业时应严格遵循厨房内食品安全原则，在清洗过程中应对作业区做好隔离、覆盖、清除污物封装等有效控制措施，防止厨房排油烟系统内的污染物散布到非清洗工作区域。</w:t>
            </w:r>
          </w:p>
        </w:tc>
      </w:tr>
    </w:tbl>
    <w:p w14:paraId="1422088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六、违约责任</w:t>
      </w:r>
    </w:p>
    <w:p w14:paraId="46E84BF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1、乙方若无故未按期完成清洗</w:t>
      </w:r>
      <w:r>
        <w:rPr>
          <w:rFonts w:hint="eastAsia" w:ascii="仿宋" w:hAnsi="仿宋" w:eastAsia="仿宋" w:cs="仿宋"/>
          <w:color w:val="auto"/>
          <w:sz w:val="24"/>
          <w:szCs w:val="24"/>
          <w:lang w:eastAsia="zh-CN"/>
        </w:rPr>
        <w:t>服务</w:t>
      </w:r>
      <w:r>
        <w:rPr>
          <w:rFonts w:hint="eastAsia" w:ascii="仿宋" w:hAnsi="仿宋" w:eastAsia="仿宋" w:cs="仿宋"/>
          <w:color w:val="auto"/>
          <w:sz w:val="24"/>
          <w:szCs w:val="24"/>
        </w:rPr>
        <w:t>任务，则应按合同约定的单次清洗费用金额的30%偿付违约金给甲方</w:t>
      </w:r>
      <w:r>
        <w:rPr>
          <w:rFonts w:hint="eastAsia" w:ascii="仿宋" w:hAnsi="仿宋" w:eastAsia="仿宋" w:cs="仿宋"/>
          <w:color w:val="auto"/>
          <w:sz w:val="24"/>
          <w:szCs w:val="24"/>
          <w:lang w:eastAsia="zh-CN"/>
        </w:rPr>
        <w:t>，不可抗力的特殊情况除外</w:t>
      </w:r>
      <w:r>
        <w:rPr>
          <w:rFonts w:hint="eastAsia" w:ascii="仿宋" w:hAnsi="仿宋" w:eastAsia="仿宋" w:cs="仿宋"/>
          <w:color w:val="auto"/>
          <w:sz w:val="24"/>
          <w:szCs w:val="24"/>
        </w:rPr>
        <w:t>。</w:t>
      </w:r>
    </w:p>
    <w:p w14:paraId="68B109B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由于乙方原因造成</w:t>
      </w:r>
      <w:r>
        <w:rPr>
          <w:rFonts w:hint="eastAsia" w:ascii="仿宋" w:hAnsi="仿宋" w:eastAsia="仿宋" w:cs="仿宋"/>
          <w:color w:val="auto"/>
          <w:sz w:val="24"/>
          <w:szCs w:val="24"/>
          <w:lang w:val="en-US" w:eastAsia="zh-CN"/>
        </w:rPr>
        <w:t>清洗工作质量不符合合同规定</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乙方需要返工，直至符合合同要求，由此产生的</w:t>
      </w:r>
      <w:r>
        <w:rPr>
          <w:rFonts w:hint="eastAsia" w:ascii="仿宋" w:hAnsi="仿宋" w:eastAsia="仿宋" w:cs="仿宋"/>
          <w:color w:val="auto"/>
          <w:sz w:val="24"/>
          <w:szCs w:val="24"/>
        </w:rPr>
        <w:t>返工费用由乙方承担。如给甲方造成损失，由乙方承担全部损失。</w:t>
      </w:r>
    </w:p>
    <w:p w14:paraId="4CF59A6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在履行合同过程中，如果乙方遇到妨碍清洗工作的情况时，应及时以书面形式将拖延的事实，可能拖延的时间和原因通知甲方。甲方在收到乙方通知后，应尽快对情况进行评价，并于7日内确定是否同意延长交货时间以及是否收取误期赔偿费。乙方延期交货应通过签订补充协议的方式经甲方盖章确认。</w:t>
      </w:r>
    </w:p>
    <w:p w14:paraId="7786037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4、乙方中途擅自停工或严重违约，明显不能按期履行合同的，甲方有权单方解除合同且不承担任何责任，将剩余未完成清洗工作承包给第三方。届时，乙方不得再向甲方主张任何费用。</w:t>
      </w:r>
    </w:p>
    <w:p w14:paraId="6CE4E3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5、本合同签订后，乙方应如实履行本合同项下的权利义务，不得擅自要求解除或终止合同；如违反上述约定，向甲方承担合同总金额20%的违约金，上述违约金不足以弥补甲方损失的，以实际损失为准。</w:t>
      </w:r>
    </w:p>
    <w:p w14:paraId="1EF61A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乙方向甲方承诺，如发生乙方向甲方指定人员或与该业务有关的任何工作人员行贿、送礼等行为，或与甲方相关工作人员串通，做出损害甲方利益的任何行为，每次按合同总金额的30%的数额向甲方承担违约金。</w:t>
      </w:r>
    </w:p>
    <w:p w14:paraId="7490FE6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r>
        <w:rPr>
          <w:rFonts w:hint="default" w:ascii="仿宋" w:hAnsi="仿宋" w:eastAsia="仿宋" w:cs="仿宋"/>
          <w:color w:val="auto"/>
          <w:sz w:val="24"/>
          <w:szCs w:val="24"/>
          <w:lang w:val="en-US" w:eastAsia="zh-CN"/>
        </w:rPr>
        <w:t>、未经甲方书面同意</w:t>
      </w:r>
      <w:r>
        <w:rPr>
          <w:rFonts w:hint="eastAsia" w:ascii="仿宋" w:hAnsi="仿宋" w:eastAsia="仿宋" w:cs="仿宋"/>
          <w:color w:val="auto"/>
          <w:sz w:val="24"/>
          <w:szCs w:val="24"/>
          <w:lang w:val="en-US" w:eastAsia="zh-CN"/>
        </w:rPr>
        <w:t>，</w:t>
      </w:r>
      <w:r>
        <w:rPr>
          <w:rFonts w:hint="default" w:ascii="仿宋" w:hAnsi="仿宋" w:eastAsia="仿宋" w:cs="仿宋"/>
          <w:color w:val="auto"/>
          <w:sz w:val="24"/>
          <w:szCs w:val="24"/>
          <w:lang w:val="en-US" w:eastAsia="zh-CN"/>
        </w:rPr>
        <w:t>乙方将本合同项下的任何权利义务</w:t>
      </w:r>
      <w:r>
        <w:rPr>
          <w:rFonts w:hint="eastAsia" w:ascii="仿宋" w:hAnsi="仿宋" w:eastAsia="仿宋" w:cs="仿宋"/>
          <w:color w:val="auto"/>
          <w:sz w:val="24"/>
          <w:szCs w:val="24"/>
          <w:lang w:val="en-US" w:eastAsia="zh-CN"/>
        </w:rPr>
        <w:t>（</w:t>
      </w:r>
      <w:r>
        <w:rPr>
          <w:rFonts w:hint="default" w:ascii="仿宋" w:hAnsi="仿宋" w:eastAsia="仿宋" w:cs="仿宋"/>
          <w:color w:val="auto"/>
          <w:sz w:val="24"/>
          <w:szCs w:val="24"/>
          <w:lang w:val="en-US" w:eastAsia="zh-CN"/>
        </w:rPr>
        <w:t>包含债权、债务</w:t>
      </w:r>
      <w:r>
        <w:rPr>
          <w:rFonts w:hint="eastAsia" w:ascii="仿宋" w:hAnsi="仿宋" w:eastAsia="仿宋" w:cs="仿宋"/>
          <w:color w:val="auto"/>
          <w:sz w:val="24"/>
          <w:szCs w:val="24"/>
          <w:lang w:val="en-US" w:eastAsia="zh-CN"/>
        </w:rPr>
        <w:t>）</w:t>
      </w:r>
      <w:r>
        <w:rPr>
          <w:rFonts w:hint="default" w:ascii="仿宋" w:hAnsi="仿宋" w:eastAsia="仿宋" w:cs="仿宋"/>
          <w:color w:val="auto"/>
          <w:sz w:val="24"/>
          <w:szCs w:val="24"/>
          <w:lang w:val="en-US" w:eastAsia="zh-CN"/>
        </w:rPr>
        <w:t>转让给任何第三人，或向金融机构进行质押、出让的，乙方向甲方支付转让</w:t>
      </w:r>
      <w:r>
        <w:rPr>
          <w:rFonts w:hint="eastAsia" w:ascii="仿宋" w:hAnsi="仿宋" w:eastAsia="仿宋" w:cs="仿宋"/>
          <w:color w:val="auto"/>
          <w:sz w:val="24"/>
          <w:szCs w:val="24"/>
          <w:lang w:val="en-US" w:eastAsia="zh-CN"/>
        </w:rPr>
        <w:t>（</w:t>
      </w:r>
      <w:r>
        <w:rPr>
          <w:rFonts w:hint="default" w:ascii="仿宋" w:hAnsi="仿宋" w:eastAsia="仿宋" w:cs="仿宋"/>
          <w:color w:val="auto"/>
          <w:sz w:val="24"/>
          <w:szCs w:val="24"/>
          <w:lang w:val="en-US" w:eastAsia="zh-CN"/>
        </w:rPr>
        <w:t>质押、出让</w:t>
      </w:r>
      <w:r>
        <w:rPr>
          <w:rFonts w:hint="eastAsia" w:ascii="仿宋" w:hAnsi="仿宋" w:eastAsia="仿宋" w:cs="仿宋"/>
          <w:color w:val="auto"/>
          <w:sz w:val="24"/>
          <w:szCs w:val="24"/>
          <w:lang w:val="en-US" w:eastAsia="zh-CN"/>
        </w:rPr>
        <w:t>）</w:t>
      </w:r>
      <w:r>
        <w:rPr>
          <w:rFonts w:hint="default" w:ascii="仿宋" w:hAnsi="仿宋" w:eastAsia="仿宋" w:cs="仿宋"/>
          <w:color w:val="auto"/>
          <w:sz w:val="24"/>
          <w:szCs w:val="24"/>
          <w:lang w:val="en-US" w:eastAsia="zh-CN"/>
        </w:rPr>
        <w:t>金额20%。</w:t>
      </w:r>
    </w:p>
    <w:p w14:paraId="57D2B6D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七、不可抗力</w:t>
      </w:r>
    </w:p>
    <w:p w14:paraId="3C424A6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甲乙双方的任何一方由于不可抗力的原因不能履行协议时，应及时向对方通报不能履行或不能完全履行的理由，在取得有关主管机关证明以后，允许延期履行、部分履行或者不履行协议，并根据情况可部分或全部免于承担违约责任。</w:t>
      </w:r>
    </w:p>
    <w:p w14:paraId="0AE1748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不可抗力”是指甲乙双方不能合理控制、不可预见或即使预见亦无法避免的事件，该事件妨碍、影响或延误任何一方根据合同履行其全部或部分义务。该事件包括但不限于政府行为、电信行业行为、自然灾害、战争或任何其他类似事件。</w:t>
      </w:r>
    </w:p>
    <w:p w14:paraId="5929BF7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3、甲乙双方因不可抗力不能履行本合同的责任和义务时，双方应及时签订补充协议，共同遵守执行。</w:t>
      </w:r>
    </w:p>
    <w:p w14:paraId="4A6279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八、争议或纠纷处理</w:t>
      </w:r>
    </w:p>
    <w:p w14:paraId="2C8947D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甲乙双方在合同执行过程中发生争议，应本着友好协商的原则解决；若协商不成时，双方均同意约定向甲方所在地法院诉讼解决。</w:t>
      </w:r>
    </w:p>
    <w:p w14:paraId="51C1B56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九</w:t>
      </w:r>
      <w:r>
        <w:rPr>
          <w:rFonts w:hint="eastAsia" w:ascii="仿宋" w:hAnsi="仿宋" w:eastAsia="仿宋" w:cs="仿宋"/>
          <w:color w:val="auto"/>
          <w:sz w:val="24"/>
          <w:szCs w:val="24"/>
        </w:rPr>
        <w:t>、本合同未尽事宜由双方协商解决；补充事项作为附件，与</w:t>
      </w:r>
      <w:r>
        <w:rPr>
          <w:rFonts w:hint="eastAsia" w:ascii="仿宋" w:hAnsi="仿宋" w:eastAsia="仿宋" w:cs="仿宋"/>
          <w:color w:val="auto"/>
          <w:sz w:val="24"/>
          <w:szCs w:val="24"/>
          <w:lang w:val="en-US" w:eastAsia="zh-CN"/>
        </w:rPr>
        <w:t>本</w:t>
      </w:r>
      <w:r>
        <w:rPr>
          <w:rFonts w:hint="eastAsia" w:ascii="仿宋" w:hAnsi="仿宋" w:eastAsia="仿宋" w:cs="仿宋"/>
          <w:color w:val="auto"/>
          <w:sz w:val="24"/>
          <w:szCs w:val="24"/>
        </w:rPr>
        <w:t>合同</w:t>
      </w:r>
      <w:r>
        <w:rPr>
          <w:rFonts w:hint="eastAsia" w:ascii="仿宋" w:hAnsi="仿宋" w:eastAsia="仿宋" w:cs="仿宋"/>
          <w:color w:val="auto"/>
          <w:sz w:val="24"/>
          <w:szCs w:val="24"/>
          <w:lang w:val="en-US" w:eastAsia="zh-CN"/>
        </w:rPr>
        <w:t>具有</w:t>
      </w:r>
      <w:r>
        <w:rPr>
          <w:rFonts w:hint="eastAsia" w:ascii="仿宋" w:hAnsi="仿宋" w:eastAsia="仿宋" w:cs="仿宋"/>
          <w:color w:val="auto"/>
          <w:sz w:val="24"/>
          <w:szCs w:val="24"/>
        </w:rPr>
        <w:t>同等</w:t>
      </w:r>
      <w:r>
        <w:rPr>
          <w:rFonts w:hint="eastAsia" w:ascii="仿宋" w:hAnsi="仿宋" w:eastAsia="仿宋" w:cs="仿宋"/>
          <w:color w:val="auto"/>
          <w:sz w:val="24"/>
          <w:szCs w:val="24"/>
          <w:lang w:val="en-US" w:eastAsia="zh-CN"/>
        </w:rPr>
        <w:t>法律</w:t>
      </w:r>
      <w:r>
        <w:rPr>
          <w:rFonts w:hint="eastAsia" w:ascii="仿宋" w:hAnsi="仿宋" w:eastAsia="仿宋" w:cs="仿宋"/>
          <w:color w:val="auto"/>
          <w:sz w:val="24"/>
          <w:szCs w:val="24"/>
        </w:rPr>
        <w:t>效力。</w:t>
      </w:r>
    </w:p>
    <w:p w14:paraId="03CD55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十</w:t>
      </w:r>
      <w:r>
        <w:rPr>
          <w:rFonts w:hint="eastAsia" w:ascii="仿宋" w:hAnsi="仿宋" w:eastAsia="仿宋" w:cs="仿宋"/>
          <w:color w:val="auto"/>
          <w:sz w:val="24"/>
          <w:szCs w:val="24"/>
        </w:rPr>
        <w:t>、合同的生效与文本</w:t>
      </w:r>
    </w:p>
    <w:p w14:paraId="1A3FB9A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本合同一式伍份，甲方肆份、乙方执壹份，均具有同等法律效力</w:t>
      </w:r>
      <w:r>
        <w:rPr>
          <w:rFonts w:hint="eastAsia" w:ascii="仿宋" w:hAnsi="仿宋" w:eastAsia="仿宋" w:cs="仿宋"/>
          <w:color w:val="auto"/>
          <w:sz w:val="24"/>
          <w:szCs w:val="24"/>
          <w:lang w:eastAsia="zh-CN"/>
        </w:rPr>
        <w:t>。</w:t>
      </w:r>
    </w:p>
    <w:p w14:paraId="5ACDF3A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2、本合同自甲、乙双方法定代表人或授权代表人签字并加盖公章之日起生效。</w:t>
      </w:r>
    </w:p>
    <w:p w14:paraId="054993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zh-CN"/>
        </w:rPr>
        <w:t>、本合同尾部的双方联系方式及地址为双方有效的送达地址，如有一方地址发生变更，应在变更后当日向对方书面通知，如因变更方未及时通知，相对方按合同尾部地址送达的，视为送达成功。</w:t>
      </w:r>
    </w:p>
    <w:p w14:paraId="76BCF74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p>
    <w:p w14:paraId="0740EE2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以下无正文，为合同签署页</w:t>
      </w:r>
      <w:r>
        <w:rPr>
          <w:rFonts w:hint="eastAsia" w:ascii="仿宋" w:hAnsi="仿宋" w:eastAsia="仿宋" w:cs="仿宋"/>
          <w:color w:val="auto"/>
          <w:sz w:val="24"/>
          <w:szCs w:val="24"/>
          <w:lang w:eastAsia="zh-CN"/>
        </w:rPr>
        <w:t>）</w:t>
      </w:r>
    </w:p>
    <w:p w14:paraId="4F5572D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甲方（盖章）：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乙方（盖章）：</w:t>
      </w:r>
    </w:p>
    <w:p w14:paraId="2219495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法人或授权代表（签字）：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法人或授权代表（签字）：</w:t>
      </w:r>
    </w:p>
    <w:p w14:paraId="1771B0E2">
      <w:pPr>
        <w:keepNext w:val="0"/>
        <w:keepLines w:val="0"/>
        <w:pageBreakBefore w:val="0"/>
        <w:widowControl w:val="0"/>
        <w:kinsoku/>
        <w:wordWrap/>
        <w:overflowPunct/>
        <w:topLinePunct w:val="0"/>
        <w:autoSpaceDE/>
        <w:autoSpaceDN/>
        <w:bidi w:val="0"/>
        <w:adjustRightInd/>
        <w:snapToGrid/>
        <w:spacing w:line="360" w:lineRule="auto"/>
        <w:ind w:left="5152" w:hanging="5520" w:hangingChars="23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地址：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地址：                     </w:t>
      </w:r>
    </w:p>
    <w:p w14:paraId="55BE455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电话：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电话：</w:t>
      </w:r>
    </w:p>
    <w:p w14:paraId="6ECE0323">
      <w:pPr>
        <w:keepNext w:val="0"/>
        <w:keepLines w:val="0"/>
        <w:pageBreakBefore w:val="0"/>
        <w:widowControl w:val="0"/>
        <w:kinsoku/>
        <w:wordWrap/>
        <w:overflowPunct/>
        <w:topLinePunct w:val="0"/>
        <w:autoSpaceDE/>
        <w:autoSpaceDN/>
        <w:bidi w:val="0"/>
        <w:adjustRightInd/>
        <w:snapToGrid/>
        <w:spacing w:line="360" w:lineRule="auto"/>
        <w:ind w:left="5824" w:hanging="6240" w:hangingChars="26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开户行：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开户行：</w:t>
      </w:r>
    </w:p>
    <w:p w14:paraId="62BFE0E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账号：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账号：              </w:t>
      </w:r>
    </w:p>
    <w:p w14:paraId="77FE9D4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日期：    年  月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日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日期：    年  月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日  </w:t>
      </w:r>
    </w:p>
    <w:p w14:paraId="26515247">
      <w:pPr>
        <w:spacing w:line="360" w:lineRule="auto"/>
        <w:rPr>
          <w:rFonts w:ascii="宋体" w:hAnsi="宋体"/>
        </w:rPr>
      </w:pPr>
      <w:r>
        <w:rPr>
          <w:rFonts w:ascii="宋体" w:hAnsi="宋体"/>
        </w:rPr>
        <w:br w:type="page"/>
      </w:r>
    </w:p>
    <w:bookmarkEnd w:id="51"/>
    <w:p w14:paraId="79F740F8">
      <w:pPr>
        <w:spacing w:line="360" w:lineRule="auto"/>
        <w:jc w:val="center"/>
        <w:outlineLvl w:val="0"/>
        <w:rPr>
          <w:rFonts w:hint="eastAsia" w:ascii="宋体" w:hAnsi="宋体" w:eastAsia="宋体" w:cs="宋体"/>
          <w:b/>
          <w:sz w:val="32"/>
          <w:szCs w:val="24"/>
          <w:lang w:eastAsia="zh-CN"/>
        </w:rPr>
      </w:pPr>
      <w:bookmarkStart w:id="52" w:name="_Toc16366"/>
      <w:bookmarkStart w:id="53" w:name="_Toc23727"/>
      <w:bookmarkStart w:id="54" w:name="_Toc339"/>
      <w:r>
        <w:rPr>
          <w:rFonts w:hint="eastAsia" w:ascii="宋体" w:hAnsi="宋体" w:eastAsia="宋体" w:cs="宋体"/>
          <w:b/>
          <w:sz w:val="32"/>
          <w:szCs w:val="24"/>
        </w:rPr>
        <w:t>第四章 采购需求</w:t>
      </w:r>
      <w:bookmarkEnd w:id="52"/>
      <w:r>
        <w:rPr>
          <w:rFonts w:hint="eastAsia" w:ascii="宋体" w:hAnsi="宋体" w:eastAsia="宋体" w:cs="宋体"/>
          <w:b/>
          <w:sz w:val="32"/>
          <w:szCs w:val="24"/>
          <w:lang w:eastAsia="zh-CN"/>
        </w:rPr>
        <w:t>（</w:t>
      </w:r>
      <w:r>
        <w:rPr>
          <w:rFonts w:hint="eastAsia" w:ascii="宋体" w:hAnsi="宋体" w:eastAsia="宋体" w:cs="宋体"/>
          <w:b/>
          <w:sz w:val="32"/>
          <w:szCs w:val="24"/>
        </w:rPr>
        <w:t>技术标准和要求</w:t>
      </w:r>
      <w:r>
        <w:rPr>
          <w:rFonts w:hint="eastAsia" w:ascii="宋体" w:hAnsi="宋体" w:eastAsia="宋体" w:cs="宋体"/>
          <w:b/>
          <w:sz w:val="32"/>
          <w:szCs w:val="24"/>
          <w:lang w:eastAsia="zh-CN"/>
        </w:rPr>
        <w:t>）</w:t>
      </w:r>
      <w:bookmarkEnd w:id="53"/>
    </w:p>
    <w:bookmarkEnd w:id="54"/>
    <w:p w14:paraId="2F681B19">
      <w:pPr>
        <w:spacing w:line="360" w:lineRule="auto"/>
        <w:ind w:firstLine="480" w:firstLineChars="200"/>
        <w:jc w:val="center"/>
        <w:rPr>
          <w:rFonts w:ascii="宋体" w:hAnsi="宋体"/>
          <w:sz w:val="24"/>
          <w:szCs w:val="24"/>
        </w:rPr>
      </w:pPr>
    </w:p>
    <w:p w14:paraId="411AF0B6">
      <w:pPr>
        <w:ind w:firstLine="600" w:firstLineChars="200"/>
        <w:rPr>
          <w:rFonts w:hint="eastAsia" w:ascii="仿宋" w:hAnsi="仿宋" w:eastAsia="仿宋" w:cs="仿宋"/>
          <w:b w:val="0"/>
          <w:bCs w:val="0"/>
          <w:color w:val="auto"/>
          <w:kern w:val="0"/>
          <w:sz w:val="30"/>
          <w:szCs w:val="30"/>
          <w:lang w:val="en-US" w:eastAsia="zh-CN"/>
        </w:rPr>
      </w:pPr>
      <w:r>
        <w:rPr>
          <w:rFonts w:hint="eastAsia" w:ascii="仿宋" w:hAnsi="仿宋" w:eastAsia="仿宋" w:cs="仿宋"/>
          <w:b w:val="0"/>
          <w:bCs w:val="0"/>
          <w:color w:val="auto"/>
          <w:kern w:val="0"/>
          <w:sz w:val="30"/>
          <w:szCs w:val="30"/>
          <w:lang w:val="en-US" w:eastAsia="zh-CN"/>
        </w:rPr>
        <w:t>一、采购项目基本情况</w:t>
      </w:r>
    </w:p>
    <w:p w14:paraId="180003DD">
      <w:pPr>
        <w:ind w:firstLine="600" w:firstLineChars="200"/>
        <w:rPr>
          <w:rFonts w:hint="eastAsia" w:ascii="仿宋" w:hAnsi="仿宋" w:eastAsia="仿宋" w:cs="仿宋"/>
          <w:b w:val="0"/>
          <w:bCs w:val="0"/>
          <w:color w:val="auto"/>
          <w:kern w:val="0"/>
          <w:sz w:val="30"/>
          <w:szCs w:val="30"/>
          <w:highlight w:val="none"/>
          <w:lang w:eastAsia="zh-CN"/>
        </w:rPr>
      </w:pPr>
      <w:r>
        <w:rPr>
          <w:rFonts w:hint="eastAsia" w:ascii="仿宋" w:hAnsi="仿宋" w:eastAsia="仿宋" w:cs="仿宋"/>
          <w:b w:val="0"/>
          <w:bCs w:val="0"/>
          <w:color w:val="auto"/>
          <w:kern w:val="0"/>
          <w:sz w:val="30"/>
          <w:szCs w:val="30"/>
          <w:lang w:eastAsia="zh-CN"/>
        </w:rPr>
        <w:t>（一）项目预算金额：采购总金额为</w:t>
      </w:r>
      <w:r>
        <w:rPr>
          <w:rFonts w:hint="eastAsia" w:ascii="仿宋" w:hAnsi="仿宋" w:eastAsia="仿宋" w:cs="仿宋"/>
          <w:b w:val="0"/>
          <w:bCs w:val="0"/>
          <w:color w:val="auto"/>
          <w:kern w:val="0"/>
          <w:sz w:val="30"/>
          <w:szCs w:val="30"/>
          <w:lang w:val="en-US" w:eastAsia="zh-CN"/>
        </w:rPr>
        <w:t>壹拾捌万肆仟伍佰元整（小写：184500元</w:t>
      </w:r>
      <w:r>
        <w:rPr>
          <w:rFonts w:hint="eastAsia" w:ascii="仿宋" w:hAnsi="仿宋" w:eastAsia="仿宋" w:cs="仿宋"/>
          <w:b w:val="0"/>
          <w:bCs w:val="0"/>
          <w:color w:val="auto"/>
          <w:kern w:val="0"/>
          <w:sz w:val="30"/>
          <w:szCs w:val="30"/>
          <w:lang w:eastAsia="zh-CN"/>
        </w:rPr>
        <w:t>），</w:t>
      </w:r>
      <w:r>
        <w:rPr>
          <w:rFonts w:hint="eastAsia" w:ascii="仿宋" w:hAnsi="仿宋" w:eastAsia="仿宋" w:cs="仿宋"/>
          <w:b w:val="0"/>
          <w:bCs w:val="0"/>
          <w:color w:val="auto"/>
          <w:kern w:val="0"/>
          <w:sz w:val="30"/>
          <w:szCs w:val="30"/>
          <w:highlight w:val="none"/>
          <w:lang w:eastAsia="zh-CN"/>
        </w:rPr>
        <w:t>其中餐饮服务中心预算金额为</w:t>
      </w:r>
      <w:r>
        <w:rPr>
          <w:rFonts w:hint="eastAsia" w:ascii="仿宋" w:hAnsi="仿宋" w:eastAsia="仿宋" w:cs="仿宋"/>
          <w:b w:val="0"/>
          <w:bCs w:val="0"/>
          <w:color w:val="auto"/>
          <w:kern w:val="0"/>
          <w:sz w:val="30"/>
          <w:szCs w:val="30"/>
          <w:highlight w:val="none"/>
          <w:lang w:val="en-US" w:eastAsia="zh-CN"/>
        </w:rPr>
        <w:t>壹拾柒万肆仟玖佰</w:t>
      </w:r>
      <w:r>
        <w:rPr>
          <w:rFonts w:hint="eastAsia" w:ascii="仿宋" w:hAnsi="仿宋" w:eastAsia="仿宋" w:cs="仿宋"/>
          <w:b w:val="0"/>
          <w:bCs w:val="0"/>
          <w:color w:val="auto"/>
          <w:kern w:val="0"/>
          <w:sz w:val="30"/>
          <w:szCs w:val="30"/>
          <w:highlight w:val="none"/>
          <w:lang w:eastAsia="zh-CN"/>
        </w:rPr>
        <w:t>元整（大写：</w:t>
      </w:r>
      <w:r>
        <w:rPr>
          <w:rFonts w:hint="eastAsia" w:ascii="仿宋" w:hAnsi="仿宋" w:eastAsia="仿宋" w:cs="仿宋"/>
          <w:b w:val="0"/>
          <w:bCs w:val="0"/>
          <w:color w:val="auto"/>
          <w:kern w:val="0"/>
          <w:sz w:val="30"/>
          <w:szCs w:val="30"/>
          <w:highlight w:val="none"/>
          <w:lang w:val="en-US" w:eastAsia="zh-CN"/>
        </w:rPr>
        <w:t>174900</w:t>
      </w:r>
      <w:r>
        <w:rPr>
          <w:rFonts w:hint="eastAsia" w:ascii="仿宋" w:hAnsi="仿宋" w:eastAsia="仿宋" w:cs="仿宋"/>
          <w:b w:val="0"/>
          <w:bCs w:val="0"/>
          <w:color w:val="auto"/>
          <w:kern w:val="0"/>
          <w:sz w:val="30"/>
          <w:szCs w:val="30"/>
          <w:highlight w:val="none"/>
          <w:lang w:eastAsia="zh-CN"/>
        </w:rPr>
        <w:t>元），老干食堂预算金额为</w:t>
      </w:r>
      <w:r>
        <w:rPr>
          <w:rFonts w:hint="eastAsia" w:ascii="仿宋" w:hAnsi="仿宋" w:eastAsia="仿宋" w:cs="仿宋"/>
          <w:b w:val="0"/>
          <w:bCs w:val="0"/>
          <w:color w:val="auto"/>
          <w:kern w:val="0"/>
          <w:sz w:val="30"/>
          <w:szCs w:val="30"/>
          <w:highlight w:val="none"/>
          <w:lang w:val="en-US" w:eastAsia="zh-CN"/>
        </w:rPr>
        <w:t>玖仟陆佰</w:t>
      </w:r>
      <w:r>
        <w:rPr>
          <w:rFonts w:hint="eastAsia" w:ascii="仿宋" w:hAnsi="仿宋" w:eastAsia="仿宋" w:cs="仿宋"/>
          <w:b w:val="0"/>
          <w:bCs w:val="0"/>
          <w:color w:val="auto"/>
          <w:kern w:val="0"/>
          <w:sz w:val="30"/>
          <w:szCs w:val="30"/>
          <w:highlight w:val="none"/>
          <w:lang w:eastAsia="zh-CN"/>
        </w:rPr>
        <w:t>元整（大写：</w:t>
      </w:r>
      <w:r>
        <w:rPr>
          <w:rFonts w:hint="eastAsia" w:ascii="仿宋" w:hAnsi="仿宋" w:eastAsia="仿宋" w:cs="仿宋"/>
          <w:b w:val="0"/>
          <w:bCs w:val="0"/>
          <w:color w:val="auto"/>
          <w:kern w:val="0"/>
          <w:sz w:val="30"/>
          <w:szCs w:val="30"/>
          <w:highlight w:val="none"/>
          <w:lang w:val="en-US" w:eastAsia="zh-CN"/>
        </w:rPr>
        <w:t>9600</w:t>
      </w:r>
      <w:r>
        <w:rPr>
          <w:rFonts w:hint="eastAsia" w:ascii="仿宋" w:hAnsi="仿宋" w:eastAsia="仿宋" w:cs="仿宋"/>
          <w:b w:val="0"/>
          <w:bCs w:val="0"/>
          <w:color w:val="auto"/>
          <w:kern w:val="0"/>
          <w:sz w:val="30"/>
          <w:szCs w:val="30"/>
          <w:highlight w:val="none"/>
          <w:lang w:eastAsia="zh-CN"/>
        </w:rPr>
        <w:t>元）。</w:t>
      </w:r>
    </w:p>
    <w:p w14:paraId="2B97D8AC">
      <w:pPr>
        <w:ind w:firstLine="600" w:firstLineChars="200"/>
        <w:rPr>
          <w:rFonts w:hint="default" w:ascii="仿宋" w:hAnsi="仿宋" w:eastAsia="仿宋" w:cs="仿宋"/>
          <w:b w:val="0"/>
          <w:bCs w:val="0"/>
          <w:color w:val="auto"/>
          <w:kern w:val="0"/>
          <w:sz w:val="30"/>
          <w:szCs w:val="30"/>
          <w:highlight w:val="yellow"/>
          <w:lang w:val="en-US" w:eastAsia="zh-CN"/>
        </w:rPr>
      </w:pPr>
      <w:r>
        <w:rPr>
          <w:rFonts w:hint="eastAsia" w:ascii="仿宋" w:hAnsi="仿宋" w:eastAsia="仿宋" w:cs="仿宋"/>
          <w:b w:val="0"/>
          <w:bCs w:val="0"/>
          <w:color w:val="auto"/>
          <w:kern w:val="0"/>
          <w:sz w:val="30"/>
          <w:szCs w:val="30"/>
          <w:highlight w:val="yellow"/>
          <w:lang w:val="en-US" w:eastAsia="zh-CN"/>
        </w:rPr>
        <w:t>本项目最高响应限价（总价）：164000.00元，最高响应单价，详见下表。</w:t>
      </w:r>
    </w:p>
    <w:p w14:paraId="5A2916CF">
      <w:pPr>
        <w:numPr>
          <w:ilvl w:val="0"/>
          <w:numId w:val="0"/>
        </w:numPr>
        <w:ind w:firstLine="600" w:firstLineChars="200"/>
        <w:rPr>
          <w:rFonts w:hint="eastAsia" w:ascii="仿宋" w:hAnsi="仿宋" w:eastAsia="仿宋" w:cs="仿宋"/>
          <w:b w:val="0"/>
          <w:bCs w:val="0"/>
          <w:color w:val="auto"/>
          <w:kern w:val="0"/>
          <w:sz w:val="30"/>
          <w:szCs w:val="30"/>
          <w:highlight w:val="none"/>
          <w:lang w:val="en-US" w:eastAsia="zh-CN" w:bidi="ar-SA"/>
        </w:rPr>
      </w:pPr>
      <w:r>
        <w:rPr>
          <w:rFonts w:hint="eastAsia" w:ascii="仿宋" w:hAnsi="仿宋" w:eastAsia="仿宋" w:cs="仿宋"/>
          <w:b w:val="0"/>
          <w:bCs w:val="0"/>
          <w:color w:val="auto"/>
          <w:kern w:val="0"/>
          <w:sz w:val="30"/>
          <w:szCs w:val="30"/>
          <w:highlight w:val="none"/>
          <w:lang w:val="en-US" w:eastAsia="zh-CN" w:bidi="ar-SA"/>
        </w:rPr>
        <w:t>（二）服务对象：新疆医科大学第一附属医院各餐厅（包含老干食堂）。</w:t>
      </w:r>
    </w:p>
    <w:p w14:paraId="28C90C44">
      <w:pPr>
        <w:widowControl w:val="0"/>
        <w:spacing w:after="120"/>
        <w:ind w:firstLine="600" w:firstLineChars="200"/>
        <w:jc w:val="both"/>
        <w:rPr>
          <w:rFonts w:hint="eastAsia" w:ascii="仿宋" w:hAnsi="仿宋" w:eastAsia="仿宋" w:cs="仿宋"/>
          <w:b w:val="0"/>
          <w:bCs w:val="0"/>
          <w:color w:val="auto"/>
          <w:kern w:val="0"/>
          <w:sz w:val="30"/>
          <w:szCs w:val="30"/>
          <w:highlight w:val="none"/>
          <w:lang w:val="en-US" w:eastAsia="zh-CN" w:bidi="ar-SA"/>
        </w:rPr>
      </w:pPr>
      <w:r>
        <w:rPr>
          <w:rFonts w:hint="eastAsia" w:ascii="仿宋" w:hAnsi="仿宋" w:eastAsia="仿宋" w:cs="仿宋"/>
          <w:b w:val="0"/>
          <w:bCs w:val="0"/>
          <w:color w:val="auto"/>
          <w:kern w:val="0"/>
          <w:sz w:val="30"/>
          <w:szCs w:val="30"/>
          <w:highlight w:val="none"/>
          <w:lang w:val="en-US" w:eastAsia="zh-CN" w:bidi="ar-SA"/>
        </w:rPr>
        <w:t>（三）付款方式：供货商按时间进行清洗，服务期结束后，甲方根据每次清洗验收报告及发票进行结算。如遇节假日甲方财务扎帐等特殊情况，结账日期依次顺延。</w:t>
      </w:r>
    </w:p>
    <w:p w14:paraId="684CDB32">
      <w:pPr>
        <w:ind w:firstLine="600" w:firstLineChars="200"/>
        <w:rPr>
          <w:rFonts w:hint="eastAsia" w:ascii="仿宋" w:hAnsi="仿宋" w:eastAsia="仿宋" w:cs="仿宋"/>
          <w:b w:val="0"/>
          <w:bCs w:val="0"/>
          <w:color w:val="auto"/>
          <w:kern w:val="0"/>
          <w:sz w:val="30"/>
          <w:szCs w:val="30"/>
          <w:highlight w:val="none"/>
          <w:lang w:val="en-US" w:eastAsia="zh-CN"/>
        </w:rPr>
      </w:pPr>
      <w:r>
        <w:rPr>
          <w:rFonts w:hint="eastAsia" w:ascii="仿宋" w:hAnsi="仿宋" w:eastAsia="仿宋" w:cs="仿宋"/>
          <w:b w:val="0"/>
          <w:bCs w:val="0"/>
          <w:color w:val="auto"/>
          <w:kern w:val="0"/>
          <w:sz w:val="30"/>
          <w:szCs w:val="30"/>
          <w:highlight w:val="none"/>
          <w:lang w:val="en-US" w:eastAsia="zh-CN"/>
        </w:rPr>
        <w:t>二、供货商要求</w:t>
      </w:r>
    </w:p>
    <w:p w14:paraId="62D1DFA8">
      <w:pPr>
        <w:ind w:firstLine="600" w:firstLineChars="200"/>
        <w:rPr>
          <w:rFonts w:hint="eastAsia" w:ascii="仿宋" w:hAnsi="仿宋" w:eastAsia="仿宋" w:cs="仿宋"/>
          <w:b w:val="0"/>
          <w:bCs w:val="0"/>
          <w:color w:val="auto"/>
          <w:kern w:val="0"/>
          <w:sz w:val="30"/>
          <w:szCs w:val="30"/>
          <w:highlight w:val="none"/>
          <w:lang w:val="en-US" w:eastAsia="zh-CN"/>
        </w:rPr>
      </w:pPr>
      <w:r>
        <w:rPr>
          <w:rFonts w:hint="eastAsia" w:ascii="仿宋" w:hAnsi="仿宋" w:eastAsia="仿宋" w:cs="仿宋"/>
          <w:b w:val="0"/>
          <w:bCs w:val="0"/>
          <w:color w:val="auto"/>
          <w:kern w:val="0"/>
          <w:sz w:val="30"/>
          <w:szCs w:val="30"/>
          <w:highlight w:val="none"/>
          <w:lang w:val="en-US" w:eastAsia="zh-CN"/>
        </w:rPr>
        <w:t>（一）供货商要求：必须拥</w:t>
      </w:r>
      <w:r>
        <w:rPr>
          <w:rFonts w:hint="eastAsia" w:ascii="仿宋" w:hAnsi="仿宋" w:eastAsia="仿宋" w:cs="仿宋"/>
          <w:b w:val="0"/>
          <w:bCs w:val="0"/>
          <w:color w:val="auto"/>
          <w:kern w:val="0"/>
          <w:sz w:val="30"/>
          <w:szCs w:val="30"/>
          <w:lang w:val="en-US" w:eastAsia="zh-CN"/>
        </w:rPr>
        <w:t>有有</w:t>
      </w:r>
      <w:r>
        <w:rPr>
          <w:rFonts w:hint="eastAsia" w:ascii="仿宋" w:hAnsi="仿宋" w:eastAsia="仿宋" w:cs="仿宋"/>
          <w:b w:val="0"/>
          <w:bCs w:val="0"/>
          <w:color w:val="auto"/>
          <w:kern w:val="0"/>
          <w:sz w:val="30"/>
          <w:szCs w:val="30"/>
          <w:highlight w:val="none"/>
          <w:lang w:val="en-US" w:eastAsia="zh-CN"/>
        </w:rPr>
        <w:t>效的国家一级油烟管道清洗企业资质证书，须具有履行合同所必须的设备和专业技术能力的承诺函。要求7*24小时服务，售后需30分钟内响应，两小时内到场并解决问题。</w:t>
      </w:r>
    </w:p>
    <w:p w14:paraId="4AAD2A5F">
      <w:pPr>
        <w:ind w:firstLine="600" w:firstLineChars="200"/>
        <w:rPr>
          <w:rFonts w:hint="eastAsia" w:ascii="仿宋" w:hAnsi="仿宋" w:eastAsia="仿宋" w:cs="仿宋"/>
          <w:b w:val="0"/>
          <w:bCs w:val="0"/>
          <w:color w:val="auto"/>
          <w:kern w:val="0"/>
          <w:sz w:val="30"/>
          <w:szCs w:val="30"/>
          <w:highlight w:val="none"/>
          <w:lang w:val="en-US" w:eastAsia="zh-CN"/>
        </w:rPr>
      </w:pPr>
      <w:r>
        <w:rPr>
          <w:rFonts w:hint="eastAsia" w:ascii="仿宋" w:hAnsi="仿宋" w:eastAsia="仿宋" w:cs="仿宋"/>
          <w:b w:val="0"/>
          <w:bCs w:val="0"/>
          <w:color w:val="auto"/>
          <w:kern w:val="0"/>
          <w:sz w:val="30"/>
          <w:szCs w:val="30"/>
          <w:highlight w:val="none"/>
          <w:lang w:val="en-US" w:eastAsia="zh-CN"/>
        </w:rPr>
        <w:t>（二）人员要求：每次清洗服务人员不少于5人，进行管道清洗的工人必须持有高空作业证及有限空间作业证。供货商需给每位清洗服务人员购买相对应的高危职业人员保险。</w:t>
      </w:r>
    </w:p>
    <w:p w14:paraId="47549055">
      <w:pPr>
        <w:ind w:firstLine="600" w:firstLineChars="200"/>
        <w:rPr>
          <w:rFonts w:hint="eastAsia" w:ascii="仿宋" w:hAnsi="仿宋" w:eastAsia="仿宋" w:cs="仿宋"/>
          <w:b w:val="0"/>
          <w:bCs w:val="0"/>
          <w:color w:val="auto"/>
          <w:kern w:val="0"/>
          <w:sz w:val="30"/>
          <w:szCs w:val="30"/>
          <w:lang w:val="en-US" w:eastAsia="zh-CN"/>
        </w:rPr>
      </w:pPr>
      <w:r>
        <w:rPr>
          <w:rFonts w:hint="eastAsia" w:ascii="仿宋" w:hAnsi="仿宋" w:eastAsia="仿宋" w:cs="仿宋"/>
          <w:b w:val="0"/>
          <w:bCs w:val="0"/>
          <w:color w:val="auto"/>
          <w:kern w:val="0"/>
          <w:sz w:val="30"/>
          <w:szCs w:val="30"/>
          <w:highlight w:val="none"/>
          <w:lang w:val="en-US" w:eastAsia="zh-CN"/>
        </w:rPr>
        <w:t>（三）服务要求：清洗工作须在当天后堂</w:t>
      </w:r>
      <w:r>
        <w:rPr>
          <w:rFonts w:hint="eastAsia" w:ascii="仿宋" w:hAnsi="仿宋" w:eastAsia="仿宋" w:cs="仿宋"/>
          <w:b w:val="0"/>
          <w:bCs w:val="0"/>
          <w:color w:val="auto"/>
          <w:kern w:val="0"/>
          <w:sz w:val="30"/>
          <w:szCs w:val="30"/>
          <w:lang w:val="en-US" w:eastAsia="zh-CN"/>
        </w:rPr>
        <w:t>工作结束后进行，不得影响班组正常工作。清洗油烟机后要对施工范围内灶台、地面、台面等地方进行清洁，保证还原清洗前餐厅的干净卫生。在清洗过程中乙方对甲方油烟机造成损坏或无法正常使用，由乙方来负责并承担一切后果。</w:t>
      </w:r>
    </w:p>
    <w:p w14:paraId="3BFFAD62">
      <w:pPr>
        <w:ind w:firstLine="600" w:firstLineChars="200"/>
        <w:rPr>
          <w:rFonts w:hint="eastAsia" w:ascii="仿宋" w:hAnsi="仿宋" w:eastAsia="仿宋" w:cs="仿宋"/>
          <w:b w:val="0"/>
          <w:bCs w:val="0"/>
          <w:color w:val="auto"/>
          <w:kern w:val="0"/>
          <w:sz w:val="30"/>
          <w:szCs w:val="30"/>
          <w:lang w:val="en-US" w:eastAsia="zh-CN"/>
        </w:rPr>
      </w:pPr>
      <w:r>
        <w:rPr>
          <w:rFonts w:hint="eastAsia" w:ascii="仿宋" w:hAnsi="仿宋" w:eastAsia="仿宋" w:cs="仿宋"/>
          <w:b w:val="0"/>
          <w:bCs w:val="0"/>
          <w:color w:val="auto"/>
          <w:kern w:val="0"/>
          <w:sz w:val="30"/>
          <w:szCs w:val="30"/>
          <w:lang w:val="en-US" w:eastAsia="zh-CN"/>
        </w:rPr>
        <w:t>（四）验收要求：清洗完成后，由甲方检查清洗洁净度要达到表面清洁、光滑、无油渍，确认符合验收标准后乙方应出具相对应的清洗验收报告附加清洗前和清洗后水印时间照片。</w:t>
      </w:r>
    </w:p>
    <w:p w14:paraId="3FE7A7CF">
      <w:pPr>
        <w:ind w:firstLine="600" w:firstLineChars="200"/>
        <w:rPr>
          <w:rFonts w:hint="default" w:ascii="仿宋" w:hAnsi="仿宋" w:eastAsia="仿宋" w:cs="仿宋"/>
          <w:b w:val="0"/>
          <w:bCs w:val="0"/>
          <w:color w:val="auto"/>
          <w:kern w:val="0"/>
          <w:sz w:val="30"/>
          <w:szCs w:val="30"/>
          <w:lang w:val="en-US" w:eastAsia="zh-CN"/>
        </w:rPr>
      </w:pPr>
      <w:r>
        <w:rPr>
          <w:rFonts w:hint="eastAsia" w:ascii="仿宋" w:hAnsi="仿宋" w:eastAsia="仿宋" w:cs="仿宋"/>
          <w:b w:val="0"/>
          <w:bCs w:val="0"/>
          <w:color w:val="auto"/>
          <w:kern w:val="0"/>
          <w:sz w:val="30"/>
          <w:szCs w:val="30"/>
          <w:lang w:val="en-US" w:eastAsia="zh-CN"/>
        </w:rPr>
        <w:t>（五）其他要求：供货商需出具承诺函，承诺如因油烟管道清洗不到位导致火灾险情的发生，需承担全部责任。</w:t>
      </w:r>
    </w:p>
    <w:p w14:paraId="1CF2CF93">
      <w:pPr>
        <w:ind w:firstLine="600" w:firstLineChars="200"/>
        <w:rPr>
          <w:rFonts w:hint="eastAsia" w:ascii="仿宋" w:hAnsi="仿宋" w:eastAsia="仿宋" w:cs="仿宋"/>
          <w:b w:val="0"/>
          <w:bCs w:val="0"/>
          <w:color w:val="auto"/>
          <w:kern w:val="0"/>
          <w:sz w:val="30"/>
          <w:szCs w:val="30"/>
          <w:lang w:val="en-US" w:eastAsia="zh-CN"/>
        </w:rPr>
      </w:pPr>
      <w:r>
        <w:rPr>
          <w:rFonts w:hint="eastAsia" w:ascii="仿宋" w:hAnsi="仿宋" w:eastAsia="仿宋" w:cs="仿宋"/>
          <w:b w:val="0"/>
          <w:bCs w:val="0"/>
          <w:color w:val="auto"/>
          <w:kern w:val="0"/>
          <w:sz w:val="30"/>
          <w:szCs w:val="30"/>
          <w:lang w:val="en-US" w:eastAsia="zh-CN"/>
        </w:rPr>
        <w:t>三、油烟机清洗验收标准</w:t>
      </w:r>
    </w:p>
    <w:p w14:paraId="1680DF28">
      <w:pPr>
        <w:ind w:firstLine="600" w:firstLineChars="200"/>
        <w:rPr>
          <w:rFonts w:hint="default" w:ascii="仿宋" w:hAnsi="仿宋" w:eastAsia="仿宋" w:cs="仿宋"/>
          <w:b w:val="0"/>
          <w:bCs w:val="0"/>
          <w:color w:val="auto"/>
          <w:kern w:val="0"/>
          <w:sz w:val="30"/>
          <w:szCs w:val="30"/>
          <w:lang w:val="en-US" w:eastAsia="zh-CN"/>
        </w:rPr>
      </w:pPr>
      <w:r>
        <w:rPr>
          <w:rFonts w:hint="eastAsia" w:ascii="仿宋" w:hAnsi="仿宋" w:eastAsia="仿宋" w:cs="仿宋"/>
          <w:b w:val="0"/>
          <w:bCs w:val="0"/>
          <w:color w:val="auto"/>
          <w:kern w:val="0"/>
          <w:sz w:val="30"/>
          <w:szCs w:val="30"/>
          <w:lang w:val="en-US" w:eastAsia="zh-CN"/>
        </w:rPr>
        <w:t>(一)餐饮服务中心验收标准</w:t>
      </w:r>
    </w:p>
    <w:tbl>
      <w:tblPr>
        <w:tblStyle w:val="37"/>
        <w:tblW w:w="11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39"/>
        <w:gridCol w:w="1009"/>
        <w:gridCol w:w="1867"/>
        <w:gridCol w:w="4139"/>
        <w:gridCol w:w="3686"/>
      </w:tblGrid>
      <w:tr w14:paraId="5D34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240" w:type="dxa"/>
            <w:gridSpan w:val="5"/>
            <w:shd w:val="clear" w:color="auto" w:fill="auto"/>
            <w:noWrap/>
            <w:vAlign w:val="center"/>
          </w:tcPr>
          <w:p w14:paraId="1B160A75">
            <w:pPr>
              <w:widowControl/>
              <w:jc w:val="center"/>
              <w:rPr>
                <w:rFonts w:ascii="宋体" w:hAnsi="宋体" w:eastAsia="宋体" w:cs="宋体"/>
                <w:color w:val="000000"/>
                <w:kern w:val="0"/>
                <w:szCs w:val="21"/>
              </w:rPr>
            </w:pPr>
            <w:r>
              <w:rPr>
                <w:rFonts w:hint="eastAsia" w:ascii="宋体" w:hAnsi="宋体" w:eastAsia="宋体" w:cs="宋体"/>
                <w:color w:val="000000"/>
                <w:kern w:val="0"/>
                <w:sz w:val="28"/>
                <w:szCs w:val="28"/>
              </w:rPr>
              <w:t>排油烟系统</w:t>
            </w:r>
            <w:r>
              <w:rPr>
                <w:rFonts w:hint="eastAsia" w:ascii="宋体" w:hAnsi="宋体" w:eastAsia="宋体" w:cs="宋体"/>
                <w:color w:val="000000"/>
                <w:kern w:val="0"/>
                <w:sz w:val="28"/>
                <w:szCs w:val="28"/>
                <w:lang w:eastAsia="zh-CN"/>
              </w:rPr>
              <w:t>范围及</w:t>
            </w:r>
            <w:r>
              <w:rPr>
                <w:rFonts w:hint="eastAsia" w:ascii="宋体" w:hAnsi="宋体" w:eastAsia="宋体" w:cs="宋体"/>
                <w:color w:val="000000"/>
                <w:kern w:val="0"/>
                <w:sz w:val="28"/>
                <w:szCs w:val="28"/>
              </w:rPr>
              <w:t>清洗标准</w:t>
            </w:r>
          </w:p>
        </w:tc>
      </w:tr>
      <w:tr w14:paraId="2853F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 w:hRule="atLeast"/>
          <w:jc w:val="center"/>
        </w:trPr>
        <w:tc>
          <w:tcPr>
            <w:tcW w:w="539" w:type="dxa"/>
            <w:vMerge w:val="restart"/>
            <w:shd w:val="clear" w:color="auto" w:fill="auto"/>
            <w:noWrap/>
            <w:vAlign w:val="center"/>
          </w:tcPr>
          <w:p w14:paraId="156F71C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2876" w:type="dxa"/>
            <w:gridSpan w:val="2"/>
            <w:shd w:val="clear" w:color="auto" w:fill="auto"/>
            <w:noWrap/>
            <w:vAlign w:val="center"/>
          </w:tcPr>
          <w:p w14:paraId="34A6F89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w:t>
            </w:r>
          </w:p>
        </w:tc>
        <w:tc>
          <w:tcPr>
            <w:tcW w:w="4139" w:type="dxa"/>
            <w:vMerge w:val="restart"/>
            <w:shd w:val="clear" w:color="auto" w:fill="auto"/>
            <w:vAlign w:val="center"/>
          </w:tcPr>
          <w:p w14:paraId="7C39EC5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清洗工艺</w:t>
            </w:r>
          </w:p>
        </w:tc>
        <w:tc>
          <w:tcPr>
            <w:tcW w:w="3686" w:type="dxa"/>
            <w:vMerge w:val="restart"/>
            <w:shd w:val="clear" w:color="auto" w:fill="auto"/>
            <w:vAlign w:val="center"/>
          </w:tcPr>
          <w:p w14:paraId="386695A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清洗标准</w:t>
            </w:r>
          </w:p>
        </w:tc>
      </w:tr>
      <w:tr w14:paraId="766F0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39" w:type="dxa"/>
            <w:vMerge w:val="continue"/>
            <w:shd w:val="clear" w:color="auto" w:fill="auto"/>
            <w:vAlign w:val="center"/>
          </w:tcPr>
          <w:p w14:paraId="4329F106">
            <w:pPr>
              <w:widowControl/>
              <w:jc w:val="left"/>
              <w:rPr>
                <w:rFonts w:ascii="宋体" w:hAnsi="宋体" w:eastAsia="宋体" w:cs="宋体"/>
                <w:color w:val="000000"/>
                <w:kern w:val="0"/>
                <w:sz w:val="24"/>
                <w:szCs w:val="24"/>
              </w:rPr>
            </w:pPr>
          </w:p>
        </w:tc>
        <w:tc>
          <w:tcPr>
            <w:tcW w:w="1009" w:type="dxa"/>
            <w:shd w:val="clear" w:color="auto" w:fill="auto"/>
            <w:noWrap/>
            <w:vAlign w:val="center"/>
          </w:tcPr>
          <w:p w14:paraId="604FBD1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部件</w:t>
            </w:r>
          </w:p>
        </w:tc>
        <w:tc>
          <w:tcPr>
            <w:tcW w:w="1867" w:type="dxa"/>
            <w:shd w:val="clear" w:color="auto" w:fill="auto"/>
            <w:noWrap/>
            <w:vAlign w:val="center"/>
          </w:tcPr>
          <w:p w14:paraId="4F457C6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清洗范围</w:t>
            </w:r>
          </w:p>
        </w:tc>
        <w:tc>
          <w:tcPr>
            <w:tcW w:w="4139" w:type="dxa"/>
            <w:vMerge w:val="continue"/>
            <w:shd w:val="clear" w:color="auto" w:fill="auto"/>
            <w:vAlign w:val="center"/>
          </w:tcPr>
          <w:p w14:paraId="618F4BE9">
            <w:pPr>
              <w:widowControl/>
              <w:jc w:val="left"/>
              <w:rPr>
                <w:rFonts w:ascii="宋体" w:hAnsi="宋体" w:eastAsia="宋体" w:cs="宋体"/>
                <w:color w:val="000000"/>
                <w:kern w:val="0"/>
                <w:sz w:val="24"/>
                <w:szCs w:val="24"/>
              </w:rPr>
            </w:pPr>
          </w:p>
        </w:tc>
        <w:tc>
          <w:tcPr>
            <w:tcW w:w="3686" w:type="dxa"/>
            <w:vMerge w:val="continue"/>
            <w:shd w:val="clear" w:color="auto" w:fill="auto"/>
            <w:vAlign w:val="center"/>
          </w:tcPr>
          <w:p w14:paraId="285D7D92">
            <w:pPr>
              <w:widowControl/>
              <w:jc w:val="left"/>
              <w:rPr>
                <w:rFonts w:ascii="宋体" w:hAnsi="宋体" w:eastAsia="宋体" w:cs="宋体"/>
                <w:color w:val="000000"/>
                <w:kern w:val="0"/>
                <w:sz w:val="24"/>
                <w:szCs w:val="24"/>
              </w:rPr>
            </w:pPr>
          </w:p>
        </w:tc>
      </w:tr>
      <w:tr w14:paraId="6E10D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39" w:type="dxa"/>
            <w:shd w:val="clear" w:color="auto" w:fill="auto"/>
            <w:noWrap/>
            <w:vAlign w:val="center"/>
          </w:tcPr>
          <w:p w14:paraId="69BECB90">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009" w:type="dxa"/>
            <w:vMerge w:val="restart"/>
            <w:shd w:val="clear" w:color="auto" w:fill="auto"/>
            <w:vAlign w:val="center"/>
          </w:tcPr>
          <w:p w14:paraId="026743DA">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排油烟罩</w:t>
            </w:r>
          </w:p>
        </w:tc>
        <w:tc>
          <w:tcPr>
            <w:tcW w:w="1867" w:type="dxa"/>
            <w:shd w:val="clear" w:color="auto" w:fill="auto"/>
            <w:noWrap/>
            <w:vAlign w:val="center"/>
          </w:tcPr>
          <w:p w14:paraId="14288E4A">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内壁</w:t>
            </w:r>
          </w:p>
        </w:tc>
        <w:tc>
          <w:tcPr>
            <w:tcW w:w="4139" w:type="dxa"/>
            <w:vMerge w:val="restart"/>
            <w:shd w:val="clear" w:color="auto" w:fill="auto"/>
            <w:vAlign w:val="center"/>
          </w:tcPr>
          <w:p w14:paraId="09EBC858">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高压枪喷打清洗剂、人工铲除或擦拭，消毒擦拭，清水全面清洗，擦干后擦拭保护膜</w:t>
            </w:r>
          </w:p>
        </w:tc>
        <w:tc>
          <w:tcPr>
            <w:tcW w:w="3686" w:type="dxa"/>
            <w:shd w:val="clear" w:color="auto" w:fill="auto"/>
            <w:vAlign w:val="center"/>
          </w:tcPr>
          <w:p w14:paraId="5AA41111">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壁面光亮整洁无油污，清洁度9</w:t>
            </w:r>
            <w:r>
              <w:rPr>
                <w:rFonts w:hint="eastAsia" w:ascii="宋体" w:hAnsi="宋体" w:eastAsia="宋体" w:cs="宋体"/>
                <w:color w:val="000000"/>
                <w:kern w:val="0"/>
                <w:sz w:val="22"/>
                <w:szCs w:val="22"/>
                <w:lang w:val="en-US" w:eastAsia="zh-CN"/>
              </w:rPr>
              <w:t>5</w:t>
            </w:r>
            <w:r>
              <w:rPr>
                <w:rFonts w:hint="eastAsia" w:ascii="宋体" w:hAnsi="宋体" w:eastAsia="宋体" w:cs="宋体"/>
                <w:color w:val="000000"/>
                <w:kern w:val="0"/>
                <w:sz w:val="22"/>
                <w:szCs w:val="22"/>
              </w:rPr>
              <w:t>%以上</w:t>
            </w:r>
          </w:p>
        </w:tc>
      </w:tr>
      <w:tr w14:paraId="5DCF3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 w:hRule="atLeast"/>
          <w:jc w:val="center"/>
        </w:trPr>
        <w:tc>
          <w:tcPr>
            <w:tcW w:w="539" w:type="dxa"/>
            <w:shd w:val="clear" w:color="auto" w:fill="auto"/>
            <w:noWrap/>
            <w:vAlign w:val="center"/>
          </w:tcPr>
          <w:p w14:paraId="5404D6EC">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009" w:type="dxa"/>
            <w:vMerge w:val="continue"/>
            <w:shd w:val="clear" w:color="auto" w:fill="auto"/>
            <w:vAlign w:val="center"/>
          </w:tcPr>
          <w:p w14:paraId="01CBE97B">
            <w:pPr>
              <w:widowControl/>
              <w:jc w:val="left"/>
              <w:rPr>
                <w:rFonts w:ascii="宋体" w:hAnsi="宋体" w:eastAsia="宋体" w:cs="宋体"/>
                <w:color w:val="000000"/>
                <w:kern w:val="0"/>
                <w:sz w:val="22"/>
                <w:szCs w:val="22"/>
              </w:rPr>
            </w:pPr>
          </w:p>
        </w:tc>
        <w:tc>
          <w:tcPr>
            <w:tcW w:w="1867" w:type="dxa"/>
            <w:shd w:val="clear" w:color="auto" w:fill="auto"/>
            <w:noWrap/>
            <w:vAlign w:val="center"/>
          </w:tcPr>
          <w:p w14:paraId="13621830">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外壁</w:t>
            </w:r>
          </w:p>
        </w:tc>
        <w:tc>
          <w:tcPr>
            <w:tcW w:w="4139" w:type="dxa"/>
            <w:vMerge w:val="continue"/>
            <w:shd w:val="clear" w:color="auto" w:fill="auto"/>
            <w:vAlign w:val="center"/>
          </w:tcPr>
          <w:p w14:paraId="7D77E304">
            <w:pPr>
              <w:widowControl/>
              <w:jc w:val="left"/>
              <w:rPr>
                <w:rFonts w:ascii="宋体" w:hAnsi="宋体" w:eastAsia="宋体" w:cs="宋体"/>
                <w:color w:val="000000"/>
                <w:kern w:val="0"/>
                <w:sz w:val="22"/>
                <w:szCs w:val="22"/>
              </w:rPr>
            </w:pPr>
          </w:p>
        </w:tc>
        <w:tc>
          <w:tcPr>
            <w:tcW w:w="3686" w:type="dxa"/>
            <w:shd w:val="clear" w:color="auto" w:fill="auto"/>
            <w:vAlign w:val="center"/>
          </w:tcPr>
          <w:p w14:paraId="53073C3A">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壁面光亮整洁无油污</w:t>
            </w:r>
          </w:p>
        </w:tc>
      </w:tr>
      <w:tr w14:paraId="7D1E0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 w:hRule="atLeast"/>
          <w:jc w:val="center"/>
        </w:trPr>
        <w:tc>
          <w:tcPr>
            <w:tcW w:w="539" w:type="dxa"/>
            <w:shd w:val="clear" w:color="auto" w:fill="auto"/>
            <w:noWrap/>
            <w:vAlign w:val="center"/>
          </w:tcPr>
          <w:p w14:paraId="1A560C1A">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009" w:type="dxa"/>
            <w:vMerge w:val="continue"/>
            <w:shd w:val="clear" w:color="auto" w:fill="auto"/>
            <w:vAlign w:val="center"/>
          </w:tcPr>
          <w:p w14:paraId="1158B603">
            <w:pPr>
              <w:widowControl/>
              <w:jc w:val="left"/>
              <w:rPr>
                <w:rFonts w:ascii="宋体" w:hAnsi="宋体" w:eastAsia="宋体" w:cs="宋体"/>
                <w:color w:val="000000"/>
                <w:kern w:val="0"/>
                <w:sz w:val="22"/>
                <w:szCs w:val="22"/>
              </w:rPr>
            </w:pPr>
          </w:p>
        </w:tc>
        <w:tc>
          <w:tcPr>
            <w:tcW w:w="1867" w:type="dxa"/>
            <w:shd w:val="clear" w:color="auto" w:fill="auto"/>
            <w:noWrap/>
            <w:vAlign w:val="center"/>
          </w:tcPr>
          <w:p w14:paraId="1BFCA0CE">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托排</w:t>
            </w:r>
          </w:p>
        </w:tc>
        <w:tc>
          <w:tcPr>
            <w:tcW w:w="4139" w:type="dxa"/>
            <w:shd w:val="clear" w:color="auto" w:fill="auto"/>
            <w:vAlign w:val="center"/>
          </w:tcPr>
          <w:p w14:paraId="15CF714A">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浸泡清洗</w:t>
            </w:r>
          </w:p>
        </w:tc>
        <w:tc>
          <w:tcPr>
            <w:tcW w:w="3686" w:type="dxa"/>
            <w:shd w:val="clear" w:color="auto" w:fill="auto"/>
            <w:vAlign w:val="center"/>
          </w:tcPr>
          <w:p w14:paraId="2726A532">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光亮整洁无油污</w:t>
            </w:r>
          </w:p>
        </w:tc>
      </w:tr>
      <w:tr w14:paraId="501A1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 w:hRule="atLeast"/>
          <w:jc w:val="center"/>
        </w:trPr>
        <w:tc>
          <w:tcPr>
            <w:tcW w:w="539" w:type="dxa"/>
            <w:shd w:val="clear" w:color="auto" w:fill="auto"/>
            <w:noWrap/>
            <w:vAlign w:val="center"/>
          </w:tcPr>
          <w:p w14:paraId="307220E9">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009" w:type="dxa"/>
            <w:vMerge w:val="continue"/>
            <w:shd w:val="clear" w:color="auto" w:fill="auto"/>
            <w:vAlign w:val="center"/>
          </w:tcPr>
          <w:p w14:paraId="3437175D">
            <w:pPr>
              <w:widowControl/>
              <w:jc w:val="left"/>
              <w:rPr>
                <w:rFonts w:ascii="宋体" w:hAnsi="宋体" w:eastAsia="宋体" w:cs="宋体"/>
                <w:color w:val="000000"/>
                <w:kern w:val="0"/>
                <w:sz w:val="22"/>
                <w:szCs w:val="22"/>
              </w:rPr>
            </w:pPr>
          </w:p>
        </w:tc>
        <w:tc>
          <w:tcPr>
            <w:tcW w:w="1867" w:type="dxa"/>
            <w:shd w:val="clear" w:color="auto" w:fill="auto"/>
            <w:noWrap/>
            <w:vAlign w:val="center"/>
          </w:tcPr>
          <w:p w14:paraId="509EB1D4">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油槽</w:t>
            </w:r>
          </w:p>
        </w:tc>
        <w:tc>
          <w:tcPr>
            <w:tcW w:w="4139" w:type="dxa"/>
            <w:shd w:val="clear" w:color="auto" w:fill="auto"/>
            <w:vAlign w:val="center"/>
          </w:tcPr>
          <w:p w14:paraId="722209D1">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产出存油后药剂清洗</w:t>
            </w:r>
          </w:p>
        </w:tc>
        <w:tc>
          <w:tcPr>
            <w:tcW w:w="3686" w:type="dxa"/>
            <w:shd w:val="clear" w:color="auto" w:fill="auto"/>
            <w:vAlign w:val="center"/>
          </w:tcPr>
          <w:p w14:paraId="388CE538">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无油垢、无存油</w:t>
            </w:r>
          </w:p>
        </w:tc>
      </w:tr>
      <w:tr w14:paraId="2020D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 w:hRule="atLeast"/>
          <w:jc w:val="center"/>
        </w:trPr>
        <w:tc>
          <w:tcPr>
            <w:tcW w:w="539" w:type="dxa"/>
            <w:shd w:val="clear" w:color="auto" w:fill="auto"/>
            <w:noWrap/>
            <w:vAlign w:val="center"/>
          </w:tcPr>
          <w:p w14:paraId="44F5FD46">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009" w:type="dxa"/>
            <w:vMerge w:val="continue"/>
            <w:shd w:val="clear" w:color="auto" w:fill="auto"/>
            <w:vAlign w:val="center"/>
          </w:tcPr>
          <w:p w14:paraId="050EB7D8">
            <w:pPr>
              <w:widowControl/>
              <w:jc w:val="left"/>
              <w:rPr>
                <w:rFonts w:ascii="宋体" w:hAnsi="宋体" w:eastAsia="宋体" w:cs="宋体"/>
                <w:color w:val="000000"/>
                <w:kern w:val="0"/>
                <w:sz w:val="22"/>
                <w:szCs w:val="22"/>
              </w:rPr>
            </w:pPr>
          </w:p>
        </w:tc>
        <w:tc>
          <w:tcPr>
            <w:tcW w:w="1867" w:type="dxa"/>
            <w:shd w:val="clear" w:color="auto" w:fill="auto"/>
            <w:noWrap/>
            <w:vAlign w:val="center"/>
          </w:tcPr>
          <w:p w14:paraId="5E8F4474">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抽/送风口</w:t>
            </w:r>
          </w:p>
        </w:tc>
        <w:tc>
          <w:tcPr>
            <w:tcW w:w="4139" w:type="dxa"/>
            <w:shd w:val="clear" w:color="auto" w:fill="auto"/>
            <w:noWrap/>
            <w:vAlign w:val="center"/>
          </w:tcPr>
          <w:p w14:paraId="16EB018A">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药剂清洗、人工铲除</w:t>
            </w:r>
          </w:p>
        </w:tc>
        <w:tc>
          <w:tcPr>
            <w:tcW w:w="3686" w:type="dxa"/>
            <w:shd w:val="clear" w:color="auto" w:fill="auto"/>
            <w:vAlign w:val="center"/>
          </w:tcPr>
          <w:p w14:paraId="392E0716">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无油垢</w:t>
            </w:r>
          </w:p>
        </w:tc>
      </w:tr>
      <w:tr w14:paraId="511FD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39" w:type="dxa"/>
            <w:shd w:val="clear" w:color="auto" w:fill="auto"/>
            <w:noWrap/>
            <w:vAlign w:val="center"/>
          </w:tcPr>
          <w:p w14:paraId="584108E5">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1009" w:type="dxa"/>
            <w:vMerge w:val="continue"/>
            <w:shd w:val="clear" w:color="auto" w:fill="auto"/>
            <w:vAlign w:val="center"/>
          </w:tcPr>
          <w:p w14:paraId="0A2F0715">
            <w:pPr>
              <w:widowControl/>
              <w:jc w:val="left"/>
              <w:rPr>
                <w:rFonts w:ascii="宋体" w:hAnsi="宋体" w:eastAsia="宋体" w:cs="宋体"/>
                <w:color w:val="000000"/>
                <w:kern w:val="0"/>
                <w:sz w:val="22"/>
                <w:szCs w:val="22"/>
              </w:rPr>
            </w:pPr>
          </w:p>
        </w:tc>
        <w:tc>
          <w:tcPr>
            <w:tcW w:w="1867" w:type="dxa"/>
            <w:shd w:val="clear" w:color="auto" w:fill="auto"/>
            <w:noWrap/>
            <w:vAlign w:val="center"/>
          </w:tcPr>
          <w:p w14:paraId="1FE08693">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管线</w:t>
            </w:r>
          </w:p>
        </w:tc>
        <w:tc>
          <w:tcPr>
            <w:tcW w:w="4139" w:type="dxa"/>
            <w:shd w:val="clear" w:color="auto" w:fill="auto"/>
            <w:vAlign w:val="center"/>
          </w:tcPr>
          <w:p w14:paraId="2A312672">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去油、擦拭</w:t>
            </w:r>
          </w:p>
        </w:tc>
        <w:tc>
          <w:tcPr>
            <w:tcW w:w="3686" w:type="dxa"/>
            <w:shd w:val="clear" w:color="auto" w:fill="auto"/>
            <w:vAlign w:val="center"/>
          </w:tcPr>
          <w:p w14:paraId="7B6A52DD">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无油垢、干净</w:t>
            </w:r>
          </w:p>
        </w:tc>
      </w:tr>
      <w:tr w14:paraId="58474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39" w:type="dxa"/>
            <w:shd w:val="clear" w:color="auto" w:fill="auto"/>
            <w:noWrap/>
            <w:vAlign w:val="center"/>
          </w:tcPr>
          <w:p w14:paraId="6CF380F9">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7</w:t>
            </w:r>
          </w:p>
        </w:tc>
        <w:tc>
          <w:tcPr>
            <w:tcW w:w="1009" w:type="dxa"/>
            <w:vMerge w:val="continue"/>
            <w:shd w:val="clear" w:color="auto" w:fill="auto"/>
            <w:vAlign w:val="center"/>
          </w:tcPr>
          <w:p w14:paraId="67E8FAF1">
            <w:pPr>
              <w:widowControl/>
              <w:jc w:val="left"/>
              <w:rPr>
                <w:rFonts w:ascii="宋体" w:hAnsi="宋体" w:eastAsia="宋体" w:cs="宋体"/>
                <w:color w:val="000000"/>
                <w:kern w:val="0"/>
                <w:sz w:val="22"/>
                <w:szCs w:val="22"/>
              </w:rPr>
            </w:pPr>
          </w:p>
        </w:tc>
        <w:tc>
          <w:tcPr>
            <w:tcW w:w="1867" w:type="dxa"/>
            <w:shd w:val="clear" w:color="auto" w:fill="auto"/>
            <w:noWrap/>
            <w:vAlign w:val="top"/>
          </w:tcPr>
          <w:p w14:paraId="30A44A75">
            <w:pPr>
              <w:widowControl w:val="0"/>
              <w:spacing w:before="106" w:line="220" w:lineRule="auto"/>
              <w:ind w:left="302" w:leftChars="0"/>
              <w:jc w:val="both"/>
              <w:rPr>
                <w:rFonts w:hint="eastAsia" w:ascii="宋体" w:hAnsi="宋体" w:eastAsia="宋体" w:cs="宋体"/>
                <w:color w:val="000000"/>
                <w:kern w:val="0"/>
                <w:sz w:val="32"/>
                <w:szCs w:val="32"/>
                <w:lang w:val="en-US" w:eastAsia="en-US" w:bidi="ar-SA"/>
              </w:rPr>
            </w:pPr>
            <w:r>
              <w:rPr>
                <w:rFonts w:ascii="宋体" w:hAnsi="宋体" w:eastAsia="宋体" w:cs="宋体"/>
                <w:spacing w:val="-2"/>
                <w:kern w:val="2"/>
                <w:sz w:val="21"/>
                <w:szCs w:val="21"/>
                <w:lang w:val="en-US" w:eastAsia="en-US" w:bidi="ar-SA"/>
              </w:rPr>
              <w:t>烟罩喷嘴</w:t>
            </w:r>
          </w:p>
        </w:tc>
        <w:tc>
          <w:tcPr>
            <w:tcW w:w="4139" w:type="dxa"/>
            <w:shd w:val="clear" w:color="auto" w:fill="auto"/>
            <w:vAlign w:val="top"/>
          </w:tcPr>
          <w:p w14:paraId="6A049F68">
            <w:pPr>
              <w:widowControl w:val="0"/>
              <w:spacing w:before="106" w:line="220" w:lineRule="auto"/>
              <w:jc w:val="both"/>
              <w:rPr>
                <w:rFonts w:hint="eastAsia" w:ascii="宋体" w:hAnsi="宋体" w:eastAsia="宋体" w:cs="宋体"/>
                <w:color w:val="000000"/>
                <w:kern w:val="0"/>
                <w:sz w:val="32"/>
                <w:szCs w:val="32"/>
                <w:lang w:val="en-US" w:eastAsia="en-US" w:bidi="ar-SA"/>
              </w:rPr>
            </w:pPr>
            <w:r>
              <w:rPr>
                <w:rFonts w:ascii="宋体" w:hAnsi="宋体" w:eastAsia="宋体" w:cs="宋体"/>
                <w:spacing w:val="-1"/>
                <w:kern w:val="2"/>
                <w:sz w:val="21"/>
                <w:szCs w:val="21"/>
                <w:lang w:val="en-US" w:eastAsia="en-US" w:bidi="ar-SA"/>
              </w:rPr>
              <w:t>浸泡清洗，喷嘴疏通</w:t>
            </w:r>
          </w:p>
        </w:tc>
        <w:tc>
          <w:tcPr>
            <w:tcW w:w="3686" w:type="dxa"/>
            <w:shd w:val="clear" w:color="auto" w:fill="auto"/>
            <w:vAlign w:val="top"/>
          </w:tcPr>
          <w:p w14:paraId="789F9F13">
            <w:pPr>
              <w:widowControl w:val="0"/>
              <w:spacing w:before="106" w:line="221" w:lineRule="auto"/>
              <w:ind w:left="114" w:leftChars="0"/>
              <w:jc w:val="both"/>
              <w:rPr>
                <w:rFonts w:hint="eastAsia" w:ascii="宋体" w:hAnsi="宋体" w:eastAsia="宋体" w:cs="宋体"/>
                <w:color w:val="000000"/>
                <w:kern w:val="0"/>
                <w:sz w:val="32"/>
                <w:szCs w:val="32"/>
                <w:lang w:val="en-US" w:eastAsia="en-US" w:bidi="ar-SA"/>
              </w:rPr>
            </w:pPr>
            <w:r>
              <w:rPr>
                <w:rFonts w:ascii="宋体" w:hAnsi="宋体" w:eastAsia="宋体" w:cs="宋体"/>
                <w:spacing w:val="-1"/>
                <w:kern w:val="2"/>
                <w:sz w:val="21"/>
                <w:szCs w:val="21"/>
                <w:lang w:val="en-US" w:eastAsia="en-US" w:bidi="ar-SA"/>
              </w:rPr>
              <w:t>无油污，喷口喷洒成雾</w:t>
            </w:r>
          </w:p>
        </w:tc>
      </w:tr>
      <w:tr w14:paraId="66B7F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39" w:type="dxa"/>
            <w:shd w:val="clear" w:color="auto" w:fill="auto"/>
            <w:noWrap/>
            <w:vAlign w:val="center"/>
          </w:tcPr>
          <w:p w14:paraId="3F2D0AB9">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8</w:t>
            </w:r>
          </w:p>
        </w:tc>
        <w:tc>
          <w:tcPr>
            <w:tcW w:w="1009" w:type="dxa"/>
            <w:vMerge w:val="continue"/>
            <w:shd w:val="clear" w:color="auto" w:fill="auto"/>
            <w:vAlign w:val="center"/>
          </w:tcPr>
          <w:p w14:paraId="4AD6D65D">
            <w:pPr>
              <w:widowControl/>
              <w:jc w:val="left"/>
              <w:rPr>
                <w:rFonts w:ascii="宋体" w:hAnsi="宋体" w:eastAsia="宋体" w:cs="宋体"/>
                <w:color w:val="000000"/>
                <w:kern w:val="0"/>
                <w:sz w:val="22"/>
                <w:szCs w:val="22"/>
              </w:rPr>
            </w:pPr>
          </w:p>
        </w:tc>
        <w:tc>
          <w:tcPr>
            <w:tcW w:w="1867" w:type="dxa"/>
            <w:shd w:val="clear" w:color="auto" w:fill="auto"/>
            <w:noWrap/>
            <w:vAlign w:val="top"/>
          </w:tcPr>
          <w:p w14:paraId="44042BF1">
            <w:pPr>
              <w:widowControl w:val="0"/>
              <w:spacing w:before="163" w:line="221" w:lineRule="auto"/>
              <w:ind w:left="389" w:leftChars="0"/>
              <w:jc w:val="both"/>
              <w:rPr>
                <w:rFonts w:hint="eastAsia" w:ascii="宋体" w:hAnsi="宋体" w:eastAsia="宋体" w:cs="宋体"/>
                <w:color w:val="000000"/>
                <w:kern w:val="0"/>
                <w:sz w:val="32"/>
                <w:szCs w:val="32"/>
                <w:lang w:val="en-US" w:eastAsia="en-US" w:bidi="ar-SA"/>
              </w:rPr>
            </w:pPr>
            <w:r>
              <w:rPr>
                <w:rFonts w:ascii="宋体" w:hAnsi="宋体" w:eastAsia="宋体" w:cs="宋体"/>
                <w:spacing w:val="-3"/>
                <w:kern w:val="2"/>
                <w:sz w:val="21"/>
                <w:szCs w:val="21"/>
                <w:lang w:val="en-US" w:eastAsia="en-US" w:bidi="ar-SA"/>
              </w:rPr>
              <w:t>控制箱</w:t>
            </w:r>
          </w:p>
        </w:tc>
        <w:tc>
          <w:tcPr>
            <w:tcW w:w="4139" w:type="dxa"/>
            <w:shd w:val="clear" w:color="auto" w:fill="auto"/>
            <w:vAlign w:val="top"/>
          </w:tcPr>
          <w:p w14:paraId="59505ECF">
            <w:pPr>
              <w:widowControl w:val="0"/>
              <w:spacing w:before="163" w:line="220" w:lineRule="auto"/>
              <w:jc w:val="both"/>
              <w:rPr>
                <w:rFonts w:hint="eastAsia" w:ascii="宋体" w:hAnsi="宋体" w:eastAsia="宋体" w:cs="宋体"/>
                <w:color w:val="000000"/>
                <w:kern w:val="0"/>
                <w:sz w:val="32"/>
                <w:szCs w:val="32"/>
                <w:lang w:val="en-US" w:eastAsia="en-US" w:bidi="ar-SA"/>
              </w:rPr>
            </w:pPr>
            <w:r>
              <w:rPr>
                <w:rFonts w:ascii="宋体" w:hAnsi="宋体" w:eastAsia="宋体" w:cs="宋体"/>
                <w:spacing w:val="-1"/>
                <w:kern w:val="2"/>
                <w:sz w:val="21"/>
                <w:szCs w:val="21"/>
                <w:lang w:val="en-US" w:eastAsia="en-US" w:bidi="ar-SA"/>
              </w:rPr>
              <w:t>去油、擦拭，控制部件保养</w:t>
            </w:r>
          </w:p>
        </w:tc>
        <w:tc>
          <w:tcPr>
            <w:tcW w:w="3686" w:type="dxa"/>
            <w:shd w:val="clear" w:color="auto" w:fill="auto"/>
            <w:vAlign w:val="top"/>
          </w:tcPr>
          <w:p w14:paraId="0D2D7F00">
            <w:pPr>
              <w:widowControl w:val="0"/>
              <w:spacing w:before="28" w:line="258" w:lineRule="auto"/>
              <w:ind w:left="116" w:leftChars="0" w:right="185" w:rightChars="0" w:hanging="2" w:firstLineChars="0"/>
              <w:jc w:val="both"/>
              <w:rPr>
                <w:rFonts w:hint="eastAsia" w:ascii="宋体" w:hAnsi="宋体" w:eastAsia="宋体" w:cs="宋体"/>
                <w:color w:val="000000"/>
                <w:kern w:val="0"/>
                <w:sz w:val="32"/>
                <w:szCs w:val="32"/>
                <w:lang w:val="en-US" w:eastAsia="en-US" w:bidi="ar-SA"/>
              </w:rPr>
            </w:pPr>
            <w:r>
              <w:rPr>
                <w:rFonts w:ascii="宋体" w:hAnsi="宋体" w:eastAsia="宋体" w:cs="宋体"/>
                <w:spacing w:val="-1"/>
                <w:kern w:val="2"/>
                <w:sz w:val="21"/>
                <w:szCs w:val="21"/>
                <w:lang w:val="en-US" w:eastAsia="en-US" w:bidi="ar-SA"/>
              </w:rPr>
              <w:t>无油污，部件控制灵敏，操作</w:t>
            </w:r>
            <w:r>
              <w:rPr>
                <w:rFonts w:ascii="宋体" w:hAnsi="宋体" w:eastAsia="宋体" w:cs="宋体"/>
                <w:spacing w:val="3"/>
                <w:kern w:val="2"/>
                <w:sz w:val="21"/>
                <w:szCs w:val="21"/>
                <w:lang w:val="en-US" w:eastAsia="en-US" w:bidi="ar-SA"/>
              </w:rPr>
              <w:t xml:space="preserve"> </w:t>
            </w:r>
            <w:r>
              <w:rPr>
                <w:rFonts w:ascii="宋体" w:hAnsi="宋体" w:eastAsia="宋体" w:cs="宋体"/>
                <w:spacing w:val="-6"/>
                <w:kern w:val="2"/>
                <w:sz w:val="21"/>
                <w:szCs w:val="21"/>
                <w:lang w:val="en-US" w:eastAsia="en-US" w:bidi="ar-SA"/>
              </w:rPr>
              <w:t>正常</w:t>
            </w:r>
          </w:p>
        </w:tc>
      </w:tr>
      <w:tr w14:paraId="7EFFF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39" w:type="dxa"/>
            <w:shd w:val="clear" w:color="auto" w:fill="auto"/>
            <w:noWrap/>
            <w:vAlign w:val="center"/>
          </w:tcPr>
          <w:p w14:paraId="2CA8CC18">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9</w:t>
            </w:r>
          </w:p>
        </w:tc>
        <w:tc>
          <w:tcPr>
            <w:tcW w:w="1009" w:type="dxa"/>
            <w:vMerge w:val="restart"/>
            <w:shd w:val="clear" w:color="auto" w:fill="auto"/>
            <w:noWrap/>
            <w:vAlign w:val="center"/>
          </w:tcPr>
          <w:p w14:paraId="195CD7A0">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油烟净化一体机</w:t>
            </w:r>
          </w:p>
        </w:tc>
        <w:tc>
          <w:tcPr>
            <w:tcW w:w="1867" w:type="dxa"/>
            <w:shd w:val="clear" w:color="auto" w:fill="auto"/>
            <w:noWrap/>
            <w:vAlign w:val="center"/>
          </w:tcPr>
          <w:p w14:paraId="23252B48">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内部</w:t>
            </w:r>
            <w:r>
              <w:rPr>
                <w:rFonts w:hint="eastAsia" w:ascii="宋体" w:hAnsi="宋体" w:eastAsia="宋体" w:cs="宋体"/>
                <w:color w:val="000000"/>
                <w:kern w:val="0"/>
                <w:sz w:val="22"/>
                <w:szCs w:val="22"/>
                <w:lang w:eastAsia="zh-CN"/>
              </w:rPr>
              <w:t>涡轮</w:t>
            </w:r>
            <w:r>
              <w:rPr>
                <w:rFonts w:hint="eastAsia" w:ascii="宋体" w:hAnsi="宋体" w:eastAsia="宋体" w:cs="宋体"/>
                <w:color w:val="000000"/>
                <w:kern w:val="0"/>
                <w:sz w:val="22"/>
                <w:szCs w:val="22"/>
              </w:rPr>
              <w:t>风机</w:t>
            </w:r>
          </w:p>
        </w:tc>
        <w:tc>
          <w:tcPr>
            <w:tcW w:w="4139" w:type="dxa"/>
            <w:shd w:val="clear" w:color="auto" w:fill="auto"/>
            <w:vAlign w:val="center"/>
          </w:tcPr>
          <w:p w14:paraId="09585B3A">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去油，擦拭，传动部件润滑保养</w:t>
            </w:r>
          </w:p>
        </w:tc>
        <w:tc>
          <w:tcPr>
            <w:tcW w:w="3686" w:type="dxa"/>
            <w:shd w:val="clear" w:color="auto" w:fill="auto"/>
            <w:vAlign w:val="center"/>
          </w:tcPr>
          <w:p w14:paraId="4726487D">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无油垢、运行平稳无异响</w:t>
            </w:r>
          </w:p>
        </w:tc>
      </w:tr>
      <w:tr w14:paraId="21F22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jc w:val="center"/>
        </w:trPr>
        <w:tc>
          <w:tcPr>
            <w:tcW w:w="539" w:type="dxa"/>
            <w:shd w:val="clear" w:color="auto" w:fill="auto"/>
            <w:noWrap/>
            <w:vAlign w:val="center"/>
          </w:tcPr>
          <w:p w14:paraId="3370094C">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w:t>
            </w:r>
          </w:p>
        </w:tc>
        <w:tc>
          <w:tcPr>
            <w:tcW w:w="1009" w:type="dxa"/>
            <w:vMerge w:val="continue"/>
            <w:shd w:val="clear" w:color="auto" w:fill="auto"/>
            <w:vAlign w:val="center"/>
          </w:tcPr>
          <w:p w14:paraId="405A7B04">
            <w:pPr>
              <w:widowControl/>
              <w:jc w:val="left"/>
              <w:rPr>
                <w:rFonts w:ascii="宋体" w:hAnsi="宋体" w:eastAsia="宋体" w:cs="宋体"/>
                <w:color w:val="000000"/>
                <w:kern w:val="0"/>
                <w:sz w:val="22"/>
                <w:szCs w:val="22"/>
              </w:rPr>
            </w:pPr>
          </w:p>
        </w:tc>
        <w:tc>
          <w:tcPr>
            <w:tcW w:w="1867" w:type="dxa"/>
            <w:shd w:val="clear" w:color="auto" w:fill="auto"/>
            <w:noWrap/>
            <w:vAlign w:val="center"/>
          </w:tcPr>
          <w:p w14:paraId="233F1FBF">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内部低温等离子净化器</w:t>
            </w:r>
          </w:p>
        </w:tc>
        <w:tc>
          <w:tcPr>
            <w:tcW w:w="4139" w:type="dxa"/>
            <w:shd w:val="clear" w:color="auto" w:fill="auto"/>
            <w:vAlign w:val="center"/>
          </w:tcPr>
          <w:p w14:paraId="2640EDDA">
            <w:pPr>
              <w:widowControl/>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浸泡清洗，</w:t>
            </w:r>
            <w:r>
              <w:rPr>
                <w:rFonts w:hint="eastAsia" w:ascii="宋体" w:hAnsi="宋体" w:eastAsia="宋体" w:cs="宋体"/>
                <w:color w:val="000000"/>
                <w:kern w:val="0"/>
                <w:sz w:val="22"/>
                <w:szCs w:val="22"/>
                <w:lang w:eastAsia="zh-CN"/>
              </w:rPr>
              <w:t>擦拭，保养</w:t>
            </w:r>
          </w:p>
        </w:tc>
        <w:tc>
          <w:tcPr>
            <w:tcW w:w="3686" w:type="dxa"/>
            <w:shd w:val="clear" w:color="auto" w:fill="auto"/>
            <w:vAlign w:val="center"/>
          </w:tcPr>
          <w:p w14:paraId="1CE97D23">
            <w:pPr>
              <w:widowControl/>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无油污，部件控制灵敏，操作正常</w:t>
            </w:r>
          </w:p>
        </w:tc>
      </w:tr>
      <w:tr w14:paraId="40EE1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39" w:type="dxa"/>
            <w:shd w:val="clear" w:color="auto" w:fill="auto"/>
            <w:noWrap/>
            <w:vAlign w:val="center"/>
          </w:tcPr>
          <w:p w14:paraId="7CD695D9">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11</w:t>
            </w:r>
          </w:p>
        </w:tc>
        <w:tc>
          <w:tcPr>
            <w:tcW w:w="1009" w:type="dxa"/>
            <w:vMerge w:val="continue"/>
            <w:shd w:val="clear" w:color="auto" w:fill="auto"/>
            <w:vAlign w:val="center"/>
          </w:tcPr>
          <w:p w14:paraId="3447D290">
            <w:pPr>
              <w:widowControl/>
              <w:jc w:val="left"/>
              <w:rPr>
                <w:rFonts w:ascii="宋体" w:hAnsi="宋体" w:eastAsia="宋体" w:cs="宋体"/>
                <w:color w:val="000000"/>
                <w:kern w:val="0"/>
                <w:sz w:val="22"/>
                <w:szCs w:val="22"/>
              </w:rPr>
            </w:pPr>
          </w:p>
        </w:tc>
        <w:tc>
          <w:tcPr>
            <w:tcW w:w="1867" w:type="dxa"/>
            <w:shd w:val="clear" w:color="auto" w:fill="auto"/>
            <w:noWrap/>
            <w:vAlign w:val="center"/>
          </w:tcPr>
          <w:p w14:paraId="3B6B1FE5">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防火筛</w:t>
            </w:r>
          </w:p>
        </w:tc>
        <w:tc>
          <w:tcPr>
            <w:tcW w:w="4139" w:type="dxa"/>
            <w:shd w:val="clear" w:color="auto" w:fill="auto"/>
            <w:vAlign w:val="center"/>
          </w:tcPr>
          <w:p w14:paraId="6631A53B">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浸泡清洗，</w:t>
            </w:r>
            <w:r>
              <w:rPr>
                <w:rFonts w:hint="eastAsia" w:ascii="宋体" w:hAnsi="宋体" w:eastAsia="宋体" w:cs="宋体"/>
                <w:color w:val="000000"/>
                <w:kern w:val="0"/>
                <w:sz w:val="22"/>
                <w:szCs w:val="22"/>
                <w:lang w:eastAsia="zh-CN"/>
              </w:rPr>
              <w:t>擦拭，保养</w:t>
            </w:r>
          </w:p>
        </w:tc>
        <w:tc>
          <w:tcPr>
            <w:tcW w:w="3686" w:type="dxa"/>
            <w:shd w:val="clear" w:color="auto" w:fill="auto"/>
            <w:vAlign w:val="center"/>
          </w:tcPr>
          <w:p w14:paraId="6C5F33A1">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无油污，部件控制灵敏，操作正常</w:t>
            </w:r>
          </w:p>
        </w:tc>
      </w:tr>
      <w:tr w14:paraId="60E3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 w:hRule="atLeast"/>
          <w:jc w:val="center"/>
        </w:trPr>
        <w:tc>
          <w:tcPr>
            <w:tcW w:w="539" w:type="dxa"/>
            <w:shd w:val="clear" w:color="auto" w:fill="auto"/>
            <w:noWrap/>
            <w:vAlign w:val="center"/>
          </w:tcPr>
          <w:p w14:paraId="1FC4E09C">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12</w:t>
            </w:r>
          </w:p>
        </w:tc>
        <w:tc>
          <w:tcPr>
            <w:tcW w:w="1009" w:type="dxa"/>
            <w:vMerge w:val="continue"/>
            <w:shd w:val="clear" w:color="auto" w:fill="auto"/>
            <w:vAlign w:val="center"/>
          </w:tcPr>
          <w:p w14:paraId="368B0A95">
            <w:pPr>
              <w:widowControl/>
              <w:jc w:val="left"/>
              <w:rPr>
                <w:rFonts w:ascii="宋体" w:hAnsi="宋体" w:eastAsia="宋体" w:cs="宋体"/>
                <w:color w:val="000000"/>
                <w:kern w:val="0"/>
                <w:sz w:val="22"/>
                <w:szCs w:val="22"/>
              </w:rPr>
            </w:pPr>
          </w:p>
        </w:tc>
        <w:tc>
          <w:tcPr>
            <w:tcW w:w="1867" w:type="dxa"/>
            <w:shd w:val="clear" w:color="auto" w:fill="auto"/>
            <w:noWrap/>
            <w:vAlign w:val="center"/>
          </w:tcPr>
          <w:p w14:paraId="55854A50">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内置油气分离器</w:t>
            </w:r>
          </w:p>
        </w:tc>
        <w:tc>
          <w:tcPr>
            <w:tcW w:w="4139" w:type="dxa"/>
            <w:shd w:val="clear" w:color="auto" w:fill="auto"/>
            <w:vAlign w:val="center"/>
          </w:tcPr>
          <w:p w14:paraId="2D750FBB">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去油，擦拭，</w:t>
            </w:r>
            <w:r>
              <w:rPr>
                <w:rFonts w:hint="eastAsia" w:ascii="宋体" w:hAnsi="宋体" w:eastAsia="宋体" w:cs="宋体"/>
                <w:color w:val="000000"/>
                <w:kern w:val="0"/>
                <w:sz w:val="22"/>
                <w:szCs w:val="22"/>
                <w:lang w:eastAsia="zh-CN"/>
              </w:rPr>
              <w:t>保养</w:t>
            </w:r>
          </w:p>
        </w:tc>
        <w:tc>
          <w:tcPr>
            <w:tcW w:w="3686" w:type="dxa"/>
            <w:shd w:val="clear" w:color="auto" w:fill="auto"/>
            <w:vAlign w:val="center"/>
          </w:tcPr>
          <w:p w14:paraId="7A29CD07">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无油污，部件控制灵敏，操作正常</w:t>
            </w:r>
          </w:p>
        </w:tc>
      </w:tr>
      <w:tr w14:paraId="68982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39" w:type="dxa"/>
            <w:shd w:val="clear" w:color="auto" w:fill="auto"/>
            <w:noWrap/>
            <w:vAlign w:val="center"/>
          </w:tcPr>
          <w:p w14:paraId="3B781FC8">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13</w:t>
            </w:r>
          </w:p>
        </w:tc>
        <w:tc>
          <w:tcPr>
            <w:tcW w:w="1009" w:type="dxa"/>
            <w:vMerge w:val="continue"/>
            <w:shd w:val="clear" w:color="auto" w:fill="auto"/>
            <w:vAlign w:val="center"/>
          </w:tcPr>
          <w:p w14:paraId="5E71F972">
            <w:pPr>
              <w:widowControl/>
              <w:jc w:val="left"/>
              <w:rPr>
                <w:rFonts w:ascii="宋体" w:hAnsi="宋体" w:eastAsia="宋体" w:cs="宋体"/>
                <w:color w:val="000000"/>
                <w:kern w:val="0"/>
                <w:sz w:val="22"/>
                <w:szCs w:val="22"/>
              </w:rPr>
            </w:pPr>
          </w:p>
        </w:tc>
        <w:tc>
          <w:tcPr>
            <w:tcW w:w="1867" w:type="dxa"/>
            <w:shd w:val="clear" w:color="auto" w:fill="auto"/>
            <w:noWrap/>
            <w:vAlign w:val="center"/>
          </w:tcPr>
          <w:p w14:paraId="2A8FF070">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离心分离器</w:t>
            </w:r>
          </w:p>
        </w:tc>
        <w:tc>
          <w:tcPr>
            <w:tcW w:w="4139" w:type="dxa"/>
            <w:shd w:val="clear" w:color="auto" w:fill="auto"/>
            <w:vAlign w:val="center"/>
          </w:tcPr>
          <w:p w14:paraId="53EAA9D6">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去油，擦拭，</w:t>
            </w:r>
            <w:r>
              <w:rPr>
                <w:rFonts w:hint="eastAsia" w:ascii="宋体" w:hAnsi="宋体" w:eastAsia="宋体" w:cs="宋体"/>
                <w:color w:val="000000"/>
                <w:kern w:val="0"/>
                <w:sz w:val="22"/>
                <w:szCs w:val="22"/>
                <w:lang w:eastAsia="zh-CN"/>
              </w:rPr>
              <w:t>保养</w:t>
            </w:r>
          </w:p>
        </w:tc>
        <w:tc>
          <w:tcPr>
            <w:tcW w:w="3686" w:type="dxa"/>
            <w:shd w:val="clear" w:color="auto" w:fill="auto"/>
            <w:vAlign w:val="center"/>
          </w:tcPr>
          <w:p w14:paraId="1FB3589C">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无油污，部件控制灵敏，操作正常</w:t>
            </w:r>
          </w:p>
        </w:tc>
      </w:tr>
      <w:tr w14:paraId="7B423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39" w:type="dxa"/>
            <w:shd w:val="clear" w:color="auto" w:fill="auto"/>
            <w:noWrap/>
            <w:vAlign w:val="center"/>
          </w:tcPr>
          <w:p w14:paraId="7F20DC0C">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14</w:t>
            </w:r>
          </w:p>
        </w:tc>
        <w:tc>
          <w:tcPr>
            <w:tcW w:w="1009" w:type="dxa"/>
            <w:vMerge w:val="continue"/>
            <w:shd w:val="clear" w:color="auto" w:fill="auto"/>
            <w:vAlign w:val="center"/>
          </w:tcPr>
          <w:p w14:paraId="1AF1C650">
            <w:pPr>
              <w:widowControl/>
              <w:jc w:val="left"/>
              <w:rPr>
                <w:rFonts w:ascii="宋体" w:hAnsi="宋体" w:eastAsia="宋体" w:cs="宋体"/>
                <w:color w:val="000000"/>
                <w:kern w:val="0"/>
                <w:sz w:val="22"/>
                <w:szCs w:val="22"/>
              </w:rPr>
            </w:pPr>
          </w:p>
        </w:tc>
        <w:tc>
          <w:tcPr>
            <w:tcW w:w="1867" w:type="dxa"/>
            <w:shd w:val="clear" w:color="auto" w:fill="auto"/>
            <w:noWrap/>
            <w:vAlign w:val="center"/>
          </w:tcPr>
          <w:p w14:paraId="41C01537">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高效过滤器</w:t>
            </w:r>
          </w:p>
          <w:p w14:paraId="28C0CB80">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（粗滤和精滤）</w:t>
            </w:r>
          </w:p>
        </w:tc>
        <w:tc>
          <w:tcPr>
            <w:tcW w:w="4139" w:type="dxa"/>
            <w:shd w:val="clear" w:color="auto" w:fill="auto"/>
            <w:vAlign w:val="center"/>
          </w:tcPr>
          <w:p w14:paraId="455DEED6">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浸泡去油，擦拭，</w:t>
            </w:r>
            <w:r>
              <w:rPr>
                <w:rFonts w:hint="eastAsia" w:ascii="宋体" w:hAnsi="宋体" w:eastAsia="宋体" w:cs="宋体"/>
                <w:color w:val="000000"/>
                <w:kern w:val="0"/>
                <w:sz w:val="22"/>
                <w:szCs w:val="22"/>
                <w:lang w:eastAsia="zh-CN"/>
              </w:rPr>
              <w:t>保养</w:t>
            </w:r>
          </w:p>
        </w:tc>
        <w:tc>
          <w:tcPr>
            <w:tcW w:w="3686" w:type="dxa"/>
            <w:shd w:val="clear" w:color="auto" w:fill="auto"/>
            <w:vAlign w:val="center"/>
          </w:tcPr>
          <w:p w14:paraId="0D871683">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无油污，部件控制灵敏，操作正常</w:t>
            </w:r>
          </w:p>
        </w:tc>
      </w:tr>
      <w:tr w14:paraId="37FF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539" w:type="dxa"/>
            <w:shd w:val="clear" w:color="auto" w:fill="auto"/>
            <w:noWrap/>
            <w:vAlign w:val="center"/>
          </w:tcPr>
          <w:p w14:paraId="00800F64">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w:t>
            </w:r>
            <w:r>
              <w:rPr>
                <w:rFonts w:hint="eastAsia" w:ascii="宋体" w:hAnsi="宋体" w:eastAsia="宋体" w:cs="宋体"/>
                <w:color w:val="000000"/>
                <w:kern w:val="0"/>
                <w:sz w:val="22"/>
                <w:szCs w:val="22"/>
                <w:lang w:val="en-US" w:eastAsia="zh-CN"/>
              </w:rPr>
              <w:t>5</w:t>
            </w:r>
          </w:p>
        </w:tc>
        <w:tc>
          <w:tcPr>
            <w:tcW w:w="1009" w:type="dxa"/>
            <w:vMerge w:val="continue"/>
            <w:shd w:val="clear" w:color="auto" w:fill="auto"/>
            <w:vAlign w:val="center"/>
          </w:tcPr>
          <w:p w14:paraId="2CD11B5E">
            <w:pPr>
              <w:widowControl/>
              <w:jc w:val="left"/>
              <w:rPr>
                <w:rFonts w:ascii="宋体" w:hAnsi="宋体" w:eastAsia="宋体" w:cs="宋体"/>
                <w:color w:val="000000"/>
                <w:kern w:val="0"/>
                <w:sz w:val="22"/>
                <w:szCs w:val="22"/>
              </w:rPr>
            </w:pPr>
          </w:p>
        </w:tc>
        <w:tc>
          <w:tcPr>
            <w:tcW w:w="1867" w:type="dxa"/>
            <w:shd w:val="clear" w:color="auto" w:fill="auto"/>
            <w:noWrap/>
            <w:vAlign w:val="center"/>
          </w:tcPr>
          <w:p w14:paraId="1D832F75">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eastAsia="zh-CN"/>
              </w:rPr>
              <w:t>内外壁及隔油板</w:t>
            </w:r>
          </w:p>
        </w:tc>
        <w:tc>
          <w:tcPr>
            <w:tcW w:w="4139" w:type="dxa"/>
            <w:shd w:val="clear" w:color="auto" w:fill="auto"/>
            <w:vAlign w:val="center"/>
          </w:tcPr>
          <w:p w14:paraId="56C2D632">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高压枪喷打清洗剂、人工铲除或擦拭，消毒擦拭，清水全面清洗，擦干后擦拭保护膜</w:t>
            </w:r>
          </w:p>
        </w:tc>
        <w:tc>
          <w:tcPr>
            <w:tcW w:w="3686" w:type="dxa"/>
            <w:shd w:val="clear" w:color="auto" w:fill="auto"/>
            <w:vAlign w:val="center"/>
          </w:tcPr>
          <w:p w14:paraId="317FDFAB">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壁面光亮整洁无油污，清洁度9</w:t>
            </w:r>
            <w:r>
              <w:rPr>
                <w:rFonts w:hint="eastAsia" w:ascii="宋体" w:hAnsi="宋体" w:eastAsia="宋体" w:cs="宋体"/>
                <w:color w:val="000000"/>
                <w:kern w:val="0"/>
                <w:sz w:val="22"/>
                <w:szCs w:val="22"/>
                <w:lang w:val="en-US" w:eastAsia="zh-CN"/>
              </w:rPr>
              <w:t>5</w:t>
            </w:r>
            <w:r>
              <w:rPr>
                <w:rFonts w:hint="eastAsia" w:ascii="宋体" w:hAnsi="宋体" w:eastAsia="宋体" w:cs="宋体"/>
                <w:color w:val="000000"/>
                <w:kern w:val="0"/>
                <w:sz w:val="22"/>
                <w:szCs w:val="22"/>
              </w:rPr>
              <w:t>%以上</w:t>
            </w:r>
          </w:p>
        </w:tc>
      </w:tr>
      <w:tr w14:paraId="55DA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539" w:type="dxa"/>
            <w:shd w:val="clear" w:color="auto" w:fill="auto"/>
            <w:noWrap/>
            <w:vAlign w:val="center"/>
          </w:tcPr>
          <w:p w14:paraId="67534B64">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w:t>
            </w:r>
            <w:r>
              <w:rPr>
                <w:rFonts w:hint="eastAsia" w:ascii="宋体" w:hAnsi="宋体" w:eastAsia="宋体" w:cs="宋体"/>
                <w:color w:val="000000"/>
                <w:kern w:val="0"/>
                <w:sz w:val="22"/>
                <w:szCs w:val="22"/>
                <w:lang w:val="en-US" w:eastAsia="zh-CN"/>
              </w:rPr>
              <w:t>6</w:t>
            </w:r>
          </w:p>
        </w:tc>
        <w:tc>
          <w:tcPr>
            <w:tcW w:w="1009" w:type="dxa"/>
            <w:vMerge w:val="restart"/>
            <w:shd w:val="clear" w:color="auto" w:fill="auto"/>
            <w:noWrap/>
            <w:vAlign w:val="center"/>
          </w:tcPr>
          <w:p w14:paraId="15DF3220">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排油烟管道</w:t>
            </w:r>
            <w:r>
              <w:rPr>
                <w:rFonts w:hint="eastAsia" w:ascii="宋体" w:hAnsi="宋体" w:eastAsia="宋体" w:cs="宋体"/>
                <w:color w:val="000000"/>
                <w:kern w:val="0"/>
                <w:sz w:val="22"/>
                <w:szCs w:val="22"/>
                <w:lang w:eastAsia="zh-CN"/>
              </w:rPr>
              <w:t>（横竖）</w:t>
            </w:r>
          </w:p>
        </w:tc>
        <w:tc>
          <w:tcPr>
            <w:tcW w:w="1867" w:type="dxa"/>
            <w:shd w:val="clear" w:color="auto" w:fill="auto"/>
            <w:noWrap/>
            <w:vAlign w:val="center"/>
          </w:tcPr>
          <w:p w14:paraId="5F92FD33">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内壁</w:t>
            </w:r>
          </w:p>
        </w:tc>
        <w:tc>
          <w:tcPr>
            <w:tcW w:w="4139" w:type="dxa"/>
            <w:shd w:val="clear" w:color="auto" w:fill="auto"/>
            <w:vAlign w:val="center"/>
          </w:tcPr>
          <w:p w14:paraId="73A21D60">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人工+机器相结合，高温高压喷打清洗剂、铲刮、擦拭，或机器人高压射流清洗与专用设备吸油等</w:t>
            </w:r>
          </w:p>
        </w:tc>
        <w:tc>
          <w:tcPr>
            <w:tcW w:w="3686" w:type="dxa"/>
            <w:shd w:val="clear" w:color="auto" w:fill="auto"/>
            <w:vAlign w:val="center"/>
          </w:tcPr>
          <w:p w14:paraId="37E131B0">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内壁90%以上可见原色，无块状干涸油污残留</w:t>
            </w:r>
          </w:p>
        </w:tc>
      </w:tr>
      <w:tr w14:paraId="4FFE9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 w:hRule="atLeast"/>
          <w:jc w:val="center"/>
        </w:trPr>
        <w:tc>
          <w:tcPr>
            <w:tcW w:w="539" w:type="dxa"/>
            <w:shd w:val="clear" w:color="auto" w:fill="auto"/>
            <w:noWrap/>
            <w:vAlign w:val="center"/>
          </w:tcPr>
          <w:p w14:paraId="1155F1E2">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w:t>
            </w:r>
            <w:r>
              <w:rPr>
                <w:rFonts w:hint="eastAsia" w:ascii="宋体" w:hAnsi="宋体" w:eastAsia="宋体" w:cs="宋体"/>
                <w:color w:val="000000"/>
                <w:kern w:val="0"/>
                <w:sz w:val="22"/>
                <w:szCs w:val="22"/>
                <w:lang w:val="en-US" w:eastAsia="zh-CN"/>
              </w:rPr>
              <w:t>7</w:t>
            </w:r>
          </w:p>
        </w:tc>
        <w:tc>
          <w:tcPr>
            <w:tcW w:w="1009" w:type="dxa"/>
            <w:vMerge w:val="continue"/>
            <w:shd w:val="clear" w:color="auto" w:fill="auto"/>
            <w:vAlign w:val="center"/>
          </w:tcPr>
          <w:p w14:paraId="16C6D27F">
            <w:pPr>
              <w:widowControl/>
              <w:jc w:val="left"/>
              <w:rPr>
                <w:rFonts w:ascii="宋体" w:hAnsi="宋体" w:eastAsia="宋体" w:cs="宋体"/>
                <w:color w:val="000000"/>
                <w:kern w:val="0"/>
                <w:sz w:val="22"/>
                <w:szCs w:val="22"/>
              </w:rPr>
            </w:pPr>
          </w:p>
        </w:tc>
        <w:tc>
          <w:tcPr>
            <w:tcW w:w="1867" w:type="dxa"/>
            <w:shd w:val="clear" w:color="auto" w:fill="auto"/>
            <w:noWrap/>
            <w:vAlign w:val="center"/>
          </w:tcPr>
          <w:p w14:paraId="3723D159">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连接口</w:t>
            </w:r>
          </w:p>
        </w:tc>
        <w:tc>
          <w:tcPr>
            <w:tcW w:w="4139" w:type="dxa"/>
            <w:shd w:val="clear" w:color="auto" w:fill="auto"/>
            <w:vAlign w:val="center"/>
          </w:tcPr>
          <w:p w14:paraId="5B8F58BA">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铲刮清理、密封检查及修复</w:t>
            </w:r>
          </w:p>
        </w:tc>
        <w:tc>
          <w:tcPr>
            <w:tcW w:w="3686" w:type="dxa"/>
            <w:shd w:val="clear" w:color="auto" w:fill="auto"/>
            <w:vAlign w:val="center"/>
          </w:tcPr>
          <w:p w14:paraId="6B100179">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无油垢，无渗漏</w:t>
            </w:r>
          </w:p>
        </w:tc>
      </w:tr>
      <w:tr w14:paraId="7874A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39" w:type="dxa"/>
            <w:shd w:val="clear" w:color="auto" w:fill="auto"/>
            <w:noWrap/>
            <w:vAlign w:val="center"/>
          </w:tcPr>
          <w:p w14:paraId="46C698FD">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w:t>
            </w:r>
            <w:r>
              <w:rPr>
                <w:rFonts w:hint="eastAsia" w:ascii="宋体" w:hAnsi="宋体" w:eastAsia="宋体" w:cs="宋体"/>
                <w:color w:val="000000"/>
                <w:kern w:val="0"/>
                <w:sz w:val="22"/>
                <w:szCs w:val="22"/>
                <w:lang w:val="en-US" w:eastAsia="zh-CN"/>
              </w:rPr>
              <w:t>8</w:t>
            </w:r>
          </w:p>
        </w:tc>
        <w:tc>
          <w:tcPr>
            <w:tcW w:w="1009" w:type="dxa"/>
            <w:vMerge w:val="continue"/>
            <w:shd w:val="clear" w:color="auto" w:fill="auto"/>
            <w:vAlign w:val="center"/>
          </w:tcPr>
          <w:p w14:paraId="392528BA">
            <w:pPr>
              <w:widowControl/>
              <w:jc w:val="left"/>
              <w:rPr>
                <w:rFonts w:ascii="宋体" w:hAnsi="宋体" w:eastAsia="宋体" w:cs="宋体"/>
                <w:color w:val="000000"/>
                <w:kern w:val="0"/>
                <w:sz w:val="22"/>
                <w:szCs w:val="22"/>
              </w:rPr>
            </w:pPr>
          </w:p>
        </w:tc>
        <w:tc>
          <w:tcPr>
            <w:tcW w:w="1867" w:type="dxa"/>
            <w:shd w:val="clear" w:color="auto" w:fill="auto"/>
            <w:noWrap/>
            <w:vAlign w:val="center"/>
          </w:tcPr>
          <w:p w14:paraId="7AB8387C">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软连接</w:t>
            </w:r>
          </w:p>
        </w:tc>
        <w:tc>
          <w:tcPr>
            <w:tcW w:w="4139" w:type="dxa"/>
            <w:shd w:val="clear" w:color="auto" w:fill="auto"/>
            <w:vAlign w:val="center"/>
          </w:tcPr>
          <w:p w14:paraId="7F4CAA55">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浸泡清洗</w:t>
            </w:r>
          </w:p>
        </w:tc>
        <w:tc>
          <w:tcPr>
            <w:tcW w:w="3686" w:type="dxa"/>
            <w:shd w:val="clear" w:color="auto" w:fill="auto"/>
            <w:vAlign w:val="center"/>
          </w:tcPr>
          <w:p w14:paraId="5D327975">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无油垢，连接完好</w:t>
            </w:r>
          </w:p>
        </w:tc>
      </w:tr>
      <w:tr w14:paraId="55A9F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jc w:val="center"/>
        </w:trPr>
        <w:tc>
          <w:tcPr>
            <w:tcW w:w="539" w:type="dxa"/>
            <w:shd w:val="clear" w:color="auto" w:fill="auto"/>
            <w:noWrap/>
            <w:vAlign w:val="center"/>
          </w:tcPr>
          <w:p w14:paraId="19285F81">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w:t>
            </w:r>
            <w:r>
              <w:rPr>
                <w:rFonts w:hint="eastAsia" w:ascii="宋体" w:hAnsi="宋体" w:eastAsia="宋体" w:cs="宋体"/>
                <w:color w:val="000000"/>
                <w:kern w:val="0"/>
                <w:sz w:val="22"/>
                <w:szCs w:val="22"/>
                <w:lang w:val="en-US" w:eastAsia="zh-CN"/>
              </w:rPr>
              <w:t>9</w:t>
            </w:r>
          </w:p>
        </w:tc>
        <w:tc>
          <w:tcPr>
            <w:tcW w:w="1009" w:type="dxa"/>
            <w:vMerge w:val="restart"/>
            <w:shd w:val="clear" w:color="auto" w:fill="auto"/>
            <w:noWrap/>
            <w:vAlign w:val="center"/>
          </w:tcPr>
          <w:p w14:paraId="155C70AB">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eastAsia="zh-CN"/>
              </w:rPr>
              <w:t>油烟</w:t>
            </w:r>
            <w:r>
              <w:rPr>
                <w:rFonts w:hint="eastAsia" w:ascii="宋体" w:hAnsi="宋体" w:eastAsia="宋体" w:cs="宋体"/>
                <w:color w:val="000000"/>
                <w:kern w:val="0"/>
                <w:sz w:val="22"/>
                <w:szCs w:val="22"/>
              </w:rPr>
              <w:t>净化器</w:t>
            </w:r>
          </w:p>
        </w:tc>
        <w:tc>
          <w:tcPr>
            <w:tcW w:w="1867" w:type="dxa"/>
            <w:shd w:val="clear" w:color="auto" w:fill="auto"/>
            <w:noWrap/>
            <w:vAlign w:val="center"/>
          </w:tcPr>
          <w:p w14:paraId="5C7F4716">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滤网</w:t>
            </w:r>
          </w:p>
        </w:tc>
        <w:tc>
          <w:tcPr>
            <w:tcW w:w="4139" w:type="dxa"/>
            <w:shd w:val="clear" w:color="auto" w:fill="auto"/>
            <w:vAlign w:val="center"/>
          </w:tcPr>
          <w:p w14:paraId="43210EF9">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浸泡清洗</w:t>
            </w:r>
          </w:p>
        </w:tc>
        <w:tc>
          <w:tcPr>
            <w:tcW w:w="3686" w:type="dxa"/>
            <w:shd w:val="clear" w:color="auto" w:fill="auto"/>
            <w:vAlign w:val="center"/>
          </w:tcPr>
          <w:p w14:paraId="2AA2730F">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干净无油垢，滤网完好、透气</w:t>
            </w:r>
          </w:p>
        </w:tc>
      </w:tr>
      <w:tr w14:paraId="60D7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jc w:val="center"/>
        </w:trPr>
        <w:tc>
          <w:tcPr>
            <w:tcW w:w="539" w:type="dxa"/>
            <w:shd w:val="clear" w:color="auto" w:fill="auto"/>
            <w:noWrap/>
            <w:vAlign w:val="center"/>
          </w:tcPr>
          <w:p w14:paraId="3BFEDCAC">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20</w:t>
            </w:r>
          </w:p>
        </w:tc>
        <w:tc>
          <w:tcPr>
            <w:tcW w:w="1009" w:type="dxa"/>
            <w:vMerge w:val="continue"/>
            <w:shd w:val="clear" w:color="auto" w:fill="auto"/>
            <w:vAlign w:val="center"/>
          </w:tcPr>
          <w:p w14:paraId="1F0381A6">
            <w:pPr>
              <w:widowControl/>
              <w:jc w:val="left"/>
              <w:rPr>
                <w:rFonts w:ascii="宋体" w:hAnsi="宋体" w:eastAsia="宋体" w:cs="宋体"/>
                <w:color w:val="000000"/>
                <w:kern w:val="0"/>
                <w:sz w:val="22"/>
                <w:szCs w:val="22"/>
              </w:rPr>
            </w:pPr>
          </w:p>
        </w:tc>
        <w:tc>
          <w:tcPr>
            <w:tcW w:w="1867" w:type="dxa"/>
            <w:shd w:val="clear" w:color="auto" w:fill="auto"/>
            <w:noWrap/>
            <w:vAlign w:val="center"/>
          </w:tcPr>
          <w:p w14:paraId="32C49EC2">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机箱内壁</w:t>
            </w:r>
          </w:p>
        </w:tc>
        <w:tc>
          <w:tcPr>
            <w:tcW w:w="4139" w:type="dxa"/>
            <w:shd w:val="clear" w:color="auto" w:fill="auto"/>
            <w:vAlign w:val="center"/>
          </w:tcPr>
          <w:p w14:paraId="09BD4832">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高压枪喷打清洗剂、人工铲刮或擦拭</w:t>
            </w:r>
          </w:p>
        </w:tc>
        <w:tc>
          <w:tcPr>
            <w:tcW w:w="3686" w:type="dxa"/>
            <w:shd w:val="clear" w:color="auto" w:fill="auto"/>
            <w:vAlign w:val="center"/>
          </w:tcPr>
          <w:p w14:paraId="556F5241">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内壁90%以上可见原色，无块状干涸油污残留</w:t>
            </w:r>
          </w:p>
        </w:tc>
      </w:tr>
      <w:tr w14:paraId="322C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39" w:type="dxa"/>
            <w:shd w:val="clear" w:color="auto" w:fill="auto"/>
            <w:noWrap/>
            <w:vAlign w:val="center"/>
          </w:tcPr>
          <w:p w14:paraId="30482058">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21</w:t>
            </w:r>
          </w:p>
        </w:tc>
        <w:tc>
          <w:tcPr>
            <w:tcW w:w="1009" w:type="dxa"/>
            <w:vMerge w:val="continue"/>
            <w:shd w:val="clear" w:color="auto" w:fill="auto"/>
            <w:vAlign w:val="center"/>
          </w:tcPr>
          <w:p w14:paraId="2CAEF990">
            <w:pPr>
              <w:widowControl/>
              <w:jc w:val="left"/>
              <w:rPr>
                <w:rFonts w:ascii="宋体" w:hAnsi="宋体" w:eastAsia="宋体" w:cs="宋体"/>
                <w:color w:val="000000"/>
                <w:kern w:val="0"/>
                <w:sz w:val="22"/>
                <w:szCs w:val="22"/>
              </w:rPr>
            </w:pPr>
          </w:p>
        </w:tc>
        <w:tc>
          <w:tcPr>
            <w:tcW w:w="1867" w:type="dxa"/>
            <w:shd w:val="clear" w:color="auto" w:fill="auto"/>
            <w:noWrap/>
            <w:vAlign w:val="center"/>
          </w:tcPr>
          <w:p w14:paraId="752491E5">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沉油槽/排油阀</w:t>
            </w:r>
          </w:p>
        </w:tc>
        <w:tc>
          <w:tcPr>
            <w:tcW w:w="4139" w:type="dxa"/>
            <w:shd w:val="clear" w:color="auto" w:fill="auto"/>
            <w:vAlign w:val="center"/>
          </w:tcPr>
          <w:p w14:paraId="25875D64">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高压枪喷打清洗剂、铲刮或擦拭</w:t>
            </w:r>
          </w:p>
        </w:tc>
        <w:tc>
          <w:tcPr>
            <w:tcW w:w="3686" w:type="dxa"/>
            <w:shd w:val="clear" w:color="auto" w:fill="auto"/>
            <w:vAlign w:val="center"/>
          </w:tcPr>
          <w:p w14:paraId="735A8420">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光亮整洁无油污、无存油</w:t>
            </w:r>
          </w:p>
        </w:tc>
      </w:tr>
      <w:tr w14:paraId="4D3BE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539" w:type="dxa"/>
            <w:shd w:val="clear" w:color="auto" w:fill="auto"/>
            <w:noWrap/>
            <w:vAlign w:val="center"/>
          </w:tcPr>
          <w:p w14:paraId="6E83DC75">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22</w:t>
            </w:r>
          </w:p>
        </w:tc>
        <w:tc>
          <w:tcPr>
            <w:tcW w:w="1009" w:type="dxa"/>
            <w:vMerge w:val="continue"/>
            <w:shd w:val="clear" w:color="auto" w:fill="auto"/>
            <w:vAlign w:val="center"/>
          </w:tcPr>
          <w:p w14:paraId="2E6EA788">
            <w:pPr>
              <w:widowControl/>
              <w:jc w:val="left"/>
              <w:rPr>
                <w:rFonts w:ascii="宋体" w:hAnsi="宋体" w:eastAsia="宋体" w:cs="宋体"/>
                <w:color w:val="000000"/>
                <w:kern w:val="0"/>
                <w:sz w:val="22"/>
                <w:szCs w:val="22"/>
              </w:rPr>
            </w:pPr>
          </w:p>
        </w:tc>
        <w:tc>
          <w:tcPr>
            <w:tcW w:w="1867" w:type="dxa"/>
            <w:shd w:val="clear" w:color="auto" w:fill="auto"/>
            <w:noWrap/>
            <w:vAlign w:val="center"/>
          </w:tcPr>
          <w:p w14:paraId="7B0ABB40">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净化器风机</w:t>
            </w:r>
          </w:p>
        </w:tc>
        <w:tc>
          <w:tcPr>
            <w:tcW w:w="4139" w:type="dxa"/>
            <w:shd w:val="clear" w:color="auto" w:fill="auto"/>
            <w:vAlign w:val="center"/>
          </w:tcPr>
          <w:p w14:paraId="415977E6">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人工铲刮或擦拭、传动部件润滑保养</w:t>
            </w:r>
          </w:p>
        </w:tc>
        <w:tc>
          <w:tcPr>
            <w:tcW w:w="3686" w:type="dxa"/>
            <w:shd w:val="clear" w:color="auto" w:fill="auto"/>
            <w:vAlign w:val="center"/>
          </w:tcPr>
          <w:p w14:paraId="414D9798">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叶轮和电机表面90%以上能见底漆，电机底部无沉淀的油污，运行平稳无异响</w:t>
            </w:r>
          </w:p>
        </w:tc>
      </w:tr>
      <w:tr w14:paraId="0331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jc w:val="center"/>
        </w:trPr>
        <w:tc>
          <w:tcPr>
            <w:tcW w:w="539" w:type="dxa"/>
            <w:shd w:val="clear" w:color="auto" w:fill="auto"/>
            <w:noWrap/>
            <w:vAlign w:val="center"/>
          </w:tcPr>
          <w:p w14:paraId="4E6B5A4E">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23</w:t>
            </w:r>
          </w:p>
        </w:tc>
        <w:tc>
          <w:tcPr>
            <w:tcW w:w="1009" w:type="dxa"/>
            <w:vMerge w:val="restart"/>
            <w:shd w:val="clear" w:color="auto" w:fill="auto"/>
            <w:noWrap/>
            <w:vAlign w:val="center"/>
          </w:tcPr>
          <w:p w14:paraId="74C71CDD">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排油烟风机</w:t>
            </w:r>
          </w:p>
        </w:tc>
        <w:tc>
          <w:tcPr>
            <w:tcW w:w="1867" w:type="dxa"/>
            <w:shd w:val="clear" w:color="auto" w:fill="auto"/>
            <w:noWrap/>
            <w:vAlign w:val="center"/>
          </w:tcPr>
          <w:p w14:paraId="363DDF17">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机箱内部</w:t>
            </w:r>
          </w:p>
        </w:tc>
        <w:tc>
          <w:tcPr>
            <w:tcW w:w="4139" w:type="dxa"/>
            <w:shd w:val="clear" w:color="auto" w:fill="auto"/>
            <w:vAlign w:val="center"/>
          </w:tcPr>
          <w:p w14:paraId="314283E6">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高压枪喷打清洗剂、人工铲刮或擦拭</w:t>
            </w:r>
          </w:p>
        </w:tc>
        <w:tc>
          <w:tcPr>
            <w:tcW w:w="3686" w:type="dxa"/>
            <w:shd w:val="clear" w:color="auto" w:fill="auto"/>
            <w:vAlign w:val="center"/>
          </w:tcPr>
          <w:p w14:paraId="4FAA8467">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内壁90%以上可见原色，无块状干涸油污残留</w:t>
            </w:r>
          </w:p>
        </w:tc>
      </w:tr>
      <w:tr w14:paraId="39142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jc w:val="center"/>
        </w:trPr>
        <w:tc>
          <w:tcPr>
            <w:tcW w:w="539" w:type="dxa"/>
            <w:shd w:val="clear" w:color="auto" w:fill="auto"/>
            <w:noWrap/>
            <w:vAlign w:val="center"/>
          </w:tcPr>
          <w:p w14:paraId="0487F1B3">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24</w:t>
            </w:r>
          </w:p>
        </w:tc>
        <w:tc>
          <w:tcPr>
            <w:tcW w:w="1009" w:type="dxa"/>
            <w:vMerge w:val="continue"/>
            <w:shd w:val="clear" w:color="auto" w:fill="auto"/>
            <w:vAlign w:val="center"/>
          </w:tcPr>
          <w:p w14:paraId="1792DF7F">
            <w:pPr>
              <w:widowControl/>
              <w:jc w:val="left"/>
              <w:rPr>
                <w:rFonts w:ascii="宋体" w:hAnsi="宋体" w:eastAsia="宋体" w:cs="宋体"/>
                <w:color w:val="000000"/>
                <w:kern w:val="0"/>
                <w:sz w:val="22"/>
                <w:szCs w:val="22"/>
              </w:rPr>
            </w:pPr>
          </w:p>
        </w:tc>
        <w:tc>
          <w:tcPr>
            <w:tcW w:w="1867" w:type="dxa"/>
            <w:shd w:val="clear" w:color="auto" w:fill="auto"/>
            <w:noWrap/>
            <w:vAlign w:val="center"/>
          </w:tcPr>
          <w:p w14:paraId="464DF2FF">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eastAsia="zh-CN"/>
              </w:rPr>
              <w:t>电</w:t>
            </w:r>
            <w:r>
              <w:rPr>
                <w:rFonts w:hint="eastAsia" w:ascii="宋体" w:hAnsi="宋体" w:eastAsia="宋体" w:cs="宋体"/>
                <w:color w:val="000000"/>
                <w:kern w:val="0"/>
                <w:sz w:val="22"/>
                <w:szCs w:val="22"/>
              </w:rPr>
              <w:t>机</w:t>
            </w:r>
          </w:p>
        </w:tc>
        <w:tc>
          <w:tcPr>
            <w:tcW w:w="4139" w:type="dxa"/>
            <w:shd w:val="clear" w:color="auto" w:fill="auto"/>
            <w:vAlign w:val="center"/>
          </w:tcPr>
          <w:p w14:paraId="3A632545">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lang w:eastAsia="zh-CN"/>
              </w:rPr>
              <w:t>表面</w:t>
            </w:r>
            <w:r>
              <w:rPr>
                <w:rFonts w:hint="eastAsia" w:ascii="宋体" w:hAnsi="宋体" w:eastAsia="宋体" w:cs="宋体"/>
                <w:color w:val="000000"/>
                <w:kern w:val="0"/>
                <w:sz w:val="22"/>
                <w:szCs w:val="22"/>
              </w:rPr>
              <w:t>擦拭、传动部件润滑保养</w:t>
            </w:r>
          </w:p>
        </w:tc>
        <w:tc>
          <w:tcPr>
            <w:tcW w:w="3686" w:type="dxa"/>
            <w:shd w:val="clear" w:color="auto" w:fill="auto"/>
            <w:vAlign w:val="center"/>
          </w:tcPr>
          <w:p w14:paraId="73A8CB81">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电机底部无沉淀的油污，运行平稳无异响</w:t>
            </w:r>
          </w:p>
        </w:tc>
      </w:tr>
      <w:tr w14:paraId="1E7C3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539" w:type="dxa"/>
            <w:shd w:val="clear" w:color="auto" w:fill="auto"/>
            <w:noWrap/>
            <w:vAlign w:val="center"/>
          </w:tcPr>
          <w:p w14:paraId="44E59B79">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25</w:t>
            </w:r>
          </w:p>
        </w:tc>
        <w:tc>
          <w:tcPr>
            <w:tcW w:w="1009" w:type="dxa"/>
            <w:vMerge w:val="continue"/>
            <w:shd w:val="clear" w:color="auto" w:fill="auto"/>
            <w:vAlign w:val="center"/>
          </w:tcPr>
          <w:p w14:paraId="37BBAF1D">
            <w:pPr>
              <w:widowControl/>
              <w:jc w:val="left"/>
              <w:rPr>
                <w:rFonts w:ascii="宋体" w:hAnsi="宋体" w:eastAsia="宋体" w:cs="宋体"/>
                <w:color w:val="000000"/>
                <w:kern w:val="0"/>
                <w:sz w:val="22"/>
                <w:szCs w:val="22"/>
              </w:rPr>
            </w:pPr>
          </w:p>
        </w:tc>
        <w:tc>
          <w:tcPr>
            <w:tcW w:w="1867" w:type="dxa"/>
            <w:shd w:val="clear" w:color="auto" w:fill="auto"/>
            <w:noWrap/>
            <w:vAlign w:val="center"/>
          </w:tcPr>
          <w:p w14:paraId="083F4DA0">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风轮</w:t>
            </w:r>
          </w:p>
        </w:tc>
        <w:tc>
          <w:tcPr>
            <w:tcW w:w="4139" w:type="dxa"/>
            <w:shd w:val="clear" w:color="auto" w:fill="auto"/>
            <w:vAlign w:val="center"/>
          </w:tcPr>
          <w:p w14:paraId="53376EBF">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在不解体机器的情况下，打开机盖或取掉软连接后施工</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可采用蒸汽法</w:t>
            </w:r>
          </w:p>
        </w:tc>
        <w:tc>
          <w:tcPr>
            <w:tcW w:w="3686" w:type="dxa"/>
            <w:shd w:val="clear" w:color="auto" w:fill="auto"/>
            <w:vAlign w:val="center"/>
          </w:tcPr>
          <w:p w14:paraId="72ED14C6">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叶轮清理表面90%以上能见底漆，涡轮不能偏心，要保证风机正常运转，达到9</w:t>
            </w:r>
            <w:r>
              <w:rPr>
                <w:rFonts w:hint="eastAsia" w:ascii="宋体" w:hAnsi="宋体" w:eastAsia="宋体" w:cs="宋体"/>
                <w:color w:val="000000"/>
                <w:kern w:val="0"/>
                <w:sz w:val="22"/>
                <w:szCs w:val="22"/>
                <w:lang w:val="en-US" w:eastAsia="zh-CN"/>
              </w:rPr>
              <w:t>0</w:t>
            </w:r>
            <w:r>
              <w:rPr>
                <w:rFonts w:hint="eastAsia" w:ascii="宋体" w:hAnsi="宋体" w:eastAsia="宋体" w:cs="宋体"/>
                <w:color w:val="000000"/>
                <w:kern w:val="0"/>
                <w:sz w:val="22"/>
                <w:szCs w:val="22"/>
              </w:rPr>
              <w:t>%以上洁净。</w:t>
            </w:r>
          </w:p>
        </w:tc>
      </w:tr>
      <w:tr w14:paraId="3DA7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jc w:val="center"/>
        </w:trPr>
        <w:tc>
          <w:tcPr>
            <w:tcW w:w="539" w:type="dxa"/>
            <w:shd w:val="clear" w:color="auto" w:fill="auto"/>
            <w:noWrap/>
            <w:vAlign w:val="center"/>
          </w:tcPr>
          <w:p w14:paraId="54B61CF6">
            <w:pPr>
              <w:widowControl/>
              <w:jc w:val="center"/>
              <w:rPr>
                <w:rFonts w:hint="eastAsia" w:ascii="宋体" w:hAnsi="宋体" w:eastAsia="宋体" w:cs="宋体"/>
                <w:color w:val="000000"/>
                <w:kern w:val="0"/>
                <w:sz w:val="22"/>
                <w:szCs w:val="22"/>
                <w:lang w:val="en-US" w:eastAsia="zh-CN"/>
              </w:rPr>
            </w:pPr>
          </w:p>
        </w:tc>
        <w:tc>
          <w:tcPr>
            <w:tcW w:w="1009" w:type="dxa"/>
            <w:shd w:val="clear" w:color="auto" w:fill="auto"/>
            <w:vAlign w:val="center"/>
          </w:tcPr>
          <w:p w14:paraId="072D1523">
            <w:pPr>
              <w:widowControl/>
              <w:jc w:val="left"/>
              <w:rPr>
                <w:rFonts w:ascii="宋体" w:hAnsi="宋体" w:eastAsia="宋体" w:cs="宋体"/>
                <w:color w:val="000000"/>
                <w:kern w:val="0"/>
                <w:sz w:val="22"/>
                <w:szCs w:val="22"/>
              </w:rPr>
            </w:pPr>
            <w:r>
              <w:rPr>
                <w:rFonts w:hint="eastAsia" w:ascii="宋体" w:hAnsi="宋体" w:eastAsia="宋体" w:cs="宋体"/>
                <w:sz w:val="22"/>
                <w:szCs w:val="22"/>
                <w:lang w:val="en-US" w:eastAsia="zh-CN"/>
              </w:rPr>
              <w:t>隔油板</w:t>
            </w:r>
          </w:p>
        </w:tc>
        <w:tc>
          <w:tcPr>
            <w:tcW w:w="1867" w:type="dxa"/>
            <w:shd w:val="clear" w:color="auto" w:fill="auto"/>
            <w:noWrap/>
            <w:vAlign w:val="center"/>
          </w:tcPr>
          <w:p w14:paraId="649B6C32">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sz w:val="22"/>
                <w:szCs w:val="22"/>
                <w:lang w:val="en-US" w:eastAsia="zh-CN"/>
              </w:rPr>
              <w:t>隔油板</w:t>
            </w:r>
          </w:p>
        </w:tc>
        <w:tc>
          <w:tcPr>
            <w:tcW w:w="4139" w:type="dxa"/>
            <w:shd w:val="clear" w:color="auto" w:fill="auto"/>
            <w:vAlign w:val="center"/>
          </w:tcPr>
          <w:p w14:paraId="53590A44">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放入专用容器中，用油烟清洗剂进行专门的洗涤，再用细砂打磨，最后用清水冲洗</w:t>
            </w:r>
          </w:p>
        </w:tc>
        <w:tc>
          <w:tcPr>
            <w:tcW w:w="3686" w:type="dxa"/>
            <w:shd w:val="clear" w:color="auto" w:fill="auto"/>
            <w:vAlign w:val="center"/>
          </w:tcPr>
          <w:p w14:paraId="05E2FF72">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eastAsia="zh-CN"/>
              </w:rPr>
              <w:t>表面</w:t>
            </w:r>
            <w:r>
              <w:rPr>
                <w:rFonts w:hint="eastAsia" w:ascii="宋体" w:hAnsi="宋体" w:eastAsia="宋体" w:cs="宋体"/>
                <w:color w:val="000000"/>
                <w:kern w:val="0"/>
                <w:sz w:val="22"/>
                <w:szCs w:val="22"/>
              </w:rPr>
              <w:t>达到95%以上光洁</w:t>
            </w:r>
          </w:p>
        </w:tc>
      </w:tr>
      <w:tr w14:paraId="24EFA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99" w:hRule="atLeast"/>
          <w:jc w:val="center"/>
        </w:trPr>
        <w:tc>
          <w:tcPr>
            <w:tcW w:w="11240" w:type="dxa"/>
            <w:gridSpan w:val="5"/>
            <w:shd w:val="clear" w:color="auto" w:fill="auto"/>
          </w:tcPr>
          <w:p w14:paraId="42BA6F62">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备注：</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1、清洗药剂严禁使用工业碱（PH大于12的碱性药剂），避免造成设备、管道腐蚀、损坏。</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2、清洗过程中如发现有易损部件（软连接、净化器滤网等）损坏，需进行更换。</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3、部件拆卸清洗后应恢复到原来所在位置，功能型部件应须保有原有功能。</w:t>
            </w:r>
            <w:r>
              <w:rPr>
                <w:rFonts w:hint="eastAsia" w:ascii="宋体" w:hAnsi="宋体" w:eastAsia="宋体" w:cs="宋体"/>
                <w:color w:val="000000"/>
                <w:kern w:val="0"/>
                <w:sz w:val="22"/>
                <w:szCs w:val="22"/>
              </w:rPr>
              <w:br w:type="textWrapping"/>
            </w:r>
            <w:r>
              <w:rPr>
                <w:rFonts w:ascii="宋体" w:hAnsi="宋体" w:eastAsia="宋体" w:cs="宋体"/>
                <w:color w:val="000000"/>
                <w:kern w:val="0"/>
                <w:sz w:val="22"/>
                <w:szCs w:val="22"/>
              </w:rPr>
              <w:t>4</w:t>
            </w:r>
            <w:r>
              <w:rPr>
                <w:rFonts w:hint="eastAsia" w:ascii="宋体" w:hAnsi="宋体" w:eastAsia="宋体" w:cs="宋体"/>
                <w:color w:val="000000"/>
                <w:kern w:val="0"/>
                <w:sz w:val="22"/>
                <w:szCs w:val="22"/>
              </w:rPr>
              <w:t>、清洗作业时应严格遵循厨房内食品安全原则，在清洗过程中应对作业区做好隔离、覆盖、清除污物封装等有效控制措施，防止厨房排油烟系统内的污染物散布到非清洗工作区域。</w:t>
            </w:r>
          </w:p>
        </w:tc>
      </w:tr>
    </w:tbl>
    <w:p w14:paraId="7CD575BC">
      <w:pPr>
        <w:numPr>
          <w:ilvl w:val="0"/>
          <w:numId w:val="3"/>
        </w:numPr>
        <w:ind w:firstLine="600" w:firstLineChars="200"/>
        <w:rPr>
          <w:rFonts w:hint="eastAsia" w:ascii="仿宋" w:hAnsi="仿宋" w:eastAsia="仿宋" w:cs="仿宋"/>
          <w:b w:val="0"/>
          <w:bCs w:val="0"/>
          <w:color w:val="auto"/>
          <w:kern w:val="0"/>
          <w:sz w:val="30"/>
          <w:szCs w:val="30"/>
          <w:lang w:val="en-US" w:eastAsia="zh-CN"/>
        </w:rPr>
      </w:pPr>
      <w:r>
        <w:rPr>
          <w:rFonts w:hint="eastAsia" w:ascii="仿宋" w:hAnsi="仿宋" w:eastAsia="仿宋" w:cs="仿宋"/>
          <w:b w:val="0"/>
          <w:bCs w:val="0"/>
          <w:color w:val="auto"/>
          <w:kern w:val="0"/>
          <w:sz w:val="30"/>
          <w:szCs w:val="30"/>
          <w:lang w:val="en-US" w:eastAsia="zh-CN"/>
        </w:rPr>
        <w:t>老干食堂验收标准</w:t>
      </w:r>
    </w:p>
    <w:p w14:paraId="13B753B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 w:hAnsi="仿宋" w:eastAsia="仿宋" w:cs="仿宋"/>
          <w:b w:val="0"/>
          <w:bCs w:val="0"/>
          <w:color w:val="auto"/>
          <w:kern w:val="0"/>
          <w:sz w:val="30"/>
          <w:szCs w:val="30"/>
          <w:lang w:val="en-US" w:eastAsia="zh-CN"/>
        </w:rPr>
      </w:pPr>
      <w:r>
        <w:rPr>
          <w:rFonts w:hint="eastAsia" w:ascii="仿宋" w:hAnsi="仿宋" w:eastAsia="仿宋" w:cs="仿宋"/>
          <w:b w:val="0"/>
          <w:bCs w:val="0"/>
          <w:color w:val="auto"/>
          <w:kern w:val="0"/>
          <w:sz w:val="30"/>
          <w:szCs w:val="30"/>
          <w:lang w:val="en-US" w:eastAsia="zh-CN"/>
        </w:rPr>
        <w:t>1. 外观验收</w:t>
      </w:r>
    </w:p>
    <w:p w14:paraId="10B6AF8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 w:hAnsi="仿宋" w:eastAsia="仿宋" w:cs="仿宋"/>
          <w:b w:val="0"/>
          <w:bCs w:val="0"/>
          <w:color w:val="auto"/>
          <w:kern w:val="0"/>
          <w:sz w:val="30"/>
          <w:szCs w:val="30"/>
          <w:lang w:val="en-US" w:eastAsia="zh-CN"/>
        </w:rPr>
      </w:pPr>
      <w:r>
        <w:rPr>
          <w:rFonts w:hint="eastAsia" w:ascii="仿宋" w:hAnsi="仿宋" w:eastAsia="仿宋" w:cs="仿宋"/>
          <w:b w:val="0"/>
          <w:bCs w:val="0"/>
          <w:color w:val="auto"/>
          <w:kern w:val="0"/>
          <w:sz w:val="30"/>
          <w:szCs w:val="30"/>
          <w:lang w:val="en-US" w:eastAsia="zh-CN"/>
        </w:rPr>
        <w:t>- 排烟管道：外观无油污残留，管道连接处密封良好，无泄漏迹象，外壁漆面完整，标识清晰可见。</w:t>
      </w:r>
    </w:p>
    <w:p w14:paraId="1B98930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 w:hAnsi="仿宋" w:eastAsia="仿宋" w:cs="仿宋"/>
          <w:b w:val="0"/>
          <w:bCs w:val="0"/>
          <w:color w:val="auto"/>
          <w:kern w:val="0"/>
          <w:sz w:val="30"/>
          <w:szCs w:val="30"/>
          <w:lang w:val="en-US" w:eastAsia="zh-CN"/>
        </w:rPr>
      </w:pPr>
      <w:r>
        <w:rPr>
          <w:rFonts w:hint="eastAsia" w:ascii="仿宋" w:hAnsi="仿宋" w:eastAsia="仿宋" w:cs="仿宋"/>
          <w:b w:val="0"/>
          <w:bCs w:val="0"/>
          <w:color w:val="auto"/>
          <w:kern w:val="0"/>
          <w:sz w:val="30"/>
          <w:szCs w:val="30"/>
          <w:lang w:val="en-US" w:eastAsia="zh-CN"/>
        </w:rPr>
        <w:t>- 油烟罩：表面光亮整洁，无油污、水渍，边角无污垢堆积，照明灯具及开关清洁干净，功能正常。</w:t>
      </w:r>
    </w:p>
    <w:p w14:paraId="13B653F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 w:hAnsi="仿宋" w:eastAsia="仿宋" w:cs="仿宋"/>
          <w:b w:val="0"/>
          <w:bCs w:val="0"/>
          <w:color w:val="auto"/>
          <w:kern w:val="0"/>
          <w:sz w:val="30"/>
          <w:szCs w:val="30"/>
          <w:lang w:val="en-US" w:eastAsia="zh-CN"/>
        </w:rPr>
      </w:pPr>
      <w:r>
        <w:rPr>
          <w:rFonts w:hint="eastAsia" w:ascii="仿宋" w:hAnsi="仿宋" w:eastAsia="仿宋" w:cs="仿宋"/>
          <w:b w:val="0"/>
          <w:bCs w:val="0"/>
          <w:color w:val="auto"/>
          <w:kern w:val="0"/>
          <w:sz w:val="30"/>
          <w:szCs w:val="30"/>
          <w:lang w:val="en-US" w:eastAsia="zh-CN"/>
        </w:rPr>
        <w:t>- 风机：外壳无油污，漆面完好，各部件连接紧固，运转平稳，无异常振动与噪音，出风口风力强劲，风速达到设备初始设计要求。</w:t>
      </w:r>
    </w:p>
    <w:p w14:paraId="431F7DE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 w:hAnsi="仿宋" w:eastAsia="仿宋" w:cs="仿宋"/>
          <w:b w:val="0"/>
          <w:bCs w:val="0"/>
          <w:color w:val="auto"/>
          <w:kern w:val="0"/>
          <w:sz w:val="30"/>
          <w:szCs w:val="30"/>
          <w:lang w:val="en-US" w:eastAsia="zh-CN"/>
        </w:rPr>
      </w:pPr>
      <w:r>
        <w:rPr>
          <w:rFonts w:hint="eastAsia" w:ascii="仿宋" w:hAnsi="仿宋" w:eastAsia="仿宋" w:cs="仿宋"/>
          <w:b w:val="0"/>
          <w:bCs w:val="0"/>
          <w:color w:val="auto"/>
          <w:kern w:val="0"/>
          <w:sz w:val="30"/>
          <w:szCs w:val="30"/>
          <w:lang w:val="en-US" w:eastAsia="zh-CN"/>
        </w:rPr>
        <w:t>- 净化器：外壳清洁，内部滤网、电场等部件安装正确，无油污堵塞，净化指示灯正常显示，净化效率经专业检测达到或优于国家排放标准（油烟排放浓度≤[具体标准数值]mg/m³）。</w:t>
      </w:r>
    </w:p>
    <w:p w14:paraId="1C78EE6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 w:hAnsi="仿宋" w:eastAsia="仿宋" w:cs="仿宋"/>
          <w:b w:val="0"/>
          <w:bCs w:val="0"/>
          <w:color w:val="auto"/>
          <w:kern w:val="0"/>
          <w:sz w:val="30"/>
          <w:szCs w:val="30"/>
          <w:lang w:val="en-US" w:eastAsia="zh-CN"/>
        </w:rPr>
      </w:pPr>
      <w:r>
        <w:rPr>
          <w:rFonts w:hint="eastAsia" w:ascii="仿宋" w:hAnsi="仿宋" w:eastAsia="仿宋" w:cs="仿宋"/>
          <w:b w:val="0"/>
          <w:bCs w:val="0"/>
          <w:color w:val="auto"/>
          <w:kern w:val="0"/>
          <w:sz w:val="30"/>
          <w:szCs w:val="30"/>
          <w:lang w:val="en-US" w:eastAsia="zh-CN"/>
        </w:rPr>
        <w:t>- 每次清洗完成后，灶台、墙面、地面、锅圈等做到无卫生死角无油污无残留印、并且最后用不锈钢保养剂将表面擦拭保养一遍。</w:t>
      </w:r>
    </w:p>
    <w:p w14:paraId="1A7A3BF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 w:hAnsi="仿宋" w:eastAsia="仿宋" w:cs="仿宋"/>
          <w:b w:val="0"/>
          <w:bCs w:val="0"/>
          <w:color w:val="auto"/>
          <w:kern w:val="0"/>
          <w:sz w:val="30"/>
          <w:szCs w:val="30"/>
          <w:lang w:val="en-US" w:eastAsia="zh-CN"/>
        </w:rPr>
      </w:pPr>
      <w:r>
        <w:rPr>
          <w:rFonts w:hint="eastAsia" w:ascii="仿宋" w:hAnsi="仿宋" w:eastAsia="仿宋" w:cs="仿宋"/>
          <w:b w:val="0"/>
          <w:bCs w:val="0"/>
          <w:color w:val="auto"/>
          <w:kern w:val="0"/>
          <w:sz w:val="30"/>
          <w:szCs w:val="30"/>
          <w:lang w:val="en-US" w:eastAsia="zh-CN"/>
        </w:rPr>
        <w:t>2. 功能验收</w:t>
      </w:r>
    </w:p>
    <w:p w14:paraId="585CEF8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 w:hAnsi="仿宋" w:eastAsia="仿宋" w:cs="仿宋"/>
          <w:b w:val="0"/>
          <w:bCs w:val="0"/>
          <w:color w:val="auto"/>
          <w:kern w:val="0"/>
          <w:sz w:val="30"/>
          <w:szCs w:val="30"/>
          <w:lang w:val="en-US" w:eastAsia="zh-CN"/>
        </w:rPr>
      </w:pPr>
      <w:r>
        <w:rPr>
          <w:rFonts w:hint="eastAsia" w:ascii="仿宋" w:hAnsi="仿宋" w:eastAsia="仿宋" w:cs="仿宋"/>
          <w:b w:val="0"/>
          <w:bCs w:val="0"/>
          <w:color w:val="auto"/>
          <w:kern w:val="0"/>
          <w:sz w:val="30"/>
          <w:szCs w:val="30"/>
          <w:lang w:val="en-US" w:eastAsia="zh-CN"/>
        </w:rPr>
        <w:t>- 启动油烟机系统，各设备联动正常，抽排油烟迅速、顺畅，厨房内无明显油烟积聚现象，在烹饪高峰期，油烟能够及时被抽排出厨房，室内空气质量明显改善。</w:t>
      </w:r>
    </w:p>
    <w:p w14:paraId="0C9913D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 w:hAnsi="仿宋" w:eastAsia="仿宋" w:cs="仿宋"/>
          <w:b w:val="0"/>
          <w:bCs w:val="0"/>
          <w:color w:val="auto"/>
          <w:kern w:val="0"/>
          <w:sz w:val="30"/>
          <w:szCs w:val="30"/>
          <w:lang w:val="en-US" w:eastAsia="zh-CN"/>
        </w:rPr>
      </w:pPr>
      <w:r>
        <w:rPr>
          <w:rFonts w:hint="eastAsia" w:ascii="仿宋" w:hAnsi="仿宋" w:eastAsia="仿宋" w:cs="仿宋"/>
          <w:b w:val="0"/>
          <w:bCs w:val="0"/>
          <w:color w:val="auto"/>
          <w:kern w:val="0"/>
          <w:sz w:val="30"/>
          <w:szCs w:val="30"/>
          <w:lang w:val="en-US" w:eastAsia="zh-CN"/>
        </w:rPr>
        <w:t>- 运行 30 分钟后，检查风机、净化器等设备的温度、噪音等参数，均应在正常范围内，风机电机温度不超过[具体温度数值]℃，噪音值不高于[具体噪音数值]dB(A)。</w:t>
      </w:r>
    </w:p>
    <w:p w14:paraId="58660461">
      <w:pPr>
        <w:ind w:firstLine="600" w:firstLineChars="200"/>
        <w:rPr>
          <w:rFonts w:hint="eastAsia" w:ascii="仿宋" w:hAnsi="仿宋" w:eastAsia="仿宋" w:cs="仿宋"/>
          <w:b w:val="0"/>
          <w:bCs w:val="0"/>
          <w:color w:val="auto"/>
          <w:kern w:val="0"/>
          <w:sz w:val="30"/>
          <w:szCs w:val="30"/>
          <w:lang w:val="en-US" w:eastAsia="zh-CN"/>
        </w:rPr>
      </w:pPr>
      <w:r>
        <w:rPr>
          <w:rFonts w:hint="eastAsia" w:ascii="仿宋" w:hAnsi="仿宋" w:eastAsia="仿宋" w:cs="仿宋"/>
          <w:b w:val="0"/>
          <w:bCs w:val="0"/>
          <w:color w:val="auto"/>
          <w:kern w:val="0"/>
          <w:sz w:val="30"/>
          <w:szCs w:val="30"/>
          <w:lang w:val="en-US" w:eastAsia="zh-CN"/>
        </w:rPr>
        <w:t>四、油烟机清洗参数</w:t>
      </w:r>
    </w:p>
    <w:p w14:paraId="7337BE54">
      <w:pPr>
        <w:ind w:firstLine="600" w:firstLineChars="200"/>
        <w:rPr>
          <w:rFonts w:hint="default" w:ascii="仿宋" w:hAnsi="仿宋" w:eastAsia="仿宋" w:cs="仿宋"/>
          <w:b w:val="0"/>
          <w:bCs w:val="0"/>
          <w:color w:val="auto"/>
          <w:kern w:val="0"/>
          <w:sz w:val="30"/>
          <w:szCs w:val="30"/>
          <w:lang w:val="en-US" w:eastAsia="zh-CN"/>
        </w:rPr>
      </w:pPr>
      <w:r>
        <w:rPr>
          <w:rFonts w:hint="eastAsia" w:ascii="仿宋" w:hAnsi="仿宋" w:eastAsia="仿宋" w:cs="仿宋"/>
          <w:b w:val="0"/>
          <w:bCs w:val="0"/>
          <w:color w:val="auto"/>
          <w:kern w:val="0"/>
          <w:sz w:val="30"/>
          <w:szCs w:val="30"/>
          <w:lang w:val="en-US" w:eastAsia="zh-CN"/>
        </w:rPr>
        <w:t>餐饮服务中心重油烟区45天清洗一次，每年清洗8次；轻油烟区90天清洗一次，每年清洗4次。老干食堂90天清洗一次，每年清洗4次。</w:t>
      </w:r>
    </w:p>
    <w:p w14:paraId="596EE967">
      <w:pPr>
        <w:ind w:firstLine="600" w:firstLineChars="200"/>
        <w:rPr>
          <w:rFonts w:hint="eastAsia" w:ascii="仿宋" w:hAnsi="仿宋" w:eastAsia="仿宋" w:cs="仿宋"/>
          <w:b w:val="0"/>
          <w:bCs w:val="0"/>
          <w:color w:val="auto"/>
          <w:kern w:val="0"/>
          <w:sz w:val="30"/>
          <w:szCs w:val="30"/>
          <w:lang w:val="en-US" w:eastAsia="zh-CN"/>
        </w:rPr>
      </w:pPr>
      <w:r>
        <w:rPr>
          <w:rFonts w:hint="eastAsia" w:ascii="仿宋" w:hAnsi="仿宋" w:eastAsia="仿宋" w:cs="仿宋"/>
          <w:b w:val="0"/>
          <w:bCs w:val="0"/>
          <w:color w:val="auto"/>
          <w:kern w:val="0"/>
          <w:sz w:val="30"/>
          <w:szCs w:val="30"/>
          <w:lang w:val="en-US" w:eastAsia="zh-CN"/>
        </w:rPr>
        <w:t>对餐饮服务中心各餐厅及老干食堂油烟罩（外表、防火筛子板、外装饰板、防爆灯、油槽、反面油槽、接油盒、自动灭火设备、不锈钢装饰面）、油烟管道（横向竖向）、抽油烟风机、风轮、净化器内外罩面、净化叶片及机壳表面，智能油烟净化一体机（包含内部净化器及风机）、灶台、墙面、地面、锅圈等做到无死角无油污无残留印、并且最后用不锈钢保养剂将表面擦拭保养一遍。</w:t>
      </w:r>
    </w:p>
    <w:p w14:paraId="12C7887C">
      <w:pPr>
        <w:rPr>
          <w:rFonts w:hint="eastAsia" w:ascii="仿宋" w:hAnsi="仿宋" w:eastAsia="仿宋" w:cs="仿宋"/>
          <w:b w:val="0"/>
          <w:bCs w:val="0"/>
          <w:color w:val="auto"/>
          <w:kern w:val="0"/>
          <w:sz w:val="30"/>
          <w:szCs w:val="30"/>
          <w:lang w:val="en-US" w:eastAsia="zh-CN"/>
        </w:rPr>
      </w:pPr>
      <w:r>
        <w:rPr>
          <w:rFonts w:hint="eastAsia" w:ascii="仿宋" w:hAnsi="仿宋" w:eastAsia="仿宋" w:cs="仿宋"/>
          <w:b w:val="0"/>
          <w:bCs w:val="0"/>
          <w:color w:val="auto"/>
          <w:kern w:val="0"/>
          <w:sz w:val="30"/>
          <w:szCs w:val="30"/>
          <w:lang w:val="en-US" w:eastAsia="zh-CN"/>
        </w:rPr>
        <w:br w:type="page"/>
      </w:r>
    </w:p>
    <w:p w14:paraId="012524FC">
      <w:pPr>
        <w:ind w:firstLine="600" w:firstLineChars="200"/>
        <w:rPr>
          <w:rFonts w:hint="eastAsia" w:ascii="仿宋" w:hAnsi="仿宋" w:eastAsia="仿宋" w:cs="仿宋"/>
          <w:b w:val="0"/>
          <w:bCs w:val="0"/>
          <w:color w:val="auto"/>
          <w:kern w:val="0"/>
          <w:sz w:val="30"/>
          <w:szCs w:val="30"/>
          <w:lang w:val="en-US" w:eastAsia="zh-CN"/>
        </w:rPr>
      </w:pPr>
    </w:p>
    <w:tbl>
      <w:tblPr>
        <w:tblStyle w:val="37"/>
        <w:tblW w:w="107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4"/>
        <w:gridCol w:w="820"/>
        <w:gridCol w:w="785"/>
        <w:gridCol w:w="746"/>
        <w:gridCol w:w="958"/>
        <w:gridCol w:w="4959"/>
        <w:gridCol w:w="1704"/>
      </w:tblGrid>
      <w:tr w14:paraId="02012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4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D310E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2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16434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A2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A1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86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w:t>
            </w:r>
          </w:p>
        </w:tc>
        <w:tc>
          <w:tcPr>
            <w:tcW w:w="4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6AF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BCF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归属</w:t>
            </w:r>
          </w:p>
        </w:tc>
      </w:tr>
      <w:tr w14:paraId="3B913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1" w:hRule="atLeast"/>
          <w:jc w:val="center"/>
        </w:trPr>
        <w:tc>
          <w:tcPr>
            <w:tcW w:w="744" w:type="dxa"/>
            <w:tcBorders>
              <w:top w:val="single" w:color="000000" w:sz="4" w:space="0"/>
              <w:left w:val="single" w:color="000000" w:sz="4" w:space="0"/>
              <w:bottom w:val="single" w:color="000000" w:sz="4" w:space="0"/>
              <w:right w:val="single" w:color="auto" w:sz="4" w:space="0"/>
            </w:tcBorders>
            <w:shd w:val="clear" w:color="auto" w:fill="auto"/>
            <w:vAlign w:val="center"/>
          </w:tcPr>
          <w:p w14:paraId="3F2E752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w:t>
            </w:r>
          </w:p>
        </w:tc>
        <w:tc>
          <w:tcPr>
            <w:tcW w:w="820" w:type="dxa"/>
            <w:tcBorders>
              <w:top w:val="single" w:color="000000" w:sz="4" w:space="0"/>
              <w:left w:val="single" w:color="auto" w:sz="4" w:space="0"/>
              <w:bottom w:val="single" w:color="000000" w:sz="4" w:space="0"/>
              <w:right w:val="single" w:color="000000" w:sz="4" w:space="0"/>
            </w:tcBorders>
            <w:shd w:val="clear" w:color="auto" w:fill="auto"/>
            <w:vAlign w:val="center"/>
          </w:tcPr>
          <w:p w14:paraId="2519AC7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重油烟区</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ED94">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次</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D9FA">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C92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15000</w:t>
            </w:r>
          </w:p>
        </w:tc>
        <w:tc>
          <w:tcPr>
            <w:tcW w:w="4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EAB6">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包含清洗油烟罩100.5米、油烟管道（横竖）187米、油烟风机12台、油烟净化器12台、隔油板112块、油烟净化一体机6台、以及楼宇内及吊顶内部管道（横竖）约为227米。</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00E6">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餐饮服务中心</w:t>
            </w:r>
          </w:p>
        </w:tc>
      </w:tr>
      <w:tr w14:paraId="55ED9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jc w:val="center"/>
        </w:trPr>
        <w:tc>
          <w:tcPr>
            <w:tcW w:w="744" w:type="dxa"/>
            <w:tcBorders>
              <w:top w:val="single" w:color="000000" w:sz="4" w:space="0"/>
              <w:left w:val="single" w:color="000000" w:sz="4" w:space="0"/>
              <w:bottom w:val="single" w:color="000000" w:sz="4" w:space="0"/>
              <w:right w:val="single" w:color="auto" w:sz="4" w:space="0"/>
            </w:tcBorders>
            <w:shd w:val="clear" w:color="auto" w:fill="auto"/>
            <w:vAlign w:val="center"/>
          </w:tcPr>
          <w:p w14:paraId="6BBF808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2</w:t>
            </w:r>
          </w:p>
        </w:tc>
        <w:tc>
          <w:tcPr>
            <w:tcW w:w="820" w:type="dxa"/>
            <w:tcBorders>
              <w:top w:val="single" w:color="000000" w:sz="4" w:space="0"/>
              <w:left w:val="single" w:color="auto" w:sz="4" w:space="0"/>
              <w:bottom w:val="single" w:color="000000" w:sz="4" w:space="0"/>
              <w:right w:val="single" w:color="000000" w:sz="4" w:space="0"/>
            </w:tcBorders>
            <w:shd w:val="clear" w:color="auto" w:fill="auto"/>
            <w:vAlign w:val="center"/>
          </w:tcPr>
          <w:p w14:paraId="62C806D3">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轻油烟区</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6D2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次</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5138">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AF15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9000</w:t>
            </w:r>
          </w:p>
        </w:tc>
        <w:tc>
          <w:tcPr>
            <w:tcW w:w="4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49E2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包含清洗油烟罩121米、油烟管道（横竖）255.5米、油烟风机11台、油烟净化器11台、隔油板119块、油烟净化一体机16台、以及楼宇内及吊顶内部管道（横竖）约为52.5米。</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54F8A">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餐饮服务中心</w:t>
            </w:r>
          </w:p>
        </w:tc>
      </w:tr>
      <w:tr w14:paraId="47767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jc w:val="center"/>
        </w:trPr>
        <w:tc>
          <w:tcPr>
            <w:tcW w:w="744" w:type="dxa"/>
            <w:tcBorders>
              <w:top w:val="single" w:color="000000" w:sz="4" w:space="0"/>
              <w:left w:val="single" w:color="000000" w:sz="4" w:space="0"/>
              <w:bottom w:val="single" w:color="000000" w:sz="4" w:space="0"/>
              <w:right w:val="single" w:color="auto" w:sz="4" w:space="0"/>
            </w:tcBorders>
            <w:shd w:val="clear" w:color="auto" w:fill="auto"/>
            <w:vAlign w:val="center"/>
          </w:tcPr>
          <w:p w14:paraId="17008A57">
            <w:pPr>
              <w:keepNext w:val="0"/>
              <w:keepLines w:val="0"/>
              <w:widowControl/>
              <w:suppressLineNumbers w:val="0"/>
              <w:jc w:val="center"/>
              <w:textAlignment w:val="center"/>
              <w:rPr>
                <w:rFonts w:hint="default"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2"/>
                <w:sz w:val="24"/>
                <w:szCs w:val="24"/>
                <w:u w:val="none"/>
                <w:lang w:val="en-US" w:eastAsia="zh-CN" w:bidi="ar-SA"/>
              </w:rPr>
              <w:t>3</w:t>
            </w:r>
          </w:p>
        </w:tc>
        <w:tc>
          <w:tcPr>
            <w:tcW w:w="820" w:type="dxa"/>
            <w:tcBorders>
              <w:top w:val="single" w:color="000000" w:sz="4" w:space="0"/>
              <w:left w:val="single" w:color="auto" w:sz="4" w:space="0"/>
              <w:bottom w:val="single" w:color="000000" w:sz="4" w:space="0"/>
              <w:right w:val="single" w:color="000000" w:sz="4" w:space="0"/>
            </w:tcBorders>
            <w:shd w:val="clear" w:color="auto" w:fill="auto"/>
            <w:vAlign w:val="center"/>
          </w:tcPr>
          <w:p w14:paraId="50FE6825">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油烟机清洗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156BD">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eastAsia="zh-CN"/>
              </w:rPr>
              <w:t>次</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4BD2">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64D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2000</w:t>
            </w:r>
          </w:p>
        </w:tc>
        <w:tc>
          <w:tcPr>
            <w:tcW w:w="4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95A3B">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油烟管道（横烟道）约14米，油烟罩约8米，隔油板14块，油烟净化器1台（含竖向管道2米），油烟风机1台</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DFA6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老干食堂</w:t>
            </w:r>
          </w:p>
        </w:tc>
      </w:tr>
    </w:tbl>
    <w:p w14:paraId="4969B133">
      <w:pPr>
        <w:pageBreakBefore w:val="0"/>
        <w:numPr>
          <w:ilvl w:val="0"/>
          <w:numId w:val="0"/>
        </w:numPr>
        <w:kinsoku/>
        <w:wordWrap/>
        <w:overflowPunct/>
        <w:topLinePunct w:val="0"/>
        <w:autoSpaceDE/>
        <w:autoSpaceDN/>
        <w:bidi w:val="0"/>
        <w:adjustRightInd w:val="0"/>
        <w:snapToGrid w:val="0"/>
        <w:spacing w:line="360" w:lineRule="auto"/>
        <w:jc w:val="both"/>
        <w:rPr>
          <w:rFonts w:hint="eastAsia" w:ascii="宋体" w:hAnsi="宋体" w:eastAsia="宋体" w:cs="宋体"/>
          <w:b w:val="0"/>
          <w:bCs w:val="0"/>
          <w:sz w:val="24"/>
          <w:szCs w:val="24"/>
          <w:lang w:val="en-US" w:eastAsia="zh-CN"/>
        </w:rPr>
      </w:pPr>
    </w:p>
    <w:p w14:paraId="3254A858">
      <w:pPr>
        <w:spacing w:line="360" w:lineRule="auto"/>
        <w:ind w:firstLine="480" w:firstLineChars="200"/>
        <w:rPr>
          <w:rFonts w:hint="eastAsia" w:ascii="宋体" w:hAnsi="宋体"/>
          <w:sz w:val="24"/>
          <w:szCs w:val="24"/>
          <w:lang w:val="en-US" w:eastAsia="zh-CN"/>
        </w:rPr>
      </w:pPr>
    </w:p>
    <w:p w14:paraId="3FA52223">
      <w:pPr>
        <w:spacing w:line="360" w:lineRule="auto"/>
        <w:ind w:firstLine="480" w:firstLineChars="200"/>
        <w:rPr>
          <w:rFonts w:hint="eastAsia" w:ascii="宋体" w:hAnsi="宋体"/>
          <w:sz w:val="24"/>
          <w:szCs w:val="24"/>
        </w:rPr>
      </w:pPr>
      <w:r>
        <w:rPr>
          <w:rFonts w:hint="eastAsia" w:ascii="宋体" w:hAnsi="宋体"/>
          <w:sz w:val="24"/>
          <w:szCs w:val="24"/>
        </w:rPr>
        <w:br w:type="page"/>
      </w:r>
    </w:p>
    <w:p w14:paraId="3B2B64BF">
      <w:pPr>
        <w:spacing w:line="360" w:lineRule="auto"/>
        <w:jc w:val="center"/>
        <w:outlineLvl w:val="0"/>
        <w:rPr>
          <w:rFonts w:ascii="宋体" w:hAnsi="宋体" w:eastAsia="宋体" w:cs="宋体"/>
          <w:b/>
          <w:sz w:val="32"/>
          <w:szCs w:val="24"/>
        </w:rPr>
      </w:pPr>
      <w:bookmarkStart w:id="55" w:name="_Toc26909"/>
      <w:r>
        <w:rPr>
          <w:rFonts w:hint="eastAsia" w:ascii="宋体" w:hAnsi="宋体" w:eastAsia="宋体" w:cs="宋体"/>
          <w:b/>
          <w:sz w:val="32"/>
          <w:szCs w:val="24"/>
        </w:rPr>
        <w:t>第</w:t>
      </w:r>
      <w:r>
        <w:rPr>
          <w:rFonts w:hint="eastAsia" w:ascii="宋体" w:hAnsi="宋体" w:eastAsia="宋体" w:cs="宋体"/>
          <w:b/>
          <w:sz w:val="32"/>
          <w:szCs w:val="24"/>
          <w:lang w:val="en-US" w:eastAsia="zh-CN"/>
        </w:rPr>
        <w:t>五</w:t>
      </w:r>
      <w:r>
        <w:rPr>
          <w:rFonts w:hint="eastAsia" w:ascii="宋体" w:hAnsi="宋体" w:eastAsia="宋体" w:cs="宋体"/>
          <w:b/>
          <w:sz w:val="32"/>
          <w:szCs w:val="24"/>
        </w:rPr>
        <w:t>章 响应文件格式</w:t>
      </w:r>
      <w:bookmarkEnd w:id="55"/>
    </w:p>
    <w:p w14:paraId="02428E11">
      <w:pPr>
        <w:spacing w:line="360" w:lineRule="auto"/>
        <w:rPr>
          <w:rFonts w:ascii="宋体" w:hAnsi="Calibri" w:eastAsia="宋体" w:cs="宋体"/>
          <w:b/>
          <w:sz w:val="24"/>
          <w:szCs w:val="24"/>
        </w:rPr>
      </w:pPr>
    </w:p>
    <w:p w14:paraId="0D76466B">
      <w:pPr>
        <w:spacing w:line="360" w:lineRule="auto"/>
        <w:rPr>
          <w:rFonts w:ascii="宋体" w:hAnsi="Calibri" w:eastAsia="宋体" w:cs="宋体"/>
          <w:b/>
          <w:sz w:val="24"/>
          <w:szCs w:val="24"/>
        </w:rPr>
      </w:pPr>
    </w:p>
    <w:p w14:paraId="1B1477F8">
      <w:pPr>
        <w:spacing w:line="360" w:lineRule="auto"/>
        <w:rPr>
          <w:rFonts w:ascii="宋体" w:cs="宋体"/>
          <w:szCs w:val="21"/>
          <w:u w:val="single"/>
        </w:rPr>
      </w:pPr>
      <w:r>
        <w:rPr>
          <w:rFonts w:hint="eastAsia" w:ascii="宋体" w:hAnsi="宋体" w:cs="宋体"/>
          <w:szCs w:val="21"/>
          <w:u w:val="single"/>
        </w:rPr>
        <w:t>封面示例</w:t>
      </w:r>
    </w:p>
    <w:p w14:paraId="5BED77EB">
      <w:pPr>
        <w:spacing w:line="360" w:lineRule="auto"/>
        <w:ind w:right="315"/>
        <w:jc w:val="right"/>
        <w:rPr>
          <w:rFonts w:ascii="宋体" w:cs="宋体"/>
          <w:b/>
          <w:bdr w:val="single" w:color="auto" w:sz="4" w:space="0"/>
        </w:rPr>
      </w:pPr>
    </w:p>
    <w:p w14:paraId="35737D06">
      <w:pPr>
        <w:spacing w:line="360" w:lineRule="auto"/>
        <w:jc w:val="center"/>
        <w:rPr>
          <w:rFonts w:ascii="宋体" w:hAnsi="宋体" w:cs="宋体"/>
          <w:b/>
          <w:bCs/>
          <w:sz w:val="24"/>
          <w:u w:val="single"/>
        </w:rPr>
      </w:pPr>
    </w:p>
    <w:p w14:paraId="605B4C2F">
      <w:pPr>
        <w:spacing w:line="360" w:lineRule="auto"/>
      </w:pPr>
    </w:p>
    <w:p w14:paraId="37CF5A09">
      <w:pPr>
        <w:spacing w:line="360" w:lineRule="auto"/>
        <w:jc w:val="center"/>
        <w:rPr>
          <w:rFonts w:ascii="宋体" w:hAnsi="宋体" w:cs="宋体"/>
          <w:b/>
          <w:bCs/>
          <w:sz w:val="24"/>
          <w:u w:val="single"/>
        </w:rPr>
      </w:pPr>
      <w:r>
        <w:rPr>
          <w:rFonts w:hint="eastAsia" w:ascii="宋体" w:hAnsi="宋体" w:cs="宋体"/>
          <w:b/>
          <w:bCs/>
          <w:sz w:val="24"/>
          <w:u w:val="single"/>
        </w:rPr>
        <w:t>（项目名称）</w:t>
      </w:r>
    </w:p>
    <w:p w14:paraId="060BF878">
      <w:pPr>
        <w:spacing w:line="360" w:lineRule="auto"/>
        <w:jc w:val="center"/>
        <w:rPr>
          <w:rFonts w:ascii="宋体" w:hAnsi="宋体" w:cs="宋体"/>
          <w:b/>
          <w:bCs/>
          <w:sz w:val="24"/>
          <w:u w:val="single"/>
        </w:rPr>
      </w:pPr>
      <w:r>
        <w:rPr>
          <w:rFonts w:hint="eastAsia" w:ascii="宋体" w:hAnsi="宋体" w:cs="宋体"/>
          <w:b/>
          <w:bCs/>
          <w:sz w:val="24"/>
          <w:u w:val="single"/>
        </w:rPr>
        <w:t>（项目编号）</w:t>
      </w:r>
    </w:p>
    <w:p w14:paraId="51C3614D">
      <w:pPr>
        <w:spacing w:line="360" w:lineRule="auto"/>
      </w:pPr>
    </w:p>
    <w:p w14:paraId="1A0B85CF">
      <w:pPr>
        <w:spacing w:line="360" w:lineRule="auto"/>
        <w:jc w:val="center"/>
        <w:rPr>
          <w:rFonts w:ascii="宋体" w:hAnsi="宋体" w:cs="宋体"/>
          <w:b/>
          <w:bCs/>
          <w:sz w:val="24"/>
        </w:rPr>
      </w:pPr>
    </w:p>
    <w:p w14:paraId="487D596D">
      <w:pPr>
        <w:spacing w:line="360" w:lineRule="auto"/>
        <w:jc w:val="center"/>
        <w:rPr>
          <w:rFonts w:ascii="宋体" w:hAnsi="宋体" w:cs="宋体"/>
          <w:b/>
          <w:bCs/>
          <w:sz w:val="24"/>
        </w:rPr>
      </w:pPr>
    </w:p>
    <w:p w14:paraId="3CA9FE1F">
      <w:pPr>
        <w:spacing w:line="360" w:lineRule="auto"/>
        <w:jc w:val="center"/>
        <w:rPr>
          <w:rFonts w:ascii="宋体" w:hAnsi="宋体" w:cs="宋体"/>
          <w:b/>
          <w:bCs/>
          <w:sz w:val="24"/>
        </w:rPr>
      </w:pPr>
    </w:p>
    <w:p w14:paraId="3914C59C">
      <w:pPr>
        <w:spacing w:line="360" w:lineRule="auto"/>
        <w:jc w:val="center"/>
        <w:rPr>
          <w:rFonts w:ascii="宋体" w:cs="宋体"/>
          <w:b/>
          <w:bCs/>
          <w:sz w:val="24"/>
        </w:rPr>
      </w:pPr>
      <w:r>
        <w:rPr>
          <w:rFonts w:hint="eastAsia" w:ascii="宋体" w:hAnsi="宋体" w:cs="宋体"/>
          <w:b/>
          <w:bCs/>
          <w:sz w:val="24"/>
        </w:rPr>
        <w:t>响应文件</w:t>
      </w:r>
    </w:p>
    <w:p w14:paraId="74A820DB">
      <w:pPr>
        <w:spacing w:line="360" w:lineRule="auto"/>
        <w:rPr>
          <w:rFonts w:ascii="宋体" w:cs="宋体"/>
          <w:sz w:val="24"/>
        </w:rPr>
      </w:pPr>
    </w:p>
    <w:p w14:paraId="4F5D73FD">
      <w:pPr>
        <w:spacing w:line="360" w:lineRule="auto"/>
        <w:rPr>
          <w:rFonts w:ascii="宋体" w:cs="宋体"/>
          <w:sz w:val="24"/>
        </w:rPr>
      </w:pPr>
      <w:r>
        <w:rPr>
          <w:rFonts w:hint="eastAsia" w:ascii="宋体" w:hAnsi="宋体" w:cs="宋体"/>
          <w:sz w:val="24"/>
        </w:rPr>
        <w:t>供应商：（盖章）</w:t>
      </w:r>
    </w:p>
    <w:p w14:paraId="5ABDD9FE">
      <w:pPr>
        <w:spacing w:line="360" w:lineRule="auto"/>
        <w:rPr>
          <w:rFonts w:ascii="宋体" w:cs="宋体"/>
          <w:sz w:val="24"/>
        </w:rPr>
      </w:pPr>
      <w:r>
        <w:rPr>
          <w:rFonts w:hint="eastAsia" w:ascii="宋体" w:hAnsi="宋体" w:cs="宋体"/>
          <w:sz w:val="24"/>
        </w:rPr>
        <w:t>法定代表人：（签字或盖章）</w:t>
      </w:r>
    </w:p>
    <w:p w14:paraId="53D1E242">
      <w:pPr>
        <w:spacing w:line="360" w:lineRule="auto"/>
        <w:rPr>
          <w:rFonts w:ascii="宋体" w:cs="宋体"/>
          <w:sz w:val="24"/>
        </w:rPr>
      </w:pPr>
      <w:r>
        <w:rPr>
          <w:rFonts w:hint="eastAsia" w:ascii="宋体" w:hAnsi="宋体" w:cs="宋体"/>
          <w:sz w:val="24"/>
        </w:rPr>
        <w:t>单位地址：</w:t>
      </w:r>
    </w:p>
    <w:p w14:paraId="29FF3B98">
      <w:pPr>
        <w:spacing w:line="360" w:lineRule="auto"/>
        <w:rPr>
          <w:rFonts w:ascii="宋体" w:cs="宋体"/>
          <w:sz w:val="24"/>
        </w:rPr>
      </w:pPr>
      <w:r>
        <w:rPr>
          <w:rFonts w:hint="eastAsia" w:ascii="宋体" w:hAnsi="宋体" w:cs="宋体"/>
          <w:sz w:val="24"/>
        </w:rPr>
        <w:t>联系人：</w:t>
      </w:r>
    </w:p>
    <w:p w14:paraId="1306B585">
      <w:pPr>
        <w:spacing w:line="360" w:lineRule="auto"/>
        <w:rPr>
          <w:rFonts w:ascii="宋体" w:cs="宋体"/>
          <w:sz w:val="24"/>
        </w:rPr>
      </w:pPr>
      <w:r>
        <w:rPr>
          <w:rFonts w:hint="eastAsia" w:ascii="宋体" w:hAnsi="宋体" w:cs="宋体"/>
          <w:sz w:val="24"/>
        </w:rPr>
        <w:t>联系电话：</w:t>
      </w:r>
    </w:p>
    <w:p w14:paraId="5F605D39">
      <w:pPr>
        <w:spacing w:line="360" w:lineRule="auto"/>
        <w:rPr>
          <w:rFonts w:ascii="宋体" w:cs="宋体"/>
          <w:sz w:val="24"/>
        </w:rPr>
      </w:pPr>
    </w:p>
    <w:p w14:paraId="68D5DE69">
      <w:pPr>
        <w:spacing w:line="360" w:lineRule="auto"/>
        <w:ind w:firstLine="2" w:firstLineChars="1"/>
        <w:jc w:val="center"/>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14:paraId="25F67CBC">
      <w:pPr>
        <w:tabs>
          <w:tab w:val="center" w:pos="4832"/>
          <w:tab w:val="left" w:pos="7140"/>
        </w:tabs>
        <w:spacing w:line="360" w:lineRule="auto"/>
        <w:jc w:val="center"/>
        <w:outlineLvl w:val="1"/>
        <w:rPr>
          <w:rFonts w:ascii="宋体" w:hAnsi="宋体" w:cs="宋体"/>
          <w:b/>
          <w:sz w:val="24"/>
          <w:szCs w:val="24"/>
        </w:rPr>
      </w:pPr>
      <w:r>
        <w:br w:type="page"/>
      </w:r>
      <w:bookmarkStart w:id="56" w:name="_Toc9542"/>
      <w:bookmarkStart w:id="57" w:name="_Toc38196511"/>
      <w:r>
        <w:rPr>
          <w:rFonts w:hint="eastAsia" w:ascii="宋体" w:hAnsi="宋体" w:cs="宋体"/>
          <w:b/>
          <w:sz w:val="24"/>
          <w:szCs w:val="24"/>
        </w:rPr>
        <w:t>目录</w:t>
      </w:r>
      <w:bookmarkEnd w:id="56"/>
      <w:bookmarkEnd w:id="57"/>
    </w:p>
    <w:p w14:paraId="0142DB59">
      <w:pPr>
        <w:shd w:val="clear" w:color="auto" w:fill="FFFFFF"/>
        <w:snapToGrid w:val="0"/>
        <w:spacing w:line="360" w:lineRule="auto"/>
        <w:rPr>
          <w:rFonts w:hint="eastAsia" w:ascii="宋体" w:hAnsi="宋体"/>
          <w:sz w:val="24"/>
          <w:szCs w:val="24"/>
        </w:rPr>
      </w:pPr>
      <w:r>
        <w:rPr>
          <w:rFonts w:hint="eastAsia" w:ascii="宋体" w:hAnsi="宋体"/>
          <w:sz w:val="24"/>
          <w:szCs w:val="24"/>
        </w:rPr>
        <w:fldChar w:fldCharType="begin"/>
      </w:r>
      <w:r>
        <w:rPr>
          <w:rFonts w:hint="eastAsia" w:ascii="宋体" w:hAnsi="宋体"/>
          <w:sz w:val="24"/>
          <w:szCs w:val="24"/>
        </w:rPr>
        <w:instrText xml:space="preserve"> HYPERLINK \l "_Toc175110017" </w:instrText>
      </w:r>
      <w:r>
        <w:rPr>
          <w:rFonts w:hint="eastAsia" w:ascii="宋体" w:hAnsi="宋体"/>
          <w:sz w:val="24"/>
          <w:szCs w:val="24"/>
        </w:rPr>
        <w:fldChar w:fldCharType="separate"/>
      </w:r>
      <w:r>
        <w:rPr>
          <w:rFonts w:hint="eastAsia" w:ascii="宋体" w:hAnsi="宋体"/>
          <w:sz w:val="24"/>
          <w:szCs w:val="24"/>
          <w:lang w:val="en-US" w:eastAsia="zh-CN"/>
        </w:rPr>
        <w:t>一</w:t>
      </w:r>
      <w:r>
        <w:rPr>
          <w:rFonts w:hint="eastAsia" w:ascii="宋体" w:hAnsi="宋体"/>
          <w:sz w:val="24"/>
          <w:szCs w:val="24"/>
        </w:rPr>
        <w:t xml:space="preserve">、  </w:t>
      </w:r>
      <w:r>
        <w:rPr>
          <w:rFonts w:hint="eastAsia" w:ascii="宋体" w:hAnsi="宋体"/>
          <w:sz w:val="24"/>
          <w:szCs w:val="24"/>
        </w:rPr>
        <w:fldChar w:fldCharType="end"/>
      </w:r>
      <w:r>
        <w:rPr>
          <w:rFonts w:hint="eastAsia" w:ascii="宋体" w:hAnsi="宋体"/>
          <w:sz w:val="24"/>
          <w:szCs w:val="24"/>
        </w:rPr>
        <w:t>资格文件</w:t>
      </w:r>
    </w:p>
    <w:p w14:paraId="62782EAA">
      <w:pPr>
        <w:shd w:val="clear" w:color="auto" w:fill="FFFFFF"/>
        <w:snapToGrid w:val="0"/>
        <w:spacing w:line="360" w:lineRule="auto"/>
        <w:rPr>
          <w:rFonts w:hint="eastAsia" w:ascii="宋体" w:hAnsi="宋体"/>
          <w:sz w:val="24"/>
          <w:szCs w:val="24"/>
        </w:rPr>
      </w:pPr>
      <w:r>
        <w:rPr>
          <w:rFonts w:hint="eastAsia" w:ascii="宋体" w:hAnsi="宋体"/>
          <w:sz w:val="24"/>
          <w:szCs w:val="24"/>
          <w:lang w:val="en-US" w:eastAsia="zh-CN"/>
        </w:rPr>
        <w:t>二</w:t>
      </w:r>
      <w:r>
        <w:rPr>
          <w:rFonts w:hint="eastAsia" w:ascii="宋体" w:hAnsi="宋体"/>
          <w:sz w:val="24"/>
          <w:szCs w:val="24"/>
        </w:rPr>
        <w:t>、  商务部分</w:t>
      </w:r>
    </w:p>
    <w:p w14:paraId="394C66AB">
      <w:pPr>
        <w:shd w:val="clear" w:color="auto" w:fill="FFFFFF"/>
        <w:snapToGrid w:val="0"/>
        <w:spacing w:line="360" w:lineRule="auto"/>
        <w:rPr>
          <w:rFonts w:hint="eastAsia" w:ascii="宋体" w:hAnsi="宋体"/>
          <w:sz w:val="24"/>
          <w:szCs w:val="24"/>
        </w:rPr>
      </w:pPr>
      <w:r>
        <w:rPr>
          <w:rFonts w:hint="eastAsia" w:ascii="宋体" w:hAnsi="宋体"/>
          <w:sz w:val="24"/>
          <w:szCs w:val="24"/>
          <w:lang w:val="en-US" w:eastAsia="zh-CN"/>
        </w:rPr>
        <w:t>三</w:t>
      </w:r>
      <w:r>
        <w:rPr>
          <w:rFonts w:hint="eastAsia" w:ascii="宋体" w:hAnsi="宋体"/>
          <w:sz w:val="24"/>
          <w:szCs w:val="24"/>
        </w:rPr>
        <w:t>、  技术部分</w:t>
      </w:r>
    </w:p>
    <w:p w14:paraId="1193F7E9">
      <w:pPr>
        <w:shd w:val="clear" w:color="auto" w:fill="FFFFFF"/>
        <w:snapToGrid w:val="0"/>
        <w:spacing w:line="360" w:lineRule="auto"/>
        <w:rPr>
          <w:rFonts w:hint="eastAsia" w:ascii="宋体" w:hAnsi="宋体"/>
          <w:sz w:val="24"/>
          <w:szCs w:val="24"/>
        </w:rPr>
      </w:pPr>
      <w:r>
        <w:rPr>
          <w:rFonts w:hint="eastAsia" w:ascii="宋体" w:hAnsi="宋体"/>
          <w:sz w:val="24"/>
          <w:szCs w:val="24"/>
          <w:lang w:val="en-US" w:eastAsia="zh-CN"/>
        </w:rPr>
        <w:t>四</w:t>
      </w:r>
      <w:r>
        <w:rPr>
          <w:rFonts w:hint="eastAsia" w:ascii="宋体" w:hAnsi="宋体"/>
          <w:sz w:val="24"/>
          <w:szCs w:val="24"/>
        </w:rPr>
        <w:t>、  价格部分</w:t>
      </w:r>
    </w:p>
    <w:p w14:paraId="6FE9B2D1">
      <w:pPr>
        <w:shd w:val="clear" w:color="auto" w:fill="FFFFFF"/>
        <w:snapToGrid w:val="0"/>
        <w:spacing w:line="360" w:lineRule="auto"/>
        <w:rPr>
          <w:rFonts w:ascii="宋体" w:hAnsi="宋体"/>
          <w:sz w:val="24"/>
          <w:szCs w:val="24"/>
        </w:rPr>
      </w:pPr>
    </w:p>
    <w:p w14:paraId="74269598">
      <w:pPr>
        <w:shd w:val="clear" w:color="auto" w:fill="FFFFFF"/>
        <w:snapToGrid w:val="0"/>
        <w:spacing w:line="360" w:lineRule="auto"/>
        <w:rPr>
          <w:rFonts w:hint="default" w:ascii="宋体" w:eastAsiaTheme="minorEastAsia"/>
          <w:sz w:val="24"/>
          <w:szCs w:val="24"/>
          <w:lang w:val="en-US" w:eastAsia="zh-CN"/>
        </w:rPr>
      </w:pPr>
      <w:r>
        <w:rPr>
          <w:rFonts w:hint="eastAsia" w:ascii="宋体" w:hAnsi="宋体"/>
          <w:sz w:val="24"/>
          <w:szCs w:val="24"/>
        </w:rPr>
        <w:t>注：为了便于查找，请按上述顺序编制响应文件内容。</w:t>
      </w:r>
      <w:r>
        <w:rPr>
          <w:rFonts w:hint="eastAsia" w:ascii="宋体" w:hAnsi="宋体"/>
          <w:sz w:val="24"/>
          <w:szCs w:val="24"/>
          <w:lang w:val="en-US" w:eastAsia="zh-CN"/>
        </w:rPr>
        <w:t>子项目录根据文件内容进行完善</w:t>
      </w:r>
    </w:p>
    <w:p w14:paraId="21610DB9">
      <w:pPr>
        <w:keepNext/>
        <w:keepLines/>
        <w:widowControl w:val="0"/>
        <w:kinsoku/>
        <w:overflowPunct/>
        <w:bidi w:val="0"/>
        <w:spacing w:line="360" w:lineRule="auto"/>
        <w:jc w:val="both"/>
        <w:outlineLvl w:val="1"/>
        <w:rPr>
          <w:rFonts w:hint="eastAsia" w:ascii="宋体" w:hAnsi="宋体" w:eastAsia="宋体" w:cs="宋体"/>
          <w:b/>
          <w:bCs/>
          <w:szCs w:val="21"/>
        </w:rPr>
      </w:pPr>
      <w:r>
        <w:rPr>
          <w:rFonts w:ascii="宋体" w:cs="宋体"/>
          <w:bCs/>
          <w:sz w:val="24"/>
          <w:szCs w:val="24"/>
        </w:rPr>
        <w:br w:type="page"/>
      </w:r>
      <w:bookmarkStart w:id="58" w:name="_Toc8089"/>
      <w:bookmarkStart w:id="59" w:name="_Toc31330"/>
      <w:r>
        <w:rPr>
          <w:rFonts w:hint="eastAsia" w:ascii="宋体" w:hAnsi="宋体" w:eastAsia="宋体" w:cs="宋体"/>
          <w:b/>
          <w:bCs/>
          <w:szCs w:val="21"/>
          <w:lang w:val="en-US" w:eastAsia="zh-CN"/>
        </w:rPr>
        <w:t>一</w:t>
      </w:r>
      <w:r>
        <w:rPr>
          <w:rFonts w:hint="eastAsia" w:ascii="宋体" w:hAnsi="宋体" w:eastAsia="宋体" w:cs="宋体"/>
          <w:b/>
          <w:bCs/>
          <w:szCs w:val="21"/>
        </w:rPr>
        <w:t>、资格文件</w:t>
      </w:r>
      <w:bookmarkEnd w:id="58"/>
      <w:bookmarkEnd w:id="59"/>
    </w:p>
    <w:p w14:paraId="68F84084">
      <w:pPr>
        <w:widowControl w:val="0"/>
        <w:tabs>
          <w:tab w:val="left" w:pos="654"/>
          <w:tab w:val="left" w:pos="1734"/>
          <w:tab w:val="left" w:pos="2814"/>
          <w:tab w:val="left" w:pos="3894"/>
          <w:tab w:val="left" w:pos="5334"/>
          <w:tab w:val="left" w:pos="6414"/>
          <w:tab w:val="left" w:pos="7254"/>
          <w:tab w:val="left" w:pos="8574"/>
          <w:tab w:val="left" w:pos="9654"/>
        </w:tabs>
        <w:kinsoku/>
        <w:overflowPunct/>
        <w:bidi w:val="0"/>
        <w:spacing w:line="360" w:lineRule="auto"/>
        <w:jc w:val="center"/>
        <w:rPr>
          <w:rFonts w:hint="eastAsia" w:ascii="宋体" w:hAnsi="宋体" w:eastAsia="宋体" w:cs="宋体"/>
          <w:b/>
          <w:sz w:val="24"/>
          <w:szCs w:val="24"/>
        </w:rPr>
      </w:pPr>
      <w:bookmarkStart w:id="60" w:name="_Toc435515295"/>
      <w:bookmarkStart w:id="61" w:name="_Toc435514855"/>
      <w:bookmarkStart w:id="62" w:name="_Toc275865606"/>
      <w:r>
        <w:rPr>
          <w:rFonts w:hint="eastAsia" w:ascii="宋体" w:hAnsi="宋体" w:eastAsia="宋体" w:cs="宋体"/>
          <w:b/>
          <w:sz w:val="24"/>
          <w:szCs w:val="24"/>
          <w:lang w:val="en-US" w:eastAsia="zh-CN"/>
        </w:rPr>
        <w:t>1、</w:t>
      </w:r>
      <w:r>
        <w:rPr>
          <w:rFonts w:hint="eastAsia" w:ascii="宋体" w:hAnsi="宋体" w:eastAsia="宋体" w:cs="宋体"/>
          <w:b/>
          <w:sz w:val="24"/>
          <w:szCs w:val="24"/>
          <w:lang w:eastAsia="zh-CN"/>
        </w:rPr>
        <w:t>供应商</w:t>
      </w:r>
      <w:r>
        <w:rPr>
          <w:rFonts w:hint="eastAsia" w:ascii="宋体" w:hAnsi="宋体" w:eastAsia="宋体" w:cs="宋体"/>
          <w:b/>
          <w:sz w:val="24"/>
          <w:szCs w:val="24"/>
        </w:rPr>
        <w:t>资格声明函</w:t>
      </w:r>
      <w:bookmarkEnd w:id="60"/>
      <w:bookmarkEnd w:id="61"/>
      <w:bookmarkEnd w:id="62"/>
    </w:p>
    <w:p w14:paraId="71DBB923">
      <w:pPr>
        <w:widowControl w:val="0"/>
        <w:kinsoku/>
        <w:overflowPunct/>
        <w:bidi w:val="0"/>
        <w:adjustRightInd w:val="0"/>
        <w:snapToGrid w:val="0"/>
        <w:spacing w:line="360" w:lineRule="auto"/>
        <w:jc w:val="both"/>
        <w:rPr>
          <w:rFonts w:hint="eastAsia" w:ascii="宋体" w:hAnsi="宋体" w:eastAsia="宋体" w:cs="宋体"/>
          <w:b/>
          <w:sz w:val="24"/>
          <w:szCs w:val="24"/>
        </w:rPr>
      </w:pPr>
      <w:r>
        <w:rPr>
          <w:rFonts w:hint="eastAsia" w:ascii="宋体" w:hAnsi="宋体" w:eastAsia="宋体" w:cs="宋体"/>
          <w:b/>
          <w:sz w:val="24"/>
          <w:szCs w:val="24"/>
          <w:lang w:eastAsia="zh-CN"/>
        </w:rPr>
        <w:t>新疆医科大学第一附属医院</w:t>
      </w:r>
      <w:r>
        <w:rPr>
          <w:rFonts w:hint="eastAsia" w:ascii="宋体" w:hAnsi="宋体" w:eastAsia="宋体" w:cs="宋体"/>
          <w:b/>
          <w:sz w:val="24"/>
          <w:szCs w:val="24"/>
        </w:rPr>
        <w:t>：</w:t>
      </w:r>
    </w:p>
    <w:p w14:paraId="21B40459">
      <w:pPr>
        <w:widowControl w:val="0"/>
        <w:kinsoku/>
        <w:overflowPunct/>
        <w:bidi w:val="0"/>
        <w:adjustRightInd w:val="0"/>
        <w:snapToGrid w:val="0"/>
        <w:spacing w:line="360" w:lineRule="auto"/>
        <w:ind w:firstLine="424" w:firstLineChars="202"/>
        <w:jc w:val="both"/>
        <w:rPr>
          <w:rFonts w:hint="eastAsia" w:ascii="宋体" w:hAnsi="宋体" w:eastAsia="宋体" w:cs="宋体"/>
          <w:szCs w:val="21"/>
        </w:rPr>
      </w:pPr>
      <w:r>
        <w:rPr>
          <w:rFonts w:hint="eastAsia" w:ascii="宋体" w:hAnsi="宋体" w:eastAsia="宋体" w:cs="宋体"/>
          <w:szCs w:val="21"/>
        </w:rPr>
        <w:t>关于贵公司</w:t>
      </w:r>
      <w:r>
        <w:rPr>
          <w:rFonts w:hint="eastAsia" w:ascii="宋体" w:hAnsi="宋体" w:eastAsia="宋体" w:cs="宋体"/>
          <w:szCs w:val="21"/>
          <w:u w:val="single"/>
        </w:rPr>
        <w:t>　 　</w:t>
      </w:r>
      <w:r>
        <w:rPr>
          <w:rFonts w:hint="eastAsia" w:ascii="宋体" w:hAnsi="宋体" w:eastAsia="宋体" w:cs="宋体"/>
          <w:szCs w:val="21"/>
        </w:rPr>
        <w:t>年</w:t>
      </w:r>
      <w:r>
        <w:rPr>
          <w:rFonts w:hint="eastAsia" w:ascii="宋体" w:hAnsi="宋体" w:eastAsia="宋体" w:cs="宋体"/>
          <w:szCs w:val="21"/>
          <w:u w:val="single"/>
        </w:rPr>
        <w:t>　　</w:t>
      </w:r>
      <w:r>
        <w:rPr>
          <w:rFonts w:hint="eastAsia" w:ascii="宋体" w:hAnsi="宋体" w:eastAsia="宋体" w:cs="宋体"/>
          <w:szCs w:val="21"/>
        </w:rPr>
        <w:t>月</w:t>
      </w:r>
      <w:r>
        <w:rPr>
          <w:rFonts w:hint="eastAsia" w:ascii="宋体" w:hAnsi="宋体" w:eastAsia="宋体" w:cs="宋体"/>
          <w:szCs w:val="21"/>
          <w:u w:val="single"/>
        </w:rPr>
        <w:t>　　</w:t>
      </w:r>
      <w:r>
        <w:rPr>
          <w:rFonts w:hint="eastAsia" w:ascii="宋体" w:hAnsi="宋体" w:eastAsia="宋体" w:cs="宋体"/>
          <w:szCs w:val="21"/>
        </w:rPr>
        <w:t>日发布</w:t>
      </w:r>
      <w:r>
        <w:rPr>
          <w:rFonts w:hint="eastAsia" w:ascii="宋体" w:hAnsi="宋体" w:eastAsia="宋体" w:cs="宋体"/>
          <w:szCs w:val="21"/>
          <w:u w:val="single"/>
        </w:rPr>
        <w:t xml:space="preserve">                     </w:t>
      </w:r>
      <w:r>
        <w:rPr>
          <w:rFonts w:hint="eastAsia" w:ascii="宋体" w:hAnsi="宋体" w:eastAsia="宋体" w:cs="宋体"/>
          <w:szCs w:val="21"/>
        </w:rPr>
        <w:t>项目（项目编号：      ）的采购</w:t>
      </w:r>
      <w:r>
        <w:rPr>
          <w:rFonts w:hint="eastAsia" w:ascii="宋体" w:hAnsi="宋体" w:eastAsia="宋体" w:cs="宋体"/>
          <w:szCs w:val="21"/>
          <w:lang w:eastAsia="zh-CN"/>
        </w:rPr>
        <w:t>（</w:t>
      </w:r>
      <w:r>
        <w:rPr>
          <w:rFonts w:hint="eastAsia" w:ascii="宋体" w:hAnsi="宋体" w:eastAsia="宋体" w:cs="宋体"/>
          <w:szCs w:val="21"/>
          <w:lang w:val="en-US" w:eastAsia="zh-CN"/>
        </w:rPr>
        <w:t>磋商</w:t>
      </w:r>
      <w:r>
        <w:rPr>
          <w:rFonts w:hint="eastAsia" w:ascii="宋体" w:hAnsi="宋体" w:eastAsia="宋体" w:cs="宋体"/>
          <w:szCs w:val="21"/>
          <w:lang w:eastAsia="zh-CN"/>
        </w:rPr>
        <w:t>）</w:t>
      </w:r>
      <w:r>
        <w:rPr>
          <w:rFonts w:hint="eastAsia" w:ascii="宋体" w:hAnsi="宋体" w:eastAsia="宋体" w:cs="宋体"/>
          <w:szCs w:val="21"/>
        </w:rPr>
        <w:t>公告，本公司（企业）愿意参加投标，并声明如下：</w:t>
      </w:r>
    </w:p>
    <w:p w14:paraId="7DF1A165">
      <w:pPr>
        <w:widowControl w:val="0"/>
        <w:kinsoku/>
        <w:overflowPunct/>
        <w:bidi w:val="0"/>
        <w:adjustRightInd w:val="0"/>
        <w:snapToGrid w:val="0"/>
        <w:spacing w:line="360" w:lineRule="auto"/>
        <w:ind w:firstLine="424" w:firstLineChars="202"/>
        <w:jc w:val="both"/>
        <w:rPr>
          <w:rFonts w:hint="eastAsia" w:ascii="宋体" w:hAnsi="宋体" w:eastAsia="宋体" w:cs="宋体"/>
          <w:szCs w:val="21"/>
        </w:rPr>
      </w:pPr>
      <w:r>
        <w:rPr>
          <w:rFonts w:hint="eastAsia" w:ascii="宋体" w:hAnsi="宋体" w:eastAsia="宋体" w:cs="宋体"/>
          <w:szCs w:val="21"/>
        </w:rPr>
        <w:t>(1)本公司（企业）具备</w:t>
      </w:r>
      <w:r>
        <w:rPr>
          <w:rFonts w:hint="eastAsia" w:ascii="宋体" w:hAnsi="宋体" w:eastAsia="宋体" w:cs="宋体"/>
          <w:bCs/>
          <w:szCs w:val="21"/>
        </w:rPr>
        <w:t>《中华人民共和国政府采购法》第二十二条资格条件，</w:t>
      </w:r>
      <w:r>
        <w:rPr>
          <w:rFonts w:hint="eastAsia" w:ascii="宋体" w:hAnsi="宋体" w:eastAsia="宋体" w:cs="宋体"/>
          <w:szCs w:val="21"/>
        </w:rPr>
        <w:t>并已清楚</w:t>
      </w:r>
      <w:r>
        <w:rPr>
          <w:rFonts w:hint="eastAsia" w:ascii="宋体" w:hAnsi="宋体" w:eastAsia="宋体" w:cs="宋体"/>
          <w:szCs w:val="21"/>
          <w:lang w:val="en-US" w:eastAsia="zh-CN"/>
        </w:rPr>
        <w:t>磋商</w:t>
      </w:r>
      <w:r>
        <w:rPr>
          <w:rFonts w:hint="eastAsia" w:ascii="宋体" w:hAnsi="宋体" w:eastAsia="宋体" w:cs="宋体"/>
          <w:szCs w:val="21"/>
        </w:rPr>
        <w:t>文件的要求及有关文件规定。</w:t>
      </w:r>
    </w:p>
    <w:p w14:paraId="072143F1">
      <w:pPr>
        <w:widowControl w:val="0"/>
        <w:kinsoku/>
        <w:overflowPunct/>
        <w:bidi w:val="0"/>
        <w:adjustRightInd w:val="0"/>
        <w:snapToGrid w:val="0"/>
        <w:spacing w:line="360" w:lineRule="auto"/>
        <w:ind w:firstLine="424" w:firstLineChars="202"/>
        <w:jc w:val="both"/>
        <w:rPr>
          <w:rFonts w:hint="eastAsia" w:ascii="宋体" w:hAnsi="宋体" w:eastAsia="宋体" w:cs="宋体"/>
          <w:szCs w:val="21"/>
        </w:rPr>
      </w:pPr>
      <w:r>
        <w:rPr>
          <w:rFonts w:hint="eastAsia" w:ascii="宋体" w:hAnsi="宋体" w:eastAsia="宋体" w:cs="宋体"/>
          <w:szCs w:val="21"/>
        </w:rPr>
        <w:t>(2)本公司（企业）具有履行合同所必需的设备和专业技术能力，且本公司（企业）参加政府采购活动前3年内在经营活动中没有重大违法记录。否则，由此所造成的损失、不良后果及法律责任，一律由我公司（企业）承担。</w:t>
      </w:r>
    </w:p>
    <w:p w14:paraId="1C3EEC9E">
      <w:pPr>
        <w:widowControl w:val="0"/>
        <w:kinsoku/>
        <w:overflowPunct/>
        <w:bidi w:val="0"/>
        <w:adjustRightInd w:val="0"/>
        <w:snapToGrid w:val="0"/>
        <w:spacing w:line="360" w:lineRule="auto"/>
        <w:ind w:firstLine="424" w:firstLineChars="202"/>
        <w:jc w:val="both"/>
        <w:rPr>
          <w:rFonts w:hint="eastAsia" w:ascii="宋体" w:hAnsi="宋体" w:eastAsia="宋体" w:cs="宋体"/>
          <w:szCs w:val="21"/>
        </w:rPr>
      </w:pPr>
      <w:r>
        <w:rPr>
          <w:rFonts w:hint="eastAsia" w:ascii="宋体" w:hAnsi="宋体" w:eastAsia="宋体" w:cs="宋体"/>
          <w:szCs w:val="21"/>
        </w:rPr>
        <w:t>(3)关于本企业信用情况，经对“信用中国”网站（www.creditchina.gov.cn）、“中国政府采购网”（ www.ccgp.gov.cn）信用记录信息的查询，截至规定的投标截止时间，我司没有被列入失信被执行人、重大税收违法案件当事人名单、政府采购严重违法失信行为记录名单及其他不符合规定条件的投标人名单中。</w:t>
      </w:r>
    </w:p>
    <w:p w14:paraId="7C97918F">
      <w:pPr>
        <w:widowControl w:val="0"/>
        <w:kinsoku/>
        <w:overflowPunct/>
        <w:bidi w:val="0"/>
        <w:adjustRightInd w:val="0"/>
        <w:snapToGrid w:val="0"/>
        <w:spacing w:line="360" w:lineRule="auto"/>
        <w:ind w:firstLine="424" w:firstLineChars="202"/>
        <w:jc w:val="both"/>
        <w:rPr>
          <w:rFonts w:hint="eastAsia" w:ascii="宋体" w:hAnsi="宋体" w:eastAsia="宋体" w:cs="宋体"/>
          <w:szCs w:val="21"/>
        </w:rPr>
      </w:pPr>
      <w:r>
        <w:rPr>
          <w:rFonts w:hint="eastAsia" w:ascii="宋体" w:hAnsi="宋体" w:eastAsia="宋体" w:cs="宋体"/>
          <w:szCs w:val="21"/>
        </w:rPr>
        <w:t xml:space="preserve"> (4)本公司（企业）不存在以下情况：单位负责人为同一人或者存在直接控股、管理关系的不同</w:t>
      </w:r>
      <w:r>
        <w:rPr>
          <w:rFonts w:hint="eastAsia" w:ascii="宋体" w:hAnsi="宋体" w:eastAsia="宋体" w:cs="宋体"/>
          <w:szCs w:val="21"/>
          <w:lang w:eastAsia="zh-CN"/>
        </w:rPr>
        <w:t>供应商</w:t>
      </w:r>
      <w:r>
        <w:rPr>
          <w:rFonts w:hint="eastAsia" w:ascii="宋体" w:hAnsi="宋体" w:eastAsia="宋体" w:cs="宋体"/>
          <w:szCs w:val="21"/>
        </w:rPr>
        <w:t>，参加同一包号投标或者未划分包号的同一招标项目投标。与采购人存在利害关系可能影响招标公正性的法人、其他组织或者个人，参加投标。</w:t>
      </w:r>
    </w:p>
    <w:p w14:paraId="61D7F04D">
      <w:pPr>
        <w:widowControl w:val="0"/>
        <w:kinsoku/>
        <w:overflowPunct/>
        <w:bidi w:val="0"/>
        <w:adjustRightInd w:val="0"/>
        <w:snapToGrid w:val="0"/>
        <w:spacing w:line="360" w:lineRule="auto"/>
        <w:ind w:firstLine="424" w:firstLineChars="202"/>
        <w:jc w:val="both"/>
        <w:rPr>
          <w:rFonts w:hint="eastAsia" w:ascii="宋体" w:hAnsi="宋体" w:eastAsia="宋体" w:cs="宋体"/>
          <w:szCs w:val="21"/>
          <w:highlight w:val="none"/>
        </w:rPr>
      </w:pPr>
      <w:r>
        <w:rPr>
          <w:rFonts w:hint="eastAsia" w:ascii="宋体" w:hAnsi="宋体" w:eastAsia="宋体" w:cs="宋体"/>
          <w:szCs w:val="21"/>
        </w:rPr>
        <w:t>本次招标采购活动中，本单位保证全部投标文件和问题的回答是真实和有效的，并对所提供资料的真</w:t>
      </w:r>
      <w:r>
        <w:rPr>
          <w:rFonts w:hint="eastAsia" w:ascii="宋体" w:hAnsi="宋体" w:eastAsia="宋体" w:cs="宋体"/>
          <w:szCs w:val="21"/>
          <w:highlight w:val="none"/>
        </w:rPr>
        <w:t>实性和正确性承担法律责任。</w:t>
      </w:r>
    </w:p>
    <w:p w14:paraId="7CB8D73F">
      <w:pPr>
        <w:widowControl w:val="0"/>
        <w:kinsoku/>
        <w:overflowPunct/>
        <w:bidi w:val="0"/>
        <w:adjustRightInd w:val="0"/>
        <w:snapToGrid w:val="0"/>
        <w:spacing w:line="360" w:lineRule="auto"/>
        <w:ind w:firstLine="424" w:firstLineChars="202"/>
        <w:jc w:val="both"/>
        <w:rPr>
          <w:rFonts w:hint="eastAsia" w:ascii="宋体" w:hAnsi="宋体" w:eastAsia="宋体" w:cs="宋体"/>
          <w:szCs w:val="21"/>
          <w:highlight w:val="none"/>
        </w:rPr>
      </w:pPr>
      <w:r>
        <w:rPr>
          <w:rFonts w:hint="eastAsia" w:ascii="宋体" w:hAnsi="宋体" w:eastAsia="宋体" w:cs="宋体"/>
          <w:szCs w:val="21"/>
          <w:highlight w:val="none"/>
        </w:rPr>
        <w:t>如有违法、违规、弄虚作假行为，所造成的损失、不良后果及法律责任，一律由我公司（企业）承担。</w:t>
      </w:r>
    </w:p>
    <w:p w14:paraId="4984E31D">
      <w:pPr>
        <w:widowControl w:val="0"/>
        <w:kinsoku/>
        <w:overflowPunct/>
        <w:bidi w:val="0"/>
        <w:spacing w:line="360" w:lineRule="auto"/>
        <w:ind w:firstLine="420"/>
        <w:jc w:val="both"/>
        <w:rPr>
          <w:rFonts w:hint="eastAsia" w:ascii="宋体" w:hAnsi="宋体" w:eastAsia="宋体" w:cs="宋体"/>
          <w:szCs w:val="21"/>
          <w:highlight w:val="none"/>
        </w:rPr>
      </w:pPr>
      <w:r>
        <w:rPr>
          <w:rFonts w:hint="eastAsia" w:ascii="宋体" w:hAnsi="宋体" w:eastAsia="宋体" w:cs="宋体"/>
          <w:szCs w:val="21"/>
          <w:highlight w:val="none"/>
        </w:rPr>
        <w:t>特此声明！</w:t>
      </w:r>
    </w:p>
    <w:p w14:paraId="333D2AA0">
      <w:pPr>
        <w:widowControl w:val="0"/>
        <w:kinsoku/>
        <w:overflowPunct/>
        <w:bidi w:val="0"/>
        <w:adjustRightInd w:val="0"/>
        <w:snapToGrid w:val="0"/>
        <w:spacing w:line="360" w:lineRule="auto"/>
        <w:jc w:val="both"/>
        <w:rPr>
          <w:rFonts w:hint="eastAsia" w:ascii="宋体" w:hAnsi="宋体" w:eastAsia="宋体" w:cs="宋体"/>
          <w:szCs w:val="21"/>
        </w:rPr>
      </w:pPr>
    </w:p>
    <w:p w14:paraId="74B2FDB9">
      <w:pPr>
        <w:widowControl w:val="0"/>
        <w:kinsoku/>
        <w:overflowPunct/>
        <w:bidi w:val="0"/>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lang w:val="en-US" w:eastAsia="zh-CN"/>
        </w:rPr>
        <w:t>供应商</w:t>
      </w:r>
      <w:r>
        <w:rPr>
          <w:rFonts w:hint="eastAsia" w:ascii="宋体" w:hAnsi="宋体" w:eastAsia="宋体" w:cs="宋体"/>
          <w:szCs w:val="21"/>
        </w:rPr>
        <w:t>法定代表人（或法定代表人授权代表）签字（或签章）：</w:t>
      </w:r>
      <w:r>
        <w:rPr>
          <w:rFonts w:hint="eastAsia" w:ascii="宋体" w:hAnsi="宋体" w:eastAsia="宋体" w:cs="宋体"/>
          <w:szCs w:val="21"/>
          <w:u w:val="single"/>
        </w:rPr>
        <w:t xml:space="preserve">                   </w:t>
      </w:r>
    </w:p>
    <w:p w14:paraId="38383A4E">
      <w:pPr>
        <w:widowControl w:val="0"/>
        <w:kinsoku/>
        <w:overflowPunct/>
        <w:bidi w:val="0"/>
        <w:adjustRightInd w:val="0"/>
        <w:snapToGrid w:val="0"/>
        <w:spacing w:line="360" w:lineRule="auto"/>
        <w:jc w:val="both"/>
        <w:rPr>
          <w:rFonts w:hint="eastAsia" w:ascii="宋体" w:hAnsi="宋体" w:eastAsia="宋体" w:cs="宋体"/>
          <w:szCs w:val="21"/>
          <w:u w:val="single"/>
        </w:rPr>
      </w:pPr>
      <w:r>
        <w:rPr>
          <w:rFonts w:hint="eastAsia" w:ascii="宋体" w:hAnsi="宋体" w:eastAsia="宋体" w:cs="宋体"/>
          <w:szCs w:val="21"/>
          <w:lang w:val="en-US" w:eastAsia="zh-CN"/>
        </w:rPr>
        <w:t>供应商</w:t>
      </w:r>
      <w:r>
        <w:rPr>
          <w:rFonts w:hint="eastAsia" w:ascii="宋体" w:hAnsi="宋体" w:eastAsia="宋体" w:cs="宋体"/>
          <w:szCs w:val="21"/>
        </w:rPr>
        <w:t>名称（加盖公章）：</w:t>
      </w:r>
      <w:r>
        <w:rPr>
          <w:rFonts w:hint="eastAsia" w:ascii="宋体" w:hAnsi="宋体" w:eastAsia="宋体" w:cs="宋体"/>
          <w:szCs w:val="21"/>
          <w:u w:val="single"/>
        </w:rPr>
        <w:t xml:space="preserve">                        </w:t>
      </w:r>
    </w:p>
    <w:p w14:paraId="5A8BEC44">
      <w:pPr>
        <w:widowControl w:val="0"/>
        <w:kinsoku/>
        <w:overflowPunct/>
        <w:bidi w:val="0"/>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 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14:paraId="6F3B933B">
      <w:pPr>
        <w:widowControl w:val="0"/>
        <w:kinsoku/>
        <w:overflowPunct/>
        <w:bidi w:val="0"/>
        <w:spacing w:line="360" w:lineRule="auto"/>
        <w:jc w:val="both"/>
        <w:rPr>
          <w:rFonts w:hint="eastAsia" w:ascii="宋体" w:hAnsi="宋体" w:eastAsia="宋体" w:cs="宋体"/>
          <w:b/>
          <w:bCs w:val="0"/>
          <w:szCs w:val="21"/>
          <w:highlight w:val="none"/>
        </w:rPr>
      </w:pPr>
      <w:r>
        <w:rPr>
          <w:rFonts w:hint="eastAsia" w:ascii="宋体" w:hAnsi="宋体" w:eastAsia="宋体" w:cs="宋体"/>
          <w:b/>
          <w:bCs w:val="0"/>
          <w:szCs w:val="21"/>
          <w:highlight w:val="none"/>
        </w:rPr>
        <w:t>后附附件如下：</w:t>
      </w:r>
    </w:p>
    <w:p w14:paraId="703937E3">
      <w:pPr>
        <w:widowControl w:val="0"/>
        <w:kinsoku/>
        <w:overflowPunct/>
        <w:bidi w:val="0"/>
        <w:spacing w:line="360" w:lineRule="auto"/>
        <w:jc w:val="both"/>
        <w:rPr>
          <w:rFonts w:hint="eastAsia" w:ascii="宋体" w:hAnsi="宋体" w:eastAsia="宋体" w:cs="宋体"/>
          <w:b/>
          <w:bCs w:val="0"/>
          <w:szCs w:val="21"/>
          <w:highlight w:val="none"/>
          <w:lang w:val="zh-CN"/>
        </w:rPr>
      </w:pPr>
      <w:r>
        <w:rPr>
          <w:rFonts w:hint="eastAsia" w:ascii="宋体" w:hAnsi="宋体" w:eastAsia="宋体" w:cs="宋体"/>
          <w:b/>
          <w:bCs w:val="0"/>
          <w:szCs w:val="21"/>
          <w:highlight w:val="none"/>
        </w:rPr>
        <w:t>1. 2023年度</w:t>
      </w:r>
      <w:r>
        <w:rPr>
          <w:rFonts w:hint="eastAsia" w:ascii="宋体" w:hAnsi="宋体" w:eastAsia="宋体" w:cs="宋体"/>
          <w:b/>
          <w:bCs w:val="0"/>
          <w:szCs w:val="21"/>
          <w:highlight w:val="none"/>
          <w:lang w:val="zh-CN"/>
        </w:rPr>
        <w:t>的财务状况报告证明文件(成立不足一个年度的提供近三个月内任意一个月的银行资信证明材料复印件/扫描件）。（复印件/扫描件加盖公章）</w:t>
      </w:r>
    </w:p>
    <w:p w14:paraId="42571FF1">
      <w:pPr>
        <w:widowControl w:val="0"/>
        <w:kinsoku/>
        <w:overflowPunct/>
        <w:bidi w:val="0"/>
        <w:spacing w:line="360" w:lineRule="auto"/>
        <w:jc w:val="both"/>
        <w:rPr>
          <w:rFonts w:hint="eastAsia" w:ascii="宋体" w:hAnsi="宋体" w:eastAsia="宋体" w:cs="宋体"/>
          <w:b/>
          <w:bCs w:val="0"/>
          <w:szCs w:val="21"/>
          <w:highlight w:val="none"/>
          <w:lang w:val="zh-CN"/>
        </w:rPr>
      </w:pPr>
      <w:r>
        <w:rPr>
          <w:rFonts w:hint="eastAsia" w:ascii="宋体" w:hAnsi="宋体" w:eastAsia="宋体" w:cs="宋体"/>
          <w:b/>
          <w:bCs w:val="0"/>
          <w:szCs w:val="21"/>
          <w:highlight w:val="none"/>
          <w:lang w:val="zh-CN"/>
        </w:rPr>
        <w:t xml:space="preserve">2. </w:t>
      </w:r>
      <w:r>
        <w:rPr>
          <w:rFonts w:hint="eastAsia" w:ascii="宋体" w:hAnsi="宋体" w:eastAsia="宋体" w:cs="宋体"/>
          <w:b/>
          <w:bCs w:val="0"/>
          <w:szCs w:val="21"/>
          <w:highlight w:val="none"/>
        </w:rPr>
        <w:t>投标截止日前一年</w:t>
      </w:r>
      <w:r>
        <w:rPr>
          <w:rFonts w:hint="eastAsia" w:ascii="宋体" w:hAnsi="宋体" w:eastAsia="宋体" w:cs="宋体"/>
          <w:b/>
          <w:bCs w:val="0"/>
          <w:szCs w:val="21"/>
          <w:highlight w:val="none"/>
          <w:lang w:val="zh-CN"/>
        </w:rPr>
        <w:t>内任意一个月的缴纳税收证明材料（如增值税、营业税等缴纳凭证</w:t>
      </w:r>
      <w:r>
        <w:rPr>
          <w:rFonts w:hint="eastAsia" w:ascii="宋体" w:hAnsi="宋体" w:eastAsia="宋体" w:cs="宋体"/>
          <w:b/>
          <w:bCs w:val="0"/>
          <w:szCs w:val="21"/>
          <w:highlight w:val="none"/>
          <w:lang w:val="en-US" w:eastAsia="zh-CN"/>
        </w:rPr>
        <w:t>等；如依法免税的，应提供相应文件证明</w:t>
      </w:r>
      <w:r>
        <w:rPr>
          <w:rFonts w:hint="eastAsia" w:ascii="宋体" w:hAnsi="宋体" w:eastAsia="宋体" w:cs="宋体"/>
          <w:b/>
          <w:bCs w:val="0"/>
          <w:szCs w:val="21"/>
          <w:highlight w:val="none"/>
          <w:lang w:val="zh-CN"/>
        </w:rPr>
        <w:t>）。</w:t>
      </w:r>
    </w:p>
    <w:p w14:paraId="0F5A344A">
      <w:pPr>
        <w:widowControl w:val="0"/>
        <w:kinsoku/>
        <w:overflowPunct/>
        <w:bidi w:val="0"/>
        <w:spacing w:line="360" w:lineRule="auto"/>
        <w:jc w:val="both"/>
        <w:rPr>
          <w:rFonts w:hint="eastAsia" w:ascii="宋体" w:hAnsi="宋体" w:eastAsia="宋体" w:cs="宋体"/>
          <w:b/>
          <w:bCs w:val="0"/>
          <w:szCs w:val="21"/>
          <w:highlight w:val="none"/>
          <w:lang w:val="zh-CN"/>
        </w:rPr>
      </w:pPr>
      <w:r>
        <w:rPr>
          <w:rFonts w:hint="eastAsia" w:ascii="宋体" w:hAnsi="宋体" w:eastAsia="宋体" w:cs="宋体"/>
          <w:b/>
          <w:bCs w:val="0"/>
          <w:szCs w:val="21"/>
          <w:highlight w:val="none"/>
          <w:lang w:val="zh-CN"/>
        </w:rPr>
        <w:t xml:space="preserve">3. </w:t>
      </w:r>
      <w:r>
        <w:rPr>
          <w:rFonts w:hint="eastAsia" w:ascii="宋体" w:hAnsi="宋体" w:eastAsia="宋体" w:cs="宋体"/>
          <w:b/>
          <w:bCs w:val="0"/>
          <w:szCs w:val="21"/>
          <w:highlight w:val="none"/>
        </w:rPr>
        <w:t>投标截止日前一年</w:t>
      </w:r>
      <w:r>
        <w:rPr>
          <w:rFonts w:hint="eastAsia" w:ascii="宋体" w:hAnsi="宋体" w:eastAsia="宋体" w:cs="宋体"/>
          <w:b/>
          <w:bCs w:val="0"/>
          <w:szCs w:val="21"/>
          <w:highlight w:val="none"/>
          <w:lang w:val="zh-CN"/>
        </w:rPr>
        <w:t>内任意一个月的缴纳社会保险凭据。</w:t>
      </w:r>
    </w:p>
    <w:p w14:paraId="48C7C106">
      <w:pPr>
        <w:rPr>
          <w:rFonts w:hint="eastAsia" w:ascii="宋体" w:hAnsi="宋体" w:eastAsia="宋体" w:cs="宋体"/>
          <w:b/>
          <w:szCs w:val="21"/>
        </w:rPr>
      </w:pPr>
      <w:r>
        <w:rPr>
          <w:rFonts w:hint="eastAsia" w:ascii="宋体" w:hAnsi="宋体" w:eastAsia="宋体" w:cs="宋体"/>
          <w:b/>
          <w:szCs w:val="21"/>
        </w:rPr>
        <w:br w:type="page"/>
      </w:r>
      <w:r>
        <w:rPr>
          <w:rFonts w:hint="eastAsia" w:ascii="宋体" w:hAnsi="宋体" w:eastAsia="宋体" w:cs="宋体"/>
          <w:b/>
          <w:szCs w:val="21"/>
        </w:rPr>
        <w:t>企业股东构成情况表</w:t>
      </w:r>
    </w:p>
    <w:p w14:paraId="69486A5B">
      <w:pPr>
        <w:widowControl w:val="0"/>
        <w:kinsoku/>
        <w:overflowPunct/>
        <w:bidi w:val="0"/>
        <w:spacing w:line="360" w:lineRule="auto"/>
        <w:jc w:val="left"/>
        <w:rPr>
          <w:rFonts w:hint="eastAsia" w:ascii="宋体" w:hAnsi="宋体" w:eastAsia="宋体" w:cs="宋体"/>
          <w:b/>
          <w:szCs w:val="21"/>
        </w:rPr>
      </w:pPr>
    </w:p>
    <w:tbl>
      <w:tblPr>
        <w:tblStyle w:val="37"/>
        <w:tblW w:w="0" w:type="auto"/>
        <w:tblInd w:w="-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3DC22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0831A48B">
            <w:pPr>
              <w:widowControl/>
              <w:kinsoku/>
              <w:overflowPunct/>
              <w:topLinePunct/>
              <w:bidi w:val="0"/>
              <w:spacing w:line="360" w:lineRule="auto"/>
              <w:jc w:val="center"/>
              <w:rPr>
                <w:rFonts w:hint="eastAsia" w:ascii="宋体" w:hAnsi="宋体" w:eastAsia="宋体" w:cs="宋体"/>
                <w:szCs w:val="21"/>
              </w:rPr>
            </w:pPr>
            <w:r>
              <w:rPr>
                <w:rFonts w:hint="eastAsia" w:ascii="宋体" w:hAnsi="宋体" w:eastAsia="宋体" w:cs="宋体"/>
                <w:szCs w:val="21"/>
              </w:rPr>
              <w:t>企业名称</w:t>
            </w:r>
          </w:p>
        </w:tc>
        <w:tc>
          <w:tcPr>
            <w:tcW w:w="7088" w:type="dxa"/>
            <w:gridSpan w:val="8"/>
            <w:tcBorders>
              <w:top w:val="single" w:color="auto" w:sz="4" w:space="0"/>
              <w:left w:val="single" w:color="auto" w:sz="4" w:space="0"/>
              <w:bottom w:val="single" w:color="auto" w:sz="4" w:space="0"/>
              <w:right w:val="single" w:color="auto" w:sz="4" w:space="0"/>
            </w:tcBorders>
            <w:noWrap w:val="0"/>
            <w:vAlign w:val="center"/>
          </w:tcPr>
          <w:p w14:paraId="37F130C2">
            <w:pPr>
              <w:widowControl/>
              <w:kinsoku/>
              <w:overflowPunct/>
              <w:topLinePunct/>
              <w:bidi w:val="0"/>
              <w:spacing w:line="360" w:lineRule="auto"/>
              <w:jc w:val="center"/>
              <w:rPr>
                <w:rFonts w:hint="eastAsia" w:ascii="宋体" w:hAnsi="宋体" w:eastAsia="宋体" w:cs="宋体"/>
                <w:szCs w:val="21"/>
              </w:rPr>
            </w:pPr>
          </w:p>
        </w:tc>
      </w:tr>
      <w:tr w14:paraId="1E39C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280CB37E">
            <w:pPr>
              <w:widowControl/>
              <w:kinsoku/>
              <w:overflowPunct/>
              <w:topLinePunct/>
              <w:bidi w:val="0"/>
              <w:spacing w:line="360" w:lineRule="auto"/>
              <w:jc w:val="center"/>
              <w:rPr>
                <w:rFonts w:hint="eastAsia" w:ascii="宋体" w:hAnsi="宋体" w:eastAsia="宋体" w:cs="宋体"/>
                <w:szCs w:val="21"/>
              </w:rPr>
            </w:pPr>
            <w:r>
              <w:rPr>
                <w:rFonts w:hint="eastAsia" w:ascii="宋体" w:hAnsi="宋体" w:eastAsia="宋体" w:cs="宋体"/>
                <w:szCs w:val="21"/>
              </w:rPr>
              <w:t>注册地址</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14:paraId="4EEB7FCB">
            <w:pPr>
              <w:widowControl/>
              <w:kinsoku/>
              <w:overflowPunct/>
              <w:topLinePunct/>
              <w:bidi w:val="0"/>
              <w:spacing w:line="360" w:lineRule="auto"/>
              <w:jc w:val="center"/>
              <w:rPr>
                <w:rFonts w:hint="eastAsia" w:ascii="宋体" w:hAnsi="宋体" w:eastAsia="宋体" w:cs="宋体"/>
                <w:szCs w:val="21"/>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14:paraId="079F2F59">
            <w:pPr>
              <w:widowControl/>
              <w:kinsoku/>
              <w:overflowPunct/>
              <w:topLinePunct/>
              <w:bidi w:val="0"/>
              <w:spacing w:line="360" w:lineRule="auto"/>
              <w:jc w:val="center"/>
              <w:rPr>
                <w:rFonts w:hint="eastAsia" w:ascii="宋体" w:hAnsi="宋体" w:eastAsia="宋体" w:cs="宋体"/>
                <w:szCs w:val="21"/>
              </w:rPr>
            </w:pPr>
            <w:r>
              <w:rPr>
                <w:rFonts w:hint="eastAsia" w:ascii="宋体" w:hAnsi="宋体" w:eastAsia="宋体" w:cs="宋体"/>
                <w:szCs w:val="21"/>
              </w:rPr>
              <w:t>企业类型</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14:paraId="3880A8C9">
            <w:pPr>
              <w:widowControl/>
              <w:kinsoku/>
              <w:overflowPunct/>
              <w:topLinePunct/>
              <w:bidi w:val="0"/>
              <w:spacing w:line="360" w:lineRule="auto"/>
              <w:jc w:val="center"/>
              <w:rPr>
                <w:rFonts w:hint="eastAsia" w:ascii="宋体" w:hAnsi="宋体" w:eastAsia="宋体" w:cs="宋体"/>
                <w:szCs w:val="21"/>
              </w:rPr>
            </w:pPr>
          </w:p>
        </w:tc>
      </w:tr>
      <w:tr w14:paraId="0BB8D9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3E2FC359">
            <w:pPr>
              <w:widowControl/>
              <w:kinsoku/>
              <w:overflowPunct/>
              <w:topLinePunct/>
              <w:bidi w:val="0"/>
              <w:spacing w:line="360" w:lineRule="auto"/>
              <w:jc w:val="center"/>
              <w:rPr>
                <w:rFonts w:hint="eastAsia" w:ascii="宋体" w:hAnsi="宋体" w:eastAsia="宋体" w:cs="宋体"/>
                <w:szCs w:val="21"/>
              </w:rPr>
            </w:pPr>
            <w:r>
              <w:rPr>
                <w:rFonts w:hint="eastAsia" w:ascii="宋体" w:hAnsi="宋体" w:eastAsia="宋体" w:cs="宋体"/>
                <w:szCs w:val="21"/>
              </w:rPr>
              <w:t>法定代表人姓名</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14:paraId="54559C9A">
            <w:pPr>
              <w:widowControl/>
              <w:kinsoku/>
              <w:overflowPunct/>
              <w:topLinePunct/>
              <w:bidi w:val="0"/>
              <w:spacing w:line="360" w:lineRule="auto"/>
              <w:jc w:val="center"/>
              <w:rPr>
                <w:rFonts w:hint="eastAsia" w:ascii="宋体" w:hAnsi="宋体" w:eastAsia="宋体" w:cs="宋体"/>
                <w:szCs w:val="21"/>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14:paraId="5D0E3573">
            <w:pPr>
              <w:widowControl/>
              <w:kinsoku/>
              <w:overflowPunct/>
              <w:topLinePunct/>
              <w:bidi w:val="0"/>
              <w:spacing w:line="360" w:lineRule="auto"/>
              <w:jc w:val="center"/>
              <w:rPr>
                <w:rFonts w:hint="eastAsia" w:ascii="宋体" w:hAnsi="宋体" w:eastAsia="宋体" w:cs="宋体"/>
                <w:szCs w:val="21"/>
              </w:rPr>
            </w:pPr>
            <w:r>
              <w:rPr>
                <w:rFonts w:hint="eastAsia" w:ascii="宋体" w:hAnsi="宋体" w:eastAsia="宋体" w:cs="宋体"/>
                <w:szCs w:val="21"/>
              </w:rPr>
              <w:t>电话</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14:paraId="6168F6CC">
            <w:pPr>
              <w:widowControl/>
              <w:kinsoku/>
              <w:overflowPunct/>
              <w:topLinePunct/>
              <w:bidi w:val="0"/>
              <w:spacing w:line="360" w:lineRule="auto"/>
              <w:jc w:val="center"/>
              <w:rPr>
                <w:rFonts w:hint="eastAsia" w:ascii="宋体" w:hAnsi="宋体" w:eastAsia="宋体" w:cs="宋体"/>
                <w:szCs w:val="21"/>
              </w:rPr>
            </w:pPr>
          </w:p>
        </w:tc>
      </w:tr>
      <w:tr w14:paraId="30B93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9039" w:type="dxa"/>
            <w:gridSpan w:val="10"/>
            <w:tcBorders>
              <w:top w:val="single" w:color="auto" w:sz="4" w:space="0"/>
              <w:left w:val="single" w:color="auto" w:sz="4" w:space="0"/>
              <w:bottom w:val="single" w:color="auto" w:sz="4" w:space="0"/>
              <w:right w:val="single" w:color="auto" w:sz="4" w:space="0"/>
            </w:tcBorders>
            <w:noWrap w:val="0"/>
            <w:vAlign w:val="center"/>
          </w:tcPr>
          <w:p w14:paraId="4853FDA8">
            <w:pPr>
              <w:widowControl/>
              <w:kinsoku/>
              <w:overflowPunct/>
              <w:topLinePunct/>
              <w:bidi w:val="0"/>
              <w:spacing w:line="360" w:lineRule="auto"/>
              <w:jc w:val="center"/>
              <w:rPr>
                <w:rFonts w:hint="eastAsia" w:ascii="宋体" w:hAnsi="宋体" w:eastAsia="宋体" w:cs="宋体"/>
                <w:b/>
                <w:szCs w:val="21"/>
              </w:rPr>
            </w:pPr>
            <w:r>
              <w:rPr>
                <w:rFonts w:hint="eastAsia" w:ascii="宋体" w:hAnsi="宋体" w:eastAsia="宋体" w:cs="宋体"/>
                <w:b/>
                <w:szCs w:val="21"/>
              </w:rPr>
              <w:t>股东及出资信息</w:t>
            </w:r>
          </w:p>
        </w:tc>
      </w:tr>
      <w:tr w14:paraId="2BCA4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274529A0">
            <w:pPr>
              <w:widowControl/>
              <w:kinsoku/>
              <w:overflowPunct/>
              <w:topLinePunct/>
              <w:bidi w:val="0"/>
              <w:spacing w:line="360" w:lineRule="auto"/>
              <w:jc w:val="center"/>
              <w:rPr>
                <w:rFonts w:hint="eastAsia" w:ascii="宋体" w:hAnsi="宋体" w:eastAsia="宋体" w:cs="宋体"/>
                <w:b/>
                <w:szCs w:val="21"/>
              </w:rPr>
            </w:pPr>
            <w:r>
              <w:rPr>
                <w:rFonts w:hint="eastAsia" w:ascii="宋体" w:hAnsi="宋体" w:eastAsia="宋体" w:cs="宋体"/>
                <w:b/>
                <w:szCs w:val="21"/>
              </w:rPr>
              <w:t>序号</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3EAC3ACB">
            <w:pPr>
              <w:widowControl/>
              <w:kinsoku/>
              <w:overflowPunct/>
              <w:topLinePunct/>
              <w:bidi w:val="0"/>
              <w:spacing w:line="360" w:lineRule="auto"/>
              <w:jc w:val="center"/>
              <w:rPr>
                <w:rFonts w:hint="eastAsia" w:ascii="宋体" w:hAnsi="宋体" w:eastAsia="宋体" w:cs="宋体"/>
                <w:b/>
                <w:szCs w:val="21"/>
              </w:rPr>
            </w:pPr>
            <w:r>
              <w:rPr>
                <w:rFonts w:hint="eastAsia" w:ascii="宋体" w:hAnsi="宋体" w:eastAsia="宋体" w:cs="宋体"/>
                <w:b/>
                <w:szCs w:val="21"/>
              </w:rPr>
              <w:t>股东名称(姓名/股东全称)</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3C7C0BD">
            <w:pPr>
              <w:widowControl/>
              <w:kinsoku/>
              <w:overflowPunct/>
              <w:topLinePunct/>
              <w:bidi w:val="0"/>
              <w:spacing w:line="360" w:lineRule="auto"/>
              <w:jc w:val="center"/>
              <w:rPr>
                <w:rFonts w:hint="eastAsia" w:ascii="宋体" w:hAnsi="宋体" w:eastAsia="宋体" w:cs="宋体"/>
                <w:b/>
                <w:szCs w:val="21"/>
              </w:rPr>
            </w:pPr>
            <w:r>
              <w:rPr>
                <w:rFonts w:hint="eastAsia" w:ascii="宋体" w:hAnsi="宋体" w:eastAsia="宋体" w:cs="宋体"/>
                <w:b/>
                <w:szCs w:val="21"/>
              </w:rPr>
              <w:t>股东类型</w:t>
            </w:r>
          </w:p>
          <w:p w14:paraId="6BF38536">
            <w:pPr>
              <w:widowControl/>
              <w:kinsoku/>
              <w:overflowPunct/>
              <w:topLinePunct/>
              <w:bidi w:val="0"/>
              <w:spacing w:line="360" w:lineRule="auto"/>
              <w:jc w:val="center"/>
              <w:rPr>
                <w:rFonts w:hint="eastAsia" w:ascii="宋体" w:hAnsi="宋体" w:eastAsia="宋体" w:cs="宋体"/>
                <w:b/>
                <w:szCs w:val="21"/>
              </w:rPr>
            </w:pPr>
            <w:r>
              <w:rPr>
                <w:rFonts w:hint="eastAsia" w:ascii="宋体" w:hAnsi="宋体" w:eastAsia="宋体" w:cs="宋体"/>
                <w:b/>
                <w:szCs w:val="21"/>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19E022D7">
            <w:pPr>
              <w:widowControl/>
              <w:kinsoku/>
              <w:overflowPunct/>
              <w:topLinePunct/>
              <w:bidi w:val="0"/>
              <w:spacing w:line="360" w:lineRule="auto"/>
              <w:jc w:val="center"/>
              <w:rPr>
                <w:rFonts w:hint="eastAsia" w:ascii="宋体" w:hAnsi="宋体" w:eastAsia="宋体" w:cs="宋体"/>
                <w:b/>
                <w:szCs w:val="21"/>
              </w:rPr>
            </w:pPr>
            <w:r>
              <w:rPr>
                <w:rFonts w:hint="eastAsia" w:ascii="宋体" w:hAnsi="宋体" w:eastAsia="宋体" w:cs="宋体"/>
                <w:b/>
                <w:szCs w:val="21"/>
              </w:rPr>
              <w:t>身份证号</w:t>
            </w:r>
          </w:p>
          <w:p w14:paraId="4E1FF334">
            <w:pPr>
              <w:widowControl/>
              <w:kinsoku/>
              <w:overflowPunct/>
              <w:topLinePunct/>
              <w:bidi w:val="0"/>
              <w:spacing w:line="360" w:lineRule="auto"/>
              <w:jc w:val="center"/>
              <w:rPr>
                <w:rFonts w:hint="eastAsia" w:ascii="宋体" w:hAnsi="宋体" w:eastAsia="宋体" w:cs="宋体"/>
                <w:b/>
                <w:szCs w:val="21"/>
              </w:rPr>
            </w:pPr>
            <w:r>
              <w:rPr>
                <w:rFonts w:hint="eastAsia" w:ascii="宋体" w:hAnsi="宋体" w:eastAsia="宋体" w:cs="宋体"/>
                <w:b/>
                <w:szCs w:val="21"/>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0D9E454A">
            <w:pPr>
              <w:widowControl/>
              <w:kinsoku/>
              <w:overflowPunct/>
              <w:topLinePunct/>
              <w:bidi w:val="0"/>
              <w:spacing w:line="360" w:lineRule="auto"/>
              <w:jc w:val="center"/>
              <w:rPr>
                <w:rFonts w:hint="eastAsia" w:ascii="宋体" w:hAnsi="宋体" w:eastAsia="宋体" w:cs="宋体"/>
                <w:b/>
                <w:szCs w:val="21"/>
              </w:rPr>
            </w:pPr>
            <w:r>
              <w:rPr>
                <w:rFonts w:hint="eastAsia" w:ascii="宋体" w:hAnsi="宋体" w:eastAsia="宋体" w:cs="宋体"/>
                <w:b/>
                <w:szCs w:val="21"/>
              </w:rPr>
              <w:t>出资额(万元)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8437E7D">
            <w:pPr>
              <w:widowControl/>
              <w:kinsoku/>
              <w:overflowPunct/>
              <w:topLinePunct/>
              <w:bidi w:val="0"/>
              <w:spacing w:line="360" w:lineRule="auto"/>
              <w:jc w:val="center"/>
              <w:rPr>
                <w:rFonts w:hint="eastAsia" w:ascii="宋体" w:hAnsi="宋体" w:eastAsia="宋体" w:cs="宋体"/>
                <w:b/>
                <w:szCs w:val="21"/>
              </w:rPr>
            </w:pPr>
            <w:r>
              <w:rPr>
                <w:rFonts w:hint="eastAsia" w:ascii="宋体" w:hAnsi="宋体" w:eastAsia="宋体" w:cs="宋体"/>
                <w:b/>
                <w:szCs w:val="21"/>
              </w:rPr>
              <w:t>出资方式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5DD5E48">
            <w:pPr>
              <w:widowControl/>
              <w:kinsoku/>
              <w:overflowPunct/>
              <w:topLinePunct/>
              <w:bidi w:val="0"/>
              <w:spacing w:line="360" w:lineRule="auto"/>
              <w:jc w:val="center"/>
              <w:rPr>
                <w:rFonts w:hint="eastAsia" w:ascii="宋体" w:hAnsi="宋体" w:eastAsia="宋体" w:cs="宋体"/>
                <w:b/>
                <w:szCs w:val="21"/>
              </w:rPr>
            </w:pPr>
            <w:r>
              <w:rPr>
                <w:rFonts w:hint="eastAsia" w:ascii="宋体" w:hAnsi="宋体" w:eastAsia="宋体" w:cs="宋体"/>
                <w:b/>
                <w:szCs w:val="21"/>
              </w:rPr>
              <w:t>占全部股份比例</w:t>
            </w:r>
          </w:p>
        </w:tc>
      </w:tr>
      <w:tr w14:paraId="46813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58D21128">
            <w:pPr>
              <w:widowControl/>
              <w:kinsoku/>
              <w:overflowPunct/>
              <w:topLinePunct/>
              <w:bidi w:val="0"/>
              <w:spacing w:line="360" w:lineRule="auto"/>
              <w:jc w:val="center"/>
              <w:rPr>
                <w:rFonts w:hint="eastAsia" w:ascii="宋体" w:hAnsi="宋体" w:eastAsia="宋体" w:cs="宋体"/>
                <w:szCs w:val="21"/>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0B49624C">
            <w:pPr>
              <w:widowControl/>
              <w:kinsoku/>
              <w:overflowPunct/>
              <w:topLinePunct/>
              <w:bidi w:val="0"/>
              <w:spacing w:line="360" w:lineRule="auto"/>
              <w:jc w:val="center"/>
              <w:rPr>
                <w:rFonts w:hint="eastAsia"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B14116C">
            <w:pPr>
              <w:widowControl/>
              <w:kinsoku/>
              <w:overflowPunct/>
              <w:topLinePunct/>
              <w:bidi w:val="0"/>
              <w:spacing w:line="360" w:lineRule="auto"/>
              <w:jc w:val="center"/>
              <w:rPr>
                <w:rFonts w:hint="eastAsia" w:ascii="宋体" w:hAnsi="宋体" w:eastAsia="宋体" w:cs="宋体"/>
                <w:szCs w:val="21"/>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21C7955B">
            <w:pPr>
              <w:widowControl/>
              <w:kinsoku/>
              <w:overflowPunct/>
              <w:topLinePunct/>
              <w:bidi w:val="0"/>
              <w:spacing w:line="360" w:lineRule="auto"/>
              <w:jc w:val="center"/>
              <w:rPr>
                <w:rFonts w:hint="eastAsia" w:ascii="宋体" w:hAnsi="宋体" w:eastAsia="宋体" w:cs="宋体"/>
                <w:szCs w:val="21"/>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3744BD16">
            <w:pPr>
              <w:widowControl/>
              <w:kinsoku/>
              <w:overflowPunct/>
              <w:topLinePunct/>
              <w:bidi w:val="0"/>
              <w:spacing w:line="360" w:lineRule="auto"/>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80342D4">
            <w:pPr>
              <w:widowControl/>
              <w:kinsoku/>
              <w:overflowPunct/>
              <w:topLinePunct/>
              <w:bidi w:val="0"/>
              <w:spacing w:line="360" w:lineRule="auto"/>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AC07FD8">
            <w:pPr>
              <w:widowControl/>
              <w:kinsoku/>
              <w:overflowPunct/>
              <w:topLinePunct/>
              <w:bidi w:val="0"/>
              <w:spacing w:line="360" w:lineRule="auto"/>
              <w:jc w:val="center"/>
              <w:rPr>
                <w:rFonts w:hint="eastAsia" w:ascii="宋体" w:hAnsi="宋体" w:eastAsia="宋体" w:cs="宋体"/>
                <w:szCs w:val="21"/>
              </w:rPr>
            </w:pPr>
          </w:p>
        </w:tc>
      </w:tr>
      <w:tr w14:paraId="738E9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52B1C204">
            <w:pPr>
              <w:widowControl/>
              <w:kinsoku/>
              <w:overflowPunct/>
              <w:topLinePunct/>
              <w:bidi w:val="0"/>
              <w:spacing w:line="360" w:lineRule="auto"/>
              <w:jc w:val="center"/>
              <w:rPr>
                <w:rFonts w:hint="eastAsia" w:ascii="宋体" w:hAnsi="宋体" w:eastAsia="宋体" w:cs="宋体"/>
                <w:szCs w:val="21"/>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01172D41">
            <w:pPr>
              <w:widowControl/>
              <w:kinsoku/>
              <w:overflowPunct/>
              <w:topLinePunct/>
              <w:bidi w:val="0"/>
              <w:spacing w:line="360" w:lineRule="auto"/>
              <w:jc w:val="center"/>
              <w:rPr>
                <w:rFonts w:hint="eastAsia"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5F5D451">
            <w:pPr>
              <w:widowControl/>
              <w:kinsoku/>
              <w:overflowPunct/>
              <w:topLinePunct/>
              <w:bidi w:val="0"/>
              <w:spacing w:line="360" w:lineRule="auto"/>
              <w:jc w:val="center"/>
              <w:rPr>
                <w:rFonts w:hint="eastAsia" w:ascii="宋体" w:hAnsi="宋体" w:eastAsia="宋体" w:cs="宋体"/>
                <w:szCs w:val="21"/>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013DC545">
            <w:pPr>
              <w:widowControl/>
              <w:kinsoku/>
              <w:overflowPunct/>
              <w:topLinePunct/>
              <w:bidi w:val="0"/>
              <w:spacing w:line="360" w:lineRule="auto"/>
              <w:jc w:val="center"/>
              <w:rPr>
                <w:rFonts w:hint="eastAsia" w:ascii="宋体" w:hAnsi="宋体" w:eastAsia="宋体" w:cs="宋体"/>
                <w:szCs w:val="21"/>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612E2472">
            <w:pPr>
              <w:widowControl/>
              <w:kinsoku/>
              <w:overflowPunct/>
              <w:topLinePunct/>
              <w:bidi w:val="0"/>
              <w:spacing w:line="360" w:lineRule="auto"/>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4B22E15">
            <w:pPr>
              <w:widowControl/>
              <w:kinsoku/>
              <w:overflowPunct/>
              <w:topLinePunct/>
              <w:bidi w:val="0"/>
              <w:spacing w:line="360" w:lineRule="auto"/>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493BB57">
            <w:pPr>
              <w:widowControl/>
              <w:kinsoku/>
              <w:overflowPunct/>
              <w:topLinePunct/>
              <w:bidi w:val="0"/>
              <w:spacing w:line="360" w:lineRule="auto"/>
              <w:jc w:val="center"/>
              <w:rPr>
                <w:rFonts w:hint="eastAsia" w:ascii="宋体" w:hAnsi="宋体" w:eastAsia="宋体" w:cs="宋体"/>
                <w:szCs w:val="21"/>
              </w:rPr>
            </w:pPr>
          </w:p>
        </w:tc>
      </w:tr>
      <w:tr w14:paraId="414B1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401DF68F">
            <w:pPr>
              <w:widowControl/>
              <w:kinsoku/>
              <w:overflowPunct/>
              <w:topLinePunct/>
              <w:bidi w:val="0"/>
              <w:spacing w:line="360" w:lineRule="auto"/>
              <w:jc w:val="center"/>
              <w:rPr>
                <w:rFonts w:hint="eastAsia" w:ascii="宋体" w:hAnsi="宋体" w:eastAsia="宋体" w:cs="宋体"/>
                <w:szCs w:val="21"/>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2C3BB4AA">
            <w:pPr>
              <w:widowControl/>
              <w:kinsoku/>
              <w:overflowPunct/>
              <w:topLinePunct/>
              <w:bidi w:val="0"/>
              <w:spacing w:line="360" w:lineRule="auto"/>
              <w:jc w:val="center"/>
              <w:rPr>
                <w:rFonts w:hint="eastAsia"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0D42CCD">
            <w:pPr>
              <w:widowControl/>
              <w:kinsoku/>
              <w:overflowPunct/>
              <w:topLinePunct/>
              <w:bidi w:val="0"/>
              <w:spacing w:line="360" w:lineRule="auto"/>
              <w:jc w:val="center"/>
              <w:rPr>
                <w:rFonts w:hint="eastAsia" w:ascii="宋体" w:hAnsi="宋体" w:eastAsia="宋体" w:cs="宋体"/>
                <w:szCs w:val="21"/>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78234576">
            <w:pPr>
              <w:widowControl/>
              <w:kinsoku/>
              <w:overflowPunct/>
              <w:topLinePunct/>
              <w:bidi w:val="0"/>
              <w:spacing w:line="360" w:lineRule="auto"/>
              <w:jc w:val="center"/>
              <w:rPr>
                <w:rFonts w:hint="eastAsia" w:ascii="宋体" w:hAnsi="宋体" w:eastAsia="宋体" w:cs="宋体"/>
                <w:szCs w:val="21"/>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4917249E">
            <w:pPr>
              <w:widowControl/>
              <w:kinsoku/>
              <w:overflowPunct/>
              <w:topLinePunct/>
              <w:bidi w:val="0"/>
              <w:spacing w:line="360" w:lineRule="auto"/>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A508F06">
            <w:pPr>
              <w:widowControl/>
              <w:kinsoku/>
              <w:overflowPunct/>
              <w:topLinePunct/>
              <w:bidi w:val="0"/>
              <w:spacing w:line="360" w:lineRule="auto"/>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0C36414">
            <w:pPr>
              <w:widowControl/>
              <w:kinsoku/>
              <w:overflowPunct/>
              <w:topLinePunct/>
              <w:bidi w:val="0"/>
              <w:spacing w:line="360" w:lineRule="auto"/>
              <w:jc w:val="center"/>
              <w:rPr>
                <w:rFonts w:hint="eastAsia" w:ascii="宋体" w:hAnsi="宋体" w:eastAsia="宋体" w:cs="宋体"/>
                <w:szCs w:val="21"/>
              </w:rPr>
            </w:pPr>
          </w:p>
        </w:tc>
      </w:tr>
      <w:tr w14:paraId="546920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2EDA4C1F">
            <w:pPr>
              <w:widowControl/>
              <w:kinsoku/>
              <w:overflowPunct/>
              <w:topLinePunct/>
              <w:bidi w:val="0"/>
              <w:spacing w:line="360" w:lineRule="auto"/>
              <w:jc w:val="center"/>
              <w:rPr>
                <w:rFonts w:hint="eastAsia" w:ascii="宋体" w:hAnsi="宋体" w:eastAsia="宋体" w:cs="宋体"/>
                <w:szCs w:val="21"/>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3B165B81">
            <w:pPr>
              <w:widowControl/>
              <w:kinsoku/>
              <w:overflowPunct/>
              <w:topLinePunct/>
              <w:bidi w:val="0"/>
              <w:spacing w:line="360" w:lineRule="auto"/>
              <w:jc w:val="center"/>
              <w:rPr>
                <w:rFonts w:hint="eastAsia"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1FBA8D9">
            <w:pPr>
              <w:widowControl/>
              <w:kinsoku/>
              <w:overflowPunct/>
              <w:topLinePunct/>
              <w:bidi w:val="0"/>
              <w:spacing w:line="360" w:lineRule="auto"/>
              <w:jc w:val="center"/>
              <w:rPr>
                <w:rFonts w:hint="eastAsia" w:ascii="宋体" w:hAnsi="宋体" w:eastAsia="宋体" w:cs="宋体"/>
                <w:szCs w:val="21"/>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2D162233">
            <w:pPr>
              <w:widowControl/>
              <w:kinsoku/>
              <w:overflowPunct/>
              <w:topLinePunct/>
              <w:bidi w:val="0"/>
              <w:spacing w:line="360" w:lineRule="auto"/>
              <w:jc w:val="center"/>
              <w:rPr>
                <w:rFonts w:hint="eastAsia" w:ascii="宋体" w:hAnsi="宋体" w:eastAsia="宋体" w:cs="宋体"/>
                <w:szCs w:val="21"/>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273AE029">
            <w:pPr>
              <w:widowControl/>
              <w:kinsoku/>
              <w:overflowPunct/>
              <w:topLinePunct/>
              <w:bidi w:val="0"/>
              <w:spacing w:line="360" w:lineRule="auto"/>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2C6C45C">
            <w:pPr>
              <w:widowControl/>
              <w:kinsoku/>
              <w:overflowPunct/>
              <w:topLinePunct/>
              <w:bidi w:val="0"/>
              <w:spacing w:line="360" w:lineRule="auto"/>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9BA3A28">
            <w:pPr>
              <w:widowControl/>
              <w:kinsoku/>
              <w:overflowPunct/>
              <w:topLinePunct/>
              <w:bidi w:val="0"/>
              <w:spacing w:line="360" w:lineRule="auto"/>
              <w:jc w:val="center"/>
              <w:rPr>
                <w:rFonts w:hint="eastAsia" w:ascii="宋体" w:hAnsi="宋体" w:eastAsia="宋体" w:cs="宋体"/>
                <w:szCs w:val="21"/>
              </w:rPr>
            </w:pPr>
          </w:p>
        </w:tc>
      </w:tr>
      <w:tr w14:paraId="1458B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6C0A5DC9">
            <w:pPr>
              <w:widowControl/>
              <w:kinsoku/>
              <w:overflowPunct/>
              <w:topLinePunct/>
              <w:bidi w:val="0"/>
              <w:spacing w:line="360" w:lineRule="auto"/>
              <w:jc w:val="center"/>
              <w:rPr>
                <w:rFonts w:hint="eastAsia" w:ascii="宋体" w:hAnsi="宋体" w:eastAsia="宋体" w:cs="宋体"/>
                <w:szCs w:val="21"/>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230B188B">
            <w:pPr>
              <w:widowControl/>
              <w:kinsoku/>
              <w:overflowPunct/>
              <w:topLinePunct/>
              <w:bidi w:val="0"/>
              <w:spacing w:line="360" w:lineRule="auto"/>
              <w:jc w:val="center"/>
              <w:rPr>
                <w:rFonts w:hint="eastAsia"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C7B6273">
            <w:pPr>
              <w:widowControl/>
              <w:kinsoku/>
              <w:overflowPunct/>
              <w:topLinePunct/>
              <w:bidi w:val="0"/>
              <w:spacing w:line="360" w:lineRule="auto"/>
              <w:jc w:val="center"/>
              <w:rPr>
                <w:rFonts w:hint="eastAsia" w:ascii="宋体" w:hAnsi="宋体" w:eastAsia="宋体" w:cs="宋体"/>
                <w:szCs w:val="21"/>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0FD821E1">
            <w:pPr>
              <w:widowControl/>
              <w:kinsoku/>
              <w:overflowPunct/>
              <w:topLinePunct/>
              <w:bidi w:val="0"/>
              <w:spacing w:line="360" w:lineRule="auto"/>
              <w:jc w:val="center"/>
              <w:rPr>
                <w:rFonts w:hint="eastAsia" w:ascii="宋体" w:hAnsi="宋体" w:eastAsia="宋体" w:cs="宋体"/>
                <w:szCs w:val="21"/>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5C7FAAE9">
            <w:pPr>
              <w:widowControl/>
              <w:kinsoku/>
              <w:overflowPunct/>
              <w:topLinePunct/>
              <w:bidi w:val="0"/>
              <w:spacing w:line="360" w:lineRule="auto"/>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D597547">
            <w:pPr>
              <w:widowControl/>
              <w:kinsoku/>
              <w:overflowPunct/>
              <w:topLinePunct/>
              <w:bidi w:val="0"/>
              <w:spacing w:line="360" w:lineRule="auto"/>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A4192A6">
            <w:pPr>
              <w:widowControl/>
              <w:kinsoku/>
              <w:overflowPunct/>
              <w:topLinePunct/>
              <w:bidi w:val="0"/>
              <w:spacing w:line="360" w:lineRule="auto"/>
              <w:jc w:val="center"/>
              <w:rPr>
                <w:rFonts w:hint="eastAsia" w:ascii="宋体" w:hAnsi="宋体" w:eastAsia="宋体" w:cs="宋体"/>
                <w:szCs w:val="21"/>
              </w:rPr>
            </w:pPr>
          </w:p>
        </w:tc>
      </w:tr>
      <w:tr w14:paraId="167CF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100F11C6">
            <w:pPr>
              <w:widowControl/>
              <w:kinsoku/>
              <w:overflowPunct/>
              <w:topLinePunct/>
              <w:bidi w:val="0"/>
              <w:spacing w:line="360" w:lineRule="auto"/>
              <w:jc w:val="center"/>
              <w:rPr>
                <w:rFonts w:hint="eastAsia" w:ascii="宋体" w:hAnsi="宋体" w:eastAsia="宋体" w:cs="宋体"/>
                <w:szCs w:val="21"/>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5CEC7C03">
            <w:pPr>
              <w:widowControl/>
              <w:kinsoku/>
              <w:overflowPunct/>
              <w:topLinePunct/>
              <w:bidi w:val="0"/>
              <w:spacing w:line="360" w:lineRule="auto"/>
              <w:jc w:val="center"/>
              <w:rPr>
                <w:rFonts w:hint="eastAsia"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4FE2AED">
            <w:pPr>
              <w:widowControl/>
              <w:kinsoku/>
              <w:overflowPunct/>
              <w:topLinePunct/>
              <w:bidi w:val="0"/>
              <w:spacing w:line="360" w:lineRule="auto"/>
              <w:jc w:val="center"/>
              <w:rPr>
                <w:rFonts w:hint="eastAsia" w:ascii="宋体" w:hAnsi="宋体" w:eastAsia="宋体" w:cs="宋体"/>
                <w:szCs w:val="21"/>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1A5FF4F7">
            <w:pPr>
              <w:widowControl/>
              <w:kinsoku/>
              <w:overflowPunct/>
              <w:topLinePunct/>
              <w:bidi w:val="0"/>
              <w:spacing w:line="360" w:lineRule="auto"/>
              <w:jc w:val="center"/>
              <w:rPr>
                <w:rFonts w:hint="eastAsia" w:ascii="宋体" w:hAnsi="宋体" w:eastAsia="宋体" w:cs="宋体"/>
                <w:szCs w:val="21"/>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3EB3105C">
            <w:pPr>
              <w:widowControl/>
              <w:kinsoku/>
              <w:overflowPunct/>
              <w:topLinePunct/>
              <w:bidi w:val="0"/>
              <w:spacing w:line="360" w:lineRule="auto"/>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1683EA1">
            <w:pPr>
              <w:widowControl/>
              <w:kinsoku/>
              <w:overflowPunct/>
              <w:topLinePunct/>
              <w:bidi w:val="0"/>
              <w:spacing w:line="360" w:lineRule="auto"/>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D232FA1">
            <w:pPr>
              <w:widowControl/>
              <w:kinsoku/>
              <w:overflowPunct/>
              <w:topLinePunct/>
              <w:bidi w:val="0"/>
              <w:spacing w:line="360" w:lineRule="auto"/>
              <w:jc w:val="center"/>
              <w:rPr>
                <w:rFonts w:hint="eastAsia" w:ascii="宋体" w:hAnsi="宋体" w:eastAsia="宋体" w:cs="宋体"/>
                <w:szCs w:val="21"/>
              </w:rPr>
            </w:pPr>
          </w:p>
        </w:tc>
      </w:tr>
    </w:tbl>
    <w:p w14:paraId="295E6AC5">
      <w:pPr>
        <w:widowControl w:val="0"/>
        <w:kinsoku/>
        <w:overflowPunct/>
        <w:bidi w:val="0"/>
        <w:spacing w:line="360" w:lineRule="auto"/>
        <w:jc w:val="left"/>
        <w:rPr>
          <w:rFonts w:hint="eastAsia" w:ascii="宋体" w:hAnsi="宋体" w:eastAsia="宋体" w:cs="宋体"/>
          <w:szCs w:val="21"/>
        </w:rPr>
      </w:pPr>
    </w:p>
    <w:p w14:paraId="5DA53C7F">
      <w:pPr>
        <w:widowControl w:val="0"/>
        <w:kinsoku/>
        <w:overflowPunct/>
        <w:bidi w:val="0"/>
        <w:spacing w:line="360" w:lineRule="auto"/>
        <w:jc w:val="left"/>
        <w:rPr>
          <w:rFonts w:hint="eastAsia" w:ascii="宋体" w:hAnsi="宋体" w:eastAsia="宋体" w:cs="宋体"/>
          <w:szCs w:val="21"/>
        </w:rPr>
      </w:pPr>
      <w:r>
        <w:rPr>
          <w:rFonts w:hint="eastAsia" w:ascii="宋体" w:hAnsi="宋体" w:eastAsia="宋体" w:cs="宋体"/>
          <w:szCs w:val="21"/>
        </w:rPr>
        <w:t>备注：</w:t>
      </w:r>
    </w:p>
    <w:p w14:paraId="0996B022">
      <w:pPr>
        <w:widowControl w:val="0"/>
        <w:kinsoku/>
        <w:overflowPunct/>
        <w:bidi w:val="0"/>
        <w:spacing w:line="360" w:lineRule="auto"/>
        <w:jc w:val="left"/>
        <w:rPr>
          <w:rFonts w:hint="eastAsia" w:ascii="宋体" w:hAnsi="宋体" w:eastAsia="宋体" w:cs="宋体"/>
          <w:szCs w:val="21"/>
        </w:rPr>
      </w:pPr>
      <w:r>
        <w:rPr>
          <w:rFonts w:hint="eastAsia" w:ascii="宋体" w:hAnsi="宋体" w:eastAsia="宋体" w:cs="宋体"/>
          <w:szCs w:val="21"/>
        </w:rPr>
        <w:t>1.股东或出资人为自然人的，填写自然人姓名及身份证号；股东或出资人为法人的，填写法人企业全称及统一社会信用代码。出资方式填写：货币、实物、工艺产权和非专利技术、土地使用权等。</w:t>
      </w:r>
    </w:p>
    <w:p w14:paraId="025B21B1">
      <w:pPr>
        <w:widowControl w:val="0"/>
        <w:kinsoku/>
        <w:overflowPunct/>
        <w:bidi w:val="0"/>
        <w:spacing w:line="360" w:lineRule="auto"/>
        <w:jc w:val="left"/>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eastAsia="zh-CN"/>
        </w:rPr>
        <w:t>供应商</w:t>
      </w:r>
      <w:r>
        <w:rPr>
          <w:rFonts w:hint="eastAsia" w:ascii="宋体" w:hAnsi="宋体" w:eastAsia="宋体" w:cs="宋体"/>
          <w:szCs w:val="21"/>
        </w:rPr>
        <w:t>必须如实填写股东构成情况，</w:t>
      </w:r>
      <w:r>
        <w:rPr>
          <w:rFonts w:hint="eastAsia" w:ascii="宋体" w:hAnsi="宋体" w:eastAsia="宋体" w:cs="宋体"/>
          <w:szCs w:val="21"/>
          <w:u w:val="single"/>
        </w:rPr>
        <w:t>具体信息情况应与“国家企业信用信息公示系统” (网站：http://www.gsxt.gov.cn)查询的信息一致。</w:t>
      </w:r>
    </w:p>
    <w:p w14:paraId="466236B7">
      <w:pPr>
        <w:widowControl w:val="0"/>
        <w:tabs>
          <w:tab w:val="left" w:pos="654"/>
          <w:tab w:val="left" w:pos="1734"/>
          <w:tab w:val="left" w:pos="2814"/>
          <w:tab w:val="left" w:pos="3894"/>
          <w:tab w:val="left" w:pos="5334"/>
          <w:tab w:val="left" w:pos="6414"/>
          <w:tab w:val="left" w:pos="7254"/>
          <w:tab w:val="left" w:pos="8574"/>
          <w:tab w:val="left" w:pos="9654"/>
        </w:tabs>
        <w:kinsoku/>
        <w:overflowPunct/>
        <w:bidi w:val="0"/>
        <w:spacing w:line="360" w:lineRule="auto"/>
        <w:jc w:val="center"/>
        <w:rPr>
          <w:rFonts w:hint="eastAsia" w:ascii="宋体" w:hAnsi="宋体" w:eastAsia="宋体" w:cs="宋体"/>
          <w:b/>
          <w:szCs w:val="21"/>
        </w:rPr>
      </w:pPr>
      <w:r>
        <w:rPr>
          <w:rFonts w:hint="eastAsia" w:ascii="宋体" w:hAnsi="宋体" w:eastAsia="宋体" w:cs="宋体"/>
          <w:szCs w:val="21"/>
        </w:rPr>
        <w:br w:type="page"/>
      </w:r>
      <w:r>
        <w:rPr>
          <w:rFonts w:hint="eastAsia" w:ascii="宋体" w:hAnsi="宋体" w:eastAsia="宋体" w:cs="宋体"/>
          <w:b/>
          <w:szCs w:val="21"/>
          <w:lang w:val="en-US" w:eastAsia="zh-CN"/>
        </w:rPr>
        <w:t>2、</w:t>
      </w:r>
      <w:r>
        <w:rPr>
          <w:rFonts w:hint="eastAsia" w:ascii="宋体" w:hAnsi="宋体" w:eastAsia="宋体" w:cs="宋体"/>
          <w:b/>
          <w:szCs w:val="21"/>
        </w:rPr>
        <w:t>其他资格证明文件</w:t>
      </w:r>
    </w:p>
    <w:p w14:paraId="4C57A2FC">
      <w:pPr>
        <w:widowControl w:val="0"/>
        <w:kinsoku/>
        <w:overflowPunct/>
        <w:bidi w:val="0"/>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lang w:val="en-US" w:eastAsia="zh-CN"/>
        </w:rPr>
        <w:t>2.1、</w:t>
      </w:r>
      <w:r>
        <w:rPr>
          <w:rFonts w:hint="eastAsia" w:ascii="宋体" w:hAnsi="宋体" w:eastAsia="宋体" w:cs="宋体"/>
          <w:szCs w:val="21"/>
        </w:rPr>
        <w:t>法人的营业执照副本复印件/扫描件（如非“三证合一”证照，同时提供税务登记证副本复印件/扫描件），或其他组织的证明文件</w:t>
      </w:r>
    </w:p>
    <w:p w14:paraId="7F28A9CD">
      <w:pPr>
        <w:widowControl w:val="0"/>
        <w:kinsoku/>
        <w:overflowPunct/>
        <w:autoSpaceDE w:val="0"/>
        <w:autoSpaceDN w:val="0"/>
        <w:bidi w:val="0"/>
        <w:spacing w:line="360" w:lineRule="auto"/>
        <w:ind w:right="1400"/>
        <w:jc w:val="both"/>
        <w:rPr>
          <w:rFonts w:hint="eastAsia" w:ascii="宋体" w:hAnsi="宋体" w:eastAsia="宋体" w:cs="宋体"/>
          <w:b/>
          <w:szCs w:val="21"/>
        </w:rPr>
      </w:pPr>
    </w:p>
    <w:p w14:paraId="51737BC2">
      <w:pPr>
        <w:widowControl w:val="0"/>
        <w:kinsoku/>
        <w:overflowPunct/>
        <w:autoSpaceDE w:val="0"/>
        <w:autoSpaceDN w:val="0"/>
        <w:bidi w:val="0"/>
        <w:spacing w:line="360" w:lineRule="auto"/>
        <w:ind w:right="1400"/>
        <w:jc w:val="both"/>
        <w:rPr>
          <w:rFonts w:hint="eastAsia" w:ascii="宋体" w:hAnsi="宋体" w:eastAsia="宋体" w:cs="宋体"/>
          <w:b/>
          <w:szCs w:val="21"/>
          <w:lang w:val="en-US" w:eastAsia="zh-CN"/>
        </w:rPr>
      </w:pPr>
      <w:r>
        <w:rPr>
          <w:rFonts w:hint="eastAsia" w:ascii="宋体" w:hAnsi="宋体" w:eastAsia="宋体" w:cs="宋体"/>
          <w:b/>
          <w:szCs w:val="21"/>
          <w:lang w:val="en-US" w:eastAsia="zh-CN"/>
        </w:rPr>
        <w:t>2.2、特定资格（资质）要求。</w:t>
      </w:r>
    </w:p>
    <w:p w14:paraId="4ECE0EA4">
      <w:pPr>
        <w:widowControl w:val="0"/>
        <w:kinsoku/>
        <w:overflowPunct/>
        <w:autoSpaceDE w:val="0"/>
        <w:autoSpaceDN w:val="0"/>
        <w:bidi w:val="0"/>
        <w:spacing w:line="360" w:lineRule="auto"/>
        <w:ind w:right="1400"/>
        <w:jc w:val="both"/>
        <w:rPr>
          <w:rFonts w:hint="eastAsia" w:ascii="宋体" w:hAnsi="宋体" w:eastAsia="宋体" w:cs="宋体"/>
          <w:b/>
          <w:szCs w:val="21"/>
          <w:lang w:val="en-US" w:eastAsia="zh-CN"/>
        </w:rPr>
      </w:pPr>
      <w:r>
        <w:rPr>
          <w:rFonts w:hint="eastAsia" w:ascii="宋体" w:hAnsi="宋体" w:eastAsia="宋体" w:cs="宋体"/>
          <w:b/>
          <w:szCs w:val="21"/>
          <w:lang w:val="en-US" w:eastAsia="zh-CN"/>
        </w:rPr>
        <w:t>注：提供文件要求的资格（资质）文件扫描件，须在有效期内</w:t>
      </w:r>
    </w:p>
    <w:p w14:paraId="6A7634DA">
      <w:pPr>
        <w:widowControl w:val="0"/>
        <w:kinsoku/>
        <w:overflowPunct/>
        <w:autoSpaceDE w:val="0"/>
        <w:autoSpaceDN w:val="0"/>
        <w:bidi w:val="0"/>
        <w:spacing w:line="360" w:lineRule="auto"/>
        <w:ind w:right="1400"/>
        <w:jc w:val="both"/>
        <w:rPr>
          <w:rFonts w:hint="eastAsia" w:ascii="宋体" w:hAnsi="宋体" w:eastAsia="宋体" w:cs="宋体"/>
          <w:b/>
          <w:szCs w:val="21"/>
          <w:lang w:val="en-US" w:eastAsia="zh-CN"/>
        </w:rPr>
      </w:pPr>
    </w:p>
    <w:p w14:paraId="098B33EA">
      <w:pPr>
        <w:widowControl w:val="0"/>
        <w:kinsoku/>
        <w:overflowPunct/>
        <w:autoSpaceDE w:val="0"/>
        <w:autoSpaceDN w:val="0"/>
        <w:bidi w:val="0"/>
        <w:spacing w:line="360" w:lineRule="auto"/>
        <w:ind w:right="1400"/>
        <w:jc w:val="both"/>
        <w:rPr>
          <w:rFonts w:hint="eastAsia" w:ascii="宋体" w:hAnsi="宋体" w:eastAsia="宋体" w:cs="宋体"/>
          <w:b/>
          <w:szCs w:val="21"/>
          <w:lang w:val="en-US" w:eastAsia="zh-CN"/>
        </w:rPr>
      </w:pPr>
      <w:r>
        <w:rPr>
          <w:rFonts w:hint="eastAsia" w:ascii="宋体" w:hAnsi="宋体" w:eastAsia="宋体" w:cs="宋体"/>
          <w:b/>
          <w:szCs w:val="21"/>
          <w:lang w:val="en-US" w:eastAsia="zh-CN"/>
        </w:rPr>
        <w:t>2.2.1   XXX...</w:t>
      </w:r>
    </w:p>
    <w:p w14:paraId="17E0F658">
      <w:pPr>
        <w:widowControl w:val="0"/>
        <w:kinsoku/>
        <w:overflowPunct/>
        <w:autoSpaceDE w:val="0"/>
        <w:autoSpaceDN w:val="0"/>
        <w:bidi w:val="0"/>
        <w:spacing w:line="360" w:lineRule="auto"/>
        <w:ind w:right="1400"/>
        <w:jc w:val="both"/>
        <w:rPr>
          <w:rFonts w:hint="eastAsia" w:ascii="宋体" w:hAnsi="宋体" w:eastAsia="宋体" w:cs="宋体"/>
          <w:b/>
          <w:szCs w:val="21"/>
          <w:lang w:val="en-US" w:eastAsia="zh-CN"/>
        </w:rPr>
      </w:pPr>
    </w:p>
    <w:p w14:paraId="094B9EF4">
      <w:pPr>
        <w:widowControl w:val="0"/>
        <w:kinsoku/>
        <w:overflowPunct/>
        <w:autoSpaceDE w:val="0"/>
        <w:autoSpaceDN w:val="0"/>
        <w:bidi w:val="0"/>
        <w:spacing w:line="360" w:lineRule="auto"/>
        <w:ind w:right="1400"/>
        <w:jc w:val="both"/>
        <w:rPr>
          <w:rFonts w:hint="eastAsia" w:ascii="宋体" w:hAnsi="宋体" w:eastAsia="宋体" w:cs="宋体"/>
          <w:b/>
          <w:szCs w:val="21"/>
          <w:lang w:val="en-US" w:eastAsia="zh-CN"/>
        </w:rPr>
      </w:pPr>
      <w:r>
        <w:rPr>
          <w:rFonts w:hint="eastAsia" w:ascii="宋体" w:hAnsi="宋体" w:eastAsia="宋体" w:cs="宋体"/>
          <w:b/>
          <w:szCs w:val="21"/>
          <w:lang w:val="en-US" w:eastAsia="zh-CN"/>
        </w:rPr>
        <w:t>2.2.2   XXX...</w:t>
      </w:r>
    </w:p>
    <w:p w14:paraId="675451FF">
      <w:pPr>
        <w:widowControl w:val="0"/>
        <w:kinsoku/>
        <w:overflowPunct/>
        <w:autoSpaceDE w:val="0"/>
        <w:autoSpaceDN w:val="0"/>
        <w:bidi w:val="0"/>
        <w:spacing w:line="360" w:lineRule="auto"/>
        <w:ind w:right="1400"/>
        <w:jc w:val="both"/>
        <w:rPr>
          <w:rFonts w:hint="eastAsia" w:ascii="宋体" w:hAnsi="宋体" w:eastAsia="宋体" w:cs="宋体"/>
          <w:b/>
          <w:szCs w:val="21"/>
        </w:rPr>
      </w:pPr>
    </w:p>
    <w:p w14:paraId="5F87505A">
      <w:pPr>
        <w:widowControl w:val="0"/>
        <w:kinsoku/>
        <w:overflowPunct/>
        <w:autoSpaceDE w:val="0"/>
        <w:autoSpaceDN w:val="0"/>
        <w:bidi w:val="0"/>
        <w:spacing w:line="360" w:lineRule="auto"/>
        <w:ind w:right="1400"/>
        <w:jc w:val="both"/>
        <w:rPr>
          <w:rFonts w:hint="default" w:ascii="宋体" w:hAnsi="宋体" w:eastAsia="宋体" w:cs="宋体"/>
          <w:b/>
          <w:szCs w:val="21"/>
          <w:lang w:val="en-US" w:eastAsia="zh-CN"/>
        </w:rPr>
      </w:pPr>
      <w:r>
        <w:rPr>
          <w:rFonts w:hint="eastAsia" w:ascii="宋体" w:hAnsi="宋体" w:eastAsia="宋体" w:cs="宋体"/>
          <w:b/>
          <w:szCs w:val="21"/>
          <w:lang w:val="en-US" w:eastAsia="zh-CN"/>
        </w:rPr>
        <w:t>.....</w:t>
      </w:r>
    </w:p>
    <w:p w14:paraId="16A5C2A7">
      <w:pPr>
        <w:widowControl w:val="0"/>
        <w:kinsoku/>
        <w:overflowPunct/>
        <w:autoSpaceDE w:val="0"/>
        <w:autoSpaceDN w:val="0"/>
        <w:bidi w:val="0"/>
        <w:spacing w:line="360" w:lineRule="auto"/>
        <w:ind w:right="1400"/>
        <w:jc w:val="both"/>
        <w:rPr>
          <w:rFonts w:hint="eastAsia" w:ascii="宋体" w:hAnsi="宋体" w:eastAsia="宋体" w:cs="宋体"/>
          <w:b/>
          <w:szCs w:val="21"/>
        </w:rPr>
      </w:pPr>
      <w:r>
        <w:rPr>
          <w:rFonts w:hint="eastAsia" w:ascii="宋体" w:hAnsi="宋体" w:eastAsia="宋体" w:cs="宋体"/>
          <w:b/>
          <w:szCs w:val="21"/>
        </w:rPr>
        <w:br w:type="page"/>
      </w:r>
      <w:r>
        <w:rPr>
          <w:rFonts w:hint="eastAsia" w:ascii="宋体" w:hAnsi="宋体" w:eastAsia="宋体" w:cs="宋体"/>
          <w:b/>
          <w:szCs w:val="21"/>
          <w:lang w:val="en-US" w:eastAsia="zh-CN"/>
        </w:rPr>
        <w:t>2.3、</w:t>
      </w:r>
      <w:r>
        <w:rPr>
          <w:rFonts w:hint="eastAsia" w:ascii="宋体" w:hAnsi="宋体" w:eastAsia="宋体" w:cs="宋体"/>
          <w:b/>
          <w:szCs w:val="21"/>
        </w:rPr>
        <w:t>在经营活动中没有重大违法记录</w:t>
      </w:r>
    </w:p>
    <w:p w14:paraId="1C41F8C8">
      <w:pPr>
        <w:widowControl w:val="0"/>
        <w:kinsoku/>
        <w:overflowPunct/>
        <w:bidi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本单位</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（公司名称）参加</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（项目名称）的</w:t>
      </w:r>
      <w:r>
        <w:rPr>
          <w:rFonts w:hint="eastAsia" w:ascii="宋体" w:hAnsi="宋体" w:eastAsia="宋体" w:cs="宋体"/>
          <w:kern w:val="0"/>
          <w:sz w:val="24"/>
          <w:szCs w:val="28"/>
        </w:rPr>
        <w:t>采购</w:t>
      </w:r>
      <w:r>
        <w:rPr>
          <w:rFonts w:hint="eastAsia" w:ascii="宋体" w:hAnsi="宋体" w:eastAsia="宋体" w:cs="宋体"/>
          <w:kern w:val="0"/>
          <w:sz w:val="24"/>
          <w:szCs w:val="24"/>
        </w:rPr>
        <w:t>活动，现承诺我公司</w:t>
      </w:r>
      <w:r>
        <w:rPr>
          <w:rFonts w:hint="eastAsia" w:ascii="宋体" w:hAnsi="宋体" w:eastAsia="宋体" w:cs="宋体"/>
          <w:kern w:val="0"/>
          <w:sz w:val="24"/>
          <w:szCs w:val="20"/>
        </w:rPr>
        <w:t>参加本次采购活动前三年内，在经营活动中没有重大违法记录</w:t>
      </w:r>
      <w:r>
        <w:rPr>
          <w:rFonts w:hint="eastAsia" w:ascii="宋体" w:hAnsi="宋体" w:eastAsia="宋体" w:cs="宋体"/>
          <w:kern w:val="0"/>
          <w:sz w:val="24"/>
          <w:szCs w:val="24"/>
        </w:rPr>
        <w:t>。</w:t>
      </w:r>
    </w:p>
    <w:p w14:paraId="4E97FE09">
      <w:pPr>
        <w:widowControl w:val="0"/>
        <w:kinsoku/>
        <w:overflowPunct/>
        <w:bidi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本公司对上述承诺内容事项真实性负责。如经查实上述承诺的内容事项存在虚假，我公司愿意接受以提供虚假材料谋取中标追究法律责任。</w:t>
      </w:r>
    </w:p>
    <w:p w14:paraId="1A5C24E5">
      <w:pPr>
        <w:widowControl w:val="0"/>
        <w:kinsoku/>
        <w:overflowPunct/>
        <w:bidi w:val="0"/>
        <w:spacing w:line="360" w:lineRule="auto"/>
        <w:ind w:firstLine="480" w:firstLineChars="200"/>
        <w:jc w:val="both"/>
        <w:rPr>
          <w:rFonts w:hint="eastAsia" w:ascii="宋体" w:hAnsi="宋体" w:eastAsia="宋体" w:cs="宋体"/>
          <w:kern w:val="0"/>
          <w:sz w:val="24"/>
          <w:szCs w:val="20"/>
        </w:rPr>
      </w:pPr>
    </w:p>
    <w:p w14:paraId="1CE20960">
      <w:pPr>
        <w:widowControl w:val="0"/>
        <w:kinsoku/>
        <w:overflowPunct/>
        <w:bidi w:val="0"/>
        <w:spacing w:line="360" w:lineRule="auto"/>
        <w:ind w:firstLine="480" w:firstLineChars="200"/>
        <w:jc w:val="both"/>
        <w:rPr>
          <w:rFonts w:hint="eastAsia" w:ascii="宋体" w:hAnsi="宋体" w:eastAsia="宋体" w:cs="宋体"/>
          <w:kern w:val="0"/>
          <w:sz w:val="24"/>
          <w:szCs w:val="20"/>
        </w:rPr>
      </w:pPr>
    </w:p>
    <w:p w14:paraId="349DF58D">
      <w:pPr>
        <w:widowControl w:val="0"/>
        <w:kinsoku/>
        <w:overflowPunct/>
        <w:bidi w:val="0"/>
        <w:spacing w:line="360" w:lineRule="auto"/>
        <w:ind w:firstLine="480" w:firstLineChars="200"/>
        <w:jc w:val="left"/>
        <w:rPr>
          <w:rFonts w:hint="eastAsia" w:ascii="宋体" w:hAnsi="宋体" w:eastAsia="宋体" w:cs="宋体"/>
          <w:kern w:val="0"/>
          <w:sz w:val="24"/>
          <w:szCs w:val="20"/>
        </w:rPr>
      </w:pPr>
      <w:r>
        <w:rPr>
          <w:rFonts w:hint="eastAsia" w:ascii="宋体" w:hAnsi="宋体" w:eastAsia="宋体" w:cs="宋体"/>
          <w:kern w:val="0"/>
          <w:sz w:val="24"/>
          <w:szCs w:val="20"/>
          <w:lang w:val="en-US" w:eastAsia="zh-CN"/>
        </w:rPr>
        <w:t>供应商</w:t>
      </w:r>
      <w:r>
        <w:rPr>
          <w:rFonts w:hint="eastAsia" w:ascii="宋体" w:hAnsi="宋体" w:eastAsia="宋体" w:cs="宋体"/>
          <w:kern w:val="0"/>
          <w:sz w:val="24"/>
          <w:szCs w:val="20"/>
        </w:rPr>
        <w:t>名称：XXXX（单位公章）</w:t>
      </w:r>
    </w:p>
    <w:p w14:paraId="03731D59">
      <w:pPr>
        <w:widowControl w:val="0"/>
        <w:kinsoku/>
        <w:overflowPunct/>
        <w:bidi w:val="0"/>
        <w:spacing w:line="360" w:lineRule="auto"/>
        <w:ind w:firstLine="480" w:firstLineChars="200"/>
        <w:jc w:val="left"/>
        <w:rPr>
          <w:rFonts w:hint="eastAsia" w:ascii="宋体" w:hAnsi="宋体" w:eastAsia="宋体" w:cs="宋体"/>
          <w:kern w:val="0"/>
          <w:sz w:val="24"/>
          <w:szCs w:val="20"/>
        </w:rPr>
      </w:pPr>
      <w:r>
        <w:rPr>
          <w:rFonts w:hint="eastAsia" w:ascii="宋体" w:hAnsi="宋体" w:eastAsia="宋体" w:cs="宋体"/>
          <w:kern w:val="0"/>
          <w:sz w:val="24"/>
          <w:szCs w:val="20"/>
        </w:rPr>
        <w:t>法定代表人/单位负责人或授权代表（签字或加盖个人名章）：XXXX</w:t>
      </w:r>
    </w:p>
    <w:p w14:paraId="22B120A0">
      <w:pPr>
        <w:widowControl w:val="0"/>
        <w:kinsoku/>
        <w:overflowPunct/>
        <w:bidi w:val="0"/>
        <w:spacing w:line="360" w:lineRule="auto"/>
        <w:ind w:firstLine="480" w:firstLineChars="200"/>
        <w:jc w:val="left"/>
        <w:rPr>
          <w:rFonts w:hint="eastAsia" w:ascii="宋体" w:hAnsi="宋体" w:eastAsia="宋体" w:cs="宋体"/>
          <w:b/>
          <w:szCs w:val="21"/>
        </w:rPr>
      </w:pPr>
      <w:r>
        <w:rPr>
          <w:rFonts w:hint="eastAsia" w:ascii="宋体" w:hAnsi="宋体" w:eastAsia="宋体" w:cs="宋体"/>
          <w:kern w:val="0"/>
          <w:sz w:val="24"/>
          <w:szCs w:val="20"/>
        </w:rPr>
        <w:t>日期：XXXX</w:t>
      </w:r>
    </w:p>
    <w:p w14:paraId="2DB3AB77">
      <w:pPr>
        <w:widowControl w:val="0"/>
        <w:kinsoku/>
        <w:overflowPunct/>
        <w:autoSpaceDE w:val="0"/>
        <w:autoSpaceDN w:val="0"/>
        <w:bidi w:val="0"/>
        <w:spacing w:line="360" w:lineRule="auto"/>
        <w:ind w:right="1400"/>
        <w:jc w:val="both"/>
        <w:rPr>
          <w:rFonts w:hint="eastAsia" w:ascii="宋体" w:hAnsi="宋体" w:eastAsia="宋体" w:cs="宋体"/>
          <w:b/>
          <w:szCs w:val="21"/>
        </w:rPr>
      </w:pPr>
    </w:p>
    <w:p w14:paraId="356D5DF8">
      <w:pPr>
        <w:widowControl w:val="0"/>
        <w:kinsoku/>
        <w:overflowPunct/>
        <w:autoSpaceDE w:val="0"/>
        <w:autoSpaceDN w:val="0"/>
        <w:bidi w:val="0"/>
        <w:spacing w:line="360" w:lineRule="auto"/>
        <w:ind w:right="1400"/>
        <w:jc w:val="both"/>
        <w:rPr>
          <w:rFonts w:hint="default" w:ascii="宋体" w:hAnsi="宋体" w:eastAsia="宋体" w:cs="宋体"/>
          <w:b/>
          <w:szCs w:val="21"/>
          <w:lang w:val="en-US" w:eastAsia="zh-CN"/>
        </w:rPr>
      </w:pPr>
      <w:r>
        <w:rPr>
          <w:rFonts w:hint="eastAsia" w:ascii="宋体" w:hAnsi="宋体" w:eastAsia="宋体" w:cs="宋体"/>
          <w:b/>
          <w:szCs w:val="21"/>
        </w:rPr>
        <w:br w:type="page"/>
      </w:r>
      <w:r>
        <w:rPr>
          <w:rFonts w:hint="eastAsia" w:ascii="宋体" w:hAnsi="宋体" w:eastAsia="宋体" w:cs="宋体"/>
          <w:b/>
          <w:szCs w:val="21"/>
          <w:lang w:val="en-US" w:eastAsia="zh-CN"/>
        </w:rPr>
        <w:t>2.4、</w:t>
      </w:r>
      <w:r>
        <w:rPr>
          <w:rFonts w:hint="eastAsia" w:ascii="宋体" w:hAnsi="宋体" w:eastAsia="宋体" w:cs="宋体"/>
          <w:b/>
          <w:szCs w:val="21"/>
        </w:rPr>
        <w:t>其他</w:t>
      </w:r>
      <w:r>
        <w:rPr>
          <w:rFonts w:hint="eastAsia" w:ascii="宋体" w:hAnsi="宋体" w:eastAsia="宋体" w:cs="宋体"/>
          <w:b/>
          <w:szCs w:val="21"/>
          <w:lang w:val="en-US" w:eastAsia="zh-CN"/>
        </w:rPr>
        <w:t>要求承诺函（说明函）</w:t>
      </w:r>
    </w:p>
    <w:p w14:paraId="6DA6D365">
      <w:pPr>
        <w:widowControl w:val="0"/>
        <w:kinsoku/>
        <w:overflowPunct/>
        <w:bidi w:val="0"/>
        <w:spacing w:line="360" w:lineRule="auto"/>
        <w:ind w:firstLine="480" w:firstLineChars="200"/>
        <w:jc w:val="both"/>
        <w:rPr>
          <w:rFonts w:hint="eastAsia" w:ascii="宋体" w:hAnsi="宋体" w:eastAsia="宋体" w:cs="宋体"/>
          <w:kern w:val="0"/>
          <w:sz w:val="24"/>
          <w:szCs w:val="20"/>
        </w:rPr>
      </w:pPr>
      <w:r>
        <w:rPr>
          <w:rFonts w:hint="eastAsia" w:ascii="宋体" w:hAnsi="宋体" w:eastAsia="宋体" w:cs="宋体"/>
          <w:kern w:val="0"/>
          <w:sz w:val="24"/>
          <w:szCs w:val="24"/>
        </w:rPr>
        <w:t>本单位</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（公司名称）参加</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（项目名称）的</w:t>
      </w:r>
      <w:r>
        <w:rPr>
          <w:rFonts w:hint="eastAsia" w:ascii="宋体" w:hAnsi="宋体" w:eastAsia="宋体" w:cs="宋体"/>
          <w:kern w:val="0"/>
          <w:sz w:val="24"/>
          <w:szCs w:val="28"/>
        </w:rPr>
        <w:t>采购</w:t>
      </w:r>
      <w:r>
        <w:rPr>
          <w:rFonts w:hint="eastAsia" w:ascii="宋体" w:hAnsi="宋体" w:eastAsia="宋体" w:cs="宋体"/>
          <w:kern w:val="0"/>
          <w:sz w:val="24"/>
          <w:szCs w:val="24"/>
        </w:rPr>
        <w:t>活动，现承诺我公司</w:t>
      </w:r>
      <w:r>
        <w:rPr>
          <w:rFonts w:hint="eastAsia" w:ascii="宋体" w:hAnsi="宋体" w:eastAsia="宋体" w:cs="宋体"/>
          <w:kern w:val="0"/>
          <w:sz w:val="24"/>
          <w:szCs w:val="20"/>
        </w:rPr>
        <w:t>参加本次采购活动不存在：</w:t>
      </w:r>
    </w:p>
    <w:p w14:paraId="64D9EADE">
      <w:pPr>
        <w:widowControl w:val="0"/>
        <w:kinsoku/>
        <w:overflowPunct/>
        <w:bidi w:val="0"/>
        <w:spacing w:line="360" w:lineRule="auto"/>
        <w:ind w:firstLine="480" w:firstLineChars="200"/>
        <w:jc w:val="both"/>
        <w:rPr>
          <w:rFonts w:hint="eastAsia" w:ascii="宋体" w:hAnsi="宋体" w:eastAsia="宋体" w:cs="宋体"/>
          <w:kern w:val="0"/>
          <w:sz w:val="24"/>
          <w:szCs w:val="20"/>
        </w:rPr>
      </w:pPr>
      <w:r>
        <w:rPr>
          <w:rFonts w:hint="eastAsia" w:ascii="宋体" w:hAnsi="宋体" w:eastAsia="宋体" w:cs="宋体"/>
          <w:kern w:val="0"/>
          <w:sz w:val="24"/>
          <w:szCs w:val="20"/>
        </w:rPr>
        <w:t>（1）与招标人存在利害关系可能影响招标公正性的法定代表人、其他组织或者个人参加投标的情形；</w:t>
      </w:r>
    </w:p>
    <w:p w14:paraId="3708CF47">
      <w:pPr>
        <w:widowControl w:val="0"/>
        <w:kinsoku/>
        <w:overflowPunct/>
        <w:bidi w:val="0"/>
        <w:spacing w:line="360" w:lineRule="auto"/>
        <w:ind w:firstLine="480" w:firstLineChars="200"/>
        <w:jc w:val="both"/>
        <w:rPr>
          <w:rFonts w:hint="eastAsia" w:ascii="宋体" w:hAnsi="宋体" w:eastAsia="宋体" w:cs="宋体"/>
          <w:kern w:val="0"/>
          <w:sz w:val="24"/>
          <w:szCs w:val="20"/>
        </w:rPr>
      </w:pPr>
      <w:r>
        <w:rPr>
          <w:rFonts w:hint="eastAsia" w:ascii="宋体" w:hAnsi="宋体" w:eastAsia="宋体" w:cs="宋体"/>
          <w:kern w:val="0"/>
          <w:sz w:val="24"/>
          <w:szCs w:val="20"/>
        </w:rPr>
        <w:t>（2）单位负责人为同一人或者存在直接控股、管理关系的不同单位，参加同一合同项下的同一招标项目投标的情形；</w:t>
      </w:r>
    </w:p>
    <w:p w14:paraId="61A96D8C">
      <w:pPr>
        <w:widowControl w:val="0"/>
        <w:kinsoku/>
        <w:overflowPunct/>
        <w:bidi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0"/>
        </w:rPr>
        <w:t>（3）以联合体形式投标</w:t>
      </w:r>
      <w:r>
        <w:rPr>
          <w:rFonts w:hint="eastAsia" w:ascii="宋体" w:hAnsi="宋体" w:eastAsia="宋体" w:cs="宋体"/>
          <w:kern w:val="0"/>
          <w:sz w:val="24"/>
          <w:szCs w:val="24"/>
        </w:rPr>
        <w:t>。</w:t>
      </w:r>
    </w:p>
    <w:p w14:paraId="50CC24AC">
      <w:pPr>
        <w:widowControl w:val="0"/>
        <w:kinsoku/>
        <w:overflowPunct/>
        <w:bidi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本公司对上述承诺内容事项真实性负责。如经查实上述承诺的内容事项存在虚假，我公司愿意接受以提供虚假材料谋取中标追究法律责任。</w:t>
      </w:r>
    </w:p>
    <w:p w14:paraId="427260F9">
      <w:pPr>
        <w:widowControl w:val="0"/>
        <w:kinsoku/>
        <w:overflowPunct/>
        <w:bidi w:val="0"/>
        <w:spacing w:line="360" w:lineRule="auto"/>
        <w:ind w:firstLine="480" w:firstLineChars="200"/>
        <w:jc w:val="both"/>
        <w:rPr>
          <w:rFonts w:hint="eastAsia" w:ascii="宋体" w:hAnsi="宋体" w:eastAsia="宋体" w:cs="宋体"/>
          <w:kern w:val="0"/>
          <w:sz w:val="24"/>
          <w:szCs w:val="20"/>
        </w:rPr>
      </w:pPr>
    </w:p>
    <w:p w14:paraId="62CC3E4C">
      <w:pPr>
        <w:widowControl w:val="0"/>
        <w:kinsoku/>
        <w:overflowPunct/>
        <w:bidi w:val="0"/>
        <w:spacing w:line="360" w:lineRule="auto"/>
        <w:ind w:firstLine="480" w:firstLineChars="200"/>
        <w:jc w:val="both"/>
        <w:rPr>
          <w:rFonts w:hint="eastAsia" w:ascii="宋体" w:hAnsi="宋体" w:eastAsia="宋体" w:cs="宋体"/>
          <w:kern w:val="0"/>
          <w:sz w:val="24"/>
          <w:szCs w:val="20"/>
        </w:rPr>
      </w:pPr>
    </w:p>
    <w:p w14:paraId="5249DCBC">
      <w:pPr>
        <w:widowControl w:val="0"/>
        <w:kinsoku/>
        <w:overflowPunct/>
        <w:bidi w:val="0"/>
        <w:spacing w:line="360" w:lineRule="auto"/>
        <w:ind w:firstLine="480" w:firstLineChars="200"/>
        <w:jc w:val="left"/>
        <w:rPr>
          <w:rFonts w:hint="eastAsia" w:ascii="宋体" w:hAnsi="宋体" w:eastAsia="宋体" w:cs="宋体"/>
          <w:kern w:val="0"/>
          <w:sz w:val="24"/>
          <w:szCs w:val="20"/>
        </w:rPr>
      </w:pPr>
      <w:r>
        <w:rPr>
          <w:rFonts w:hint="eastAsia" w:ascii="宋体" w:hAnsi="宋体" w:eastAsia="宋体" w:cs="宋体"/>
          <w:kern w:val="0"/>
          <w:sz w:val="24"/>
          <w:szCs w:val="20"/>
          <w:lang w:val="en-US" w:eastAsia="zh-CN"/>
        </w:rPr>
        <w:t>供应商</w:t>
      </w:r>
      <w:r>
        <w:rPr>
          <w:rFonts w:hint="eastAsia" w:ascii="宋体" w:hAnsi="宋体" w:eastAsia="宋体" w:cs="宋体"/>
          <w:kern w:val="0"/>
          <w:sz w:val="24"/>
          <w:szCs w:val="20"/>
        </w:rPr>
        <w:t>名称：XXXX（单位公章）</w:t>
      </w:r>
    </w:p>
    <w:p w14:paraId="3B17C0E8">
      <w:pPr>
        <w:widowControl w:val="0"/>
        <w:kinsoku/>
        <w:overflowPunct/>
        <w:bidi w:val="0"/>
        <w:spacing w:line="360" w:lineRule="auto"/>
        <w:ind w:firstLine="480" w:firstLineChars="200"/>
        <w:jc w:val="left"/>
        <w:rPr>
          <w:rFonts w:hint="eastAsia" w:ascii="宋体" w:hAnsi="宋体" w:eastAsia="宋体" w:cs="宋体"/>
          <w:kern w:val="0"/>
          <w:sz w:val="24"/>
          <w:szCs w:val="20"/>
        </w:rPr>
      </w:pPr>
      <w:r>
        <w:rPr>
          <w:rFonts w:hint="eastAsia" w:ascii="宋体" w:hAnsi="宋体" w:eastAsia="宋体" w:cs="宋体"/>
          <w:kern w:val="0"/>
          <w:sz w:val="24"/>
          <w:szCs w:val="20"/>
        </w:rPr>
        <w:t>法定代表人/单位负责人或授权代表（签字或加盖个人名章）：XXXX</w:t>
      </w:r>
    </w:p>
    <w:p w14:paraId="57E35EB7">
      <w:pPr>
        <w:widowControl w:val="0"/>
        <w:kinsoku/>
        <w:overflowPunct/>
        <w:autoSpaceDE w:val="0"/>
        <w:autoSpaceDN w:val="0"/>
        <w:bidi w:val="0"/>
        <w:spacing w:line="360" w:lineRule="auto"/>
        <w:ind w:right="1400"/>
        <w:jc w:val="both"/>
        <w:rPr>
          <w:rFonts w:hint="eastAsia" w:ascii="宋体" w:hAnsi="宋体" w:eastAsia="宋体" w:cs="宋体"/>
          <w:b/>
          <w:szCs w:val="21"/>
        </w:rPr>
      </w:pPr>
      <w:r>
        <w:rPr>
          <w:rFonts w:hint="eastAsia" w:ascii="宋体" w:hAnsi="宋体" w:eastAsia="宋体" w:cs="宋体"/>
          <w:kern w:val="0"/>
          <w:sz w:val="24"/>
          <w:szCs w:val="20"/>
        </w:rPr>
        <w:t>投标日期：XXXX</w:t>
      </w:r>
    </w:p>
    <w:p w14:paraId="1FC6EFF2">
      <w:pPr>
        <w:widowControl w:val="0"/>
        <w:kinsoku/>
        <w:overflowPunct/>
        <w:autoSpaceDE w:val="0"/>
        <w:autoSpaceDN w:val="0"/>
        <w:bidi w:val="0"/>
        <w:spacing w:line="360" w:lineRule="auto"/>
        <w:ind w:right="1400"/>
        <w:jc w:val="both"/>
        <w:rPr>
          <w:rFonts w:hint="eastAsia" w:ascii="宋体" w:hAnsi="宋体" w:eastAsia="宋体" w:cs="宋体"/>
          <w:b/>
          <w:szCs w:val="21"/>
        </w:rPr>
      </w:pPr>
    </w:p>
    <w:p w14:paraId="6D9BE637">
      <w:pPr>
        <w:widowControl w:val="0"/>
        <w:kinsoku/>
        <w:overflowPunct/>
        <w:autoSpaceDE w:val="0"/>
        <w:autoSpaceDN w:val="0"/>
        <w:bidi w:val="0"/>
        <w:spacing w:line="360" w:lineRule="auto"/>
        <w:ind w:right="1400"/>
        <w:jc w:val="both"/>
        <w:rPr>
          <w:rFonts w:hint="eastAsia" w:ascii="宋体" w:hAnsi="宋体" w:eastAsia="宋体" w:cs="宋体"/>
          <w:b/>
          <w:szCs w:val="21"/>
        </w:rPr>
      </w:pPr>
    </w:p>
    <w:p w14:paraId="305A9BB4">
      <w:pPr>
        <w:widowControl w:val="0"/>
        <w:kinsoku/>
        <w:overflowPunct/>
        <w:autoSpaceDE w:val="0"/>
        <w:autoSpaceDN w:val="0"/>
        <w:bidi w:val="0"/>
        <w:spacing w:line="360" w:lineRule="auto"/>
        <w:ind w:right="1400"/>
        <w:jc w:val="both"/>
        <w:rPr>
          <w:rFonts w:hint="eastAsia" w:ascii="宋体" w:hAnsi="宋体" w:eastAsia="宋体" w:cs="宋体"/>
          <w:b/>
          <w:szCs w:val="21"/>
        </w:rPr>
      </w:pPr>
    </w:p>
    <w:p w14:paraId="39700207">
      <w:pPr>
        <w:widowControl w:val="0"/>
        <w:kinsoku/>
        <w:overflowPunct/>
        <w:autoSpaceDE w:val="0"/>
        <w:autoSpaceDN w:val="0"/>
        <w:bidi w:val="0"/>
        <w:spacing w:line="360" w:lineRule="auto"/>
        <w:ind w:right="1400"/>
        <w:jc w:val="both"/>
        <w:rPr>
          <w:rFonts w:hint="eastAsia" w:ascii="宋体" w:hAnsi="宋体" w:eastAsia="宋体" w:cs="宋体"/>
          <w:b/>
          <w:szCs w:val="21"/>
        </w:rPr>
      </w:pPr>
    </w:p>
    <w:p w14:paraId="55EFF6D9">
      <w:pPr>
        <w:widowControl w:val="0"/>
        <w:kinsoku/>
        <w:overflowPunct/>
        <w:autoSpaceDE w:val="0"/>
        <w:autoSpaceDN w:val="0"/>
        <w:bidi w:val="0"/>
        <w:spacing w:line="360" w:lineRule="auto"/>
        <w:ind w:right="1400"/>
        <w:jc w:val="both"/>
        <w:rPr>
          <w:rFonts w:hint="eastAsia" w:ascii="宋体" w:hAnsi="宋体" w:eastAsia="宋体" w:cs="宋体"/>
          <w:b/>
          <w:szCs w:val="21"/>
        </w:rPr>
      </w:pPr>
    </w:p>
    <w:p w14:paraId="7E949D2F">
      <w:pPr>
        <w:widowControl w:val="0"/>
        <w:kinsoku/>
        <w:overflowPunct/>
        <w:autoSpaceDE w:val="0"/>
        <w:autoSpaceDN w:val="0"/>
        <w:bidi w:val="0"/>
        <w:spacing w:line="360" w:lineRule="auto"/>
        <w:ind w:right="1400"/>
        <w:jc w:val="both"/>
        <w:rPr>
          <w:rFonts w:hint="eastAsia" w:ascii="宋体" w:hAnsi="宋体" w:eastAsia="宋体" w:cs="宋体"/>
          <w:b/>
          <w:szCs w:val="21"/>
        </w:rPr>
      </w:pPr>
      <w:r>
        <w:rPr>
          <w:rFonts w:hint="eastAsia" w:ascii="宋体" w:hAnsi="宋体" w:eastAsia="宋体" w:cs="宋体"/>
          <w:b/>
          <w:szCs w:val="21"/>
        </w:rPr>
        <w:br w:type="page"/>
      </w:r>
      <w:r>
        <w:rPr>
          <w:rFonts w:hint="eastAsia" w:ascii="宋体" w:hAnsi="宋体" w:eastAsia="宋体" w:cs="宋体"/>
          <w:b/>
          <w:szCs w:val="21"/>
          <w:lang w:val="en-US" w:eastAsia="zh-CN"/>
        </w:rPr>
        <w:t>2.5、具有履行合同所必须的设备和专业技术能力</w:t>
      </w:r>
      <w:r>
        <w:rPr>
          <w:rFonts w:hint="eastAsia" w:ascii="宋体" w:hAnsi="宋体" w:eastAsia="宋体" w:cs="宋体"/>
          <w:b/>
          <w:szCs w:val="21"/>
        </w:rPr>
        <w:t>。</w:t>
      </w:r>
    </w:p>
    <w:p w14:paraId="7C108C78">
      <w:pPr>
        <w:widowControl w:val="0"/>
        <w:kinsoku/>
        <w:overflowPunct/>
        <w:bidi w:val="0"/>
        <w:adjustRightInd w:val="0"/>
        <w:snapToGrid w:val="0"/>
        <w:spacing w:line="360" w:lineRule="auto"/>
        <w:jc w:val="center"/>
        <w:rPr>
          <w:rFonts w:hint="eastAsia" w:ascii="宋体" w:hAnsi="宋体" w:eastAsia="宋体" w:cs="宋体"/>
          <w:szCs w:val="21"/>
          <w:lang w:eastAsia="zh-CN"/>
        </w:rPr>
      </w:pPr>
      <w:r>
        <w:rPr>
          <w:rFonts w:hint="eastAsia" w:ascii="宋体" w:hAnsi="宋体" w:eastAsia="宋体" w:cs="宋体"/>
          <w:szCs w:val="21"/>
        </w:rPr>
        <w:t>具备履行本项目合同所必需的设备和专业技术能力</w:t>
      </w:r>
      <w:r>
        <w:rPr>
          <w:rFonts w:hint="eastAsia" w:ascii="宋体" w:hAnsi="宋体" w:eastAsia="宋体" w:cs="宋体"/>
          <w:szCs w:val="21"/>
          <w:lang w:val="en-US" w:eastAsia="zh-CN"/>
        </w:rPr>
        <w:t>承诺函</w:t>
      </w:r>
    </w:p>
    <w:p w14:paraId="6A515489">
      <w:pPr>
        <w:widowControl w:val="0"/>
        <w:kinsoku/>
        <w:overflowPunct/>
        <w:bidi w:val="0"/>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lang w:eastAsia="zh-CN"/>
        </w:rPr>
        <w:t>：</w:t>
      </w:r>
      <w:r>
        <w:rPr>
          <w:rFonts w:hint="eastAsia" w:ascii="宋体" w:hAnsi="宋体" w:eastAsia="宋体" w:cs="宋体"/>
          <w:szCs w:val="21"/>
          <w:u w:val="single"/>
          <w:lang w:eastAsia="zh-CN"/>
        </w:rPr>
        <w:t>（</w:t>
      </w:r>
      <w:r>
        <w:rPr>
          <w:rFonts w:hint="eastAsia" w:ascii="宋体" w:hAnsi="宋体" w:eastAsia="宋体" w:cs="宋体"/>
          <w:szCs w:val="21"/>
          <w:u w:val="single"/>
          <w:lang w:val="en-US" w:eastAsia="zh-CN"/>
        </w:rPr>
        <w:t>采购人名称</w:t>
      </w:r>
      <w:r>
        <w:rPr>
          <w:rFonts w:hint="eastAsia" w:ascii="宋体" w:hAnsi="宋体" w:eastAsia="宋体" w:cs="宋体"/>
          <w:szCs w:val="21"/>
          <w:u w:val="single"/>
          <w:lang w:eastAsia="zh-CN"/>
        </w:rPr>
        <w:t>）</w:t>
      </w:r>
      <w:r>
        <w:rPr>
          <w:rFonts w:hint="eastAsia" w:ascii="宋体" w:hAnsi="宋体" w:eastAsia="宋体" w:cs="宋体"/>
          <w:szCs w:val="21"/>
        </w:rPr>
        <w:t xml:space="preserve">                         ：</w:t>
      </w:r>
    </w:p>
    <w:p w14:paraId="2A65A4E4">
      <w:pPr>
        <w:widowControl w:val="0"/>
        <w:kinsoku/>
        <w:overflowPunct/>
        <w:bidi w:val="0"/>
        <w:adjustRightInd w:val="0"/>
        <w:snapToGrid w:val="0"/>
        <w:spacing w:line="360" w:lineRule="auto"/>
        <w:ind w:firstLine="420" w:firstLineChars="0"/>
        <w:jc w:val="both"/>
        <w:rPr>
          <w:rFonts w:hint="eastAsia" w:ascii="宋体" w:hAnsi="宋体" w:eastAsia="宋体" w:cs="宋体"/>
          <w:szCs w:val="21"/>
          <w:lang w:eastAsia="zh-CN"/>
        </w:rPr>
      </w:pPr>
      <w:r>
        <w:rPr>
          <w:rFonts w:hint="eastAsia" w:ascii="宋体" w:hAnsi="宋体" w:eastAsia="宋体" w:cs="宋体"/>
          <w:szCs w:val="21"/>
        </w:rPr>
        <w:t>本公司（</w:t>
      </w:r>
      <w:r>
        <w:rPr>
          <w:rFonts w:hint="eastAsia" w:ascii="宋体" w:hAnsi="宋体" w:eastAsia="宋体" w:cs="宋体"/>
          <w:szCs w:val="21"/>
          <w:u w:val="single"/>
        </w:rPr>
        <w:t xml:space="preserve"> 供应商</w:t>
      </w:r>
      <w:r>
        <w:rPr>
          <w:rFonts w:hint="eastAsia" w:ascii="宋体" w:hAnsi="宋体" w:eastAsia="宋体" w:cs="宋体"/>
          <w:szCs w:val="21"/>
          <w:u w:val="single"/>
          <w:lang w:val="en-US" w:eastAsia="zh-CN"/>
        </w:rPr>
        <w:t>名称</w:t>
      </w:r>
      <w:r>
        <w:rPr>
          <w:rFonts w:hint="eastAsia" w:ascii="宋体" w:hAnsi="宋体" w:eastAsia="宋体" w:cs="宋体"/>
          <w:szCs w:val="21"/>
          <w:u w:val="single"/>
        </w:rPr>
        <w:t xml:space="preserve">   </w:t>
      </w:r>
      <w:r>
        <w:rPr>
          <w:rFonts w:hint="eastAsia" w:ascii="宋体" w:hAnsi="宋体" w:eastAsia="宋体" w:cs="宋体"/>
          <w:szCs w:val="21"/>
        </w:rPr>
        <w:t>）参加 (</w:t>
      </w:r>
      <w:r>
        <w:rPr>
          <w:rFonts w:hint="eastAsia" w:ascii="宋体" w:hAnsi="宋体" w:eastAsia="宋体" w:cs="宋体"/>
          <w:szCs w:val="21"/>
          <w:lang w:eastAsia="zh-CN"/>
        </w:rPr>
        <w:t>（</w:t>
      </w:r>
      <w:r>
        <w:rPr>
          <w:rFonts w:hint="eastAsia" w:ascii="宋体" w:hAnsi="宋体" w:eastAsia="宋体" w:cs="宋体"/>
          <w:szCs w:val="21"/>
          <w:lang w:val="en-US" w:eastAsia="zh-CN"/>
        </w:rPr>
        <w:t>项目名称</w:t>
      </w:r>
      <w:r>
        <w:rPr>
          <w:rFonts w:hint="eastAsia" w:ascii="宋体" w:hAnsi="宋体" w:eastAsia="宋体" w:cs="宋体"/>
          <w:szCs w:val="21"/>
          <w:lang w:eastAsia="zh-CN"/>
        </w:rPr>
        <w:t>）、（</w:t>
      </w:r>
      <w:r>
        <w:rPr>
          <w:rFonts w:hint="eastAsia" w:ascii="宋体" w:hAnsi="宋体" w:eastAsia="宋体" w:cs="宋体"/>
          <w:szCs w:val="21"/>
          <w:lang w:val="en-US" w:eastAsia="zh-CN"/>
        </w:rPr>
        <w:t>项目编号</w:t>
      </w:r>
      <w:r>
        <w:rPr>
          <w:rFonts w:hint="eastAsia" w:ascii="宋体" w:hAnsi="宋体" w:eastAsia="宋体" w:cs="宋体"/>
          <w:szCs w:val="21"/>
          <w:lang w:eastAsia="zh-CN"/>
        </w:rPr>
        <w:t>）</w:t>
      </w:r>
      <w:r>
        <w:rPr>
          <w:rFonts w:hint="eastAsia" w:ascii="宋体" w:hAnsi="宋体" w:eastAsia="宋体" w:cs="宋体"/>
          <w:szCs w:val="21"/>
        </w:rPr>
        <w:t>)的投标活动</w:t>
      </w:r>
      <w:r>
        <w:rPr>
          <w:rFonts w:hint="eastAsia" w:ascii="宋体" w:hAnsi="宋体" w:eastAsia="宋体" w:cs="宋体"/>
          <w:szCs w:val="21"/>
          <w:lang w:eastAsia="zh-CN"/>
        </w:rPr>
        <w:t>。</w:t>
      </w:r>
    </w:p>
    <w:p w14:paraId="107C4271">
      <w:pPr>
        <w:widowControl w:val="0"/>
        <w:kinsoku/>
        <w:overflowPunct/>
        <w:bidi w:val="0"/>
        <w:adjustRightInd w:val="0"/>
        <w:snapToGrid w:val="0"/>
        <w:spacing w:line="360" w:lineRule="auto"/>
        <w:ind w:firstLine="420" w:firstLineChars="0"/>
        <w:jc w:val="both"/>
        <w:rPr>
          <w:rFonts w:hint="eastAsia" w:ascii="宋体" w:hAnsi="宋体" w:eastAsia="宋体" w:cs="宋体"/>
          <w:szCs w:val="21"/>
          <w:lang w:eastAsia="zh-CN"/>
        </w:rPr>
      </w:pPr>
    </w:p>
    <w:p w14:paraId="190E77AD">
      <w:pPr>
        <w:widowControl w:val="0"/>
        <w:kinsoku/>
        <w:overflowPunct/>
        <w:bidi w:val="0"/>
        <w:adjustRightInd w:val="0"/>
        <w:snapToGrid w:val="0"/>
        <w:spacing w:line="360" w:lineRule="auto"/>
        <w:ind w:firstLine="420" w:firstLineChars="0"/>
        <w:jc w:val="both"/>
        <w:rPr>
          <w:rFonts w:hint="eastAsia" w:ascii="宋体" w:hAnsi="宋体" w:eastAsia="宋体" w:cs="宋体"/>
          <w:szCs w:val="21"/>
          <w:lang w:val="en-US" w:eastAsia="zh-CN"/>
        </w:rPr>
      </w:pPr>
      <w:r>
        <w:rPr>
          <w:rFonts w:hint="eastAsia" w:ascii="宋体" w:hAnsi="宋体" w:eastAsia="宋体" w:cs="宋体"/>
          <w:szCs w:val="21"/>
        </w:rPr>
        <w:t>现承诺：我公司具有</w:t>
      </w:r>
      <w:r>
        <w:rPr>
          <w:rFonts w:hint="eastAsia" w:ascii="宋体" w:hAnsi="宋体" w:eastAsia="宋体" w:cs="宋体"/>
          <w:szCs w:val="21"/>
          <w:lang w:val="en-US" w:eastAsia="zh-CN"/>
        </w:rPr>
        <w:t>完成本项目（履行合同）所必须的设备和专业技术能力。</w:t>
      </w:r>
    </w:p>
    <w:p w14:paraId="2DA52215">
      <w:pPr>
        <w:widowControl w:val="0"/>
        <w:kinsoku/>
        <w:overflowPunct/>
        <w:bidi w:val="0"/>
        <w:adjustRightInd w:val="0"/>
        <w:snapToGrid w:val="0"/>
        <w:spacing w:line="360" w:lineRule="auto"/>
        <w:ind w:firstLine="420" w:firstLineChars="0"/>
        <w:jc w:val="both"/>
        <w:rPr>
          <w:rFonts w:hint="eastAsia" w:ascii="宋体" w:hAnsi="宋体" w:eastAsia="宋体" w:cs="宋体"/>
          <w:szCs w:val="21"/>
          <w:lang w:val="en-US" w:eastAsia="zh-CN"/>
        </w:rPr>
      </w:pPr>
    </w:p>
    <w:p w14:paraId="7DCBDFF6">
      <w:pPr>
        <w:widowControl w:val="0"/>
        <w:kinsoku/>
        <w:overflowPunct/>
        <w:bidi w:val="0"/>
        <w:adjustRightInd w:val="0"/>
        <w:snapToGrid w:val="0"/>
        <w:spacing w:line="360" w:lineRule="auto"/>
        <w:ind w:firstLine="420" w:firstLineChars="0"/>
        <w:jc w:val="both"/>
        <w:rPr>
          <w:rFonts w:hint="default" w:ascii="宋体" w:hAnsi="宋体" w:eastAsia="宋体" w:cs="宋体"/>
          <w:szCs w:val="21"/>
          <w:lang w:val="en-US" w:eastAsia="zh-CN"/>
        </w:rPr>
      </w:pPr>
      <w:r>
        <w:rPr>
          <w:rFonts w:hint="eastAsia" w:ascii="宋体" w:hAnsi="宋体" w:eastAsia="宋体" w:cs="宋体"/>
          <w:szCs w:val="21"/>
          <w:lang w:val="en-US" w:eastAsia="zh-CN"/>
        </w:rPr>
        <w:t>特此承诺。</w:t>
      </w:r>
    </w:p>
    <w:p w14:paraId="735EC423">
      <w:pPr>
        <w:widowControl w:val="0"/>
        <w:kinsoku/>
        <w:overflowPunct/>
        <w:bidi w:val="0"/>
        <w:adjustRightInd w:val="0"/>
        <w:snapToGrid w:val="0"/>
        <w:spacing w:line="360" w:lineRule="auto"/>
        <w:jc w:val="both"/>
        <w:rPr>
          <w:rFonts w:hint="eastAsia" w:ascii="宋体" w:hAnsi="宋体" w:eastAsia="宋体" w:cs="宋体"/>
          <w:szCs w:val="21"/>
        </w:rPr>
      </w:pPr>
    </w:p>
    <w:p w14:paraId="56FF0380">
      <w:pPr>
        <w:widowControl w:val="0"/>
        <w:kinsoku/>
        <w:overflowPunct/>
        <w:bidi w:val="0"/>
        <w:adjustRightInd w:val="0"/>
        <w:snapToGrid w:val="0"/>
        <w:spacing w:line="360" w:lineRule="auto"/>
        <w:jc w:val="both"/>
        <w:rPr>
          <w:rFonts w:hint="eastAsia" w:ascii="宋体" w:hAnsi="宋体" w:eastAsia="宋体" w:cs="宋体"/>
          <w:szCs w:val="21"/>
        </w:rPr>
      </w:pPr>
    </w:p>
    <w:p w14:paraId="278ECDE7">
      <w:pPr>
        <w:widowControl w:val="0"/>
        <w:kinsoku/>
        <w:overflowPunct/>
        <w:bidi w:val="0"/>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 xml:space="preserve">供应商名称：（盖章）                   </w:t>
      </w:r>
    </w:p>
    <w:p w14:paraId="6CC2A8EF">
      <w:pPr>
        <w:widowControl w:val="0"/>
        <w:kinsoku/>
        <w:overflowPunct/>
        <w:bidi w:val="0"/>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 xml:space="preserve">法定代表人或授权代表（签字）：         </w:t>
      </w:r>
    </w:p>
    <w:p w14:paraId="46ED4E1B">
      <w:pPr>
        <w:widowControl w:val="0"/>
        <w:kinsoku/>
        <w:overflowPunct/>
        <w:bidi w:val="0"/>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日期：       年     月    日</w:t>
      </w:r>
    </w:p>
    <w:p w14:paraId="31E641B5">
      <w:pPr>
        <w:widowControl w:val="0"/>
        <w:kinsoku/>
        <w:overflowPunct/>
        <w:bidi w:val="0"/>
        <w:adjustRightInd w:val="0"/>
        <w:snapToGrid w:val="0"/>
        <w:spacing w:line="360" w:lineRule="auto"/>
        <w:jc w:val="both"/>
        <w:rPr>
          <w:rFonts w:hint="eastAsia" w:ascii="宋体" w:hAnsi="宋体" w:eastAsia="宋体" w:cs="宋体"/>
          <w:szCs w:val="21"/>
        </w:rPr>
      </w:pPr>
    </w:p>
    <w:p w14:paraId="5DAE0798">
      <w:pPr>
        <w:widowControl w:val="0"/>
        <w:kinsoku/>
        <w:overflowPunct/>
        <w:bidi w:val="0"/>
        <w:adjustRightInd w:val="0"/>
        <w:snapToGrid w:val="0"/>
        <w:spacing w:line="360" w:lineRule="auto"/>
        <w:jc w:val="both"/>
        <w:rPr>
          <w:rFonts w:hint="eastAsia" w:ascii="宋体" w:hAnsi="宋体" w:eastAsia="宋体" w:cs="宋体"/>
          <w:szCs w:val="21"/>
        </w:rPr>
      </w:pPr>
    </w:p>
    <w:p w14:paraId="3D73D816">
      <w:pPr>
        <w:widowControl w:val="0"/>
        <w:kinsoku/>
        <w:overflowPunct/>
        <w:autoSpaceDE w:val="0"/>
        <w:autoSpaceDN w:val="0"/>
        <w:bidi w:val="0"/>
        <w:spacing w:line="360" w:lineRule="auto"/>
        <w:ind w:right="1400"/>
        <w:jc w:val="both"/>
        <w:rPr>
          <w:rFonts w:hint="default" w:ascii="宋体" w:hAnsi="宋体" w:eastAsia="宋体" w:cs="宋体"/>
          <w:b/>
          <w:bCs/>
          <w:szCs w:val="21"/>
          <w:lang w:val="en-US" w:eastAsia="zh-CN"/>
        </w:rPr>
      </w:pPr>
      <w:bookmarkStart w:id="63" w:name="_Toc202819879"/>
      <w:bookmarkStart w:id="64" w:name="_Toc202254106"/>
      <w:bookmarkStart w:id="65" w:name="_Toc202251701"/>
      <w:bookmarkStart w:id="66" w:name="_Toc202252035"/>
      <w:bookmarkStart w:id="67" w:name="_Toc202816997"/>
      <w:bookmarkStart w:id="68" w:name="_Toc202251076"/>
      <w:bookmarkStart w:id="69" w:name="_Toc202820352"/>
      <w:r>
        <w:rPr>
          <w:rFonts w:hint="eastAsia" w:ascii="宋体" w:hAnsi="宋体" w:eastAsia="宋体" w:cs="宋体"/>
          <w:b/>
          <w:bCs/>
          <w:szCs w:val="21"/>
          <w:lang w:val="en-US" w:eastAsia="zh-CN"/>
        </w:rPr>
        <w:br w:type="page"/>
      </w:r>
      <w:r>
        <w:rPr>
          <w:rFonts w:hint="eastAsia" w:ascii="宋体" w:hAnsi="宋体" w:eastAsia="宋体" w:cs="宋体"/>
          <w:b/>
          <w:bCs/>
          <w:szCs w:val="21"/>
          <w:lang w:val="en-US" w:eastAsia="zh-CN"/>
        </w:rPr>
        <w:t>2.6、信誉要求</w:t>
      </w:r>
    </w:p>
    <w:p w14:paraId="6E398B5E">
      <w:pPr>
        <w:widowControl w:val="0"/>
        <w:kinsoku/>
        <w:overflowPunct/>
        <w:autoSpaceDE w:val="0"/>
        <w:autoSpaceDN w:val="0"/>
        <w:bidi w:val="0"/>
        <w:spacing w:line="360" w:lineRule="auto"/>
        <w:ind w:right="1400"/>
        <w:jc w:val="both"/>
        <w:rPr>
          <w:rFonts w:hint="default" w:ascii="宋体" w:hAnsi="宋体" w:eastAsia="宋体" w:cs="宋体"/>
          <w:szCs w:val="21"/>
          <w:lang w:val="en-US" w:eastAsia="zh-CN"/>
        </w:rPr>
      </w:pPr>
      <w:r>
        <w:rPr>
          <w:rFonts w:hint="eastAsia" w:ascii="宋体" w:hAnsi="宋体" w:eastAsia="宋体" w:cs="宋体"/>
          <w:szCs w:val="21"/>
        </w:rPr>
        <w:t>“信用中国”网站(www.creditchina.gov.cn)“记录失信被执行人</w:t>
      </w:r>
      <w:r>
        <w:rPr>
          <w:rFonts w:hint="eastAsia" w:ascii="宋体" w:hAnsi="宋体" w:eastAsia="宋体" w:cs="宋体"/>
          <w:szCs w:val="21"/>
          <w:lang w:val="en-US" w:eastAsia="zh-CN"/>
        </w:rPr>
        <w:t>查询结果</w:t>
      </w:r>
    </w:p>
    <w:p w14:paraId="7828B6D7">
      <w:pPr>
        <w:widowControl w:val="0"/>
        <w:kinsoku/>
        <w:overflowPunct/>
        <w:autoSpaceDE w:val="0"/>
        <w:autoSpaceDN w:val="0"/>
        <w:bidi w:val="0"/>
        <w:spacing w:line="360" w:lineRule="auto"/>
        <w:ind w:right="1400"/>
        <w:jc w:val="both"/>
        <w:rPr>
          <w:rFonts w:hint="eastAsia" w:ascii="宋体" w:hAnsi="宋体" w:eastAsia="宋体" w:cs="宋体"/>
          <w:szCs w:val="21"/>
        </w:rPr>
      </w:pPr>
    </w:p>
    <w:p w14:paraId="73603DEE">
      <w:pPr>
        <w:widowControl w:val="0"/>
        <w:kinsoku/>
        <w:overflowPunct/>
        <w:autoSpaceDE w:val="0"/>
        <w:autoSpaceDN w:val="0"/>
        <w:bidi w:val="0"/>
        <w:spacing w:line="360" w:lineRule="auto"/>
        <w:ind w:right="1400"/>
        <w:jc w:val="both"/>
        <w:rPr>
          <w:rFonts w:hint="eastAsia" w:ascii="宋体" w:hAnsi="宋体" w:eastAsia="宋体" w:cs="宋体"/>
          <w:szCs w:val="21"/>
        </w:rPr>
      </w:pPr>
    </w:p>
    <w:p w14:paraId="1088E02A">
      <w:pPr>
        <w:widowControl w:val="0"/>
        <w:kinsoku/>
        <w:overflowPunct/>
        <w:autoSpaceDE w:val="0"/>
        <w:autoSpaceDN w:val="0"/>
        <w:bidi w:val="0"/>
        <w:spacing w:line="360" w:lineRule="auto"/>
        <w:ind w:right="1400"/>
        <w:jc w:val="both"/>
        <w:rPr>
          <w:rFonts w:hint="eastAsia" w:ascii="宋体" w:hAnsi="宋体" w:eastAsia="宋体" w:cs="宋体"/>
          <w:szCs w:val="21"/>
        </w:rPr>
      </w:pPr>
      <w:r>
        <w:rPr>
          <w:rFonts w:hint="eastAsia" w:ascii="宋体" w:hAnsi="宋体" w:eastAsia="宋体" w:cs="宋体"/>
          <w:szCs w:val="21"/>
        </w:rPr>
        <w:t>“信用中国”网站(www.creditchina.gov.cn)“重大税收违法案件当事人名单</w:t>
      </w:r>
      <w:r>
        <w:rPr>
          <w:rFonts w:hint="eastAsia" w:ascii="宋体" w:hAnsi="宋体" w:eastAsia="宋体" w:cs="宋体"/>
          <w:szCs w:val="21"/>
          <w:lang w:val="en-US" w:eastAsia="zh-CN"/>
        </w:rPr>
        <w:t>查询结果</w:t>
      </w:r>
    </w:p>
    <w:p w14:paraId="20EA1693">
      <w:pPr>
        <w:widowControl w:val="0"/>
        <w:kinsoku/>
        <w:overflowPunct/>
        <w:autoSpaceDE w:val="0"/>
        <w:autoSpaceDN w:val="0"/>
        <w:bidi w:val="0"/>
        <w:spacing w:line="360" w:lineRule="auto"/>
        <w:ind w:right="1400"/>
        <w:jc w:val="both"/>
        <w:rPr>
          <w:rFonts w:hint="eastAsia" w:ascii="宋体" w:hAnsi="宋体" w:eastAsia="宋体" w:cs="宋体"/>
          <w:szCs w:val="21"/>
        </w:rPr>
      </w:pPr>
    </w:p>
    <w:p w14:paraId="4C0940D8">
      <w:pPr>
        <w:widowControl w:val="0"/>
        <w:kinsoku/>
        <w:overflowPunct/>
        <w:autoSpaceDE w:val="0"/>
        <w:autoSpaceDN w:val="0"/>
        <w:bidi w:val="0"/>
        <w:spacing w:line="360" w:lineRule="auto"/>
        <w:ind w:right="1400"/>
        <w:jc w:val="both"/>
        <w:rPr>
          <w:rFonts w:hint="eastAsia" w:ascii="宋体" w:hAnsi="宋体" w:eastAsia="宋体" w:cs="宋体"/>
          <w:szCs w:val="21"/>
        </w:rPr>
      </w:pPr>
    </w:p>
    <w:p w14:paraId="438023E9">
      <w:pPr>
        <w:widowControl w:val="0"/>
        <w:kinsoku/>
        <w:overflowPunct/>
        <w:autoSpaceDE w:val="0"/>
        <w:autoSpaceDN w:val="0"/>
        <w:bidi w:val="0"/>
        <w:spacing w:line="360" w:lineRule="auto"/>
        <w:ind w:right="1400"/>
        <w:jc w:val="both"/>
        <w:rPr>
          <w:rFonts w:hint="default" w:ascii="宋体" w:hAnsi="宋体" w:eastAsia="宋体" w:cs="宋体"/>
          <w:szCs w:val="21"/>
          <w:lang w:val="en-US" w:eastAsia="zh-CN"/>
        </w:rPr>
      </w:pPr>
      <w:r>
        <w:rPr>
          <w:rFonts w:hint="eastAsia" w:ascii="宋体" w:hAnsi="宋体" w:eastAsia="宋体" w:cs="宋体"/>
          <w:szCs w:val="21"/>
        </w:rPr>
        <w:t>中国政府采购网(www.ccgp.gov.cn)“政府采购严重违法失信行为信息记录”</w:t>
      </w:r>
      <w:r>
        <w:rPr>
          <w:rFonts w:hint="eastAsia" w:ascii="宋体" w:hAnsi="宋体" w:eastAsia="宋体" w:cs="宋体"/>
          <w:szCs w:val="21"/>
          <w:lang w:val="en-US" w:eastAsia="zh-CN"/>
        </w:rPr>
        <w:t>查询结果</w:t>
      </w:r>
    </w:p>
    <w:p w14:paraId="4A91F00C">
      <w:pPr>
        <w:widowControl w:val="0"/>
        <w:kinsoku/>
        <w:overflowPunct/>
        <w:autoSpaceDE w:val="0"/>
        <w:autoSpaceDN w:val="0"/>
        <w:bidi w:val="0"/>
        <w:spacing w:line="360" w:lineRule="auto"/>
        <w:ind w:right="1400"/>
        <w:jc w:val="both"/>
        <w:rPr>
          <w:rFonts w:hint="eastAsia" w:ascii="宋体" w:hAnsi="宋体" w:eastAsia="宋体" w:cs="宋体"/>
          <w:szCs w:val="21"/>
        </w:rPr>
      </w:pPr>
    </w:p>
    <w:p w14:paraId="6256C036">
      <w:pPr>
        <w:widowControl w:val="0"/>
        <w:kinsoku/>
        <w:overflowPunct/>
        <w:autoSpaceDE w:val="0"/>
        <w:autoSpaceDN w:val="0"/>
        <w:bidi w:val="0"/>
        <w:spacing w:line="360" w:lineRule="auto"/>
        <w:ind w:right="1400"/>
        <w:jc w:val="both"/>
        <w:rPr>
          <w:rFonts w:hint="eastAsia" w:ascii="宋体" w:hAnsi="宋体" w:eastAsia="宋体" w:cs="宋体"/>
          <w:szCs w:val="21"/>
        </w:rPr>
      </w:pPr>
    </w:p>
    <w:p w14:paraId="0D6FE0C1">
      <w:pPr>
        <w:widowControl w:val="0"/>
        <w:kinsoku/>
        <w:overflowPunct/>
        <w:autoSpaceDE w:val="0"/>
        <w:autoSpaceDN w:val="0"/>
        <w:bidi w:val="0"/>
        <w:spacing w:line="360" w:lineRule="auto"/>
        <w:ind w:right="1400"/>
        <w:jc w:val="both"/>
        <w:rPr>
          <w:rFonts w:hint="eastAsia" w:ascii="宋体" w:hAnsi="宋体" w:eastAsia="宋体" w:cs="宋体"/>
          <w:b/>
          <w:szCs w:val="21"/>
        </w:rPr>
      </w:pPr>
      <w:r>
        <w:rPr>
          <w:rFonts w:hint="eastAsia" w:ascii="宋体" w:hAnsi="宋体" w:eastAsia="宋体" w:cs="宋体"/>
          <w:b/>
          <w:szCs w:val="21"/>
          <w:lang w:val="en-US" w:eastAsia="zh-CN"/>
        </w:rPr>
        <w:br w:type="page"/>
      </w:r>
      <w:r>
        <w:rPr>
          <w:rFonts w:hint="eastAsia" w:ascii="宋体" w:hAnsi="宋体" w:eastAsia="宋体" w:cs="宋体"/>
          <w:b/>
          <w:szCs w:val="21"/>
          <w:lang w:val="en-US" w:eastAsia="zh-CN"/>
        </w:rPr>
        <w:t>2.7、</w:t>
      </w:r>
      <w:r>
        <w:rPr>
          <w:rFonts w:hint="eastAsia" w:ascii="宋体" w:hAnsi="宋体" w:eastAsia="宋体" w:cs="宋体"/>
          <w:b/>
          <w:szCs w:val="21"/>
        </w:rPr>
        <w:t>本项目要求供应商具备的其他资格文件，格式自拟。</w:t>
      </w:r>
    </w:p>
    <w:p w14:paraId="28B23C6B">
      <w:pPr>
        <w:widowControl w:val="0"/>
        <w:kinsoku/>
        <w:overflowPunct/>
        <w:autoSpaceDE w:val="0"/>
        <w:autoSpaceDN w:val="0"/>
        <w:bidi w:val="0"/>
        <w:spacing w:line="360" w:lineRule="auto"/>
        <w:ind w:right="1400"/>
        <w:jc w:val="both"/>
        <w:rPr>
          <w:rFonts w:hint="eastAsia" w:ascii="宋体" w:hAnsi="宋体" w:eastAsia="宋体" w:cs="宋体"/>
          <w:szCs w:val="21"/>
        </w:rPr>
      </w:pPr>
      <w:r>
        <w:rPr>
          <w:rFonts w:hint="eastAsia" w:ascii="宋体" w:hAnsi="宋体" w:eastAsia="宋体" w:cs="宋体"/>
          <w:szCs w:val="21"/>
        </w:rPr>
        <w:br w:type="page"/>
      </w:r>
      <w:r>
        <w:rPr>
          <w:rFonts w:hint="eastAsia" w:ascii="宋体" w:hAnsi="宋体" w:eastAsia="宋体" w:cs="宋体"/>
          <w:b/>
          <w:szCs w:val="21"/>
          <w:lang w:val="en-US" w:eastAsia="zh-CN"/>
        </w:rPr>
        <w:t xml:space="preserve">2.8、 </w:t>
      </w:r>
      <w:r>
        <w:rPr>
          <w:rFonts w:hint="eastAsia" w:ascii="宋体" w:hAnsi="宋体" w:eastAsia="宋体" w:cs="宋体"/>
          <w:b/>
          <w:szCs w:val="21"/>
        </w:rPr>
        <w:t>不参与围标串标承诺书</w:t>
      </w:r>
    </w:p>
    <w:p w14:paraId="566DECD0">
      <w:pPr>
        <w:pStyle w:val="214"/>
        <w:widowControl/>
        <w:kinsoku/>
        <w:overflowPunct/>
        <w:bidi w:val="0"/>
        <w:spacing w:line="360" w:lineRule="auto"/>
        <w:jc w:val="center"/>
        <w:rPr>
          <w:rFonts w:hint="eastAsia" w:ascii="宋体" w:hAnsi="宋体" w:eastAsia="宋体" w:cs="宋体"/>
          <w:b/>
          <w:sz w:val="24"/>
        </w:rPr>
      </w:pPr>
      <w:r>
        <w:rPr>
          <w:rFonts w:hint="eastAsia" w:ascii="宋体" w:hAnsi="宋体" w:eastAsia="宋体" w:cs="宋体"/>
          <w:b/>
          <w:sz w:val="24"/>
        </w:rPr>
        <w:t>不参与围标串标承诺书</w:t>
      </w:r>
    </w:p>
    <w:p w14:paraId="591D78D7">
      <w:pPr>
        <w:widowControl w:val="0"/>
        <w:kinsoku/>
        <w:overflowPunct/>
        <w:autoSpaceDE w:val="0"/>
        <w:autoSpaceDN w:val="0"/>
        <w:bidi w:val="0"/>
        <w:adjustRightInd w:val="0"/>
        <w:spacing w:line="360" w:lineRule="auto"/>
        <w:ind w:firstLine="480" w:firstLineChars="200"/>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为诚实、客观、有序地参与</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项目采购活动，愿就以下内容作出承诺：</w:t>
      </w:r>
    </w:p>
    <w:p w14:paraId="13C44D79">
      <w:pPr>
        <w:widowControl w:val="0"/>
        <w:kinsoku/>
        <w:overflowPunct/>
        <w:autoSpaceDE w:val="0"/>
        <w:autoSpaceDN w:val="0"/>
        <w:bidi w:val="0"/>
        <w:adjustRightInd w:val="0"/>
        <w:spacing w:line="360" w:lineRule="auto"/>
        <w:ind w:firstLine="482"/>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一、严格遵守国家法律法规和行业规范，诚实守信，公平竞争，不参与任何形式的围标、串标行为，不与其他投标供应商存在控股、管理及其他关联关系。</w:t>
      </w:r>
    </w:p>
    <w:p w14:paraId="7343A1F2">
      <w:pPr>
        <w:widowControl w:val="0"/>
        <w:kinsoku/>
        <w:overflowPunct/>
        <w:autoSpaceDE w:val="0"/>
        <w:autoSpaceDN w:val="0"/>
        <w:bidi w:val="0"/>
        <w:adjustRightInd w:val="0"/>
        <w:spacing w:line="360" w:lineRule="auto"/>
        <w:ind w:firstLine="482"/>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二、依法参加采购活动，不与其他供应商互相串通投标；不使用具有串标嫌疑、关联关系的公司参与投标（包括但不限于工商登记邮箱、电话号码、高管人员一致等）；不与采购人或者招标代理机构串通投标；不向采购人或者评标委员会成员行贿以牟取中标。不排挤其他供应商的公平竞争，不损害采购人的合法权益，不损害国家利益、社会公共利益或者他人的合法权益。</w:t>
      </w:r>
    </w:p>
    <w:p w14:paraId="1CA6FD24">
      <w:pPr>
        <w:widowControl w:val="0"/>
        <w:kinsoku/>
        <w:overflowPunct/>
        <w:autoSpaceDE w:val="0"/>
        <w:autoSpaceDN w:val="0"/>
        <w:bidi w:val="0"/>
        <w:adjustRightInd w:val="0"/>
        <w:spacing w:line="360" w:lineRule="auto"/>
        <w:ind w:firstLine="482"/>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三、若在招标投标过程中发现其他投标人或相关方有围标、串标等违法行为，及时告知采购人或代理机构，积极配合调查。</w:t>
      </w:r>
    </w:p>
    <w:p w14:paraId="175F209F">
      <w:pPr>
        <w:widowControl w:val="0"/>
        <w:kinsoku/>
        <w:overflowPunct/>
        <w:autoSpaceDE w:val="0"/>
        <w:autoSpaceDN w:val="0"/>
        <w:bidi w:val="0"/>
        <w:adjustRightInd w:val="0"/>
        <w:spacing w:line="360" w:lineRule="auto"/>
        <w:ind w:firstLine="482"/>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四、愿接受社会各界监督。如有违反上述承诺行为，自愿放弃中标资格，限制以后投标，记入不良信用档案，没收本次投标保证金。同意采购人或代理机构有权将线索移交有关部门，并愿意承担由此引起的其他法律责任。</w:t>
      </w:r>
    </w:p>
    <w:p w14:paraId="48C88C7F">
      <w:pPr>
        <w:widowControl w:val="0"/>
        <w:kinsoku/>
        <w:overflowPunct/>
        <w:autoSpaceDE w:val="0"/>
        <w:autoSpaceDN w:val="0"/>
        <w:bidi w:val="0"/>
        <w:adjustRightInd w:val="0"/>
        <w:spacing w:line="360" w:lineRule="auto"/>
        <w:jc w:val="both"/>
        <w:rPr>
          <w:rFonts w:hint="eastAsia" w:ascii="宋体" w:hAnsi="宋体" w:eastAsia="宋体" w:cs="宋体"/>
          <w:bCs/>
          <w:kern w:val="0"/>
          <w:sz w:val="24"/>
          <w:szCs w:val="24"/>
          <w:lang w:val="zh-CN"/>
        </w:rPr>
      </w:pPr>
    </w:p>
    <w:p w14:paraId="1F46042A">
      <w:pPr>
        <w:widowControl w:val="0"/>
        <w:kinsoku/>
        <w:overflowPunct/>
        <w:autoSpaceDE w:val="0"/>
        <w:autoSpaceDN w:val="0"/>
        <w:bidi w:val="0"/>
        <w:adjustRightInd w:val="0"/>
        <w:spacing w:line="360" w:lineRule="auto"/>
        <w:jc w:val="both"/>
        <w:rPr>
          <w:rFonts w:hint="eastAsia" w:ascii="宋体" w:hAnsi="宋体" w:eastAsia="宋体" w:cs="宋体"/>
          <w:bCs/>
          <w:kern w:val="0"/>
          <w:sz w:val="24"/>
          <w:szCs w:val="24"/>
          <w:lang w:val="zh-CN"/>
        </w:rPr>
      </w:pPr>
      <w:r>
        <w:rPr>
          <w:rFonts w:hint="eastAsia" w:ascii="宋体" w:hAnsi="宋体" w:eastAsia="宋体" w:cs="宋体"/>
          <w:bCs/>
          <w:kern w:val="0"/>
          <w:sz w:val="24"/>
          <w:szCs w:val="24"/>
          <w:lang w:val="zh-CN"/>
        </w:rPr>
        <w:t>供应商：                             （公章）</w:t>
      </w:r>
    </w:p>
    <w:p w14:paraId="6F3B48C8">
      <w:pPr>
        <w:widowControl w:val="0"/>
        <w:kinsoku/>
        <w:overflowPunct/>
        <w:autoSpaceDE w:val="0"/>
        <w:autoSpaceDN w:val="0"/>
        <w:bidi w:val="0"/>
        <w:adjustRightInd w:val="0"/>
        <w:spacing w:line="360" w:lineRule="auto"/>
        <w:jc w:val="both"/>
        <w:rPr>
          <w:rFonts w:hint="eastAsia" w:ascii="宋体" w:hAnsi="宋体" w:eastAsia="宋体" w:cs="宋体"/>
          <w:bCs/>
          <w:kern w:val="0"/>
          <w:sz w:val="24"/>
          <w:szCs w:val="24"/>
          <w:lang w:val="zh-CN"/>
        </w:rPr>
      </w:pPr>
      <w:r>
        <w:rPr>
          <w:rFonts w:hint="eastAsia" w:ascii="宋体" w:hAnsi="宋体" w:eastAsia="宋体" w:cs="宋体"/>
          <w:bCs/>
          <w:kern w:val="0"/>
          <w:sz w:val="24"/>
          <w:szCs w:val="24"/>
          <w:lang w:val="zh-CN"/>
        </w:rPr>
        <w:t>法定代表人或委托代理人：             （签字）</w:t>
      </w:r>
    </w:p>
    <w:p w14:paraId="29DB550D">
      <w:pPr>
        <w:pStyle w:val="214"/>
        <w:widowControl/>
        <w:kinsoku/>
        <w:overflowPunct/>
        <w:bidi w:val="0"/>
        <w:spacing w:line="360" w:lineRule="auto"/>
        <w:jc w:val="center"/>
        <w:rPr>
          <w:rFonts w:hint="eastAsia" w:ascii="宋体" w:hAnsi="宋体" w:eastAsia="宋体" w:cs="宋体"/>
          <w:bCs/>
          <w:kern w:val="0"/>
          <w:sz w:val="24"/>
          <w:szCs w:val="24"/>
          <w:lang w:val="zh-CN"/>
        </w:rPr>
      </w:pPr>
      <w:r>
        <w:rPr>
          <w:rFonts w:hint="eastAsia" w:ascii="宋体" w:hAnsi="宋体" w:eastAsia="宋体" w:cs="宋体"/>
          <w:bCs/>
          <w:kern w:val="0"/>
          <w:sz w:val="24"/>
          <w:szCs w:val="24"/>
          <w:lang w:val="zh-CN"/>
        </w:rPr>
        <w:t xml:space="preserve">                                    年   月   日</w:t>
      </w:r>
    </w:p>
    <w:p w14:paraId="4594B164">
      <w:pPr>
        <w:widowControl w:val="0"/>
        <w:kinsoku/>
        <w:overflowPunct/>
        <w:autoSpaceDE w:val="0"/>
        <w:autoSpaceDN w:val="0"/>
        <w:bidi w:val="0"/>
        <w:spacing w:line="360" w:lineRule="auto"/>
        <w:ind w:right="1400"/>
        <w:jc w:val="both"/>
        <w:rPr>
          <w:rFonts w:hint="eastAsia" w:ascii="宋体" w:hAnsi="宋体" w:eastAsia="宋体" w:cs="宋体"/>
          <w:b/>
          <w:szCs w:val="21"/>
        </w:rPr>
      </w:pPr>
      <w:r>
        <w:rPr>
          <w:rFonts w:hint="eastAsia" w:ascii="宋体" w:hAnsi="宋体" w:eastAsia="宋体" w:cs="宋体"/>
          <w:bCs/>
          <w:kern w:val="0"/>
          <w:sz w:val="24"/>
          <w:szCs w:val="24"/>
          <w:lang w:val="zh-CN"/>
        </w:rPr>
        <w:br w:type="page"/>
      </w:r>
      <w:r>
        <w:rPr>
          <w:rFonts w:hint="eastAsia" w:ascii="宋体" w:hAnsi="宋体" w:eastAsia="宋体" w:cs="宋体"/>
          <w:b/>
          <w:szCs w:val="21"/>
          <w:lang w:val="en-US" w:eastAsia="zh-CN"/>
        </w:rPr>
        <w:t>2.9、</w:t>
      </w:r>
      <w:r>
        <w:rPr>
          <w:rFonts w:hint="eastAsia" w:ascii="宋体" w:hAnsi="宋体" w:eastAsia="宋体" w:cs="宋体"/>
          <w:b/>
          <w:szCs w:val="21"/>
        </w:rPr>
        <w:t>供应商诚信承诺书</w:t>
      </w:r>
    </w:p>
    <w:p w14:paraId="0B08C1D3">
      <w:pPr>
        <w:pStyle w:val="214"/>
        <w:keepNext w:val="0"/>
        <w:keepLines w:val="0"/>
        <w:pageBreakBefore w:val="0"/>
        <w:widowControl/>
        <w:kinsoku/>
        <w:wordWrap/>
        <w:overflowPunct/>
        <w:topLinePunct w:val="0"/>
        <w:bidi w:val="0"/>
        <w:snapToGrid/>
        <w:spacing w:line="312" w:lineRule="auto"/>
        <w:jc w:val="center"/>
        <w:textAlignment w:val="auto"/>
        <w:rPr>
          <w:rFonts w:hint="eastAsia" w:ascii="宋体" w:hAnsi="宋体" w:eastAsia="宋体" w:cs="宋体"/>
          <w:b/>
          <w:sz w:val="24"/>
        </w:rPr>
      </w:pPr>
      <w:r>
        <w:rPr>
          <w:rFonts w:hint="eastAsia" w:ascii="宋体" w:hAnsi="宋体" w:eastAsia="宋体" w:cs="宋体"/>
          <w:b/>
          <w:sz w:val="24"/>
        </w:rPr>
        <w:t>供应商诚信承诺书</w:t>
      </w:r>
    </w:p>
    <w:p w14:paraId="67EF66B3">
      <w:pPr>
        <w:keepNext w:val="0"/>
        <w:keepLines w:val="0"/>
        <w:pageBreakBefore w:val="0"/>
        <w:widowControl w:val="0"/>
        <w:kinsoku/>
        <w:wordWrap/>
        <w:overflowPunct/>
        <w:topLinePunct w:val="0"/>
        <w:autoSpaceDE w:val="0"/>
        <w:autoSpaceDN w:val="0"/>
        <w:bidi w:val="0"/>
        <w:adjustRightInd w:val="0"/>
        <w:snapToGrid/>
        <w:spacing w:line="312" w:lineRule="auto"/>
        <w:ind w:firstLine="480"/>
        <w:jc w:val="both"/>
        <w:textAlignment w:val="auto"/>
        <w:rPr>
          <w:rFonts w:hint="eastAsia" w:ascii="宋体" w:hAnsi="宋体" w:eastAsia="宋体" w:cs="宋体"/>
          <w:kern w:val="0"/>
          <w:sz w:val="24"/>
          <w:szCs w:val="20"/>
          <w:lang w:val="zh-CN"/>
        </w:rPr>
      </w:pPr>
      <w:bookmarkStart w:id="70" w:name="_Hlk182910040"/>
      <w:r>
        <w:rPr>
          <w:rFonts w:hint="eastAsia" w:ascii="宋体" w:hAnsi="宋体" w:eastAsia="宋体" w:cs="宋体"/>
          <w:kern w:val="0"/>
          <w:sz w:val="24"/>
          <w:szCs w:val="20"/>
          <w:lang w:val="zh-CN"/>
        </w:rPr>
        <w:t>为了诚实、客观、有序地参与</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kern w:val="0"/>
          <w:sz w:val="24"/>
          <w:szCs w:val="20"/>
          <w:lang w:val="zh-CN"/>
        </w:rPr>
        <w:t>采购活动，愿就以下内容作出承诺：</w:t>
      </w:r>
    </w:p>
    <w:bookmarkEnd w:id="70"/>
    <w:p w14:paraId="0DBDEA3A">
      <w:pPr>
        <w:keepNext w:val="0"/>
        <w:keepLines w:val="0"/>
        <w:pageBreakBefore w:val="0"/>
        <w:widowControl w:val="0"/>
        <w:kinsoku/>
        <w:wordWrap/>
        <w:overflowPunct/>
        <w:topLinePunct w:val="0"/>
        <w:autoSpaceDE w:val="0"/>
        <w:autoSpaceDN w:val="0"/>
        <w:bidi w:val="0"/>
        <w:adjustRightInd w:val="0"/>
        <w:snapToGrid/>
        <w:spacing w:line="312" w:lineRule="auto"/>
        <w:ind w:firstLine="480"/>
        <w:jc w:val="both"/>
        <w:textAlignment w:val="auto"/>
        <w:rPr>
          <w:rFonts w:hint="eastAsia" w:ascii="宋体" w:hAnsi="宋体" w:eastAsia="宋体" w:cs="宋体"/>
          <w:kern w:val="0"/>
          <w:sz w:val="24"/>
          <w:szCs w:val="20"/>
          <w:lang w:val="zh-CN"/>
        </w:rPr>
      </w:pPr>
      <w:r>
        <w:rPr>
          <w:rFonts w:hint="eastAsia" w:ascii="宋体" w:hAnsi="宋体" w:eastAsia="宋体" w:cs="宋体"/>
          <w:kern w:val="0"/>
          <w:sz w:val="24"/>
          <w:szCs w:val="20"/>
          <w:lang w:val="zh-CN"/>
        </w:rPr>
        <w:t>一、自觉遵守各项法律、法规、规章、制度以及社会公德，维护廉洁环境，与同场竞争的供应商平等参加招采购活动。</w:t>
      </w:r>
    </w:p>
    <w:p w14:paraId="6CAEF70A">
      <w:pPr>
        <w:keepNext w:val="0"/>
        <w:keepLines w:val="0"/>
        <w:pageBreakBefore w:val="0"/>
        <w:widowControl w:val="0"/>
        <w:kinsoku/>
        <w:wordWrap/>
        <w:overflowPunct/>
        <w:topLinePunct w:val="0"/>
        <w:autoSpaceDE w:val="0"/>
        <w:autoSpaceDN w:val="0"/>
        <w:bidi w:val="0"/>
        <w:adjustRightInd w:val="0"/>
        <w:snapToGrid/>
        <w:spacing w:line="312" w:lineRule="auto"/>
        <w:ind w:firstLine="480"/>
        <w:jc w:val="both"/>
        <w:textAlignment w:val="auto"/>
        <w:rPr>
          <w:rFonts w:hint="eastAsia" w:ascii="宋体" w:hAnsi="宋体" w:eastAsia="宋体" w:cs="宋体"/>
          <w:kern w:val="0"/>
          <w:sz w:val="24"/>
          <w:szCs w:val="20"/>
          <w:lang w:val="zh-CN"/>
        </w:rPr>
      </w:pPr>
      <w:r>
        <w:rPr>
          <w:rFonts w:hint="eastAsia" w:ascii="宋体" w:hAnsi="宋体" w:eastAsia="宋体" w:cs="宋体"/>
          <w:kern w:val="0"/>
          <w:sz w:val="24"/>
          <w:szCs w:val="20"/>
          <w:lang w:val="zh-CN"/>
        </w:rPr>
        <w:t>二、参加采购代理机构组织的采购活动时，严格按照</w:t>
      </w:r>
      <w:r>
        <w:rPr>
          <w:rFonts w:hint="eastAsia" w:ascii="宋体" w:hAnsi="宋体" w:eastAsia="宋体" w:cs="宋体"/>
          <w:kern w:val="0"/>
          <w:sz w:val="24"/>
          <w:szCs w:val="20"/>
        </w:rPr>
        <w:t>招标</w:t>
      </w:r>
      <w:r>
        <w:rPr>
          <w:rFonts w:hint="eastAsia" w:ascii="宋体" w:hAnsi="宋体" w:eastAsia="宋体" w:cs="宋体"/>
          <w:kern w:val="0"/>
          <w:sz w:val="24"/>
          <w:szCs w:val="20"/>
          <w:lang w:val="zh-CN"/>
        </w:rPr>
        <w:t>文件的规定和要求提供所需的相关材料，并对所提供的各类资料的真实性负责，不虚假应标，不虚列业绩；不以他人名义投标或者以其他方式弄虚作假，骗取中标。</w:t>
      </w:r>
    </w:p>
    <w:p w14:paraId="415FD0B0">
      <w:pPr>
        <w:keepNext w:val="0"/>
        <w:keepLines w:val="0"/>
        <w:pageBreakBefore w:val="0"/>
        <w:widowControl w:val="0"/>
        <w:kinsoku/>
        <w:wordWrap/>
        <w:overflowPunct/>
        <w:topLinePunct w:val="0"/>
        <w:autoSpaceDE w:val="0"/>
        <w:autoSpaceDN w:val="0"/>
        <w:bidi w:val="0"/>
        <w:adjustRightInd w:val="0"/>
        <w:snapToGrid/>
        <w:spacing w:line="312" w:lineRule="auto"/>
        <w:ind w:firstLine="480"/>
        <w:jc w:val="both"/>
        <w:textAlignment w:val="auto"/>
        <w:rPr>
          <w:rFonts w:hint="eastAsia" w:ascii="宋体" w:hAnsi="宋体" w:eastAsia="宋体" w:cs="宋体"/>
          <w:kern w:val="0"/>
          <w:sz w:val="24"/>
          <w:szCs w:val="20"/>
          <w:lang w:val="zh-CN"/>
        </w:rPr>
      </w:pPr>
      <w:r>
        <w:rPr>
          <w:rFonts w:hint="eastAsia" w:ascii="宋体" w:hAnsi="宋体" w:eastAsia="宋体" w:cs="宋体"/>
          <w:kern w:val="0"/>
          <w:sz w:val="24"/>
          <w:szCs w:val="20"/>
          <w:lang w:val="zh-CN"/>
        </w:rPr>
        <w:t>三、尊重参与采购活动各相关方的合法行为，接受采购活动依法形成的意见、结果。</w:t>
      </w:r>
    </w:p>
    <w:p w14:paraId="7C9B5A81">
      <w:pPr>
        <w:keepNext w:val="0"/>
        <w:keepLines w:val="0"/>
        <w:pageBreakBefore w:val="0"/>
        <w:widowControl w:val="0"/>
        <w:kinsoku/>
        <w:wordWrap/>
        <w:overflowPunct/>
        <w:topLinePunct w:val="0"/>
        <w:autoSpaceDE w:val="0"/>
        <w:autoSpaceDN w:val="0"/>
        <w:bidi w:val="0"/>
        <w:adjustRightInd w:val="0"/>
        <w:snapToGrid/>
        <w:spacing w:line="312" w:lineRule="auto"/>
        <w:ind w:firstLine="480"/>
        <w:jc w:val="both"/>
        <w:textAlignment w:val="auto"/>
        <w:rPr>
          <w:rFonts w:hint="eastAsia" w:ascii="宋体" w:hAnsi="宋体" w:eastAsia="宋体" w:cs="宋体"/>
          <w:kern w:val="0"/>
          <w:sz w:val="24"/>
          <w:szCs w:val="20"/>
          <w:lang w:val="zh-CN"/>
        </w:rPr>
      </w:pPr>
      <w:bookmarkStart w:id="71" w:name="_Hlk182909516"/>
      <w:r>
        <w:rPr>
          <w:rFonts w:hint="eastAsia" w:ascii="宋体" w:hAnsi="宋体" w:eastAsia="宋体" w:cs="宋体"/>
          <w:kern w:val="0"/>
          <w:sz w:val="24"/>
          <w:szCs w:val="20"/>
          <w:lang w:val="zh-CN"/>
        </w:rPr>
        <w:t>四、依法参加采购活动，不与其他供应商互相串通投标，不排挤其他供应商的公平竞争，不损害招标人的合法权益；不与招标人或者招标代理机构串通投标，损害国家利益、社会公共利益或者他人的合法权益；不向招标人或者评标委员会成员行贿以牟取中标。维护市场秩序，不提供“三无”产品、以次充好。</w:t>
      </w:r>
    </w:p>
    <w:bookmarkEnd w:id="71"/>
    <w:p w14:paraId="67096500">
      <w:pPr>
        <w:keepNext w:val="0"/>
        <w:keepLines w:val="0"/>
        <w:pageBreakBefore w:val="0"/>
        <w:widowControl w:val="0"/>
        <w:kinsoku/>
        <w:wordWrap/>
        <w:overflowPunct/>
        <w:topLinePunct w:val="0"/>
        <w:autoSpaceDE w:val="0"/>
        <w:autoSpaceDN w:val="0"/>
        <w:bidi w:val="0"/>
        <w:adjustRightInd w:val="0"/>
        <w:snapToGrid/>
        <w:spacing w:line="312" w:lineRule="auto"/>
        <w:ind w:firstLine="480"/>
        <w:jc w:val="both"/>
        <w:textAlignment w:val="auto"/>
        <w:rPr>
          <w:rFonts w:hint="eastAsia" w:ascii="宋体" w:hAnsi="宋体" w:eastAsia="宋体" w:cs="宋体"/>
          <w:kern w:val="0"/>
          <w:sz w:val="24"/>
          <w:szCs w:val="20"/>
          <w:lang w:val="zh-CN"/>
        </w:rPr>
      </w:pPr>
      <w:r>
        <w:rPr>
          <w:rFonts w:hint="eastAsia" w:ascii="宋体" w:hAnsi="宋体" w:eastAsia="宋体" w:cs="宋体"/>
          <w:kern w:val="0"/>
          <w:sz w:val="24"/>
          <w:szCs w:val="20"/>
          <w:lang w:val="zh-CN"/>
        </w:rPr>
        <w:t>五、严格按照招标文件的规定和要求提供所需的相关材料，并对所提供的各类资料的真实性负责。如有违反按照自治区财政厅下发的《关于开展政府采购领域“四类”违法违规行为专项整治工作的通知》精神，自愿接受检验检测报告的问题；不存在提供虚假的合同业绩及学历证书等证明材料的问题；处罚。供应商对所投标（响应）文件的真实性负责，绝不存在提供虚假的认证证书、不存在提供虚假的《中小企业声明函》的问题；不存在其他提供虚假材料的问题。</w:t>
      </w:r>
    </w:p>
    <w:p w14:paraId="057D9171">
      <w:pPr>
        <w:keepNext w:val="0"/>
        <w:keepLines w:val="0"/>
        <w:pageBreakBefore w:val="0"/>
        <w:widowControl w:val="0"/>
        <w:kinsoku/>
        <w:wordWrap/>
        <w:overflowPunct/>
        <w:topLinePunct w:val="0"/>
        <w:autoSpaceDE w:val="0"/>
        <w:autoSpaceDN w:val="0"/>
        <w:bidi w:val="0"/>
        <w:adjustRightInd w:val="0"/>
        <w:snapToGrid/>
        <w:spacing w:line="312" w:lineRule="auto"/>
        <w:ind w:firstLine="480"/>
        <w:jc w:val="both"/>
        <w:textAlignment w:val="auto"/>
        <w:rPr>
          <w:rFonts w:hint="eastAsia" w:ascii="宋体" w:hAnsi="宋体" w:eastAsia="宋体" w:cs="宋体"/>
          <w:kern w:val="0"/>
          <w:sz w:val="24"/>
          <w:szCs w:val="20"/>
          <w:lang w:val="zh-CN"/>
        </w:rPr>
      </w:pPr>
      <w:r>
        <w:rPr>
          <w:rFonts w:hint="eastAsia" w:ascii="宋体" w:hAnsi="宋体" w:eastAsia="宋体" w:cs="宋体"/>
          <w:kern w:val="0"/>
          <w:sz w:val="24"/>
          <w:szCs w:val="20"/>
          <w:lang w:val="zh-CN"/>
        </w:rPr>
        <w:t>六、积极推动采购活动健康开展，对采购活动有疑问、异议时，按法律规定的程序实名（加盖单位章和法定代表人签名）反映情况，不恶意中伤、无事生非，以和谐、平等的心态参加采购活动。</w:t>
      </w:r>
    </w:p>
    <w:p w14:paraId="6091EDD5">
      <w:pPr>
        <w:keepNext w:val="0"/>
        <w:keepLines w:val="0"/>
        <w:pageBreakBefore w:val="0"/>
        <w:widowControl w:val="0"/>
        <w:kinsoku/>
        <w:wordWrap/>
        <w:overflowPunct/>
        <w:topLinePunct w:val="0"/>
        <w:autoSpaceDE w:val="0"/>
        <w:autoSpaceDN w:val="0"/>
        <w:bidi w:val="0"/>
        <w:adjustRightInd w:val="0"/>
        <w:snapToGrid/>
        <w:spacing w:line="312" w:lineRule="auto"/>
        <w:ind w:firstLine="480"/>
        <w:jc w:val="both"/>
        <w:textAlignment w:val="auto"/>
        <w:rPr>
          <w:rFonts w:hint="eastAsia" w:ascii="宋体" w:hAnsi="宋体" w:eastAsia="宋体" w:cs="宋体"/>
          <w:kern w:val="0"/>
          <w:sz w:val="24"/>
          <w:szCs w:val="20"/>
          <w:lang w:val="zh-CN"/>
        </w:rPr>
      </w:pPr>
      <w:r>
        <w:rPr>
          <w:rFonts w:hint="eastAsia" w:ascii="宋体" w:hAnsi="宋体" w:eastAsia="宋体" w:cs="宋体"/>
          <w:kern w:val="0"/>
          <w:sz w:val="24"/>
          <w:szCs w:val="20"/>
          <w:lang w:val="zh-CN"/>
        </w:rPr>
        <w:t>七、认真履行成交人应承担的责任和义务，全面执行采购合同规定的各项内容，保质保量地按时提供采购物品。</w:t>
      </w:r>
    </w:p>
    <w:p w14:paraId="171EEC95">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jc w:val="both"/>
        <w:textAlignment w:val="auto"/>
        <w:rPr>
          <w:rFonts w:hint="eastAsia" w:ascii="宋体" w:hAnsi="宋体" w:eastAsia="宋体" w:cs="宋体"/>
          <w:kern w:val="0"/>
          <w:sz w:val="24"/>
          <w:szCs w:val="20"/>
          <w:lang w:val="zh-CN"/>
        </w:rPr>
      </w:pPr>
      <w:r>
        <w:rPr>
          <w:rFonts w:hint="eastAsia" w:ascii="宋体" w:hAnsi="宋体" w:eastAsia="宋体" w:cs="宋体"/>
          <w:kern w:val="0"/>
          <w:sz w:val="24"/>
          <w:szCs w:val="20"/>
          <w:lang w:val="zh-CN"/>
        </w:rPr>
        <w:t>若本企业（单位）发生有悖于上述承诺的行为或形成恶意投诉，我们自愿接受《政府采购法》等有关法律法规中对供应商的相关处理：</w:t>
      </w:r>
      <w:bookmarkStart w:id="72" w:name="_Hlk182910718"/>
      <w:r>
        <w:rPr>
          <w:rFonts w:hint="eastAsia" w:ascii="宋体" w:hAnsi="宋体" w:eastAsia="宋体" w:cs="宋体"/>
          <w:kern w:val="0"/>
          <w:sz w:val="24"/>
          <w:szCs w:val="20"/>
          <w:lang w:val="zh-CN"/>
        </w:rPr>
        <w:t>自愿放弃中标资格、限制以后投标、记入不良信用档案、没收本次投标保证金，并愿意承担由此引起的其他法律责任。</w:t>
      </w:r>
      <w:bookmarkEnd w:id="72"/>
    </w:p>
    <w:p w14:paraId="6211B96B">
      <w:pPr>
        <w:keepNext w:val="0"/>
        <w:keepLines w:val="0"/>
        <w:pageBreakBefore w:val="0"/>
        <w:widowControl w:val="0"/>
        <w:kinsoku/>
        <w:wordWrap/>
        <w:overflowPunct/>
        <w:topLinePunct w:val="0"/>
        <w:autoSpaceDE w:val="0"/>
        <w:autoSpaceDN w:val="0"/>
        <w:bidi w:val="0"/>
        <w:adjustRightInd w:val="0"/>
        <w:snapToGrid/>
        <w:spacing w:line="312" w:lineRule="auto"/>
        <w:ind w:firstLine="4435" w:firstLineChars="1848"/>
        <w:jc w:val="both"/>
        <w:textAlignment w:val="auto"/>
        <w:rPr>
          <w:rFonts w:hint="eastAsia" w:ascii="宋体" w:hAnsi="宋体" w:eastAsia="宋体" w:cs="宋体"/>
          <w:bCs/>
          <w:kern w:val="0"/>
          <w:sz w:val="24"/>
          <w:szCs w:val="20"/>
          <w:lang w:val="zh-CN"/>
        </w:rPr>
      </w:pPr>
      <w:bookmarkStart w:id="73" w:name="_Hlk182910783"/>
      <w:r>
        <w:rPr>
          <w:rFonts w:hint="eastAsia" w:ascii="宋体" w:hAnsi="宋体" w:eastAsia="宋体" w:cs="宋体"/>
          <w:bCs/>
          <w:kern w:val="0"/>
          <w:sz w:val="24"/>
          <w:szCs w:val="20"/>
          <w:lang w:val="zh-CN"/>
        </w:rPr>
        <w:t>供应商：             （公章）</w:t>
      </w:r>
    </w:p>
    <w:p w14:paraId="250073E0">
      <w:pPr>
        <w:keepNext w:val="0"/>
        <w:keepLines w:val="0"/>
        <w:pageBreakBefore w:val="0"/>
        <w:widowControl w:val="0"/>
        <w:kinsoku/>
        <w:wordWrap/>
        <w:overflowPunct/>
        <w:topLinePunct w:val="0"/>
        <w:autoSpaceDE w:val="0"/>
        <w:autoSpaceDN w:val="0"/>
        <w:bidi w:val="0"/>
        <w:adjustRightInd w:val="0"/>
        <w:snapToGrid/>
        <w:spacing w:line="312" w:lineRule="auto"/>
        <w:jc w:val="both"/>
        <w:textAlignment w:val="auto"/>
        <w:rPr>
          <w:rFonts w:hint="eastAsia" w:ascii="宋体" w:hAnsi="宋体" w:eastAsia="宋体" w:cs="宋体"/>
          <w:bCs/>
          <w:kern w:val="0"/>
          <w:sz w:val="24"/>
          <w:szCs w:val="20"/>
          <w:lang w:val="zh-CN"/>
        </w:rPr>
      </w:pPr>
      <w:r>
        <w:rPr>
          <w:rFonts w:hint="eastAsia" w:ascii="宋体" w:hAnsi="宋体" w:eastAsia="宋体" w:cs="宋体"/>
          <w:bCs/>
          <w:kern w:val="0"/>
          <w:sz w:val="24"/>
          <w:szCs w:val="20"/>
          <w:lang w:val="zh-CN"/>
        </w:rPr>
        <w:t xml:space="preserve">                     法定代表人或委托代理人：             （签字）</w:t>
      </w:r>
    </w:p>
    <w:p w14:paraId="10908B70">
      <w:pPr>
        <w:pStyle w:val="214"/>
        <w:keepNext w:val="0"/>
        <w:keepLines w:val="0"/>
        <w:pageBreakBefore w:val="0"/>
        <w:widowControl/>
        <w:kinsoku/>
        <w:wordWrap/>
        <w:overflowPunct/>
        <w:topLinePunct w:val="0"/>
        <w:bidi w:val="0"/>
        <w:snapToGrid/>
        <w:spacing w:line="312" w:lineRule="auto"/>
        <w:jc w:val="left"/>
        <w:textAlignment w:val="auto"/>
        <w:outlineLvl w:val="9"/>
        <w:rPr>
          <w:rFonts w:hint="eastAsia" w:ascii="宋体" w:hAnsi="宋体" w:eastAsia="宋体" w:cs="宋体"/>
        </w:rPr>
      </w:pPr>
      <w:r>
        <w:rPr>
          <w:rFonts w:hint="eastAsia" w:ascii="宋体" w:hAnsi="宋体" w:eastAsia="宋体" w:cs="宋体"/>
          <w:bCs/>
          <w:kern w:val="0"/>
          <w:sz w:val="24"/>
          <w:lang w:val="zh-CN"/>
        </w:rPr>
        <w:t xml:space="preserve">                                         年   月   日</w:t>
      </w:r>
      <w:bookmarkEnd w:id="73"/>
    </w:p>
    <w:p w14:paraId="7E7A744D">
      <w:pPr>
        <w:pStyle w:val="214"/>
        <w:widowControl/>
        <w:kinsoku/>
        <w:overflowPunct/>
        <w:bidi w:val="0"/>
        <w:spacing w:line="360" w:lineRule="auto"/>
        <w:jc w:val="left"/>
        <w:outlineLvl w:val="9"/>
        <w:rPr>
          <w:rFonts w:hint="eastAsia" w:ascii="宋体" w:hAnsi="宋体" w:eastAsia="宋体" w:cs="宋体"/>
        </w:rPr>
      </w:pPr>
    </w:p>
    <w:p w14:paraId="0ED09284">
      <w:pPr>
        <w:keepNext/>
        <w:keepLines/>
        <w:widowControl w:val="0"/>
        <w:kinsoku/>
        <w:overflowPunct/>
        <w:bidi w:val="0"/>
        <w:spacing w:line="360" w:lineRule="auto"/>
        <w:jc w:val="both"/>
        <w:outlineLvl w:val="9"/>
        <w:rPr>
          <w:rFonts w:hint="eastAsia" w:ascii="宋体" w:hAnsi="宋体" w:eastAsia="宋体" w:cs="宋体"/>
          <w:b/>
          <w:bCs/>
          <w:szCs w:val="21"/>
        </w:rPr>
      </w:pPr>
    </w:p>
    <w:p w14:paraId="3916394B">
      <w:pPr>
        <w:keepNext w:val="0"/>
        <w:keepLines w:val="0"/>
        <w:pageBreakBefore w:val="0"/>
        <w:widowControl w:val="0"/>
        <w:kinsoku/>
        <w:wordWrap/>
        <w:overflowPunct/>
        <w:topLinePunct w:val="0"/>
        <w:bidi w:val="0"/>
        <w:spacing w:line="312" w:lineRule="auto"/>
        <w:jc w:val="center"/>
        <w:textAlignment w:val="auto"/>
        <w:rPr>
          <w:rFonts w:hint="eastAsia" w:ascii="宋体" w:hAnsi="宋体" w:eastAsia="宋体" w:cs="宋体"/>
          <w:b/>
          <w:szCs w:val="21"/>
        </w:rPr>
      </w:pPr>
      <w:r>
        <w:rPr>
          <w:rFonts w:hint="eastAsia" w:ascii="宋体" w:hAnsi="宋体" w:eastAsia="宋体" w:cs="宋体"/>
          <w:b/>
          <w:szCs w:val="21"/>
        </w:rPr>
        <w:br w:type="page"/>
      </w:r>
      <w:r>
        <w:rPr>
          <w:rFonts w:hint="eastAsia" w:ascii="宋体" w:hAnsi="宋体" w:eastAsia="宋体" w:cs="宋体"/>
          <w:b/>
          <w:szCs w:val="21"/>
          <w:lang w:val="en-US" w:eastAsia="zh-CN"/>
        </w:rPr>
        <w:t>3、</w:t>
      </w:r>
      <w:r>
        <w:rPr>
          <w:rFonts w:hint="eastAsia" w:ascii="宋体" w:hAnsi="宋体" w:eastAsia="宋体" w:cs="宋体"/>
          <w:b/>
          <w:szCs w:val="21"/>
        </w:rPr>
        <w:t xml:space="preserve"> 投标函</w:t>
      </w:r>
    </w:p>
    <w:p w14:paraId="7C9C978C">
      <w:pPr>
        <w:keepNext w:val="0"/>
        <w:keepLines w:val="0"/>
        <w:pageBreakBefore w:val="0"/>
        <w:widowControl w:val="0"/>
        <w:kinsoku/>
        <w:wordWrap/>
        <w:overflowPunct/>
        <w:topLinePunct w:val="0"/>
        <w:bidi w:val="0"/>
        <w:spacing w:line="312" w:lineRule="auto"/>
        <w:jc w:val="both"/>
        <w:textAlignment w:val="auto"/>
        <w:rPr>
          <w:rFonts w:hint="eastAsia" w:ascii="宋体" w:hAnsi="宋体" w:eastAsia="宋体" w:cs="宋体"/>
          <w:b/>
          <w:szCs w:val="21"/>
        </w:rPr>
      </w:pPr>
    </w:p>
    <w:p w14:paraId="0AFC9ADF">
      <w:pPr>
        <w:keepNext w:val="0"/>
        <w:keepLines w:val="0"/>
        <w:pageBreakBefore w:val="0"/>
        <w:widowControl w:val="0"/>
        <w:kinsoku/>
        <w:wordWrap/>
        <w:overflowPunct/>
        <w:topLinePunct w:val="0"/>
        <w:bidi w:val="0"/>
        <w:adjustRightInd w:val="0"/>
        <w:snapToGrid w:val="0"/>
        <w:spacing w:line="312" w:lineRule="auto"/>
        <w:jc w:val="both"/>
        <w:textAlignment w:val="auto"/>
        <w:rPr>
          <w:rFonts w:hint="eastAsia" w:ascii="宋体" w:hAnsi="宋体" w:eastAsia="宋体" w:cs="宋体"/>
          <w:szCs w:val="21"/>
          <w:highlight w:val="none"/>
        </w:rPr>
      </w:pPr>
      <w:r>
        <w:rPr>
          <w:rFonts w:hint="eastAsia" w:ascii="宋体" w:hAnsi="宋体" w:eastAsia="宋体" w:cs="宋体"/>
          <w:szCs w:val="21"/>
          <w:highlight w:val="none"/>
          <w:u w:val="single"/>
          <w:lang w:eastAsia="zh-CN"/>
        </w:rPr>
        <w:t>新疆医科大学第一附属医院</w:t>
      </w:r>
      <w:r>
        <w:rPr>
          <w:rFonts w:hint="eastAsia" w:ascii="宋体" w:hAnsi="宋体" w:eastAsia="宋体" w:cs="宋体"/>
          <w:szCs w:val="21"/>
          <w:highlight w:val="none"/>
        </w:rPr>
        <w:t>：</w:t>
      </w:r>
    </w:p>
    <w:p w14:paraId="314A87FC">
      <w:pPr>
        <w:keepNext w:val="0"/>
        <w:keepLines w:val="0"/>
        <w:pageBreakBefore w:val="0"/>
        <w:widowControl w:val="0"/>
        <w:kinsoku/>
        <w:wordWrap/>
        <w:overflowPunct/>
        <w:topLinePunct w:val="0"/>
        <w:autoSpaceDE w:val="0"/>
        <w:autoSpaceDN w:val="0"/>
        <w:bidi w:val="0"/>
        <w:adjustRightInd w:val="0"/>
        <w:spacing w:line="312" w:lineRule="auto"/>
        <w:ind w:right="26" w:firstLine="420" w:firstLineChars="200"/>
        <w:jc w:val="both"/>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依据贵方</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磋商</w:t>
      </w:r>
      <w:r>
        <w:rPr>
          <w:rFonts w:hint="eastAsia" w:ascii="宋体" w:hAnsi="宋体" w:eastAsia="宋体" w:cs="宋体"/>
          <w:szCs w:val="21"/>
          <w:highlight w:val="none"/>
          <w:u w:val="single"/>
        </w:rPr>
        <w:t>项目（ 编号：    )</w:t>
      </w:r>
      <w:r>
        <w:rPr>
          <w:rFonts w:hint="eastAsia" w:ascii="宋体" w:hAnsi="宋体" w:eastAsia="宋体" w:cs="宋体"/>
          <w:kern w:val="0"/>
          <w:szCs w:val="21"/>
          <w:highlight w:val="none"/>
        </w:rPr>
        <w:t>的</w:t>
      </w:r>
      <w:r>
        <w:rPr>
          <w:rFonts w:hint="eastAsia" w:ascii="宋体" w:hAnsi="宋体" w:eastAsia="宋体" w:cs="宋体"/>
          <w:kern w:val="0"/>
          <w:szCs w:val="21"/>
          <w:highlight w:val="none"/>
          <w:lang w:val="en-US" w:eastAsia="zh-CN"/>
        </w:rPr>
        <w:t>采购项目</w:t>
      </w:r>
      <w:r>
        <w:rPr>
          <w:rFonts w:hint="eastAsia" w:ascii="宋体" w:hAnsi="宋体" w:eastAsia="宋体" w:cs="宋体"/>
          <w:kern w:val="0"/>
          <w:szCs w:val="21"/>
          <w:highlight w:val="none"/>
        </w:rPr>
        <w:t>，我方代表</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被授权人</w:t>
      </w:r>
      <w:r>
        <w:rPr>
          <w:rFonts w:hint="eastAsia" w:ascii="宋体" w:hAnsi="宋体" w:eastAsia="宋体" w:cs="宋体"/>
          <w:kern w:val="0"/>
          <w:szCs w:val="21"/>
          <w:highlight w:val="none"/>
          <w:lang w:eastAsia="zh-CN"/>
        </w:rPr>
        <w:t>）</w:t>
      </w:r>
      <w:r>
        <w:rPr>
          <w:rFonts w:hint="eastAsia" w:ascii="宋体" w:hAnsi="宋体" w:eastAsia="宋体" w:cs="宋体"/>
          <w:szCs w:val="21"/>
          <w:highlight w:val="none"/>
          <w:u w:val="single"/>
        </w:rPr>
        <w:t>（姓名、职务）</w:t>
      </w:r>
      <w:r>
        <w:rPr>
          <w:rFonts w:hint="eastAsia" w:ascii="宋体" w:hAnsi="宋体" w:eastAsia="宋体" w:cs="宋体"/>
          <w:kern w:val="0"/>
          <w:szCs w:val="21"/>
          <w:highlight w:val="none"/>
        </w:rPr>
        <w:t>经正式授权并代表</w:t>
      </w:r>
      <w:r>
        <w:rPr>
          <w:rFonts w:hint="eastAsia" w:ascii="宋体" w:hAnsi="宋体" w:eastAsia="宋体" w:cs="宋体"/>
          <w:szCs w:val="21"/>
          <w:highlight w:val="none"/>
          <w:u w:val="single"/>
        </w:rPr>
        <w:t>（</w:t>
      </w:r>
      <w:r>
        <w:rPr>
          <w:rFonts w:hint="eastAsia" w:ascii="宋体" w:hAnsi="宋体" w:eastAsia="宋体" w:cs="宋体"/>
          <w:szCs w:val="21"/>
          <w:highlight w:val="none"/>
          <w:u w:val="single"/>
          <w:lang w:eastAsia="zh-CN"/>
        </w:rPr>
        <w:t>供应商</w:t>
      </w:r>
      <w:r>
        <w:rPr>
          <w:rFonts w:hint="eastAsia" w:ascii="宋体" w:hAnsi="宋体" w:eastAsia="宋体" w:cs="宋体"/>
          <w:szCs w:val="21"/>
          <w:highlight w:val="none"/>
          <w:u w:val="single"/>
        </w:rPr>
        <w:t>名称、地址）</w:t>
      </w:r>
      <w:r>
        <w:rPr>
          <w:rFonts w:hint="eastAsia" w:ascii="宋体" w:hAnsi="宋体" w:eastAsia="宋体" w:cs="宋体"/>
          <w:kern w:val="0"/>
          <w:szCs w:val="21"/>
          <w:highlight w:val="none"/>
        </w:rPr>
        <w:t>提交下述文件。</w:t>
      </w:r>
    </w:p>
    <w:p w14:paraId="35AB6D88">
      <w:pPr>
        <w:keepNext w:val="0"/>
        <w:keepLines w:val="0"/>
        <w:pageBreakBefore w:val="0"/>
        <w:widowControl w:val="0"/>
        <w:kinsoku/>
        <w:wordWrap/>
        <w:overflowPunct/>
        <w:topLinePunct w:val="0"/>
        <w:autoSpaceDE w:val="0"/>
        <w:autoSpaceDN w:val="0"/>
        <w:bidi w:val="0"/>
        <w:adjustRightInd w:val="0"/>
        <w:spacing w:line="312" w:lineRule="auto"/>
        <w:ind w:right="246" w:firstLine="420" w:firstLineChars="200"/>
        <w:jc w:val="both"/>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1</w:t>
      </w:r>
      <w:r>
        <w:rPr>
          <w:rFonts w:hint="eastAsia" w:ascii="宋体" w:hAnsi="宋体" w:eastAsia="宋体" w:cs="宋体"/>
          <w:kern w:val="0"/>
          <w:szCs w:val="21"/>
          <w:highlight w:val="none"/>
        </w:rPr>
        <w:t xml:space="preserve">. </w:t>
      </w:r>
      <w:r>
        <w:rPr>
          <w:rFonts w:hint="eastAsia" w:ascii="宋体" w:hAnsi="宋体" w:eastAsia="宋体" w:cs="宋体"/>
          <w:szCs w:val="21"/>
          <w:highlight w:val="none"/>
        </w:rPr>
        <w:t>资格文件</w:t>
      </w:r>
      <w:r>
        <w:rPr>
          <w:rFonts w:hint="eastAsia" w:ascii="宋体" w:hAnsi="宋体" w:eastAsia="宋体" w:cs="宋体"/>
          <w:kern w:val="0"/>
          <w:szCs w:val="21"/>
          <w:highlight w:val="none"/>
        </w:rPr>
        <w:t>；</w:t>
      </w:r>
    </w:p>
    <w:p w14:paraId="66A1FB10">
      <w:pPr>
        <w:keepNext w:val="0"/>
        <w:keepLines w:val="0"/>
        <w:pageBreakBefore w:val="0"/>
        <w:widowControl w:val="0"/>
        <w:kinsoku/>
        <w:wordWrap/>
        <w:overflowPunct/>
        <w:topLinePunct w:val="0"/>
        <w:autoSpaceDE w:val="0"/>
        <w:autoSpaceDN w:val="0"/>
        <w:bidi w:val="0"/>
        <w:adjustRightInd w:val="0"/>
        <w:spacing w:line="312" w:lineRule="auto"/>
        <w:ind w:right="246" w:firstLine="420" w:firstLineChars="200"/>
        <w:jc w:val="both"/>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2</w:t>
      </w:r>
      <w:r>
        <w:rPr>
          <w:rFonts w:hint="eastAsia" w:ascii="宋体" w:hAnsi="宋体" w:eastAsia="宋体" w:cs="宋体"/>
          <w:kern w:val="0"/>
          <w:szCs w:val="21"/>
          <w:highlight w:val="none"/>
        </w:rPr>
        <w:t>. 商务部分；</w:t>
      </w:r>
    </w:p>
    <w:p w14:paraId="0F306A68">
      <w:pPr>
        <w:keepNext w:val="0"/>
        <w:keepLines w:val="0"/>
        <w:pageBreakBefore w:val="0"/>
        <w:widowControl w:val="0"/>
        <w:kinsoku/>
        <w:wordWrap/>
        <w:overflowPunct/>
        <w:topLinePunct w:val="0"/>
        <w:autoSpaceDE w:val="0"/>
        <w:autoSpaceDN w:val="0"/>
        <w:bidi w:val="0"/>
        <w:adjustRightInd w:val="0"/>
        <w:spacing w:line="312" w:lineRule="auto"/>
        <w:ind w:right="246" w:firstLine="420" w:firstLineChars="200"/>
        <w:jc w:val="both"/>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3</w:t>
      </w:r>
      <w:r>
        <w:rPr>
          <w:rFonts w:hint="eastAsia" w:ascii="宋体" w:hAnsi="宋体" w:eastAsia="宋体" w:cs="宋体"/>
          <w:kern w:val="0"/>
          <w:szCs w:val="21"/>
          <w:highlight w:val="none"/>
        </w:rPr>
        <w:t>. 技术部分；</w:t>
      </w:r>
    </w:p>
    <w:p w14:paraId="78AB84F9">
      <w:pPr>
        <w:keepNext w:val="0"/>
        <w:keepLines w:val="0"/>
        <w:pageBreakBefore w:val="0"/>
        <w:widowControl w:val="0"/>
        <w:kinsoku/>
        <w:wordWrap/>
        <w:overflowPunct/>
        <w:topLinePunct w:val="0"/>
        <w:autoSpaceDE w:val="0"/>
        <w:autoSpaceDN w:val="0"/>
        <w:bidi w:val="0"/>
        <w:adjustRightInd w:val="0"/>
        <w:spacing w:line="312" w:lineRule="auto"/>
        <w:ind w:right="32" w:firstLine="420" w:firstLineChars="200"/>
        <w:jc w:val="both"/>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4</w:t>
      </w:r>
      <w:r>
        <w:rPr>
          <w:rFonts w:hint="eastAsia" w:ascii="宋体" w:hAnsi="宋体" w:eastAsia="宋体" w:cs="宋体"/>
          <w:kern w:val="0"/>
          <w:szCs w:val="21"/>
          <w:highlight w:val="none"/>
        </w:rPr>
        <w:t xml:space="preserve">. </w:t>
      </w:r>
      <w:r>
        <w:rPr>
          <w:rFonts w:hint="eastAsia" w:ascii="宋体" w:hAnsi="宋体" w:eastAsia="宋体" w:cs="宋体"/>
          <w:szCs w:val="21"/>
          <w:highlight w:val="none"/>
        </w:rPr>
        <w:t>价格部分。</w:t>
      </w:r>
    </w:p>
    <w:p w14:paraId="6CC0480B">
      <w:pPr>
        <w:keepNext w:val="0"/>
        <w:keepLines w:val="0"/>
        <w:pageBreakBefore w:val="0"/>
        <w:widowControl w:val="0"/>
        <w:kinsoku/>
        <w:wordWrap/>
        <w:overflowPunct/>
        <w:topLinePunct w:val="0"/>
        <w:autoSpaceDE w:val="0"/>
        <w:autoSpaceDN w:val="0"/>
        <w:bidi w:val="0"/>
        <w:adjustRightInd w:val="0"/>
        <w:spacing w:line="312" w:lineRule="auto"/>
        <w:ind w:right="246" w:firstLine="315" w:firstLineChars="150"/>
        <w:jc w:val="both"/>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在此，我方声明如下：</w:t>
      </w:r>
    </w:p>
    <w:p w14:paraId="699C1DAD">
      <w:pPr>
        <w:keepNext w:val="0"/>
        <w:keepLines w:val="0"/>
        <w:pageBreakBefore w:val="0"/>
        <w:widowControl w:val="0"/>
        <w:kinsoku/>
        <w:wordWrap/>
        <w:overflowPunct/>
        <w:topLinePunct w:val="0"/>
        <w:bidi w:val="0"/>
        <w:spacing w:line="312"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1.同意并接受招标文件的各项要求，遵守招标文件中的各项规定，按招标文件的要求提供报价。</w:t>
      </w:r>
    </w:p>
    <w:p w14:paraId="3A84AAC7">
      <w:pPr>
        <w:keepNext w:val="0"/>
        <w:keepLines w:val="0"/>
        <w:pageBreakBefore w:val="0"/>
        <w:widowControl w:val="0"/>
        <w:kinsoku/>
        <w:wordWrap/>
        <w:overflowPunct/>
        <w:topLinePunct w:val="0"/>
        <w:bidi w:val="0"/>
        <w:spacing w:line="312"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2.投标有效期为递交投标文件之日起</w:t>
      </w:r>
      <w:r>
        <w:rPr>
          <w:rFonts w:hint="eastAsia" w:ascii="宋体" w:hAnsi="宋体" w:eastAsia="宋体" w:cs="宋体"/>
          <w:szCs w:val="21"/>
          <w:u w:val="single"/>
        </w:rPr>
        <w:t>九十</w:t>
      </w:r>
      <w:r>
        <w:rPr>
          <w:rFonts w:hint="eastAsia" w:ascii="宋体" w:hAnsi="宋体" w:eastAsia="宋体" w:cs="宋体"/>
          <w:szCs w:val="21"/>
        </w:rPr>
        <w:t>天，中标人投标有效期延至合同验收之日。</w:t>
      </w:r>
    </w:p>
    <w:p w14:paraId="3FE96D36">
      <w:pPr>
        <w:keepNext w:val="0"/>
        <w:keepLines w:val="0"/>
        <w:pageBreakBefore w:val="0"/>
        <w:widowControl w:val="0"/>
        <w:kinsoku/>
        <w:wordWrap/>
        <w:overflowPunct/>
        <w:topLinePunct w:val="0"/>
        <w:bidi w:val="0"/>
        <w:spacing w:line="312"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3.我方已经详细地阅读了全部招标文件及其附件，包括澄清及参考文件(如果有的话)。我方已完全清晰理解招标文件的要求，不存在任何含糊不清和误解之处，同意放弃对这些文件所提出的异议和质疑的权利。</w:t>
      </w:r>
    </w:p>
    <w:p w14:paraId="5E593CC6">
      <w:pPr>
        <w:keepNext w:val="0"/>
        <w:keepLines w:val="0"/>
        <w:pageBreakBefore w:val="0"/>
        <w:widowControl w:val="0"/>
        <w:kinsoku/>
        <w:wordWrap/>
        <w:overflowPunct/>
        <w:topLinePunct w:val="0"/>
        <w:bidi w:val="0"/>
        <w:spacing w:line="312"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4.我方已毫无保留地向贵方提供一切所需的证明材料。</w:t>
      </w:r>
    </w:p>
    <w:p w14:paraId="2479F994">
      <w:pPr>
        <w:keepNext w:val="0"/>
        <w:keepLines w:val="0"/>
        <w:pageBreakBefore w:val="0"/>
        <w:widowControl w:val="0"/>
        <w:kinsoku/>
        <w:wordWrap/>
        <w:overflowPunct/>
        <w:topLinePunct w:val="0"/>
        <w:bidi w:val="0"/>
        <w:spacing w:line="312" w:lineRule="auto"/>
        <w:ind w:left="388" w:leftChars="185"/>
        <w:jc w:val="both"/>
        <w:textAlignment w:val="auto"/>
        <w:rPr>
          <w:rFonts w:hint="eastAsia" w:ascii="宋体" w:hAnsi="宋体" w:eastAsia="宋体" w:cs="宋体"/>
          <w:szCs w:val="21"/>
        </w:rPr>
      </w:pPr>
      <w:r>
        <w:rPr>
          <w:rFonts w:hint="eastAsia" w:ascii="宋体" w:hAnsi="宋体" w:eastAsia="宋体" w:cs="宋体"/>
          <w:szCs w:val="21"/>
        </w:rPr>
        <w:t>5.我方承诺在本次投标中提供的一切文件，无论是原件还是复印件/扫描件均为真实和准确的，绝无任何虚假、伪造和夸大的成份，否则，愿承担相应的后果和法律责任。</w:t>
      </w:r>
    </w:p>
    <w:p w14:paraId="50CD04BA">
      <w:pPr>
        <w:keepNext w:val="0"/>
        <w:keepLines w:val="0"/>
        <w:pageBreakBefore w:val="0"/>
        <w:widowControl w:val="0"/>
        <w:kinsoku/>
        <w:wordWrap/>
        <w:overflowPunct/>
        <w:topLinePunct w:val="0"/>
        <w:bidi w:val="0"/>
        <w:spacing w:line="312" w:lineRule="auto"/>
        <w:ind w:left="388" w:leftChars="185"/>
        <w:jc w:val="both"/>
        <w:textAlignment w:val="auto"/>
        <w:rPr>
          <w:rFonts w:hint="eastAsia" w:ascii="宋体" w:hAnsi="宋体" w:eastAsia="宋体" w:cs="宋体"/>
          <w:szCs w:val="21"/>
        </w:rPr>
      </w:pPr>
      <w:r>
        <w:rPr>
          <w:rFonts w:hint="eastAsia" w:ascii="宋体" w:hAnsi="宋体" w:eastAsia="宋体" w:cs="宋体"/>
          <w:szCs w:val="21"/>
        </w:rPr>
        <w:t>6.我方完全服从和尊重评委会所作的评定结果，同时清楚理解到报价最低并非意味着必定获得中标资格。</w:t>
      </w:r>
    </w:p>
    <w:p w14:paraId="2779ED56">
      <w:pPr>
        <w:keepNext w:val="0"/>
        <w:keepLines w:val="0"/>
        <w:pageBreakBefore w:val="0"/>
        <w:widowControl w:val="0"/>
        <w:kinsoku/>
        <w:wordWrap/>
        <w:overflowPunct/>
        <w:topLinePunct w:val="0"/>
        <w:bidi w:val="0"/>
        <w:spacing w:line="312"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7.我方同意按招标文件规定向采购代理机构缴纳</w:t>
      </w:r>
      <w:r>
        <w:rPr>
          <w:rFonts w:hint="eastAsia" w:ascii="宋体" w:hAnsi="宋体" w:eastAsia="宋体" w:cs="宋体"/>
          <w:szCs w:val="21"/>
          <w:lang w:val="en-GB"/>
        </w:rPr>
        <w:t>中标服务费</w:t>
      </w:r>
      <w:r>
        <w:rPr>
          <w:rFonts w:hint="eastAsia" w:ascii="宋体" w:hAnsi="宋体" w:eastAsia="宋体" w:cs="宋体"/>
          <w:szCs w:val="21"/>
        </w:rPr>
        <w:t>。</w:t>
      </w:r>
    </w:p>
    <w:p w14:paraId="0273567E">
      <w:pPr>
        <w:keepNext w:val="0"/>
        <w:keepLines w:val="0"/>
        <w:pageBreakBefore w:val="0"/>
        <w:widowControl w:val="0"/>
        <w:kinsoku/>
        <w:wordWrap/>
        <w:overflowPunct/>
        <w:topLinePunct w:val="0"/>
        <w:autoSpaceDE w:val="0"/>
        <w:autoSpaceDN w:val="0"/>
        <w:bidi w:val="0"/>
        <w:adjustRightInd w:val="0"/>
        <w:spacing w:line="312" w:lineRule="auto"/>
        <w:ind w:right="246"/>
        <w:jc w:val="both"/>
        <w:textAlignment w:val="auto"/>
        <w:rPr>
          <w:rFonts w:hint="eastAsia" w:ascii="宋体" w:hAnsi="宋体" w:eastAsia="宋体" w:cs="宋体"/>
          <w:kern w:val="0"/>
          <w:szCs w:val="21"/>
        </w:rPr>
      </w:pPr>
      <w:r>
        <w:rPr>
          <w:rFonts w:hint="eastAsia" w:ascii="宋体" w:hAnsi="宋体" w:eastAsia="宋体" w:cs="宋体"/>
          <w:kern w:val="0"/>
          <w:szCs w:val="21"/>
          <w:lang w:eastAsia="zh-CN"/>
        </w:rPr>
        <w:t>供应商</w:t>
      </w:r>
      <w:r>
        <w:rPr>
          <w:rFonts w:hint="eastAsia" w:ascii="宋体" w:hAnsi="宋体" w:eastAsia="宋体" w:cs="宋体"/>
          <w:kern w:val="0"/>
          <w:szCs w:val="21"/>
        </w:rPr>
        <w:t>：                        地址：</w:t>
      </w:r>
    </w:p>
    <w:p w14:paraId="5E9E70F3">
      <w:pPr>
        <w:keepNext w:val="0"/>
        <w:keepLines w:val="0"/>
        <w:pageBreakBefore w:val="0"/>
        <w:widowControl w:val="0"/>
        <w:kinsoku/>
        <w:wordWrap/>
        <w:overflowPunct/>
        <w:topLinePunct w:val="0"/>
        <w:autoSpaceDE w:val="0"/>
        <w:autoSpaceDN w:val="0"/>
        <w:bidi w:val="0"/>
        <w:adjustRightInd w:val="0"/>
        <w:spacing w:line="312" w:lineRule="auto"/>
        <w:ind w:right="246"/>
        <w:jc w:val="both"/>
        <w:textAlignment w:val="auto"/>
        <w:rPr>
          <w:rFonts w:hint="eastAsia" w:ascii="宋体" w:hAnsi="宋体" w:eastAsia="宋体" w:cs="宋体"/>
          <w:kern w:val="0"/>
          <w:szCs w:val="21"/>
        </w:rPr>
      </w:pPr>
      <w:r>
        <w:rPr>
          <w:rFonts w:hint="eastAsia" w:ascii="宋体" w:hAnsi="宋体" w:eastAsia="宋体" w:cs="宋体"/>
          <w:kern w:val="0"/>
          <w:szCs w:val="21"/>
        </w:rPr>
        <w:t>传真：                          电话：</w:t>
      </w:r>
    </w:p>
    <w:p w14:paraId="7896004F">
      <w:pPr>
        <w:keepNext w:val="0"/>
        <w:keepLines w:val="0"/>
        <w:pageBreakBefore w:val="0"/>
        <w:widowControl w:val="0"/>
        <w:kinsoku/>
        <w:wordWrap/>
        <w:overflowPunct/>
        <w:topLinePunct w:val="0"/>
        <w:autoSpaceDE w:val="0"/>
        <w:autoSpaceDN w:val="0"/>
        <w:bidi w:val="0"/>
        <w:adjustRightInd w:val="0"/>
        <w:spacing w:line="312" w:lineRule="auto"/>
        <w:ind w:right="246"/>
        <w:jc w:val="both"/>
        <w:textAlignment w:val="auto"/>
        <w:rPr>
          <w:rFonts w:hint="eastAsia" w:ascii="宋体" w:hAnsi="宋体" w:eastAsia="宋体" w:cs="宋体"/>
          <w:kern w:val="0"/>
          <w:szCs w:val="21"/>
        </w:rPr>
      </w:pPr>
      <w:r>
        <w:rPr>
          <w:rFonts w:hint="eastAsia" w:ascii="宋体" w:hAnsi="宋体" w:eastAsia="宋体" w:cs="宋体"/>
          <w:kern w:val="0"/>
          <w:szCs w:val="21"/>
        </w:rPr>
        <w:t>电子邮件：</w:t>
      </w:r>
    </w:p>
    <w:p w14:paraId="1B54B843">
      <w:pPr>
        <w:keepNext w:val="0"/>
        <w:keepLines w:val="0"/>
        <w:pageBreakBefore w:val="0"/>
        <w:widowControl w:val="0"/>
        <w:kinsoku/>
        <w:wordWrap/>
        <w:overflowPunct/>
        <w:topLinePunct w:val="0"/>
        <w:bidi w:val="0"/>
        <w:adjustRightInd w:val="0"/>
        <w:snapToGrid w:val="0"/>
        <w:spacing w:line="312" w:lineRule="auto"/>
        <w:jc w:val="both"/>
        <w:textAlignment w:val="auto"/>
        <w:rPr>
          <w:rFonts w:hint="eastAsia" w:ascii="宋体" w:hAnsi="宋体" w:eastAsia="宋体" w:cs="宋体"/>
          <w:szCs w:val="21"/>
          <w:u w:val="single"/>
        </w:rPr>
      </w:pPr>
      <w:r>
        <w:rPr>
          <w:rFonts w:hint="eastAsia" w:ascii="宋体" w:hAnsi="宋体" w:eastAsia="宋体" w:cs="宋体"/>
          <w:szCs w:val="21"/>
          <w:lang w:eastAsia="zh-CN"/>
        </w:rPr>
        <w:t>供应商</w:t>
      </w:r>
      <w:r>
        <w:rPr>
          <w:rFonts w:hint="eastAsia" w:ascii="宋体" w:hAnsi="宋体" w:eastAsia="宋体" w:cs="宋体"/>
          <w:szCs w:val="21"/>
        </w:rPr>
        <w:t>法定代表人（或法定代表人授权代表）签字（或签章）：</w:t>
      </w:r>
    </w:p>
    <w:p w14:paraId="32001F6E">
      <w:pPr>
        <w:keepNext w:val="0"/>
        <w:keepLines w:val="0"/>
        <w:pageBreakBefore w:val="0"/>
        <w:widowControl w:val="0"/>
        <w:kinsoku/>
        <w:wordWrap/>
        <w:overflowPunct/>
        <w:topLinePunct w:val="0"/>
        <w:bidi w:val="0"/>
        <w:adjustRightInd w:val="0"/>
        <w:snapToGrid w:val="0"/>
        <w:spacing w:line="312" w:lineRule="auto"/>
        <w:jc w:val="both"/>
        <w:textAlignment w:val="auto"/>
        <w:rPr>
          <w:rFonts w:hint="eastAsia" w:ascii="宋体" w:hAnsi="宋体" w:eastAsia="宋体" w:cs="宋体"/>
          <w:szCs w:val="21"/>
          <w:u w:val="single"/>
        </w:rPr>
      </w:pPr>
      <w:r>
        <w:rPr>
          <w:rFonts w:hint="eastAsia" w:ascii="宋体" w:hAnsi="宋体" w:eastAsia="宋体" w:cs="宋体"/>
          <w:szCs w:val="21"/>
          <w:lang w:eastAsia="zh-CN"/>
        </w:rPr>
        <w:t>供应商</w:t>
      </w:r>
      <w:r>
        <w:rPr>
          <w:rFonts w:hint="eastAsia" w:ascii="宋体" w:hAnsi="宋体" w:eastAsia="宋体" w:cs="宋体"/>
          <w:szCs w:val="21"/>
        </w:rPr>
        <w:t xml:space="preserve">名称(公章)： </w:t>
      </w:r>
    </w:p>
    <w:p w14:paraId="4A55E291">
      <w:pPr>
        <w:keepNext w:val="0"/>
        <w:keepLines w:val="0"/>
        <w:pageBreakBefore w:val="0"/>
        <w:widowControl w:val="0"/>
        <w:kinsoku/>
        <w:wordWrap/>
        <w:overflowPunct/>
        <w:topLinePunct w:val="0"/>
        <w:bidi w:val="0"/>
        <w:adjustRightInd w:val="0"/>
        <w:snapToGrid w:val="0"/>
        <w:spacing w:line="312" w:lineRule="auto"/>
        <w:jc w:val="both"/>
        <w:textAlignment w:val="auto"/>
        <w:rPr>
          <w:rFonts w:hint="eastAsia" w:ascii="宋体" w:hAnsi="宋体" w:eastAsia="宋体" w:cs="宋体"/>
          <w:szCs w:val="21"/>
          <w:u w:val="single"/>
        </w:rPr>
      </w:pPr>
      <w:r>
        <w:rPr>
          <w:rFonts w:hint="eastAsia" w:ascii="宋体" w:hAnsi="宋体" w:eastAsia="宋体" w:cs="宋体"/>
          <w:szCs w:val="21"/>
        </w:rPr>
        <w:t>开户银行：</w:t>
      </w:r>
    </w:p>
    <w:p w14:paraId="5AA69AFC">
      <w:pPr>
        <w:keepNext w:val="0"/>
        <w:keepLines w:val="0"/>
        <w:pageBreakBefore w:val="0"/>
        <w:widowControl w:val="0"/>
        <w:tabs>
          <w:tab w:val="left" w:pos="5250"/>
        </w:tabs>
        <w:kinsoku/>
        <w:wordWrap/>
        <w:overflowPunct/>
        <w:topLinePunct w:val="0"/>
        <w:autoSpaceDE w:val="0"/>
        <w:autoSpaceDN w:val="0"/>
        <w:bidi w:val="0"/>
        <w:spacing w:line="312" w:lineRule="auto"/>
        <w:jc w:val="both"/>
        <w:textAlignment w:val="auto"/>
        <w:rPr>
          <w:rFonts w:hint="eastAsia" w:ascii="宋体" w:hAnsi="宋体" w:eastAsia="宋体" w:cs="宋体"/>
          <w:szCs w:val="21"/>
          <w:u w:val="single"/>
        </w:rPr>
      </w:pPr>
      <w:r>
        <w:rPr>
          <w:rFonts w:hint="eastAsia" w:ascii="宋体" w:hAnsi="宋体" w:eastAsia="宋体" w:cs="宋体"/>
          <w:szCs w:val="21"/>
        </w:rPr>
        <w:t>账号：</w:t>
      </w:r>
    </w:p>
    <w:p w14:paraId="5F0F95E1">
      <w:pPr>
        <w:keepNext w:val="0"/>
        <w:keepLines w:val="0"/>
        <w:pageBreakBefore w:val="0"/>
        <w:widowControl w:val="0"/>
        <w:kinsoku/>
        <w:wordWrap/>
        <w:overflowPunct/>
        <w:topLinePunct w:val="0"/>
        <w:bidi w:val="0"/>
        <w:adjustRightInd w:val="0"/>
        <w:snapToGrid w:val="0"/>
        <w:spacing w:line="312" w:lineRule="auto"/>
        <w:jc w:val="both"/>
        <w:textAlignment w:val="auto"/>
        <w:rPr>
          <w:rFonts w:hint="eastAsia" w:ascii="宋体" w:hAnsi="宋体" w:eastAsia="宋体" w:cs="宋体"/>
          <w:szCs w:val="21"/>
          <w:u w:val="single"/>
        </w:rPr>
      </w:pPr>
      <w:r>
        <w:rPr>
          <w:rFonts w:hint="eastAsia" w:ascii="宋体" w:hAnsi="宋体" w:eastAsia="宋体" w:cs="宋体"/>
          <w:szCs w:val="21"/>
        </w:rPr>
        <w:t>日期：</w:t>
      </w:r>
    </w:p>
    <w:p w14:paraId="6E6B7460">
      <w:pPr>
        <w:widowControl w:val="0"/>
        <w:kinsoku/>
        <w:overflowPunct/>
        <w:bidi w:val="0"/>
        <w:spacing w:line="360" w:lineRule="auto"/>
        <w:jc w:val="both"/>
        <w:rPr>
          <w:rFonts w:hint="eastAsia" w:ascii="宋体" w:hAnsi="宋体" w:eastAsia="宋体" w:cs="宋体"/>
          <w:b/>
          <w:szCs w:val="21"/>
        </w:rPr>
      </w:pPr>
      <w:r>
        <w:rPr>
          <w:rFonts w:hint="eastAsia" w:ascii="宋体" w:hAnsi="宋体" w:eastAsia="宋体" w:cs="宋体"/>
          <w:b/>
          <w:szCs w:val="21"/>
        </w:rPr>
        <w:br w:type="page"/>
      </w:r>
      <w:r>
        <w:rPr>
          <w:rFonts w:hint="eastAsia" w:ascii="宋体" w:hAnsi="宋体" w:eastAsia="宋体" w:cs="宋体"/>
          <w:b/>
          <w:szCs w:val="21"/>
          <w:lang w:val="en-US" w:eastAsia="zh-CN"/>
        </w:rPr>
        <w:t>3.1、</w:t>
      </w:r>
      <w:r>
        <w:rPr>
          <w:rFonts w:hint="eastAsia" w:ascii="宋体" w:hAnsi="宋体" w:eastAsia="宋体" w:cs="宋体"/>
          <w:b/>
          <w:szCs w:val="21"/>
        </w:rPr>
        <w:t>法定代表人/负责人证明书及授权委托书</w:t>
      </w:r>
    </w:p>
    <w:p w14:paraId="72B436BB">
      <w:pPr>
        <w:widowControl w:val="0"/>
        <w:kinsoku/>
        <w:overflowPunct/>
        <w:bidi w:val="0"/>
        <w:spacing w:line="360" w:lineRule="auto"/>
        <w:jc w:val="center"/>
        <w:rPr>
          <w:rFonts w:hint="eastAsia" w:ascii="宋体" w:hAnsi="宋体" w:eastAsia="宋体" w:cs="宋体"/>
          <w:b/>
          <w:szCs w:val="21"/>
        </w:rPr>
      </w:pPr>
    </w:p>
    <w:p w14:paraId="013DA28F">
      <w:pPr>
        <w:widowControl w:val="0"/>
        <w:kinsoku/>
        <w:overflowPunct/>
        <w:bidi w:val="0"/>
        <w:spacing w:line="360" w:lineRule="auto"/>
        <w:jc w:val="center"/>
        <w:rPr>
          <w:rFonts w:hint="eastAsia" w:ascii="宋体" w:hAnsi="宋体" w:eastAsia="宋体" w:cs="宋体"/>
          <w:b/>
          <w:szCs w:val="21"/>
        </w:rPr>
      </w:pPr>
      <w:r>
        <w:rPr>
          <w:rFonts w:hint="eastAsia" w:ascii="宋体" w:hAnsi="宋体" w:eastAsia="宋体" w:cs="宋体"/>
          <w:b/>
          <w:szCs w:val="21"/>
        </w:rPr>
        <w:t>（1）法定代表人/负责人证明书</w:t>
      </w:r>
    </w:p>
    <w:p w14:paraId="20E04918">
      <w:pPr>
        <w:widowControl w:val="0"/>
        <w:kinsoku/>
        <w:overflowPunct/>
        <w:bidi w:val="0"/>
        <w:spacing w:line="360" w:lineRule="auto"/>
        <w:jc w:val="both"/>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lang w:eastAsia="zh-CN"/>
        </w:rPr>
        <w:t>新疆医科大学第一附属医院</w:t>
      </w:r>
      <w:r>
        <w:rPr>
          <w:rFonts w:hint="eastAsia" w:ascii="宋体" w:hAnsi="宋体" w:eastAsia="宋体" w:cs="宋体"/>
          <w:szCs w:val="21"/>
        </w:rPr>
        <w:t>：</w:t>
      </w:r>
    </w:p>
    <w:p w14:paraId="42D40554">
      <w:pPr>
        <w:widowControl w:val="0"/>
        <w:kinsoku/>
        <w:overflowPunct/>
        <w:bidi w:val="0"/>
        <w:spacing w:line="360" w:lineRule="auto"/>
        <w:jc w:val="both"/>
        <w:rPr>
          <w:rFonts w:hint="eastAsia" w:ascii="宋体" w:hAnsi="宋体" w:eastAsia="宋体" w:cs="宋体"/>
          <w:szCs w:val="21"/>
        </w:rPr>
      </w:pPr>
    </w:p>
    <w:p w14:paraId="31A33604">
      <w:pPr>
        <w:widowControl w:val="0"/>
        <w:kinsoku/>
        <w:overflowPunct/>
        <w:bidi w:val="0"/>
        <w:spacing w:line="360" w:lineRule="auto"/>
        <w:jc w:val="both"/>
        <w:rPr>
          <w:rFonts w:hint="eastAsia" w:ascii="宋体" w:hAnsi="宋体" w:eastAsia="宋体" w:cs="宋体"/>
          <w:szCs w:val="21"/>
        </w:rPr>
      </w:pPr>
      <w:r>
        <w:rPr>
          <w:rFonts w:hint="eastAsia" w:ascii="宋体" w:hAnsi="宋体" w:eastAsia="宋体" w:cs="宋体"/>
          <w:szCs w:val="21"/>
        </w:rPr>
        <w:t>同志，现任我单位职务，为法定代表人，特此证明。</w:t>
      </w:r>
    </w:p>
    <w:p w14:paraId="558A8877">
      <w:pPr>
        <w:widowControl w:val="0"/>
        <w:kinsoku/>
        <w:overflowPunct/>
        <w:bidi w:val="0"/>
        <w:spacing w:line="360" w:lineRule="auto"/>
        <w:ind w:firstLine="210" w:firstLineChars="100"/>
        <w:jc w:val="both"/>
        <w:rPr>
          <w:rFonts w:hint="eastAsia" w:ascii="宋体" w:hAnsi="宋体" w:eastAsia="宋体" w:cs="宋体"/>
          <w:szCs w:val="21"/>
        </w:rPr>
      </w:pPr>
      <w:r>
        <w:rPr>
          <w:rFonts w:hint="eastAsia" w:ascii="宋体" w:hAnsi="宋体" w:eastAsia="宋体" w:cs="宋体"/>
          <w:szCs w:val="21"/>
        </w:rPr>
        <w:t>签发日期：           单位：           （单位公章）</w:t>
      </w:r>
    </w:p>
    <w:p w14:paraId="22C443B1">
      <w:pPr>
        <w:widowControl w:val="0"/>
        <w:kinsoku/>
        <w:overflowPunct/>
        <w:bidi w:val="0"/>
        <w:spacing w:line="360" w:lineRule="auto"/>
        <w:ind w:firstLine="210" w:firstLineChars="100"/>
        <w:jc w:val="both"/>
        <w:rPr>
          <w:rFonts w:hint="eastAsia" w:ascii="宋体" w:hAnsi="宋体" w:eastAsia="宋体" w:cs="宋体"/>
          <w:szCs w:val="21"/>
        </w:rPr>
      </w:pPr>
      <w:r>
        <w:rPr>
          <w:rFonts w:hint="eastAsia" w:ascii="宋体" w:hAnsi="宋体" w:eastAsia="宋体" w:cs="宋体"/>
          <w:szCs w:val="21"/>
        </w:rPr>
        <w:t>附：代表人性别：            年龄：           身份证号码：</w:t>
      </w:r>
    </w:p>
    <w:p w14:paraId="5A6D487B">
      <w:pPr>
        <w:widowControl w:val="0"/>
        <w:kinsoku/>
        <w:overflowPunct/>
        <w:bidi w:val="0"/>
        <w:spacing w:line="360" w:lineRule="auto"/>
        <w:ind w:firstLine="210" w:firstLineChars="100"/>
        <w:jc w:val="both"/>
        <w:rPr>
          <w:rFonts w:hint="eastAsia" w:ascii="宋体" w:hAnsi="宋体" w:eastAsia="宋体" w:cs="宋体"/>
          <w:szCs w:val="21"/>
        </w:rPr>
      </w:pPr>
      <w:r>
        <w:rPr>
          <w:rFonts w:hint="eastAsia" w:ascii="宋体" w:hAnsi="宋体" w:eastAsia="宋体" w:cs="宋体"/>
          <w:szCs w:val="21"/>
        </w:rPr>
        <w:t>联系电话：</w:t>
      </w:r>
    </w:p>
    <w:p w14:paraId="44465023">
      <w:pPr>
        <w:widowControl w:val="0"/>
        <w:kinsoku/>
        <w:overflowPunct/>
        <w:bidi w:val="0"/>
        <w:spacing w:line="360" w:lineRule="auto"/>
        <w:jc w:val="both"/>
        <w:rPr>
          <w:rFonts w:hint="eastAsia" w:ascii="宋体" w:hAnsi="宋体" w:eastAsia="宋体" w:cs="宋体"/>
          <w:szCs w:val="21"/>
        </w:rPr>
      </w:pPr>
    </w:p>
    <w:p w14:paraId="577DB442">
      <w:pPr>
        <w:widowControl w:val="0"/>
        <w:kinsoku/>
        <w:overflowPunct/>
        <w:bidi w:val="0"/>
        <w:spacing w:line="360" w:lineRule="auto"/>
        <w:jc w:val="both"/>
        <w:rPr>
          <w:rFonts w:hint="eastAsia" w:ascii="宋体" w:hAnsi="宋体" w:eastAsia="宋体" w:cs="宋体"/>
          <w:szCs w:val="21"/>
        </w:rPr>
      </w:pPr>
      <w:r>
        <w:rPr>
          <w:rFonts w:hint="eastAsia" w:ascii="宋体" w:hAnsi="宋体" w:eastAsia="宋体" w:cs="宋体"/>
          <w:szCs w:val="21"/>
        </w:rPr>
        <w:t>说明：1.法定代表人为企业事业单位、国家机关、社会团体的主要行政负责人。</w:t>
      </w:r>
    </w:p>
    <w:p w14:paraId="6DD823FE">
      <w:pPr>
        <w:widowControl w:val="0"/>
        <w:kinsoku/>
        <w:overflowPunct/>
        <w:bidi w:val="0"/>
        <w:spacing w:line="360" w:lineRule="auto"/>
        <w:jc w:val="both"/>
        <w:rPr>
          <w:rFonts w:hint="eastAsia" w:ascii="宋体" w:hAnsi="宋体" w:eastAsia="宋体" w:cs="宋体"/>
          <w:szCs w:val="21"/>
        </w:rPr>
      </w:pPr>
      <w:r>
        <w:rPr>
          <w:rFonts w:hint="eastAsia" w:ascii="宋体" w:hAnsi="宋体" w:eastAsia="宋体" w:cs="宋体"/>
          <w:szCs w:val="21"/>
        </w:rPr>
        <w:t xml:space="preserve">      2.内容必须填写真实、清楚、涂改无效，不得转让、买卖。</w:t>
      </w:r>
    </w:p>
    <w:p w14:paraId="0BD3A38A">
      <w:pPr>
        <w:widowControl w:val="0"/>
        <w:kinsoku/>
        <w:overflowPunct/>
        <w:bidi w:val="0"/>
        <w:spacing w:line="360" w:lineRule="auto"/>
        <w:ind w:firstLine="630" w:firstLineChars="300"/>
        <w:jc w:val="both"/>
        <w:rPr>
          <w:rFonts w:hint="eastAsia" w:ascii="宋体" w:hAnsi="宋体" w:eastAsia="宋体" w:cs="宋体"/>
          <w:szCs w:val="21"/>
        </w:rPr>
      </w:pPr>
      <w:r>
        <w:rPr>
          <w:rFonts w:hint="eastAsia" w:ascii="宋体" w:hAnsi="宋体" w:eastAsia="宋体" w:cs="宋体"/>
          <w:szCs w:val="21"/>
        </w:rPr>
        <w:t>3.将此证明书提交对方作为合同附件</w:t>
      </w:r>
      <w:r>
        <w:rPr>
          <w:rFonts w:hint="eastAsia" w:ascii="宋体" w:hAnsi="宋体" w:eastAsia="宋体" w:cs="宋体"/>
          <w:b/>
          <w:szCs w:val="21"/>
        </w:rPr>
        <w:t>。</w:t>
      </w:r>
    </w:p>
    <w:p w14:paraId="0F042BD4">
      <w:pPr>
        <w:widowControl w:val="0"/>
        <w:kinsoku/>
        <w:overflowPunct/>
        <w:bidi w:val="0"/>
        <w:spacing w:line="360" w:lineRule="auto"/>
        <w:jc w:val="both"/>
        <w:rPr>
          <w:rFonts w:hint="eastAsia" w:ascii="宋体" w:hAnsi="宋体" w:eastAsia="宋体" w:cs="宋体"/>
          <w:szCs w:val="21"/>
        </w:rPr>
      </w:pPr>
    </w:p>
    <w:tbl>
      <w:tblPr>
        <w:tblStyle w:val="37"/>
        <w:tblW w:w="0" w:type="auto"/>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149CB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trPr>
        <w:tc>
          <w:tcPr>
            <w:tcW w:w="9854" w:type="dxa"/>
            <w:noWrap w:val="0"/>
            <w:vAlign w:val="center"/>
          </w:tcPr>
          <w:p w14:paraId="3D42052D">
            <w:pPr>
              <w:widowControl/>
              <w:kinsoku/>
              <w:overflowPunct/>
              <w:bidi w:val="0"/>
              <w:spacing w:line="360" w:lineRule="auto"/>
              <w:jc w:val="center"/>
              <w:rPr>
                <w:rFonts w:hint="eastAsia" w:ascii="宋体" w:hAnsi="宋体" w:eastAsia="宋体" w:cs="宋体"/>
                <w:szCs w:val="21"/>
                <w:u w:val="single"/>
              </w:rPr>
            </w:pPr>
            <w:r>
              <w:rPr>
                <w:rFonts w:hint="eastAsia" w:ascii="宋体" w:hAnsi="宋体" w:eastAsia="宋体" w:cs="宋体"/>
                <w:szCs w:val="21"/>
                <w:u w:val="single"/>
              </w:rPr>
              <w:t>粘贴法定代表人身份证复印件/扫描件正反面</w:t>
            </w:r>
          </w:p>
        </w:tc>
      </w:tr>
    </w:tbl>
    <w:p w14:paraId="4F52DE3B">
      <w:pPr>
        <w:widowControl w:val="0"/>
        <w:kinsoku/>
        <w:overflowPunct/>
        <w:bidi w:val="0"/>
        <w:spacing w:line="360" w:lineRule="auto"/>
        <w:jc w:val="both"/>
        <w:rPr>
          <w:rFonts w:hint="eastAsia" w:ascii="宋体" w:hAnsi="宋体" w:eastAsia="宋体" w:cs="宋体"/>
          <w:b/>
          <w:szCs w:val="21"/>
        </w:rPr>
      </w:pPr>
    </w:p>
    <w:p w14:paraId="2E6E60CB">
      <w:pPr>
        <w:widowControl w:val="0"/>
        <w:kinsoku/>
        <w:overflowPunct/>
        <w:bidi w:val="0"/>
        <w:spacing w:line="360" w:lineRule="auto"/>
        <w:jc w:val="both"/>
        <w:rPr>
          <w:rFonts w:hint="eastAsia" w:ascii="宋体" w:hAnsi="宋体" w:eastAsia="宋体" w:cs="宋体"/>
          <w:b/>
          <w:szCs w:val="21"/>
        </w:rPr>
      </w:pPr>
    </w:p>
    <w:p w14:paraId="1D499526">
      <w:pPr>
        <w:widowControl w:val="0"/>
        <w:tabs>
          <w:tab w:val="left" w:pos="654"/>
          <w:tab w:val="left" w:pos="1734"/>
          <w:tab w:val="left" w:pos="2814"/>
          <w:tab w:val="left" w:pos="3894"/>
          <w:tab w:val="left" w:pos="5334"/>
          <w:tab w:val="left" w:pos="6414"/>
          <w:tab w:val="left" w:pos="7254"/>
          <w:tab w:val="left" w:pos="8574"/>
          <w:tab w:val="left" w:pos="9654"/>
        </w:tabs>
        <w:kinsoku/>
        <w:overflowPunct/>
        <w:bidi w:val="0"/>
        <w:spacing w:line="360" w:lineRule="auto"/>
        <w:jc w:val="center"/>
        <w:rPr>
          <w:rFonts w:hint="eastAsia" w:ascii="宋体" w:hAnsi="宋体" w:eastAsia="宋体" w:cs="宋体"/>
          <w:b/>
          <w:szCs w:val="21"/>
        </w:rPr>
      </w:pPr>
      <w:r>
        <w:rPr>
          <w:rFonts w:hint="eastAsia" w:ascii="宋体" w:hAnsi="宋体" w:eastAsia="宋体" w:cs="宋体"/>
          <w:b/>
          <w:szCs w:val="21"/>
        </w:rPr>
        <w:br w:type="page"/>
      </w:r>
      <w:r>
        <w:rPr>
          <w:rFonts w:hint="eastAsia" w:ascii="宋体" w:hAnsi="宋体" w:eastAsia="宋体" w:cs="宋体"/>
          <w:b/>
          <w:szCs w:val="21"/>
        </w:rPr>
        <w:t>（2）法定代表人/负责人授权委托书</w:t>
      </w:r>
    </w:p>
    <w:p w14:paraId="0AD69403">
      <w:pPr>
        <w:widowControl w:val="0"/>
        <w:kinsoku/>
        <w:overflowPunct/>
        <w:bidi w:val="0"/>
        <w:spacing w:line="360" w:lineRule="auto"/>
        <w:jc w:val="both"/>
        <w:rPr>
          <w:rFonts w:hint="eastAsia" w:ascii="宋体" w:hAnsi="宋体" w:eastAsia="宋体" w:cs="宋体"/>
          <w:szCs w:val="21"/>
        </w:rPr>
      </w:pPr>
    </w:p>
    <w:p w14:paraId="1D84BF58">
      <w:pPr>
        <w:widowControl w:val="0"/>
        <w:kinsoku/>
        <w:overflowPunct/>
        <w:bidi w:val="0"/>
        <w:spacing w:line="360" w:lineRule="auto"/>
        <w:jc w:val="both"/>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lang w:eastAsia="zh-CN"/>
        </w:rPr>
        <w:t>新疆医科大学第一附属医院</w:t>
      </w:r>
      <w:r>
        <w:rPr>
          <w:rFonts w:hint="eastAsia" w:ascii="宋体" w:hAnsi="宋体" w:eastAsia="宋体" w:cs="宋体"/>
          <w:szCs w:val="21"/>
        </w:rPr>
        <w:t>：</w:t>
      </w:r>
    </w:p>
    <w:p w14:paraId="1EA47B54">
      <w:pPr>
        <w:widowControl w:val="0"/>
        <w:kinsoku/>
        <w:overflowPunct/>
        <w:bidi w:val="0"/>
        <w:spacing w:line="360" w:lineRule="auto"/>
        <w:jc w:val="both"/>
        <w:rPr>
          <w:rFonts w:hint="eastAsia" w:ascii="宋体" w:hAnsi="宋体" w:eastAsia="宋体" w:cs="宋体"/>
          <w:szCs w:val="21"/>
        </w:rPr>
      </w:pPr>
    </w:p>
    <w:p w14:paraId="104B0B2F">
      <w:pPr>
        <w:widowControl w:val="0"/>
        <w:kinsoku/>
        <w:overflowPunct/>
        <w:bidi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兹授权同志，为我方签订合同及办理其他事务代理人，其权限是：</w:t>
      </w:r>
      <w:r>
        <w:rPr>
          <w:rFonts w:hint="eastAsia" w:ascii="宋体" w:hAnsi="宋体" w:eastAsia="宋体" w:cs="宋体"/>
          <w:szCs w:val="21"/>
          <w:u w:val="single"/>
        </w:rPr>
        <w:t xml:space="preserve">             </w:t>
      </w:r>
      <w:r>
        <w:rPr>
          <w:rFonts w:hint="eastAsia" w:ascii="宋体" w:hAnsi="宋体" w:eastAsia="宋体" w:cs="宋体"/>
          <w:szCs w:val="21"/>
        </w:rPr>
        <w:t>。</w:t>
      </w:r>
    </w:p>
    <w:p w14:paraId="2F4B71F1">
      <w:pPr>
        <w:widowControl w:val="0"/>
        <w:kinsoku/>
        <w:overflowPunct/>
        <w:bidi w:val="0"/>
        <w:spacing w:line="360" w:lineRule="auto"/>
        <w:jc w:val="both"/>
        <w:rPr>
          <w:rFonts w:hint="eastAsia" w:ascii="宋体" w:hAnsi="宋体" w:eastAsia="宋体" w:cs="宋体"/>
          <w:szCs w:val="21"/>
        </w:rPr>
      </w:pPr>
      <w:r>
        <w:rPr>
          <w:rFonts w:hint="eastAsia" w:ascii="宋体" w:hAnsi="宋体" w:eastAsia="宋体" w:cs="宋体"/>
          <w:szCs w:val="21"/>
        </w:rPr>
        <w:t>授权单位：          （盖章）     法定代表人              （签名或盖私章）</w:t>
      </w:r>
    </w:p>
    <w:p w14:paraId="4171F5A8">
      <w:pPr>
        <w:widowControl w:val="0"/>
        <w:kinsoku/>
        <w:overflowPunct/>
        <w:bidi w:val="0"/>
        <w:spacing w:line="360" w:lineRule="auto"/>
        <w:jc w:val="both"/>
        <w:rPr>
          <w:rFonts w:hint="eastAsia" w:ascii="宋体" w:hAnsi="宋体" w:eastAsia="宋体" w:cs="宋体"/>
          <w:szCs w:val="21"/>
        </w:rPr>
      </w:pPr>
      <w:r>
        <w:rPr>
          <w:rFonts w:hint="eastAsia" w:ascii="宋体" w:hAnsi="宋体" w:eastAsia="宋体" w:cs="宋体"/>
          <w:szCs w:val="21"/>
        </w:rPr>
        <w:t>有效期限：至        年       月      日       签发日期：</w:t>
      </w:r>
    </w:p>
    <w:p w14:paraId="326F8E2F">
      <w:pPr>
        <w:widowControl w:val="0"/>
        <w:kinsoku/>
        <w:overflowPunct/>
        <w:bidi w:val="0"/>
        <w:spacing w:line="360" w:lineRule="auto"/>
        <w:jc w:val="both"/>
        <w:rPr>
          <w:rFonts w:hint="eastAsia" w:ascii="宋体" w:hAnsi="宋体" w:eastAsia="宋体" w:cs="宋体"/>
          <w:szCs w:val="21"/>
        </w:rPr>
      </w:pPr>
      <w:r>
        <w:rPr>
          <w:rFonts w:hint="eastAsia" w:ascii="宋体" w:hAnsi="宋体" w:eastAsia="宋体" w:cs="宋体"/>
          <w:szCs w:val="21"/>
        </w:rPr>
        <w:t>附：代理人性别：        年龄：       职务：         身份证号码：</w:t>
      </w:r>
    </w:p>
    <w:p w14:paraId="70E98415">
      <w:pPr>
        <w:widowControl w:val="0"/>
        <w:kinsoku/>
        <w:overflowPunct/>
        <w:bidi w:val="0"/>
        <w:spacing w:line="360" w:lineRule="auto"/>
        <w:jc w:val="both"/>
        <w:rPr>
          <w:rFonts w:hint="eastAsia" w:ascii="宋体" w:hAnsi="宋体" w:eastAsia="宋体" w:cs="宋体"/>
          <w:szCs w:val="21"/>
        </w:rPr>
      </w:pPr>
      <w:r>
        <w:rPr>
          <w:rFonts w:hint="eastAsia" w:ascii="宋体" w:hAnsi="宋体" w:eastAsia="宋体" w:cs="宋体"/>
          <w:szCs w:val="21"/>
        </w:rPr>
        <w:t xml:space="preserve">  联系电话：</w:t>
      </w:r>
    </w:p>
    <w:p w14:paraId="6618AD8E">
      <w:pPr>
        <w:widowControl w:val="0"/>
        <w:kinsoku/>
        <w:overflowPunct/>
        <w:bidi w:val="0"/>
        <w:spacing w:line="360" w:lineRule="auto"/>
        <w:ind w:left="1"/>
        <w:jc w:val="both"/>
        <w:rPr>
          <w:rFonts w:hint="eastAsia" w:ascii="宋体" w:hAnsi="宋体" w:eastAsia="宋体" w:cs="宋体"/>
          <w:szCs w:val="21"/>
        </w:rPr>
      </w:pPr>
    </w:p>
    <w:p w14:paraId="31B10802">
      <w:pPr>
        <w:widowControl w:val="0"/>
        <w:kinsoku/>
        <w:overflowPunct/>
        <w:bidi w:val="0"/>
        <w:spacing w:line="360" w:lineRule="auto"/>
        <w:ind w:left="1"/>
        <w:jc w:val="both"/>
        <w:rPr>
          <w:rFonts w:hint="eastAsia" w:ascii="宋体" w:hAnsi="宋体" w:eastAsia="宋体" w:cs="宋体"/>
          <w:szCs w:val="21"/>
        </w:rPr>
      </w:pPr>
      <w:r>
        <w:rPr>
          <w:rFonts w:hint="eastAsia" w:ascii="宋体" w:hAnsi="宋体" w:eastAsia="宋体" w:cs="宋体"/>
          <w:szCs w:val="21"/>
        </w:rPr>
        <w:t>说明：</w:t>
      </w:r>
    </w:p>
    <w:p w14:paraId="3438A6F3">
      <w:pPr>
        <w:widowControl w:val="0"/>
        <w:kinsoku/>
        <w:overflowPunct/>
        <w:bidi w:val="0"/>
        <w:spacing w:line="360" w:lineRule="auto"/>
        <w:ind w:left="1" w:firstLine="470" w:firstLineChars="224"/>
        <w:jc w:val="both"/>
        <w:rPr>
          <w:rFonts w:hint="eastAsia" w:ascii="宋体" w:hAnsi="宋体" w:eastAsia="宋体" w:cs="宋体"/>
          <w:szCs w:val="21"/>
        </w:rPr>
      </w:pPr>
      <w:r>
        <w:rPr>
          <w:rFonts w:hint="eastAsia" w:ascii="宋体" w:hAnsi="宋体" w:eastAsia="宋体" w:cs="宋体"/>
          <w:szCs w:val="21"/>
        </w:rPr>
        <w:t>1.法定代表人为企业事业单位、国家机关、社会团体的主要行政负责人。</w:t>
      </w:r>
    </w:p>
    <w:p w14:paraId="3BE032F1">
      <w:pPr>
        <w:widowControl w:val="0"/>
        <w:kinsoku/>
        <w:overflowPunct/>
        <w:bidi w:val="0"/>
        <w:spacing w:line="360" w:lineRule="auto"/>
        <w:ind w:firstLine="470" w:firstLineChars="224"/>
        <w:jc w:val="both"/>
        <w:rPr>
          <w:rFonts w:hint="eastAsia" w:ascii="宋体" w:hAnsi="宋体" w:eastAsia="宋体" w:cs="宋体"/>
          <w:szCs w:val="21"/>
        </w:rPr>
      </w:pPr>
      <w:r>
        <w:rPr>
          <w:rFonts w:hint="eastAsia" w:ascii="宋体" w:hAnsi="宋体" w:eastAsia="宋体" w:cs="宋体"/>
          <w:szCs w:val="21"/>
        </w:rPr>
        <w:t>2.内容必须填写真实、清楚、涂改无效，不得转让、买卖。</w:t>
      </w:r>
    </w:p>
    <w:p w14:paraId="39CCCCF6">
      <w:pPr>
        <w:widowControl w:val="0"/>
        <w:kinsoku/>
        <w:overflowPunct/>
        <w:bidi w:val="0"/>
        <w:spacing w:line="360" w:lineRule="auto"/>
        <w:ind w:firstLine="470" w:firstLineChars="224"/>
        <w:jc w:val="both"/>
        <w:rPr>
          <w:rFonts w:hint="eastAsia" w:ascii="宋体" w:hAnsi="宋体" w:eastAsia="宋体" w:cs="宋体"/>
          <w:b/>
          <w:szCs w:val="21"/>
        </w:rPr>
      </w:pPr>
      <w:r>
        <w:rPr>
          <w:rFonts w:hint="eastAsia" w:ascii="宋体" w:hAnsi="宋体" w:eastAsia="宋体" w:cs="宋体"/>
          <w:szCs w:val="21"/>
        </w:rPr>
        <w:t>3.将此证明书提交对方作为合同附件</w:t>
      </w:r>
      <w:r>
        <w:rPr>
          <w:rFonts w:hint="eastAsia" w:ascii="宋体" w:hAnsi="宋体" w:eastAsia="宋体" w:cs="宋体"/>
          <w:b/>
          <w:szCs w:val="21"/>
        </w:rPr>
        <w:t>。</w:t>
      </w:r>
    </w:p>
    <w:p w14:paraId="525BE95C">
      <w:pPr>
        <w:widowControl w:val="0"/>
        <w:kinsoku/>
        <w:overflowPunct/>
        <w:bidi w:val="0"/>
        <w:spacing w:line="360" w:lineRule="auto"/>
        <w:ind w:firstLine="470" w:firstLineChars="224"/>
        <w:jc w:val="both"/>
        <w:rPr>
          <w:rFonts w:hint="eastAsia" w:ascii="宋体" w:hAnsi="宋体" w:eastAsia="宋体" w:cs="宋体"/>
          <w:szCs w:val="21"/>
        </w:rPr>
      </w:pPr>
      <w:r>
        <w:rPr>
          <w:rFonts w:hint="eastAsia" w:ascii="宋体" w:hAnsi="宋体" w:eastAsia="宋体" w:cs="宋体"/>
          <w:szCs w:val="21"/>
        </w:rPr>
        <w:t>4.授权权限：全权代表本公司参与上述采购项目的投标响应，负责提供与签署确认一切文书资料，以及向贵方递交的任何补充承诺。</w:t>
      </w:r>
    </w:p>
    <w:p w14:paraId="08434B0B">
      <w:pPr>
        <w:widowControl w:val="0"/>
        <w:kinsoku/>
        <w:overflowPunct/>
        <w:bidi w:val="0"/>
        <w:spacing w:line="360" w:lineRule="auto"/>
        <w:ind w:firstLine="470" w:firstLineChars="224"/>
        <w:jc w:val="both"/>
        <w:rPr>
          <w:rFonts w:hint="eastAsia" w:ascii="宋体" w:hAnsi="宋体" w:eastAsia="宋体" w:cs="宋体"/>
          <w:szCs w:val="21"/>
        </w:rPr>
      </w:pPr>
      <w:r>
        <w:rPr>
          <w:rFonts w:hint="eastAsia" w:ascii="宋体" w:hAnsi="宋体" w:eastAsia="宋体" w:cs="宋体"/>
          <w:szCs w:val="21"/>
        </w:rPr>
        <w:t>5.有效期限：与本公司投标文件中标注的投标有效期相同，自本单位盖公章之日起生效。</w:t>
      </w:r>
    </w:p>
    <w:p w14:paraId="7664CD5E">
      <w:pPr>
        <w:widowControl w:val="0"/>
        <w:kinsoku/>
        <w:overflowPunct/>
        <w:bidi w:val="0"/>
        <w:spacing w:line="360" w:lineRule="auto"/>
        <w:ind w:left="1" w:firstLine="470" w:firstLineChars="224"/>
        <w:jc w:val="both"/>
        <w:rPr>
          <w:rFonts w:hint="eastAsia" w:ascii="宋体" w:hAnsi="宋体" w:eastAsia="宋体" w:cs="宋体"/>
          <w:szCs w:val="21"/>
        </w:rPr>
      </w:pPr>
      <w:r>
        <w:rPr>
          <w:rFonts w:hint="eastAsia" w:ascii="宋体" w:hAnsi="宋体" w:eastAsia="宋体" w:cs="宋体"/>
          <w:szCs w:val="21"/>
        </w:rPr>
        <w:t>6.投标签字代表为法定代表人，则本表不适用。</w:t>
      </w:r>
    </w:p>
    <w:p w14:paraId="70B7B5D5">
      <w:pPr>
        <w:widowControl w:val="0"/>
        <w:kinsoku/>
        <w:overflowPunct/>
        <w:bidi w:val="0"/>
        <w:spacing w:line="360" w:lineRule="auto"/>
        <w:ind w:left="1" w:firstLine="470" w:firstLineChars="224"/>
        <w:jc w:val="both"/>
        <w:rPr>
          <w:rFonts w:hint="eastAsia" w:ascii="宋体" w:hAnsi="宋体" w:eastAsia="宋体" w:cs="宋体"/>
          <w:szCs w:val="21"/>
        </w:rPr>
      </w:pPr>
    </w:p>
    <w:tbl>
      <w:tblPr>
        <w:tblStyle w:val="37"/>
        <w:tblW w:w="0" w:type="auto"/>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29019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trPr>
        <w:tc>
          <w:tcPr>
            <w:tcW w:w="9854" w:type="dxa"/>
            <w:noWrap w:val="0"/>
            <w:vAlign w:val="center"/>
          </w:tcPr>
          <w:p w14:paraId="003C717D">
            <w:pPr>
              <w:widowControl/>
              <w:kinsoku/>
              <w:overflowPunct/>
              <w:bidi w:val="0"/>
              <w:spacing w:line="360" w:lineRule="auto"/>
              <w:jc w:val="center"/>
              <w:rPr>
                <w:rFonts w:hint="eastAsia" w:ascii="宋体" w:hAnsi="宋体" w:eastAsia="宋体" w:cs="宋体"/>
                <w:szCs w:val="21"/>
                <w:u w:val="single"/>
              </w:rPr>
            </w:pPr>
            <w:r>
              <w:rPr>
                <w:rFonts w:hint="eastAsia" w:ascii="宋体" w:hAnsi="宋体" w:eastAsia="宋体" w:cs="宋体"/>
                <w:szCs w:val="21"/>
                <w:u w:val="single"/>
              </w:rPr>
              <w:t>粘贴代理人身份证复印件/扫描件正反面</w:t>
            </w:r>
          </w:p>
        </w:tc>
      </w:tr>
    </w:tbl>
    <w:p w14:paraId="2E4346DA">
      <w:pPr>
        <w:widowControl w:val="0"/>
        <w:kinsoku/>
        <w:overflowPunct/>
        <w:bidi w:val="0"/>
        <w:spacing w:line="360" w:lineRule="auto"/>
        <w:jc w:val="both"/>
        <w:rPr>
          <w:rFonts w:hint="eastAsia" w:ascii="宋体" w:hAnsi="宋体" w:eastAsia="宋体" w:cs="宋体"/>
          <w:b/>
          <w:szCs w:val="21"/>
        </w:rPr>
      </w:pPr>
      <w:r>
        <w:rPr>
          <w:rFonts w:hint="eastAsia" w:ascii="宋体" w:hAnsi="宋体" w:eastAsia="宋体" w:cs="宋体"/>
          <w:b/>
          <w:szCs w:val="21"/>
        </w:rPr>
        <w:br w:type="page"/>
      </w:r>
      <w:r>
        <w:rPr>
          <w:rFonts w:hint="eastAsia" w:ascii="宋体" w:hAnsi="宋体" w:eastAsia="宋体" w:cs="宋体"/>
          <w:b/>
          <w:szCs w:val="21"/>
        </w:rPr>
        <w:t>3.</w:t>
      </w:r>
      <w:r>
        <w:rPr>
          <w:rFonts w:hint="eastAsia" w:ascii="宋体" w:hAnsi="宋体" w:eastAsia="宋体" w:cs="宋体"/>
          <w:b/>
          <w:szCs w:val="21"/>
          <w:lang w:val="en-US" w:eastAsia="zh-CN"/>
        </w:rPr>
        <w:t>2</w:t>
      </w:r>
      <w:r>
        <w:rPr>
          <w:rFonts w:hint="eastAsia" w:ascii="宋体" w:hAnsi="宋体" w:eastAsia="宋体" w:cs="宋体"/>
          <w:b/>
          <w:szCs w:val="21"/>
        </w:rPr>
        <w:t>投标保证金缴纳凭证</w:t>
      </w:r>
    </w:p>
    <w:p w14:paraId="1A22CBCC">
      <w:pPr>
        <w:widowControl w:val="0"/>
        <w:kinsoku/>
        <w:overflowPunct/>
        <w:bidi w:val="0"/>
        <w:spacing w:line="360" w:lineRule="auto"/>
        <w:jc w:val="both"/>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lang w:eastAsia="zh-CN"/>
        </w:rPr>
        <w:t>新疆医科大学第一附属医院</w:t>
      </w:r>
      <w:r>
        <w:rPr>
          <w:rFonts w:hint="eastAsia" w:ascii="宋体" w:hAnsi="宋体" w:eastAsia="宋体" w:cs="宋体"/>
          <w:szCs w:val="21"/>
          <w:u w:val="single"/>
        </w:rPr>
        <w:t>：</w:t>
      </w:r>
    </w:p>
    <w:p w14:paraId="7F11E705">
      <w:pPr>
        <w:widowControl w:val="0"/>
        <w:kinsoku/>
        <w:overflowPunct/>
        <w:bidi w:val="0"/>
        <w:spacing w:line="360" w:lineRule="auto"/>
        <w:jc w:val="both"/>
        <w:rPr>
          <w:rFonts w:hint="eastAsia" w:ascii="宋体" w:hAnsi="宋体" w:eastAsia="宋体" w:cs="宋体"/>
          <w:szCs w:val="21"/>
        </w:rPr>
      </w:pPr>
      <w:r>
        <w:rPr>
          <w:rFonts w:hint="eastAsia" w:ascii="宋体" w:hAnsi="宋体" w:eastAsia="宋体" w:cs="宋体"/>
          <w:szCs w:val="21"/>
          <w:u w:val="single"/>
        </w:rPr>
        <w:t xml:space="preserve">（供应商全称) </w:t>
      </w:r>
      <w:r>
        <w:rPr>
          <w:rFonts w:hint="eastAsia" w:ascii="宋体" w:hAnsi="宋体" w:eastAsia="宋体" w:cs="宋体"/>
          <w:szCs w:val="21"/>
        </w:rPr>
        <w:t>参加贵方组织的、项目编号为</w:t>
      </w:r>
      <w:r>
        <w:rPr>
          <w:rFonts w:hint="eastAsia" w:ascii="宋体" w:hAnsi="宋体" w:eastAsia="宋体" w:cs="宋体"/>
          <w:szCs w:val="21"/>
          <w:u w:val="single"/>
        </w:rPr>
        <w:t xml:space="preserve">0724-  XXXX，包号：   </w:t>
      </w:r>
      <w:r>
        <w:rPr>
          <w:rFonts w:hint="eastAsia" w:ascii="宋体" w:hAnsi="宋体" w:eastAsia="宋体" w:cs="宋体"/>
          <w:szCs w:val="21"/>
        </w:rPr>
        <w:t>的采购活动。按</w:t>
      </w:r>
      <w:r>
        <w:rPr>
          <w:rFonts w:hint="eastAsia" w:ascii="宋体" w:hAnsi="宋体" w:eastAsia="宋体" w:cs="宋体"/>
          <w:szCs w:val="21"/>
          <w:lang w:val="en-US" w:eastAsia="zh-CN"/>
        </w:rPr>
        <w:t>磋商</w:t>
      </w:r>
      <w:r>
        <w:rPr>
          <w:rFonts w:hint="eastAsia" w:ascii="宋体" w:hAnsi="宋体" w:eastAsia="宋体" w:cs="宋体"/>
          <w:szCs w:val="21"/>
        </w:rPr>
        <w:t>文件的规定，已通过银行转帐/银行汇款形式缴纳人民币</w:t>
      </w:r>
      <w:r>
        <w:rPr>
          <w:rFonts w:hint="eastAsia" w:ascii="宋体" w:hAnsi="宋体" w:eastAsia="宋体" w:cs="宋体"/>
          <w:szCs w:val="21"/>
          <w:u w:val="single"/>
        </w:rPr>
        <w:t xml:space="preserve">（大写）  　　  </w:t>
      </w:r>
      <w:r>
        <w:rPr>
          <w:rFonts w:hint="eastAsia" w:ascii="宋体" w:hAnsi="宋体" w:eastAsia="宋体" w:cs="宋体"/>
          <w:szCs w:val="21"/>
        </w:rPr>
        <w:t>元的投标保证金。</w:t>
      </w:r>
    </w:p>
    <w:p w14:paraId="46907A6F">
      <w:pPr>
        <w:widowControl w:val="0"/>
        <w:kinsoku/>
        <w:overflowPunct/>
        <w:bidi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供应商名称：</w:t>
      </w:r>
    </w:p>
    <w:p w14:paraId="17CE700B">
      <w:pPr>
        <w:widowControl w:val="0"/>
        <w:kinsoku/>
        <w:overflowPunct/>
        <w:bidi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供应商开户银行：</w:t>
      </w:r>
    </w:p>
    <w:p w14:paraId="2E86AB85">
      <w:pPr>
        <w:widowControl w:val="0"/>
        <w:kinsoku/>
        <w:overflowPunct/>
        <w:bidi w:val="0"/>
        <w:spacing w:line="360" w:lineRule="auto"/>
        <w:ind w:firstLine="420" w:firstLineChars="200"/>
        <w:jc w:val="both"/>
        <w:rPr>
          <w:rFonts w:hint="eastAsia" w:ascii="宋体" w:hAnsi="宋体" w:eastAsia="宋体" w:cs="宋体"/>
          <w:szCs w:val="21"/>
          <w:u w:val="single"/>
        </w:rPr>
      </w:pPr>
      <w:r>
        <w:rPr>
          <w:rFonts w:hint="eastAsia" w:ascii="宋体" w:hAnsi="宋体" w:eastAsia="宋体" w:cs="宋体"/>
          <w:szCs w:val="21"/>
        </w:rPr>
        <w:t>供应商银行账号：</w:t>
      </w:r>
    </w:p>
    <w:p w14:paraId="1D02B9FA">
      <w:pPr>
        <w:widowControl w:val="0"/>
        <w:kinsoku/>
        <w:overflowPunct/>
        <w:bidi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说明：</w:t>
      </w:r>
    </w:p>
    <w:p w14:paraId="3EC0399C">
      <w:pPr>
        <w:widowControl w:val="0"/>
        <w:kinsoku/>
        <w:overflowPunct/>
        <w:bidi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1.上述要素供银行转账及银行汇款方式填写，其他形式可不填。</w:t>
      </w:r>
    </w:p>
    <w:p w14:paraId="0828D839">
      <w:pPr>
        <w:widowControl w:val="0"/>
        <w:kinsoku/>
        <w:overflowPunct/>
        <w:autoSpaceDE w:val="0"/>
        <w:autoSpaceDN w:val="0"/>
        <w:bidi w:val="0"/>
        <w:spacing w:line="360" w:lineRule="auto"/>
        <w:ind w:left="478" w:leftChars="228"/>
        <w:jc w:val="both"/>
        <w:rPr>
          <w:rFonts w:hint="eastAsia" w:ascii="宋体" w:hAnsi="宋体" w:eastAsia="宋体" w:cs="宋体"/>
          <w:szCs w:val="21"/>
        </w:rPr>
      </w:pPr>
      <w:r>
        <w:rPr>
          <w:rFonts w:hint="eastAsia" w:ascii="宋体" w:hAnsi="宋体" w:eastAsia="宋体" w:cs="宋体"/>
          <w:szCs w:val="21"/>
        </w:rPr>
        <w:t>2.上述要素的填写必须与银行转账或银行汇款凭证的要素一致，</w:t>
      </w:r>
      <w:r>
        <w:rPr>
          <w:rFonts w:hint="eastAsia" w:ascii="宋体" w:hAnsi="宋体" w:eastAsia="宋体" w:cs="宋体"/>
          <w:szCs w:val="21"/>
          <w:u w:val="single"/>
        </w:rPr>
        <w:t>（采购代理机构）</w:t>
      </w:r>
      <w:r>
        <w:rPr>
          <w:rFonts w:hint="eastAsia" w:ascii="宋体" w:hAnsi="宋体" w:eastAsia="宋体" w:cs="宋体"/>
          <w:szCs w:val="21"/>
        </w:rPr>
        <w:t>依据此凭证信息退还投标保证金。</w:t>
      </w:r>
    </w:p>
    <w:p w14:paraId="59E7B570">
      <w:pPr>
        <w:widowControl w:val="0"/>
        <w:kinsoku/>
        <w:overflowPunct/>
        <w:autoSpaceDE w:val="0"/>
        <w:autoSpaceDN w:val="0"/>
        <w:bidi w:val="0"/>
        <w:spacing w:line="360" w:lineRule="auto"/>
        <w:ind w:left="478" w:leftChars="228"/>
        <w:jc w:val="both"/>
        <w:rPr>
          <w:rFonts w:hint="eastAsia" w:ascii="宋体" w:hAnsi="宋体" w:eastAsia="宋体" w:cs="宋体"/>
          <w:szCs w:val="21"/>
        </w:rPr>
      </w:pPr>
      <w:r>
        <w:rPr>
          <w:rFonts w:hint="eastAsia" w:ascii="宋体" w:hAnsi="宋体" w:eastAsia="宋体" w:cs="宋体"/>
          <w:szCs w:val="21"/>
        </w:rPr>
        <w:t>3.退还保证金时请按以上内容划入我方账户。若因内容不全、错误、字迹潦草模糊导致该项目保证金未能及时退还或退还过程中发生错误，我方将承担全部责任和损失。</w:t>
      </w:r>
    </w:p>
    <w:p w14:paraId="29849E36">
      <w:pPr>
        <w:widowControl w:val="0"/>
        <w:kinsoku/>
        <w:overflowPunct/>
        <w:bidi w:val="0"/>
        <w:adjustRightInd w:val="0"/>
        <w:snapToGrid w:val="0"/>
        <w:spacing w:line="360" w:lineRule="auto"/>
        <w:jc w:val="both"/>
        <w:rPr>
          <w:rFonts w:hint="eastAsia" w:ascii="宋体" w:hAnsi="宋体" w:eastAsia="宋体" w:cs="宋体"/>
          <w:szCs w:val="21"/>
        </w:rPr>
      </w:pPr>
    </w:p>
    <w:p w14:paraId="48FABA1E">
      <w:pPr>
        <w:widowControl w:val="0"/>
        <w:kinsoku/>
        <w:overflowPunct/>
        <w:bidi w:val="0"/>
        <w:adjustRightInd w:val="0"/>
        <w:snapToGrid w:val="0"/>
        <w:spacing w:line="360" w:lineRule="auto"/>
        <w:jc w:val="both"/>
        <w:rPr>
          <w:rFonts w:hint="eastAsia" w:ascii="宋体" w:hAnsi="宋体" w:eastAsia="宋体" w:cs="宋体"/>
          <w:szCs w:val="21"/>
          <w:u w:val="single"/>
        </w:rPr>
      </w:pPr>
      <w:r>
        <w:rPr>
          <w:rFonts w:hint="eastAsia" w:ascii="宋体" w:hAnsi="宋体" w:eastAsia="宋体" w:cs="宋体"/>
          <w:szCs w:val="21"/>
        </w:rPr>
        <w:t>供应商法定代表人（或法定代表人授权代表）签字（或签章）：</w:t>
      </w:r>
    </w:p>
    <w:p w14:paraId="1F774E54">
      <w:pPr>
        <w:widowControl w:val="0"/>
        <w:kinsoku/>
        <w:overflowPunct/>
        <w:bidi w:val="0"/>
        <w:adjustRightInd w:val="0"/>
        <w:snapToGrid w:val="0"/>
        <w:spacing w:line="360" w:lineRule="auto"/>
        <w:jc w:val="both"/>
        <w:rPr>
          <w:rFonts w:hint="eastAsia" w:ascii="宋体" w:hAnsi="宋体" w:eastAsia="宋体" w:cs="宋体"/>
          <w:szCs w:val="21"/>
          <w:u w:val="single"/>
        </w:rPr>
      </w:pPr>
      <w:r>
        <w:rPr>
          <w:rFonts w:hint="eastAsia" w:ascii="宋体" w:hAnsi="宋体" w:eastAsia="宋体" w:cs="宋体"/>
          <w:szCs w:val="21"/>
        </w:rPr>
        <w:t>供应商名称（加盖公章）：</w:t>
      </w:r>
    </w:p>
    <w:p w14:paraId="4EF47192">
      <w:pPr>
        <w:widowControl w:val="0"/>
        <w:kinsoku/>
        <w:overflowPunct/>
        <w:bidi w:val="0"/>
        <w:adjustRightInd w:val="0"/>
        <w:snapToGrid w:val="0"/>
        <w:spacing w:line="360" w:lineRule="auto"/>
        <w:jc w:val="both"/>
        <w:rPr>
          <w:rFonts w:hint="eastAsia" w:ascii="宋体" w:hAnsi="宋体" w:eastAsia="宋体" w:cs="宋体"/>
          <w:szCs w:val="21"/>
          <w:u w:val="single"/>
        </w:rPr>
      </w:pPr>
      <w:r>
        <w:rPr>
          <w:rFonts w:hint="eastAsia" w:ascii="宋体" w:hAnsi="宋体" w:eastAsia="宋体" w:cs="宋体"/>
          <w:szCs w:val="21"/>
        </w:rPr>
        <w:t>日期：   年   月   日</w:t>
      </w:r>
    </w:p>
    <w:p w14:paraId="1EE82C19">
      <w:pPr>
        <w:widowControl w:val="0"/>
        <w:kinsoku/>
        <w:overflowPunct/>
        <w:bidi w:val="0"/>
        <w:spacing w:line="360" w:lineRule="auto"/>
        <w:jc w:val="both"/>
        <w:rPr>
          <w:rFonts w:hint="eastAsia" w:ascii="宋体" w:hAnsi="宋体" w:eastAsia="宋体" w:cs="宋体"/>
          <w:szCs w:val="21"/>
        </w:rPr>
      </w:pPr>
    </w:p>
    <w:p w14:paraId="66F2F0BD">
      <w:pPr>
        <w:widowControl w:val="0"/>
        <w:kinsoku/>
        <w:overflowPunct/>
        <w:bidi w:val="0"/>
        <w:spacing w:line="360" w:lineRule="auto"/>
        <w:jc w:val="both"/>
        <w:rPr>
          <w:rFonts w:hint="eastAsia" w:ascii="宋体" w:hAnsi="宋体" w:eastAsia="宋体" w:cs="宋体"/>
          <w:szCs w:val="21"/>
        </w:rPr>
      </w:pPr>
      <w:r>
        <w:rPr>
          <w:rFonts w:hint="eastAsia" w:ascii="宋体" w:hAnsi="宋体" w:eastAsia="宋体" w:cs="宋体"/>
          <w:szCs w:val="21"/>
        </w:rPr>
        <w:t xml:space="preserve">附： </w:t>
      </w:r>
    </w:p>
    <w:tbl>
      <w:tblPr>
        <w:tblStyle w:val="37"/>
        <w:tblW w:w="0" w:type="auto"/>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4E4FF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trPr>
        <w:tc>
          <w:tcPr>
            <w:tcW w:w="9854" w:type="dxa"/>
            <w:noWrap w:val="0"/>
            <w:vAlign w:val="center"/>
          </w:tcPr>
          <w:p w14:paraId="3840AEE8">
            <w:pPr>
              <w:widowControl/>
              <w:kinsoku/>
              <w:overflowPunct/>
              <w:bidi w:val="0"/>
              <w:spacing w:line="360" w:lineRule="auto"/>
              <w:jc w:val="center"/>
              <w:rPr>
                <w:rFonts w:hint="eastAsia" w:ascii="宋体" w:hAnsi="宋体" w:eastAsia="宋体" w:cs="宋体"/>
                <w:szCs w:val="21"/>
              </w:rPr>
            </w:pPr>
            <w:r>
              <w:rPr>
                <w:rFonts w:hint="eastAsia" w:ascii="宋体" w:hAnsi="宋体" w:eastAsia="宋体" w:cs="宋体"/>
                <w:szCs w:val="21"/>
              </w:rPr>
              <w:t>（粘贴转帐或汇款的银行凭证复印件/扫描件）</w:t>
            </w:r>
          </w:p>
        </w:tc>
      </w:tr>
    </w:tbl>
    <w:p w14:paraId="7C84235C">
      <w:pPr>
        <w:widowControl w:val="0"/>
        <w:kinsoku/>
        <w:overflowPunct/>
        <w:bidi w:val="0"/>
        <w:spacing w:line="360" w:lineRule="auto"/>
        <w:jc w:val="both"/>
        <w:rPr>
          <w:rFonts w:hint="eastAsia" w:ascii="宋体" w:hAnsi="宋体" w:eastAsia="宋体" w:cs="宋体"/>
          <w:b/>
          <w:szCs w:val="21"/>
        </w:rPr>
      </w:pPr>
      <w:r>
        <w:rPr>
          <w:rFonts w:hint="eastAsia" w:ascii="宋体" w:hAnsi="宋体" w:eastAsia="宋体" w:cs="宋体"/>
          <w:b/>
          <w:szCs w:val="21"/>
        </w:rPr>
        <w:t>注：1.</w:t>
      </w:r>
      <w:r>
        <w:rPr>
          <w:rFonts w:hint="eastAsia" w:ascii="宋体" w:hAnsi="宋体" w:eastAsia="宋体" w:cs="宋体"/>
          <w:b/>
          <w:szCs w:val="21"/>
          <w:lang w:eastAsia="zh-CN"/>
        </w:rPr>
        <w:t>供应商</w:t>
      </w:r>
      <w:r>
        <w:rPr>
          <w:rFonts w:hint="eastAsia" w:ascii="宋体" w:hAnsi="宋体" w:eastAsia="宋体" w:cs="宋体"/>
          <w:b/>
          <w:szCs w:val="21"/>
        </w:rPr>
        <w:t>投标时，应当按招标文件要求缴纳投标保证金。投标保证金缴纳形式详见</w:t>
      </w:r>
      <w:r>
        <w:rPr>
          <w:rFonts w:hint="eastAsia" w:ascii="宋体" w:hAnsi="宋体" w:eastAsia="宋体" w:cs="宋体"/>
          <w:b/>
          <w:szCs w:val="21"/>
          <w:lang w:eastAsia="zh-CN"/>
        </w:rPr>
        <w:t>供应商</w:t>
      </w:r>
      <w:r>
        <w:rPr>
          <w:rFonts w:hint="eastAsia" w:ascii="宋体" w:hAnsi="宋体" w:eastAsia="宋体" w:cs="宋体"/>
          <w:b/>
          <w:szCs w:val="21"/>
        </w:rPr>
        <w:t>须知前附表。</w:t>
      </w:r>
      <w:r>
        <w:rPr>
          <w:rFonts w:hint="eastAsia" w:ascii="宋体" w:hAnsi="宋体" w:eastAsia="宋体" w:cs="宋体"/>
          <w:b/>
          <w:szCs w:val="21"/>
          <w:lang w:eastAsia="zh-CN"/>
        </w:rPr>
        <w:t>供应商</w:t>
      </w:r>
      <w:r>
        <w:rPr>
          <w:rFonts w:hint="eastAsia" w:ascii="宋体" w:hAnsi="宋体" w:eastAsia="宋体" w:cs="宋体"/>
          <w:b/>
          <w:szCs w:val="21"/>
        </w:rPr>
        <w:t>应详细填写本文件，并按要求粘贴凭证复印件/扫描件，以便项目结束后办理投标保证金的退回手续。</w:t>
      </w:r>
    </w:p>
    <w:p w14:paraId="1E4CAC44">
      <w:pPr>
        <w:widowControl w:val="0"/>
        <w:kinsoku/>
        <w:overflowPunct/>
        <w:bidi w:val="0"/>
        <w:spacing w:line="360" w:lineRule="auto"/>
        <w:jc w:val="both"/>
        <w:rPr>
          <w:rFonts w:hint="eastAsia" w:ascii="宋体" w:hAnsi="宋体" w:eastAsia="宋体" w:cs="宋体"/>
          <w:b/>
          <w:szCs w:val="21"/>
        </w:rPr>
      </w:pPr>
      <w:r>
        <w:rPr>
          <w:rFonts w:hint="eastAsia" w:ascii="宋体" w:hAnsi="宋体" w:eastAsia="宋体" w:cs="宋体"/>
          <w:b/>
          <w:szCs w:val="21"/>
        </w:rPr>
        <w:t>2.招标人在中标通知书发出后五个工作日内无息退还未中标人的投标保证金；在采购合同签订后五个工作日内无息退还中标人的投标保证金。</w:t>
      </w:r>
    </w:p>
    <w:p w14:paraId="47553F99">
      <w:pPr>
        <w:widowControl w:val="0"/>
        <w:kinsoku/>
        <w:overflowPunct/>
        <w:bidi w:val="0"/>
        <w:spacing w:line="360" w:lineRule="auto"/>
        <w:jc w:val="both"/>
        <w:rPr>
          <w:rFonts w:hint="eastAsia" w:ascii="宋体" w:hAnsi="宋体" w:eastAsia="宋体" w:cs="宋体"/>
          <w:b/>
          <w:szCs w:val="21"/>
        </w:rPr>
      </w:pPr>
      <w:r>
        <w:rPr>
          <w:rFonts w:hint="eastAsia" w:ascii="宋体" w:hAnsi="宋体" w:eastAsia="宋体" w:cs="宋体"/>
          <w:b/>
          <w:szCs w:val="21"/>
        </w:rPr>
        <w:t>3.银行汇款单据备注栏应填写：“</w:t>
      </w:r>
      <w:r>
        <w:rPr>
          <w:rFonts w:hint="eastAsia" w:ascii="宋体" w:hAnsi="宋体" w:eastAsia="宋体" w:cs="宋体"/>
          <w:b/>
          <w:szCs w:val="21"/>
          <w:lang w:eastAsia="zh-CN"/>
        </w:rPr>
        <w:t>供应商</w:t>
      </w:r>
      <w:r>
        <w:rPr>
          <w:rFonts w:hint="eastAsia" w:ascii="宋体" w:hAnsi="宋体" w:eastAsia="宋体" w:cs="宋体"/>
          <w:b/>
          <w:szCs w:val="21"/>
        </w:rPr>
        <w:t>公司名称+项目编号后6位数+保证金”字样，如：“××××公司+123456+保证金”</w:t>
      </w:r>
    </w:p>
    <w:p w14:paraId="6A25620E">
      <w:pPr>
        <w:widowControl w:val="0"/>
        <w:kinsoku/>
        <w:overflowPunct/>
        <w:bidi w:val="0"/>
        <w:spacing w:line="360" w:lineRule="auto"/>
        <w:jc w:val="center"/>
        <w:rPr>
          <w:rFonts w:hint="eastAsia" w:ascii="宋体" w:hAnsi="宋体" w:eastAsia="宋体" w:cs="宋体"/>
          <w:b/>
          <w:szCs w:val="21"/>
        </w:rPr>
      </w:pPr>
      <w:r>
        <w:rPr>
          <w:rFonts w:hint="eastAsia" w:ascii="宋体" w:hAnsi="宋体" w:eastAsia="宋体" w:cs="宋体"/>
          <w:b/>
          <w:szCs w:val="21"/>
        </w:rPr>
        <w:br w:type="page"/>
      </w:r>
      <w:r>
        <w:rPr>
          <w:rFonts w:hint="eastAsia" w:ascii="宋体" w:hAnsi="宋体" w:eastAsia="宋体" w:cs="宋体"/>
          <w:b/>
          <w:szCs w:val="21"/>
        </w:rPr>
        <w:t>政府采购投标担保函</w:t>
      </w:r>
    </w:p>
    <w:p w14:paraId="6CD57B59">
      <w:pPr>
        <w:widowControl w:val="0"/>
        <w:kinsoku/>
        <w:overflowPunct/>
        <w:bidi w:val="0"/>
        <w:spacing w:line="360" w:lineRule="auto"/>
        <w:jc w:val="center"/>
        <w:rPr>
          <w:rFonts w:hint="eastAsia" w:ascii="宋体" w:hAnsi="宋体" w:eastAsia="宋体" w:cs="宋体"/>
          <w:b/>
          <w:szCs w:val="21"/>
        </w:rPr>
      </w:pPr>
      <w:r>
        <w:rPr>
          <w:rFonts w:hint="eastAsia" w:ascii="宋体" w:hAnsi="宋体" w:eastAsia="宋体" w:cs="宋体"/>
          <w:b/>
          <w:szCs w:val="21"/>
        </w:rPr>
        <w:t>（适用于投标保证金以保函形式提交）</w:t>
      </w:r>
    </w:p>
    <w:p w14:paraId="64184739">
      <w:pPr>
        <w:widowControl w:val="0"/>
        <w:kinsoku/>
        <w:overflowPunct/>
        <w:bidi w:val="0"/>
        <w:spacing w:line="360" w:lineRule="auto"/>
        <w:jc w:val="both"/>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（采购人或采购代理机构）：</w:t>
      </w:r>
    </w:p>
    <w:p w14:paraId="67B61280">
      <w:pPr>
        <w:widowControl w:val="0"/>
        <w:kinsoku/>
        <w:overflowPunct/>
        <w:bidi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鉴于</w:t>
      </w:r>
      <w:r>
        <w:rPr>
          <w:rFonts w:hint="eastAsia" w:ascii="宋体" w:hAnsi="宋体" w:eastAsia="宋体" w:cs="宋体"/>
          <w:szCs w:val="21"/>
          <w:u w:val="single"/>
        </w:rPr>
        <w:t xml:space="preserve">               </w:t>
      </w:r>
      <w:r>
        <w:rPr>
          <w:rFonts w:hint="eastAsia" w:ascii="宋体" w:hAnsi="宋体" w:eastAsia="宋体" w:cs="宋体"/>
          <w:szCs w:val="21"/>
        </w:rPr>
        <w:t>（以下简称“投标人”）拟参加编号为</w:t>
      </w:r>
      <w:r>
        <w:rPr>
          <w:rFonts w:hint="eastAsia" w:ascii="宋体" w:hAnsi="宋体" w:eastAsia="宋体" w:cs="宋体"/>
          <w:szCs w:val="21"/>
          <w:u w:val="single"/>
        </w:rPr>
        <w:t xml:space="preserve">           包号：   </w:t>
      </w:r>
      <w:r>
        <w:rPr>
          <w:rFonts w:hint="eastAsia" w:ascii="宋体" w:hAnsi="宋体" w:eastAsia="宋体" w:cs="宋体"/>
          <w:szCs w:val="21"/>
        </w:rPr>
        <w:t>的</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1595683B">
      <w:pPr>
        <w:widowControl w:val="0"/>
        <w:kinsoku/>
        <w:overflowPunct/>
        <w:bidi w:val="0"/>
        <w:spacing w:line="360" w:lineRule="auto"/>
        <w:jc w:val="both"/>
        <w:rPr>
          <w:rFonts w:hint="eastAsia" w:ascii="宋体" w:hAnsi="宋体" w:eastAsia="宋体" w:cs="宋体"/>
          <w:szCs w:val="21"/>
        </w:rPr>
      </w:pPr>
      <w:r>
        <w:rPr>
          <w:rFonts w:hint="eastAsia" w:ascii="宋体" w:hAnsi="宋体" w:eastAsia="宋体" w:cs="宋体"/>
          <w:szCs w:val="21"/>
        </w:rPr>
        <w:t>项目（以下简称“本项目”）投标，根据本项目招标文件，投标人参加投标时应向你方交纳投标保证金，且可以投标担保函的形式交纳投标保证金。应投标人的申请，我方以保证的方式向你方提供如下投标保证金担保：</w:t>
      </w:r>
    </w:p>
    <w:p w14:paraId="4B76D80D">
      <w:pPr>
        <w:widowControl w:val="0"/>
        <w:kinsoku/>
        <w:overflowPunct/>
        <w:bidi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一、保证责任的情形及保证金额</w:t>
      </w:r>
    </w:p>
    <w:p w14:paraId="37C3F094">
      <w:pPr>
        <w:widowControl w:val="0"/>
        <w:kinsoku/>
        <w:overflowPunct/>
        <w:bidi w:val="0"/>
        <w:spacing w:line="360" w:lineRule="auto"/>
        <w:ind w:firstLine="210" w:firstLineChars="100"/>
        <w:jc w:val="both"/>
        <w:rPr>
          <w:rFonts w:hint="eastAsia" w:ascii="宋体" w:hAnsi="宋体" w:eastAsia="宋体" w:cs="宋体"/>
          <w:szCs w:val="21"/>
        </w:rPr>
      </w:pPr>
      <w:r>
        <w:rPr>
          <w:rFonts w:hint="eastAsia" w:ascii="宋体" w:hAnsi="宋体" w:eastAsia="宋体" w:cs="宋体"/>
          <w:szCs w:val="21"/>
        </w:rPr>
        <w:t>（一）在投标人出现下列情形之一时，我方承担保证责任：</w:t>
      </w:r>
    </w:p>
    <w:p w14:paraId="39D2E25B">
      <w:pPr>
        <w:widowControl w:val="0"/>
        <w:kinsoku/>
        <w:overflowPunct/>
        <w:bidi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1．中标后投标人无正当理由不与采购人或者采购代理机构签订《政府采购合同》；</w:t>
      </w:r>
    </w:p>
    <w:p w14:paraId="2B48CFFC">
      <w:pPr>
        <w:widowControl w:val="0"/>
        <w:kinsoku/>
        <w:overflowPunct/>
        <w:bidi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2．招标文件规定的投标人应当缴纳保证金的其他情形。</w:t>
      </w:r>
    </w:p>
    <w:p w14:paraId="1773AF99">
      <w:pPr>
        <w:widowControl w:val="0"/>
        <w:kinsoku/>
        <w:overflowPunct/>
        <w:bidi w:val="0"/>
        <w:spacing w:line="360" w:lineRule="auto"/>
        <w:ind w:firstLine="210" w:firstLineChars="100"/>
        <w:jc w:val="both"/>
        <w:rPr>
          <w:rFonts w:hint="eastAsia" w:ascii="宋体" w:hAnsi="宋体" w:eastAsia="宋体" w:cs="宋体"/>
          <w:szCs w:val="21"/>
        </w:rPr>
      </w:pPr>
      <w:r>
        <w:rPr>
          <w:rFonts w:hint="eastAsia" w:ascii="宋体" w:hAnsi="宋体" w:eastAsia="宋体" w:cs="宋体"/>
          <w:szCs w:val="21"/>
        </w:rPr>
        <w:t>（二）我方承担保证责任的最高金额为人民币</w:t>
      </w:r>
      <w:r>
        <w:rPr>
          <w:rFonts w:hint="eastAsia" w:ascii="宋体" w:hAnsi="宋体" w:eastAsia="宋体" w:cs="宋体"/>
          <w:szCs w:val="21"/>
          <w:u w:val="single"/>
        </w:rPr>
        <w:t xml:space="preserve">      </w:t>
      </w:r>
      <w:r>
        <w:rPr>
          <w:rFonts w:hint="eastAsia" w:ascii="宋体" w:hAnsi="宋体" w:eastAsia="宋体" w:cs="宋体"/>
          <w:szCs w:val="21"/>
        </w:rPr>
        <w:t>元（大写</w:t>
      </w:r>
      <w:r>
        <w:rPr>
          <w:rFonts w:hint="eastAsia" w:ascii="宋体" w:hAnsi="宋体" w:eastAsia="宋体" w:cs="宋体"/>
          <w:szCs w:val="21"/>
          <w:u w:val="single"/>
        </w:rPr>
        <w:t xml:space="preserve">            </w:t>
      </w:r>
      <w:r>
        <w:rPr>
          <w:rFonts w:hint="eastAsia" w:ascii="宋体" w:hAnsi="宋体" w:eastAsia="宋体" w:cs="宋体"/>
          <w:szCs w:val="21"/>
        </w:rPr>
        <w:t>），即本项目的投标保证金金额。</w:t>
      </w:r>
    </w:p>
    <w:p w14:paraId="38151AF4">
      <w:pPr>
        <w:widowControl w:val="0"/>
        <w:kinsoku/>
        <w:overflowPunct/>
        <w:bidi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二、保证的方式及保证期间</w:t>
      </w:r>
    </w:p>
    <w:p w14:paraId="5A5CB6B5">
      <w:pPr>
        <w:widowControl w:val="0"/>
        <w:kinsoku/>
        <w:overflowPunct/>
        <w:bidi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我方保证的方式为：连带责任保证。</w:t>
      </w:r>
    </w:p>
    <w:p w14:paraId="299E9936">
      <w:pPr>
        <w:widowControl w:val="0"/>
        <w:kinsoku/>
        <w:overflowPunct/>
        <w:bidi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我方的保证期间为：自本保函生效之日起</w:t>
      </w:r>
      <w:r>
        <w:rPr>
          <w:rFonts w:hint="eastAsia" w:ascii="宋体" w:hAnsi="宋体" w:eastAsia="宋体" w:cs="宋体"/>
          <w:szCs w:val="21"/>
          <w:u w:val="single"/>
        </w:rPr>
        <w:t xml:space="preserve">    </w:t>
      </w:r>
      <w:r>
        <w:rPr>
          <w:rFonts w:hint="eastAsia" w:ascii="宋体" w:hAnsi="宋体" w:eastAsia="宋体" w:cs="宋体"/>
          <w:szCs w:val="21"/>
        </w:rPr>
        <w:t>个月止。</w:t>
      </w:r>
    </w:p>
    <w:p w14:paraId="758442D9">
      <w:pPr>
        <w:widowControl w:val="0"/>
        <w:kinsoku/>
        <w:overflowPunct/>
        <w:bidi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三、承担保证责任的程序</w:t>
      </w:r>
    </w:p>
    <w:p w14:paraId="146963FB">
      <w:pPr>
        <w:widowControl w:val="0"/>
        <w:kinsoku/>
        <w:overflowPunct/>
        <w:bidi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435E197D">
      <w:pPr>
        <w:widowControl w:val="0"/>
        <w:kinsoku/>
        <w:overflowPunct/>
        <w:bidi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2．我方在收到索赔通知及相关证明材料后，在</w:t>
      </w:r>
      <w:r>
        <w:rPr>
          <w:rFonts w:hint="eastAsia" w:ascii="宋体" w:hAnsi="宋体" w:eastAsia="宋体" w:cs="宋体"/>
          <w:szCs w:val="21"/>
          <w:u w:val="single"/>
        </w:rPr>
        <w:t>　　　</w:t>
      </w:r>
      <w:r>
        <w:rPr>
          <w:rFonts w:hint="eastAsia" w:ascii="宋体" w:hAnsi="宋体" w:eastAsia="宋体" w:cs="宋体"/>
          <w:szCs w:val="21"/>
        </w:rPr>
        <w:t>个工作日内进行审查，符合应承担保证责任情形的，我方应按照你方的要求代投标人向你方支付投标保证金。</w:t>
      </w:r>
    </w:p>
    <w:p w14:paraId="275018D9">
      <w:pPr>
        <w:widowControl w:val="0"/>
        <w:kinsoku/>
        <w:overflowPunct/>
        <w:bidi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四、保证责任的终止</w:t>
      </w:r>
    </w:p>
    <w:p w14:paraId="05FE4AEF">
      <w:pPr>
        <w:widowControl w:val="0"/>
        <w:kinsoku/>
        <w:overflowPunct/>
        <w:bidi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1．保证期间届满你方未向我方书面主张保证责任的，自保证期间届满次日起，我方保证责任自动终止。</w:t>
      </w:r>
    </w:p>
    <w:p w14:paraId="1688C0F6">
      <w:pPr>
        <w:widowControl w:val="0"/>
        <w:kinsoku/>
        <w:overflowPunct/>
        <w:bidi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2．我方按照本保函向你贵方履行了保证责任后，自我方向你贵方支付款项（支付款项从我方账户划出）之日起，保证责任终止。</w:t>
      </w:r>
    </w:p>
    <w:p w14:paraId="59A3E48E">
      <w:pPr>
        <w:widowControl w:val="0"/>
        <w:kinsoku/>
        <w:overflowPunct/>
        <w:bidi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3．按照法律法规的规定或出现我方保证责任终止的其它情形的，我方在本保函项下的保证责任亦终止。</w:t>
      </w:r>
    </w:p>
    <w:p w14:paraId="72A54F72">
      <w:pPr>
        <w:widowControl w:val="0"/>
        <w:kinsoku/>
        <w:overflowPunct/>
        <w:bidi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五、免责条款</w:t>
      </w:r>
    </w:p>
    <w:p w14:paraId="457BDBAA">
      <w:pPr>
        <w:widowControl w:val="0"/>
        <w:kinsoku/>
        <w:overflowPunct/>
        <w:bidi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1．依照法律规定或你方与投标人的另行约定，全部或者部分免除投标人投标保证金义务时，我方亦免除相应的保证责任。</w:t>
      </w:r>
    </w:p>
    <w:p w14:paraId="7000F8BF">
      <w:pPr>
        <w:widowControl w:val="0"/>
        <w:kinsoku/>
        <w:overflowPunct/>
        <w:bidi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2．因你方原因致使投标人发生本保函第一条第（一）款约定情形的，我方不承担保证责任。</w:t>
      </w:r>
    </w:p>
    <w:p w14:paraId="183561F1">
      <w:pPr>
        <w:widowControl w:val="0"/>
        <w:kinsoku/>
        <w:overflowPunct/>
        <w:bidi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3．因不可抗力造成投标人发生本保函第一条约定情形的，我方不承担保证责任。</w:t>
      </w:r>
    </w:p>
    <w:p w14:paraId="3C49E851">
      <w:pPr>
        <w:widowControl w:val="0"/>
        <w:kinsoku/>
        <w:overflowPunct/>
        <w:bidi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4．你方或其他有权机关对招标文件进行任何澄清或修改，加重我方保证责任的，我方对加重部分不承担保证责任，但该澄清或修改经我方事先书面同意的除外。</w:t>
      </w:r>
    </w:p>
    <w:p w14:paraId="2ACB96EC">
      <w:pPr>
        <w:widowControl w:val="0"/>
        <w:kinsoku/>
        <w:overflowPunct/>
        <w:bidi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六、争议的解决</w:t>
      </w:r>
    </w:p>
    <w:p w14:paraId="35C7CA97">
      <w:pPr>
        <w:widowControl w:val="0"/>
        <w:kinsoku/>
        <w:overflowPunct/>
        <w:bidi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因本保函发生的纠纷，由你我双方协商解决，协商不成的，通过诉讼程序解决，诉讼管辖地法院为</w:t>
      </w:r>
      <w:r>
        <w:rPr>
          <w:rFonts w:hint="eastAsia" w:ascii="宋体" w:hAnsi="宋体" w:eastAsia="宋体" w:cs="宋体"/>
          <w:szCs w:val="21"/>
          <w:u w:val="single"/>
        </w:rPr>
        <w:t xml:space="preserve">          </w:t>
      </w:r>
      <w:r>
        <w:rPr>
          <w:rFonts w:hint="eastAsia" w:ascii="宋体" w:hAnsi="宋体" w:eastAsia="宋体" w:cs="宋体"/>
          <w:szCs w:val="21"/>
        </w:rPr>
        <w:t>法院。</w:t>
      </w:r>
    </w:p>
    <w:p w14:paraId="20598D22">
      <w:pPr>
        <w:widowControl w:val="0"/>
        <w:kinsoku/>
        <w:overflowPunct/>
        <w:bidi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七、保函的生效</w:t>
      </w:r>
    </w:p>
    <w:p w14:paraId="7AAA963F">
      <w:pPr>
        <w:widowControl w:val="0"/>
        <w:kinsoku/>
        <w:overflowPunct/>
        <w:bidi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本保函自我方加盖公章之日起生效。</w:t>
      </w:r>
    </w:p>
    <w:p w14:paraId="7F31E8ED">
      <w:pPr>
        <w:widowControl w:val="0"/>
        <w:kinsoku/>
        <w:overflowPunct/>
        <w:bidi w:val="0"/>
        <w:spacing w:line="360" w:lineRule="auto"/>
        <w:ind w:right="1415" w:rightChars="674" w:firstLine="5565" w:firstLineChars="2650"/>
        <w:jc w:val="right"/>
        <w:rPr>
          <w:rFonts w:hint="eastAsia" w:ascii="宋体" w:hAnsi="宋体" w:eastAsia="宋体" w:cs="宋体"/>
          <w:szCs w:val="21"/>
        </w:rPr>
      </w:pPr>
      <w:r>
        <w:rPr>
          <w:rFonts w:hint="eastAsia" w:ascii="宋体" w:hAnsi="宋体" w:eastAsia="宋体" w:cs="宋体"/>
          <w:szCs w:val="21"/>
        </w:rPr>
        <w:t>担保金融机构：（公章）</w:t>
      </w:r>
    </w:p>
    <w:p w14:paraId="05667A39">
      <w:pPr>
        <w:widowControl w:val="0"/>
        <w:kinsoku/>
        <w:overflowPunct/>
        <w:bidi w:val="0"/>
        <w:spacing w:line="360" w:lineRule="auto"/>
        <w:ind w:right="1415" w:rightChars="674" w:firstLine="5565" w:firstLineChars="2650"/>
        <w:jc w:val="right"/>
        <w:rPr>
          <w:rFonts w:hint="eastAsia" w:ascii="宋体" w:hAnsi="宋体" w:eastAsia="宋体" w:cs="宋体"/>
          <w:szCs w:val="21"/>
        </w:rPr>
      </w:pPr>
      <w:r>
        <w:rPr>
          <w:rFonts w:hint="eastAsia" w:ascii="宋体" w:hAnsi="宋体" w:eastAsia="宋体" w:cs="宋体"/>
          <w:szCs w:val="21"/>
        </w:rPr>
        <w:t>年     月      日</w:t>
      </w:r>
    </w:p>
    <w:p w14:paraId="591774F3">
      <w:pPr>
        <w:widowControl w:val="0"/>
        <w:kinsoku/>
        <w:overflowPunct/>
        <w:bidi w:val="0"/>
        <w:spacing w:line="360" w:lineRule="auto"/>
        <w:ind w:right="1415" w:rightChars="674" w:firstLine="5565" w:firstLineChars="2650"/>
        <w:jc w:val="right"/>
        <w:rPr>
          <w:rFonts w:hint="eastAsia" w:ascii="宋体" w:hAnsi="宋体" w:eastAsia="宋体" w:cs="宋体"/>
          <w:szCs w:val="21"/>
        </w:rPr>
      </w:pPr>
    </w:p>
    <w:p w14:paraId="616E7BAE">
      <w:pPr>
        <w:widowControl w:val="0"/>
        <w:kinsoku/>
        <w:overflowPunct/>
        <w:bidi w:val="0"/>
        <w:spacing w:line="360" w:lineRule="auto"/>
        <w:ind w:right="1415" w:rightChars="674" w:firstLine="5565" w:firstLineChars="2650"/>
        <w:jc w:val="right"/>
        <w:rPr>
          <w:rFonts w:hint="eastAsia" w:ascii="宋体" w:hAnsi="宋体" w:eastAsia="宋体" w:cs="宋体"/>
          <w:szCs w:val="21"/>
          <w:highlight w:val="none"/>
        </w:rPr>
      </w:pPr>
    </w:p>
    <w:p w14:paraId="2614F780">
      <w:pPr>
        <w:widowControl w:val="0"/>
        <w:kinsoku/>
        <w:overflowPunct/>
        <w:bidi w:val="0"/>
        <w:spacing w:line="360" w:lineRule="auto"/>
        <w:ind w:right="1415" w:rightChars="674"/>
        <w:jc w:val="left"/>
        <w:rPr>
          <w:rFonts w:hint="eastAsia" w:ascii="宋体" w:hAnsi="宋体" w:eastAsia="宋体" w:cs="宋体"/>
          <w:b/>
          <w:szCs w:val="21"/>
        </w:rPr>
      </w:pPr>
      <w:r>
        <w:rPr>
          <w:rFonts w:hint="eastAsia" w:ascii="宋体" w:hAnsi="宋体" w:eastAsia="宋体" w:cs="宋体"/>
          <w:b/>
          <w:szCs w:val="21"/>
          <w:highlight w:val="none"/>
        </w:rPr>
        <w:t>注：以保函形式递交的投标保证金，投标人需在投标截止时间前，将保函原件递交至乌鲁木齐市水磨沟区红光山路888号绿城广场1B-3504室（电子保函除外）</w:t>
      </w:r>
      <w:r>
        <w:rPr>
          <w:rFonts w:hint="eastAsia" w:ascii="宋体" w:hAnsi="宋体" w:eastAsia="宋体" w:cs="宋体"/>
          <w:b/>
          <w:szCs w:val="21"/>
        </w:rPr>
        <w:t>。</w:t>
      </w:r>
    </w:p>
    <w:p w14:paraId="52010428">
      <w:pPr>
        <w:widowControl w:val="0"/>
        <w:kinsoku/>
        <w:overflowPunct/>
        <w:bidi w:val="0"/>
        <w:spacing w:line="360" w:lineRule="auto"/>
        <w:ind w:right="1415" w:rightChars="674"/>
        <w:jc w:val="left"/>
        <w:rPr>
          <w:rFonts w:hint="default" w:ascii="宋体" w:hAnsi="宋体" w:eastAsia="宋体" w:cs="宋体"/>
          <w:b/>
          <w:szCs w:val="21"/>
          <w:lang w:val="en-US" w:eastAsia="zh-CN"/>
        </w:rPr>
      </w:pPr>
      <w:r>
        <w:rPr>
          <w:rFonts w:hint="eastAsia" w:ascii="宋体" w:hAnsi="宋体" w:eastAsia="宋体" w:cs="宋体"/>
          <w:b/>
          <w:szCs w:val="21"/>
          <w:lang w:val="en-US" w:eastAsia="zh-CN"/>
        </w:rPr>
        <w:t>递交电子保函的提供电子保函PDF文件即可。</w:t>
      </w:r>
    </w:p>
    <w:p w14:paraId="1711CAF3">
      <w:pPr>
        <w:widowControl w:val="0"/>
        <w:tabs>
          <w:tab w:val="left" w:pos="567"/>
          <w:tab w:val="left" w:pos="993"/>
        </w:tabs>
        <w:kinsoku/>
        <w:overflowPunct/>
        <w:bidi w:val="0"/>
        <w:spacing w:line="360" w:lineRule="auto"/>
        <w:jc w:val="left"/>
        <w:rPr>
          <w:rFonts w:hint="eastAsia" w:ascii="宋体" w:hAnsi="宋体" w:eastAsia="宋体" w:cs="宋体"/>
          <w:b/>
          <w:szCs w:val="21"/>
        </w:rPr>
      </w:pPr>
    </w:p>
    <w:p w14:paraId="392A61BC">
      <w:pPr>
        <w:keepNext/>
        <w:keepLines/>
        <w:widowControl w:val="0"/>
        <w:kinsoku/>
        <w:overflowPunct/>
        <w:bidi w:val="0"/>
        <w:spacing w:line="360" w:lineRule="auto"/>
        <w:jc w:val="center"/>
        <w:outlineLvl w:val="1"/>
        <w:rPr>
          <w:rFonts w:hint="eastAsia" w:ascii="宋体" w:hAnsi="宋体" w:eastAsia="宋体" w:cs="宋体"/>
          <w:b/>
          <w:bCs/>
          <w:szCs w:val="21"/>
        </w:rPr>
      </w:pPr>
      <w:bookmarkStart w:id="74" w:name="_Toc171969527"/>
      <w:bookmarkStart w:id="75" w:name="_Toc23"/>
      <w:bookmarkStart w:id="76" w:name="_Toc27345"/>
      <w:bookmarkStart w:id="77" w:name="_Toc10794"/>
      <w:bookmarkStart w:id="78" w:name="_Toc19687"/>
      <w:bookmarkStart w:id="79" w:name="_Toc1768"/>
      <w:bookmarkStart w:id="80" w:name="_Toc86854503"/>
      <w:r>
        <w:rPr>
          <w:rFonts w:hint="eastAsia" w:ascii="宋体" w:hAnsi="宋体" w:eastAsia="宋体" w:cs="宋体"/>
          <w:b/>
          <w:bCs/>
          <w:szCs w:val="21"/>
        </w:rPr>
        <w:br w:type="page"/>
      </w:r>
      <w:bookmarkStart w:id="81" w:name="_Toc5237"/>
      <w:bookmarkStart w:id="82" w:name="_Toc19792"/>
      <w:r>
        <w:rPr>
          <w:rFonts w:hint="eastAsia" w:ascii="宋体" w:hAnsi="宋体" w:eastAsia="宋体" w:cs="宋体"/>
          <w:b/>
          <w:bCs/>
          <w:szCs w:val="21"/>
          <w:lang w:val="en-US" w:eastAsia="zh-CN"/>
        </w:rPr>
        <w:t>二</w:t>
      </w:r>
      <w:r>
        <w:rPr>
          <w:rFonts w:hint="eastAsia" w:ascii="宋体" w:hAnsi="宋体" w:eastAsia="宋体" w:cs="宋体"/>
          <w:b/>
          <w:bCs/>
          <w:szCs w:val="21"/>
        </w:rPr>
        <w:t>、商务</w:t>
      </w:r>
      <w:bookmarkEnd w:id="63"/>
      <w:bookmarkEnd w:id="64"/>
      <w:bookmarkEnd w:id="65"/>
      <w:bookmarkEnd w:id="66"/>
      <w:bookmarkEnd w:id="67"/>
      <w:bookmarkEnd w:id="68"/>
      <w:bookmarkEnd w:id="69"/>
      <w:r>
        <w:rPr>
          <w:rFonts w:hint="eastAsia" w:ascii="宋体" w:hAnsi="宋体" w:eastAsia="宋体" w:cs="宋体"/>
          <w:b/>
          <w:bCs/>
          <w:szCs w:val="21"/>
        </w:rPr>
        <w:t>部分</w:t>
      </w:r>
      <w:bookmarkEnd w:id="74"/>
      <w:bookmarkEnd w:id="75"/>
      <w:bookmarkEnd w:id="76"/>
      <w:bookmarkEnd w:id="77"/>
      <w:bookmarkEnd w:id="78"/>
      <w:bookmarkEnd w:id="79"/>
      <w:bookmarkEnd w:id="80"/>
      <w:bookmarkEnd w:id="81"/>
      <w:bookmarkEnd w:id="82"/>
    </w:p>
    <w:p w14:paraId="10B3DECF">
      <w:pPr>
        <w:widowControl w:val="0"/>
        <w:tabs>
          <w:tab w:val="left" w:pos="180"/>
        </w:tabs>
        <w:kinsoku/>
        <w:overflowPunct/>
        <w:bidi w:val="0"/>
        <w:spacing w:line="360" w:lineRule="auto"/>
        <w:ind w:left="-240"/>
        <w:jc w:val="both"/>
        <w:rPr>
          <w:rFonts w:hint="eastAsia" w:ascii="宋体" w:hAnsi="宋体" w:eastAsia="宋体" w:cs="宋体"/>
          <w:b/>
          <w:szCs w:val="21"/>
        </w:rPr>
      </w:pPr>
      <w:r>
        <w:rPr>
          <w:rFonts w:hint="eastAsia" w:ascii="宋体" w:hAnsi="宋体" w:eastAsia="宋体" w:cs="宋体"/>
          <w:b/>
          <w:szCs w:val="21"/>
        </w:rPr>
        <w:t>一、供应商情况介绍表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1418"/>
        <w:gridCol w:w="1460"/>
        <w:gridCol w:w="227"/>
        <w:gridCol w:w="1393"/>
        <w:gridCol w:w="256"/>
        <w:gridCol w:w="1004"/>
        <w:gridCol w:w="788"/>
        <w:gridCol w:w="292"/>
        <w:gridCol w:w="1357"/>
      </w:tblGrid>
      <w:tr w14:paraId="56A0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noWrap w:val="0"/>
            <w:vAlign w:val="center"/>
          </w:tcPr>
          <w:p w14:paraId="6E81FDE1">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r>
              <w:rPr>
                <w:rFonts w:hint="eastAsia" w:ascii="宋体" w:hAnsi="宋体" w:eastAsia="宋体" w:cs="宋体"/>
                <w:szCs w:val="21"/>
              </w:rPr>
              <w:t>单位名称</w:t>
            </w:r>
          </w:p>
        </w:tc>
        <w:tc>
          <w:tcPr>
            <w:tcW w:w="8195" w:type="dxa"/>
            <w:gridSpan w:val="9"/>
            <w:noWrap w:val="0"/>
            <w:vAlign w:val="center"/>
          </w:tcPr>
          <w:p w14:paraId="2BFB5D69">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p>
        </w:tc>
      </w:tr>
      <w:tr w14:paraId="0217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noWrap w:val="0"/>
            <w:vAlign w:val="center"/>
          </w:tcPr>
          <w:p w14:paraId="30D5F601">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r>
              <w:rPr>
                <w:rFonts w:hint="eastAsia" w:ascii="宋体" w:hAnsi="宋体" w:eastAsia="宋体" w:cs="宋体"/>
                <w:szCs w:val="21"/>
              </w:rPr>
              <w:t>注册地址</w:t>
            </w:r>
          </w:p>
        </w:tc>
        <w:tc>
          <w:tcPr>
            <w:tcW w:w="8195" w:type="dxa"/>
            <w:gridSpan w:val="9"/>
            <w:noWrap w:val="0"/>
            <w:vAlign w:val="center"/>
          </w:tcPr>
          <w:p w14:paraId="56BA0AFF">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p>
        </w:tc>
      </w:tr>
      <w:tr w14:paraId="396F0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noWrap w:val="0"/>
            <w:vAlign w:val="center"/>
          </w:tcPr>
          <w:p w14:paraId="47CEA9A3">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r>
              <w:rPr>
                <w:rFonts w:hint="eastAsia" w:ascii="宋体" w:hAnsi="宋体" w:eastAsia="宋体" w:cs="宋体"/>
                <w:szCs w:val="21"/>
              </w:rPr>
              <w:t>联系方式</w:t>
            </w:r>
          </w:p>
        </w:tc>
        <w:tc>
          <w:tcPr>
            <w:tcW w:w="1418" w:type="dxa"/>
            <w:noWrap w:val="0"/>
            <w:vAlign w:val="center"/>
          </w:tcPr>
          <w:p w14:paraId="295B3F6E">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r>
              <w:rPr>
                <w:rFonts w:hint="eastAsia" w:ascii="宋体" w:hAnsi="宋体" w:eastAsia="宋体" w:cs="宋体"/>
                <w:szCs w:val="21"/>
              </w:rPr>
              <w:t>法人代表姓名</w:t>
            </w:r>
          </w:p>
        </w:tc>
        <w:tc>
          <w:tcPr>
            <w:tcW w:w="1687" w:type="dxa"/>
            <w:gridSpan w:val="2"/>
            <w:noWrap w:val="0"/>
            <w:vAlign w:val="center"/>
          </w:tcPr>
          <w:p w14:paraId="6F33FD7B">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p>
        </w:tc>
        <w:tc>
          <w:tcPr>
            <w:tcW w:w="1649" w:type="dxa"/>
            <w:gridSpan w:val="2"/>
            <w:noWrap w:val="0"/>
            <w:vAlign w:val="center"/>
          </w:tcPr>
          <w:p w14:paraId="2D5906F4">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r>
              <w:rPr>
                <w:rFonts w:hint="eastAsia" w:ascii="宋体" w:hAnsi="宋体" w:eastAsia="宋体" w:cs="宋体"/>
                <w:szCs w:val="21"/>
              </w:rPr>
              <w:t>电话/技术职称</w:t>
            </w:r>
          </w:p>
        </w:tc>
        <w:tc>
          <w:tcPr>
            <w:tcW w:w="1792" w:type="dxa"/>
            <w:gridSpan w:val="2"/>
            <w:noWrap w:val="0"/>
            <w:vAlign w:val="center"/>
          </w:tcPr>
          <w:p w14:paraId="53CEF8EA">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p>
        </w:tc>
        <w:tc>
          <w:tcPr>
            <w:tcW w:w="1649" w:type="dxa"/>
            <w:gridSpan w:val="2"/>
            <w:noWrap w:val="0"/>
            <w:vAlign w:val="top"/>
          </w:tcPr>
          <w:p w14:paraId="23549A39">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p>
        </w:tc>
      </w:tr>
      <w:tr w14:paraId="6B433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noWrap w:val="0"/>
            <w:vAlign w:val="center"/>
          </w:tcPr>
          <w:p w14:paraId="3798B8D7">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p>
        </w:tc>
        <w:tc>
          <w:tcPr>
            <w:tcW w:w="1418" w:type="dxa"/>
            <w:noWrap w:val="0"/>
            <w:vAlign w:val="center"/>
          </w:tcPr>
          <w:p w14:paraId="64F9EF61">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r>
              <w:rPr>
                <w:rFonts w:hint="eastAsia" w:ascii="宋体" w:hAnsi="宋体" w:eastAsia="宋体" w:cs="宋体"/>
                <w:szCs w:val="21"/>
              </w:rPr>
              <w:t>授权代表姓名</w:t>
            </w:r>
          </w:p>
        </w:tc>
        <w:tc>
          <w:tcPr>
            <w:tcW w:w="1687" w:type="dxa"/>
            <w:gridSpan w:val="2"/>
            <w:noWrap w:val="0"/>
            <w:vAlign w:val="center"/>
          </w:tcPr>
          <w:p w14:paraId="4657AE3F">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p>
        </w:tc>
        <w:tc>
          <w:tcPr>
            <w:tcW w:w="1649" w:type="dxa"/>
            <w:gridSpan w:val="2"/>
            <w:noWrap w:val="0"/>
            <w:vAlign w:val="center"/>
          </w:tcPr>
          <w:p w14:paraId="7C47559F">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r>
              <w:rPr>
                <w:rFonts w:hint="eastAsia" w:ascii="宋体" w:hAnsi="宋体" w:eastAsia="宋体" w:cs="宋体"/>
                <w:szCs w:val="21"/>
              </w:rPr>
              <w:t>电话/职务</w:t>
            </w:r>
          </w:p>
        </w:tc>
        <w:tc>
          <w:tcPr>
            <w:tcW w:w="1792" w:type="dxa"/>
            <w:gridSpan w:val="2"/>
            <w:noWrap w:val="0"/>
            <w:vAlign w:val="center"/>
          </w:tcPr>
          <w:p w14:paraId="50AD7BD1">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p>
        </w:tc>
        <w:tc>
          <w:tcPr>
            <w:tcW w:w="1649" w:type="dxa"/>
            <w:gridSpan w:val="2"/>
            <w:noWrap w:val="0"/>
            <w:vAlign w:val="top"/>
          </w:tcPr>
          <w:p w14:paraId="63E14E51">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p>
        </w:tc>
      </w:tr>
      <w:tr w14:paraId="24D7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noWrap w:val="0"/>
            <w:vAlign w:val="center"/>
          </w:tcPr>
          <w:p w14:paraId="64E60692">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r>
              <w:rPr>
                <w:rFonts w:hint="eastAsia" w:ascii="宋体" w:hAnsi="宋体" w:eastAsia="宋体" w:cs="宋体"/>
                <w:szCs w:val="21"/>
              </w:rPr>
              <w:t>成立时间</w:t>
            </w:r>
          </w:p>
        </w:tc>
        <w:tc>
          <w:tcPr>
            <w:tcW w:w="1418" w:type="dxa"/>
            <w:noWrap w:val="0"/>
            <w:vAlign w:val="center"/>
          </w:tcPr>
          <w:p w14:paraId="4950D15C">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p>
        </w:tc>
        <w:tc>
          <w:tcPr>
            <w:tcW w:w="1687" w:type="dxa"/>
            <w:gridSpan w:val="2"/>
            <w:noWrap w:val="0"/>
            <w:vAlign w:val="center"/>
          </w:tcPr>
          <w:p w14:paraId="5850A48D">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r>
              <w:rPr>
                <w:rFonts w:hint="eastAsia" w:ascii="宋体" w:hAnsi="宋体" w:eastAsia="宋体" w:cs="宋体"/>
                <w:szCs w:val="21"/>
              </w:rPr>
              <w:t>经济类型</w:t>
            </w:r>
          </w:p>
        </w:tc>
        <w:tc>
          <w:tcPr>
            <w:tcW w:w="1649" w:type="dxa"/>
            <w:gridSpan w:val="2"/>
            <w:noWrap w:val="0"/>
            <w:vAlign w:val="center"/>
          </w:tcPr>
          <w:p w14:paraId="4AB7DACA">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p>
        </w:tc>
        <w:tc>
          <w:tcPr>
            <w:tcW w:w="1792" w:type="dxa"/>
            <w:gridSpan w:val="2"/>
            <w:noWrap w:val="0"/>
            <w:vAlign w:val="center"/>
          </w:tcPr>
          <w:p w14:paraId="7323AECB">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r>
              <w:rPr>
                <w:rFonts w:hint="eastAsia" w:ascii="宋体" w:hAnsi="宋体" w:eastAsia="宋体" w:cs="宋体"/>
                <w:szCs w:val="21"/>
              </w:rPr>
              <w:t>登记机关</w:t>
            </w:r>
          </w:p>
        </w:tc>
        <w:tc>
          <w:tcPr>
            <w:tcW w:w="1649" w:type="dxa"/>
            <w:gridSpan w:val="2"/>
            <w:noWrap w:val="0"/>
            <w:vAlign w:val="top"/>
          </w:tcPr>
          <w:p w14:paraId="462DB2AA">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p>
        </w:tc>
      </w:tr>
      <w:tr w14:paraId="57AC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noWrap w:val="0"/>
            <w:vAlign w:val="center"/>
          </w:tcPr>
          <w:p w14:paraId="267040E6">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r>
              <w:rPr>
                <w:rFonts w:hint="eastAsia" w:ascii="宋体" w:hAnsi="宋体" w:eastAsia="宋体" w:cs="宋体"/>
                <w:szCs w:val="21"/>
              </w:rPr>
              <w:t>邮编</w:t>
            </w:r>
          </w:p>
        </w:tc>
        <w:tc>
          <w:tcPr>
            <w:tcW w:w="1418" w:type="dxa"/>
            <w:noWrap w:val="0"/>
            <w:vAlign w:val="center"/>
          </w:tcPr>
          <w:p w14:paraId="4A9A5D77">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p>
        </w:tc>
        <w:tc>
          <w:tcPr>
            <w:tcW w:w="1687" w:type="dxa"/>
            <w:gridSpan w:val="2"/>
            <w:noWrap w:val="0"/>
            <w:vAlign w:val="center"/>
          </w:tcPr>
          <w:p w14:paraId="797DDF15">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r>
              <w:rPr>
                <w:rFonts w:hint="eastAsia" w:ascii="宋体" w:hAnsi="宋体" w:eastAsia="宋体" w:cs="宋体"/>
                <w:szCs w:val="21"/>
              </w:rPr>
              <w:t>联系人姓名电话</w:t>
            </w:r>
          </w:p>
        </w:tc>
        <w:tc>
          <w:tcPr>
            <w:tcW w:w="1649" w:type="dxa"/>
            <w:gridSpan w:val="2"/>
            <w:noWrap w:val="0"/>
            <w:vAlign w:val="center"/>
          </w:tcPr>
          <w:p w14:paraId="3ECB7667">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p>
        </w:tc>
        <w:tc>
          <w:tcPr>
            <w:tcW w:w="1792" w:type="dxa"/>
            <w:gridSpan w:val="2"/>
            <w:noWrap w:val="0"/>
            <w:vAlign w:val="center"/>
          </w:tcPr>
          <w:p w14:paraId="73E3C614">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r>
              <w:rPr>
                <w:rFonts w:hint="eastAsia" w:ascii="宋体" w:hAnsi="宋体" w:eastAsia="宋体" w:cs="宋体"/>
                <w:szCs w:val="21"/>
              </w:rPr>
              <w:t>传真</w:t>
            </w:r>
          </w:p>
        </w:tc>
        <w:tc>
          <w:tcPr>
            <w:tcW w:w="1649" w:type="dxa"/>
            <w:gridSpan w:val="2"/>
            <w:noWrap w:val="0"/>
            <w:vAlign w:val="top"/>
          </w:tcPr>
          <w:p w14:paraId="46C8C821">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p>
        </w:tc>
      </w:tr>
      <w:tr w14:paraId="2D030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2244" w:type="dxa"/>
            <w:noWrap w:val="0"/>
            <w:vAlign w:val="center"/>
          </w:tcPr>
          <w:p w14:paraId="057FE5C4">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r>
              <w:rPr>
                <w:rFonts w:hint="eastAsia" w:ascii="宋体" w:hAnsi="宋体" w:eastAsia="宋体" w:cs="宋体"/>
                <w:szCs w:val="21"/>
              </w:rPr>
              <w:t>单位简介及机构设置(</w:t>
            </w:r>
            <w:r>
              <w:rPr>
                <w:rFonts w:hint="eastAsia" w:ascii="宋体" w:hAnsi="宋体" w:eastAsia="宋体" w:cs="宋体"/>
                <w:szCs w:val="21"/>
                <w:lang w:val="en-GB"/>
              </w:rPr>
              <w:t>单位性质、发展历程、经营规模及服务理念、主营产品、技术力量、实施履行本项目合同所必需的设备等</w:t>
            </w:r>
            <w:r>
              <w:rPr>
                <w:rFonts w:hint="eastAsia" w:ascii="宋体" w:hAnsi="宋体" w:eastAsia="宋体" w:cs="宋体"/>
                <w:szCs w:val="21"/>
              </w:rPr>
              <w:t>)</w:t>
            </w:r>
          </w:p>
        </w:tc>
        <w:tc>
          <w:tcPr>
            <w:tcW w:w="8195" w:type="dxa"/>
            <w:gridSpan w:val="9"/>
            <w:noWrap w:val="0"/>
            <w:vAlign w:val="center"/>
          </w:tcPr>
          <w:p w14:paraId="35A10BAD">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p>
          <w:p w14:paraId="7DF94818">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p>
          <w:p w14:paraId="5B130970">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p>
          <w:p w14:paraId="70EA797F">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p>
          <w:p w14:paraId="197DA2FD">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p>
          <w:p w14:paraId="1E8EEF9A">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p>
        </w:tc>
      </w:tr>
      <w:tr w14:paraId="0CB2A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noWrap w:val="0"/>
            <w:vAlign w:val="center"/>
          </w:tcPr>
          <w:p w14:paraId="70F79B78">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r>
              <w:rPr>
                <w:rFonts w:hint="eastAsia" w:ascii="宋体" w:hAnsi="宋体" w:eastAsia="宋体" w:cs="宋体"/>
                <w:szCs w:val="21"/>
              </w:rPr>
              <w:t>单位概况</w:t>
            </w:r>
          </w:p>
        </w:tc>
        <w:tc>
          <w:tcPr>
            <w:tcW w:w="1418" w:type="dxa"/>
            <w:noWrap w:val="0"/>
            <w:vAlign w:val="top"/>
          </w:tcPr>
          <w:p w14:paraId="7B9AC757">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r>
              <w:rPr>
                <w:rFonts w:hint="eastAsia" w:ascii="宋体" w:hAnsi="宋体" w:eastAsia="宋体" w:cs="宋体"/>
                <w:szCs w:val="21"/>
              </w:rPr>
              <w:t>注册资本</w:t>
            </w:r>
          </w:p>
        </w:tc>
        <w:tc>
          <w:tcPr>
            <w:tcW w:w="1460" w:type="dxa"/>
            <w:noWrap w:val="0"/>
            <w:vAlign w:val="top"/>
          </w:tcPr>
          <w:p w14:paraId="74A24FC8">
            <w:pPr>
              <w:widowControl/>
              <w:tabs>
                <w:tab w:val="left" w:pos="540"/>
              </w:tabs>
              <w:kinsoku/>
              <w:overflowPunct/>
              <w:bidi w:val="0"/>
              <w:spacing w:line="360" w:lineRule="auto"/>
              <w:ind w:left="-132" w:leftChars="-64" w:right="-105" w:rightChars="-50" w:hanging="2"/>
              <w:jc w:val="right"/>
              <w:rPr>
                <w:rFonts w:hint="eastAsia" w:ascii="宋体" w:hAnsi="宋体" w:eastAsia="宋体" w:cs="宋体"/>
                <w:szCs w:val="21"/>
              </w:rPr>
            </w:pPr>
            <w:r>
              <w:rPr>
                <w:rFonts w:hint="eastAsia" w:ascii="宋体" w:hAnsi="宋体" w:eastAsia="宋体" w:cs="宋体"/>
                <w:szCs w:val="21"/>
              </w:rPr>
              <w:t>万元</w:t>
            </w:r>
          </w:p>
        </w:tc>
        <w:tc>
          <w:tcPr>
            <w:tcW w:w="1620" w:type="dxa"/>
            <w:gridSpan w:val="2"/>
            <w:noWrap w:val="0"/>
            <w:vAlign w:val="top"/>
          </w:tcPr>
          <w:p w14:paraId="5FCF975D">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r>
              <w:rPr>
                <w:rFonts w:hint="eastAsia" w:ascii="宋体" w:hAnsi="宋体" w:eastAsia="宋体" w:cs="宋体"/>
                <w:szCs w:val="21"/>
              </w:rPr>
              <w:t>占地面积</w:t>
            </w:r>
          </w:p>
        </w:tc>
        <w:tc>
          <w:tcPr>
            <w:tcW w:w="3697" w:type="dxa"/>
            <w:gridSpan w:val="5"/>
            <w:noWrap w:val="0"/>
            <w:vAlign w:val="top"/>
          </w:tcPr>
          <w:p w14:paraId="2F5716B3">
            <w:pPr>
              <w:widowControl/>
              <w:tabs>
                <w:tab w:val="left" w:pos="540"/>
              </w:tabs>
              <w:kinsoku/>
              <w:overflowPunct/>
              <w:bidi w:val="0"/>
              <w:spacing w:line="360" w:lineRule="auto"/>
              <w:ind w:left="-134" w:leftChars="-64" w:right="-105" w:rightChars="-50" w:firstLine="3045" w:firstLineChars="1450"/>
              <w:jc w:val="center"/>
              <w:rPr>
                <w:rFonts w:hint="eastAsia" w:ascii="宋体" w:hAnsi="宋体" w:eastAsia="宋体" w:cs="宋体"/>
                <w:szCs w:val="21"/>
              </w:rPr>
            </w:pPr>
            <w:r>
              <w:rPr>
                <w:rFonts w:hint="eastAsia" w:ascii="宋体" w:hAnsi="宋体" w:eastAsia="宋体" w:cs="宋体"/>
                <w:szCs w:val="21"/>
              </w:rPr>
              <w:t>M</w:t>
            </w:r>
            <w:r>
              <w:rPr>
                <w:rFonts w:hint="eastAsia" w:ascii="宋体" w:hAnsi="宋体" w:eastAsia="宋体" w:cs="宋体"/>
                <w:szCs w:val="21"/>
                <w:vertAlign w:val="superscript"/>
              </w:rPr>
              <w:t>2</w:t>
            </w:r>
          </w:p>
        </w:tc>
      </w:tr>
      <w:tr w14:paraId="0CDC9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noWrap w:val="0"/>
            <w:vAlign w:val="top"/>
          </w:tcPr>
          <w:p w14:paraId="40A29979">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p>
        </w:tc>
        <w:tc>
          <w:tcPr>
            <w:tcW w:w="1418" w:type="dxa"/>
            <w:noWrap w:val="0"/>
            <w:vAlign w:val="top"/>
          </w:tcPr>
          <w:p w14:paraId="549D0C78">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r>
              <w:rPr>
                <w:rFonts w:hint="eastAsia" w:ascii="宋体" w:hAnsi="宋体" w:eastAsia="宋体" w:cs="宋体"/>
                <w:szCs w:val="21"/>
              </w:rPr>
              <w:t>职工总数</w:t>
            </w:r>
          </w:p>
        </w:tc>
        <w:tc>
          <w:tcPr>
            <w:tcW w:w="1460" w:type="dxa"/>
            <w:noWrap w:val="0"/>
            <w:vAlign w:val="top"/>
          </w:tcPr>
          <w:p w14:paraId="2C804480">
            <w:pPr>
              <w:widowControl/>
              <w:tabs>
                <w:tab w:val="left" w:pos="540"/>
              </w:tabs>
              <w:kinsoku/>
              <w:overflowPunct/>
              <w:bidi w:val="0"/>
              <w:spacing w:line="360" w:lineRule="auto"/>
              <w:ind w:left="-132" w:leftChars="-64" w:right="-105" w:rightChars="-50" w:hanging="2"/>
              <w:jc w:val="right"/>
              <w:rPr>
                <w:rFonts w:hint="eastAsia" w:ascii="宋体" w:hAnsi="宋体" w:eastAsia="宋体" w:cs="宋体"/>
                <w:szCs w:val="21"/>
              </w:rPr>
            </w:pPr>
            <w:r>
              <w:rPr>
                <w:rFonts w:hint="eastAsia" w:ascii="宋体" w:hAnsi="宋体" w:eastAsia="宋体" w:cs="宋体"/>
                <w:szCs w:val="21"/>
              </w:rPr>
              <w:t>人</w:t>
            </w:r>
          </w:p>
        </w:tc>
        <w:tc>
          <w:tcPr>
            <w:tcW w:w="1620" w:type="dxa"/>
            <w:gridSpan w:val="2"/>
            <w:noWrap w:val="0"/>
            <w:vAlign w:val="top"/>
          </w:tcPr>
          <w:p w14:paraId="5CC9B968">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r>
              <w:rPr>
                <w:rFonts w:hint="eastAsia" w:ascii="宋体" w:hAnsi="宋体" w:eastAsia="宋体" w:cs="宋体"/>
                <w:szCs w:val="21"/>
              </w:rPr>
              <w:t>建筑面积</w:t>
            </w:r>
          </w:p>
        </w:tc>
        <w:tc>
          <w:tcPr>
            <w:tcW w:w="3697" w:type="dxa"/>
            <w:gridSpan w:val="5"/>
            <w:noWrap w:val="0"/>
            <w:vAlign w:val="top"/>
          </w:tcPr>
          <w:p w14:paraId="35A9B750">
            <w:pPr>
              <w:widowControl/>
              <w:tabs>
                <w:tab w:val="left" w:pos="540"/>
              </w:tabs>
              <w:kinsoku/>
              <w:overflowPunct/>
              <w:bidi w:val="0"/>
              <w:spacing w:line="360" w:lineRule="auto"/>
              <w:ind w:left="-134" w:leftChars="-64" w:right="-105" w:rightChars="-50" w:firstLine="3045" w:firstLineChars="1450"/>
              <w:jc w:val="center"/>
              <w:rPr>
                <w:rFonts w:hint="eastAsia" w:ascii="宋体" w:hAnsi="宋体" w:eastAsia="宋体" w:cs="宋体"/>
                <w:szCs w:val="21"/>
              </w:rPr>
            </w:pPr>
            <w:r>
              <w:rPr>
                <w:rFonts w:hint="eastAsia" w:ascii="宋体" w:hAnsi="宋体" w:eastAsia="宋体" w:cs="宋体"/>
                <w:szCs w:val="21"/>
              </w:rPr>
              <w:t>M</w:t>
            </w:r>
            <w:r>
              <w:rPr>
                <w:rFonts w:hint="eastAsia" w:ascii="宋体" w:hAnsi="宋体" w:eastAsia="宋体" w:cs="宋体"/>
                <w:szCs w:val="21"/>
                <w:vertAlign w:val="superscript"/>
              </w:rPr>
              <w:t>2</w:t>
            </w:r>
          </w:p>
        </w:tc>
      </w:tr>
      <w:tr w14:paraId="0BB05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noWrap w:val="0"/>
            <w:vAlign w:val="top"/>
          </w:tcPr>
          <w:p w14:paraId="044B0BDA">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p>
        </w:tc>
        <w:tc>
          <w:tcPr>
            <w:tcW w:w="1418" w:type="dxa"/>
            <w:vMerge w:val="restart"/>
            <w:noWrap w:val="0"/>
            <w:vAlign w:val="center"/>
          </w:tcPr>
          <w:p w14:paraId="5E653349">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r>
              <w:rPr>
                <w:rFonts w:hint="eastAsia" w:ascii="宋体" w:hAnsi="宋体" w:eastAsia="宋体" w:cs="宋体"/>
                <w:szCs w:val="21"/>
              </w:rPr>
              <w:t>资产情况</w:t>
            </w:r>
          </w:p>
        </w:tc>
        <w:tc>
          <w:tcPr>
            <w:tcW w:w="1460" w:type="dxa"/>
            <w:noWrap w:val="0"/>
            <w:vAlign w:val="top"/>
          </w:tcPr>
          <w:p w14:paraId="00D61B22">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r>
              <w:rPr>
                <w:rFonts w:hint="eastAsia" w:ascii="宋体" w:hAnsi="宋体" w:eastAsia="宋体" w:cs="宋体"/>
                <w:szCs w:val="21"/>
              </w:rPr>
              <w:t>净资产</w:t>
            </w:r>
          </w:p>
        </w:tc>
        <w:tc>
          <w:tcPr>
            <w:tcW w:w="1620" w:type="dxa"/>
            <w:gridSpan w:val="2"/>
            <w:noWrap w:val="0"/>
            <w:vAlign w:val="center"/>
          </w:tcPr>
          <w:p w14:paraId="3E50F4C3">
            <w:pPr>
              <w:widowControl/>
              <w:tabs>
                <w:tab w:val="left" w:pos="540"/>
              </w:tabs>
              <w:kinsoku/>
              <w:overflowPunct/>
              <w:bidi w:val="0"/>
              <w:spacing w:line="360" w:lineRule="auto"/>
              <w:ind w:left="-132" w:leftChars="-64" w:right="-105" w:rightChars="-50" w:hanging="2"/>
              <w:jc w:val="right"/>
              <w:rPr>
                <w:rFonts w:hint="eastAsia" w:ascii="宋体" w:hAnsi="宋体" w:eastAsia="宋体" w:cs="宋体"/>
                <w:szCs w:val="21"/>
              </w:rPr>
            </w:pPr>
            <w:r>
              <w:rPr>
                <w:rFonts w:hint="eastAsia" w:ascii="宋体" w:hAnsi="宋体" w:eastAsia="宋体" w:cs="宋体"/>
                <w:szCs w:val="21"/>
              </w:rPr>
              <w:t>万元</w:t>
            </w:r>
          </w:p>
        </w:tc>
        <w:tc>
          <w:tcPr>
            <w:tcW w:w="3697" w:type="dxa"/>
            <w:gridSpan w:val="5"/>
            <w:noWrap w:val="0"/>
            <w:vAlign w:val="top"/>
          </w:tcPr>
          <w:p w14:paraId="6B37D55A">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r>
              <w:rPr>
                <w:rFonts w:hint="eastAsia" w:ascii="宋体" w:hAnsi="宋体" w:eastAsia="宋体" w:cs="宋体"/>
                <w:szCs w:val="21"/>
              </w:rPr>
              <w:t>固定资产原值           万元</w:t>
            </w:r>
          </w:p>
        </w:tc>
      </w:tr>
      <w:tr w14:paraId="60ED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244" w:type="dxa"/>
            <w:vMerge w:val="continue"/>
            <w:noWrap w:val="0"/>
            <w:vAlign w:val="top"/>
          </w:tcPr>
          <w:p w14:paraId="46924DE0">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p>
        </w:tc>
        <w:tc>
          <w:tcPr>
            <w:tcW w:w="1418" w:type="dxa"/>
            <w:vMerge w:val="continue"/>
            <w:noWrap w:val="0"/>
            <w:vAlign w:val="top"/>
          </w:tcPr>
          <w:p w14:paraId="7AE8B53C">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p>
        </w:tc>
        <w:tc>
          <w:tcPr>
            <w:tcW w:w="1460" w:type="dxa"/>
            <w:noWrap w:val="0"/>
            <w:vAlign w:val="top"/>
          </w:tcPr>
          <w:p w14:paraId="11BD816B">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r>
              <w:rPr>
                <w:rFonts w:hint="eastAsia" w:ascii="宋体" w:hAnsi="宋体" w:eastAsia="宋体" w:cs="宋体"/>
                <w:szCs w:val="21"/>
              </w:rPr>
              <w:t>负债</w:t>
            </w:r>
          </w:p>
        </w:tc>
        <w:tc>
          <w:tcPr>
            <w:tcW w:w="1620" w:type="dxa"/>
            <w:gridSpan w:val="2"/>
            <w:noWrap w:val="0"/>
            <w:vAlign w:val="center"/>
          </w:tcPr>
          <w:p w14:paraId="4BC37EB1">
            <w:pPr>
              <w:widowControl/>
              <w:tabs>
                <w:tab w:val="left" w:pos="540"/>
              </w:tabs>
              <w:kinsoku/>
              <w:overflowPunct/>
              <w:bidi w:val="0"/>
              <w:spacing w:line="360" w:lineRule="auto"/>
              <w:ind w:left="-132" w:leftChars="-64" w:right="-105" w:rightChars="-50" w:hanging="2"/>
              <w:jc w:val="right"/>
              <w:rPr>
                <w:rFonts w:hint="eastAsia" w:ascii="宋体" w:hAnsi="宋体" w:eastAsia="宋体" w:cs="宋体"/>
                <w:szCs w:val="21"/>
              </w:rPr>
            </w:pPr>
            <w:r>
              <w:rPr>
                <w:rFonts w:hint="eastAsia" w:ascii="宋体" w:hAnsi="宋体" w:eastAsia="宋体" w:cs="宋体"/>
                <w:szCs w:val="21"/>
              </w:rPr>
              <w:t>万元</w:t>
            </w:r>
          </w:p>
        </w:tc>
        <w:tc>
          <w:tcPr>
            <w:tcW w:w="3697" w:type="dxa"/>
            <w:gridSpan w:val="5"/>
            <w:noWrap w:val="0"/>
            <w:vAlign w:val="top"/>
          </w:tcPr>
          <w:p w14:paraId="061AA4D8">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r>
              <w:rPr>
                <w:rFonts w:hint="eastAsia" w:ascii="宋体" w:hAnsi="宋体" w:eastAsia="宋体" w:cs="宋体"/>
                <w:szCs w:val="21"/>
              </w:rPr>
              <w:t>固定资产净值           万元</w:t>
            </w:r>
          </w:p>
        </w:tc>
      </w:tr>
      <w:tr w14:paraId="4CF7C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noWrap w:val="0"/>
            <w:vAlign w:val="center"/>
          </w:tcPr>
          <w:p w14:paraId="1841BC1C">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r>
              <w:rPr>
                <w:rFonts w:hint="eastAsia" w:ascii="宋体" w:hAnsi="宋体" w:eastAsia="宋体" w:cs="宋体"/>
                <w:szCs w:val="21"/>
              </w:rPr>
              <w:t>财务状况</w:t>
            </w:r>
          </w:p>
        </w:tc>
        <w:tc>
          <w:tcPr>
            <w:tcW w:w="1418" w:type="dxa"/>
            <w:noWrap w:val="0"/>
            <w:vAlign w:val="top"/>
          </w:tcPr>
          <w:p w14:paraId="68C85852">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r>
              <w:rPr>
                <w:rFonts w:hint="eastAsia" w:ascii="宋体" w:hAnsi="宋体" w:eastAsia="宋体" w:cs="宋体"/>
                <w:szCs w:val="21"/>
              </w:rPr>
              <w:t>年度</w:t>
            </w:r>
          </w:p>
        </w:tc>
        <w:tc>
          <w:tcPr>
            <w:tcW w:w="1460" w:type="dxa"/>
            <w:noWrap w:val="0"/>
            <w:vAlign w:val="center"/>
          </w:tcPr>
          <w:p w14:paraId="7C2C914C">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r>
              <w:rPr>
                <w:rFonts w:hint="eastAsia" w:ascii="宋体" w:hAnsi="宋体" w:eastAsia="宋体" w:cs="宋体"/>
                <w:szCs w:val="21"/>
              </w:rPr>
              <w:t>主营收入</w:t>
            </w:r>
          </w:p>
          <w:p w14:paraId="26202BE6">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r>
              <w:rPr>
                <w:rFonts w:hint="eastAsia" w:ascii="宋体" w:hAnsi="宋体" w:eastAsia="宋体" w:cs="宋体"/>
                <w:szCs w:val="21"/>
              </w:rPr>
              <w:t>（万元）</w:t>
            </w:r>
          </w:p>
        </w:tc>
        <w:tc>
          <w:tcPr>
            <w:tcW w:w="1620" w:type="dxa"/>
            <w:gridSpan w:val="2"/>
            <w:noWrap w:val="0"/>
            <w:vAlign w:val="center"/>
          </w:tcPr>
          <w:p w14:paraId="77CCF9CE">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r>
              <w:rPr>
                <w:rFonts w:hint="eastAsia" w:ascii="宋体" w:hAnsi="宋体" w:eastAsia="宋体" w:cs="宋体"/>
                <w:szCs w:val="21"/>
              </w:rPr>
              <w:t>收入总额</w:t>
            </w:r>
          </w:p>
          <w:p w14:paraId="547866A9">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r>
              <w:rPr>
                <w:rFonts w:hint="eastAsia" w:ascii="宋体" w:hAnsi="宋体" w:eastAsia="宋体" w:cs="宋体"/>
                <w:szCs w:val="21"/>
              </w:rPr>
              <w:t>（万元）</w:t>
            </w:r>
          </w:p>
        </w:tc>
        <w:tc>
          <w:tcPr>
            <w:tcW w:w="1260" w:type="dxa"/>
            <w:gridSpan w:val="2"/>
            <w:noWrap w:val="0"/>
            <w:vAlign w:val="top"/>
          </w:tcPr>
          <w:p w14:paraId="6D58D9FC">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r>
              <w:rPr>
                <w:rFonts w:hint="eastAsia" w:ascii="宋体" w:hAnsi="宋体" w:eastAsia="宋体" w:cs="宋体"/>
                <w:szCs w:val="21"/>
              </w:rPr>
              <w:t>利润总额（万元）</w:t>
            </w:r>
          </w:p>
        </w:tc>
        <w:tc>
          <w:tcPr>
            <w:tcW w:w="1080" w:type="dxa"/>
            <w:gridSpan w:val="2"/>
            <w:noWrap w:val="0"/>
            <w:vAlign w:val="top"/>
          </w:tcPr>
          <w:p w14:paraId="422230DC">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r>
              <w:rPr>
                <w:rFonts w:hint="eastAsia" w:ascii="宋体" w:hAnsi="宋体" w:eastAsia="宋体" w:cs="宋体"/>
                <w:szCs w:val="21"/>
              </w:rPr>
              <w:t>净利润（万元）</w:t>
            </w:r>
          </w:p>
        </w:tc>
        <w:tc>
          <w:tcPr>
            <w:tcW w:w="1357" w:type="dxa"/>
            <w:noWrap w:val="0"/>
            <w:vAlign w:val="top"/>
          </w:tcPr>
          <w:p w14:paraId="3EEE256C">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r>
              <w:rPr>
                <w:rFonts w:hint="eastAsia" w:ascii="宋体" w:hAnsi="宋体" w:eastAsia="宋体" w:cs="宋体"/>
                <w:szCs w:val="21"/>
              </w:rPr>
              <w:t>资产负债率</w:t>
            </w:r>
          </w:p>
        </w:tc>
      </w:tr>
      <w:tr w14:paraId="293D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noWrap w:val="0"/>
            <w:vAlign w:val="top"/>
          </w:tcPr>
          <w:p w14:paraId="01E3D633">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p>
        </w:tc>
        <w:tc>
          <w:tcPr>
            <w:tcW w:w="1418" w:type="dxa"/>
            <w:noWrap w:val="0"/>
            <w:vAlign w:val="top"/>
          </w:tcPr>
          <w:p w14:paraId="5EDBC23B">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p>
        </w:tc>
        <w:tc>
          <w:tcPr>
            <w:tcW w:w="1460" w:type="dxa"/>
            <w:noWrap w:val="0"/>
            <w:vAlign w:val="top"/>
          </w:tcPr>
          <w:p w14:paraId="3969C8CF">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p>
        </w:tc>
        <w:tc>
          <w:tcPr>
            <w:tcW w:w="1620" w:type="dxa"/>
            <w:gridSpan w:val="2"/>
            <w:noWrap w:val="0"/>
            <w:vAlign w:val="top"/>
          </w:tcPr>
          <w:p w14:paraId="1FE9E68A">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p>
        </w:tc>
        <w:tc>
          <w:tcPr>
            <w:tcW w:w="1260" w:type="dxa"/>
            <w:gridSpan w:val="2"/>
            <w:noWrap w:val="0"/>
            <w:vAlign w:val="top"/>
          </w:tcPr>
          <w:p w14:paraId="46BB4A02">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p>
        </w:tc>
        <w:tc>
          <w:tcPr>
            <w:tcW w:w="1080" w:type="dxa"/>
            <w:gridSpan w:val="2"/>
            <w:noWrap w:val="0"/>
            <w:vAlign w:val="top"/>
          </w:tcPr>
          <w:p w14:paraId="1CCC3FBD">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p>
        </w:tc>
        <w:tc>
          <w:tcPr>
            <w:tcW w:w="1357" w:type="dxa"/>
            <w:noWrap w:val="0"/>
            <w:vAlign w:val="top"/>
          </w:tcPr>
          <w:p w14:paraId="20D121E3">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p>
        </w:tc>
      </w:tr>
      <w:tr w14:paraId="203E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noWrap w:val="0"/>
            <w:vAlign w:val="top"/>
          </w:tcPr>
          <w:p w14:paraId="6F165109">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p>
        </w:tc>
        <w:tc>
          <w:tcPr>
            <w:tcW w:w="1418" w:type="dxa"/>
            <w:noWrap w:val="0"/>
            <w:vAlign w:val="top"/>
          </w:tcPr>
          <w:p w14:paraId="35FF63DF">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p>
        </w:tc>
        <w:tc>
          <w:tcPr>
            <w:tcW w:w="1460" w:type="dxa"/>
            <w:noWrap w:val="0"/>
            <w:vAlign w:val="top"/>
          </w:tcPr>
          <w:p w14:paraId="02308341">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p>
        </w:tc>
        <w:tc>
          <w:tcPr>
            <w:tcW w:w="1620" w:type="dxa"/>
            <w:gridSpan w:val="2"/>
            <w:noWrap w:val="0"/>
            <w:vAlign w:val="top"/>
          </w:tcPr>
          <w:p w14:paraId="63CE6312">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p>
        </w:tc>
        <w:tc>
          <w:tcPr>
            <w:tcW w:w="1260" w:type="dxa"/>
            <w:gridSpan w:val="2"/>
            <w:noWrap w:val="0"/>
            <w:vAlign w:val="top"/>
          </w:tcPr>
          <w:p w14:paraId="6EB0E28B">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p>
        </w:tc>
        <w:tc>
          <w:tcPr>
            <w:tcW w:w="1080" w:type="dxa"/>
            <w:gridSpan w:val="2"/>
            <w:noWrap w:val="0"/>
            <w:vAlign w:val="top"/>
          </w:tcPr>
          <w:p w14:paraId="7B730497">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p>
        </w:tc>
        <w:tc>
          <w:tcPr>
            <w:tcW w:w="1357" w:type="dxa"/>
            <w:noWrap w:val="0"/>
            <w:vAlign w:val="top"/>
          </w:tcPr>
          <w:p w14:paraId="795AE9EC">
            <w:pPr>
              <w:widowControl/>
              <w:tabs>
                <w:tab w:val="left" w:pos="540"/>
              </w:tabs>
              <w:kinsoku/>
              <w:overflowPunct/>
              <w:bidi w:val="0"/>
              <w:spacing w:line="360" w:lineRule="auto"/>
              <w:ind w:left="-132" w:leftChars="-64" w:right="-105" w:rightChars="-50" w:hanging="2"/>
              <w:jc w:val="center"/>
              <w:rPr>
                <w:rFonts w:hint="eastAsia" w:ascii="宋体" w:hAnsi="宋体" w:eastAsia="宋体" w:cs="宋体"/>
                <w:szCs w:val="21"/>
              </w:rPr>
            </w:pPr>
          </w:p>
        </w:tc>
      </w:tr>
    </w:tbl>
    <w:p w14:paraId="408189DD">
      <w:pPr>
        <w:widowControl w:val="0"/>
        <w:kinsoku/>
        <w:overflowPunct/>
        <w:bidi w:val="0"/>
        <w:spacing w:line="360" w:lineRule="auto"/>
        <w:jc w:val="both"/>
        <w:rPr>
          <w:rFonts w:hint="eastAsia" w:ascii="宋体" w:hAnsi="宋体" w:eastAsia="宋体" w:cs="宋体"/>
          <w:szCs w:val="21"/>
          <w:lang w:val="en-GB"/>
        </w:rPr>
      </w:pPr>
      <w:r>
        <w:rPr>
          <w:rFonts w:hint="eastAsia" w:ascii="宋体" w:hAnsi="宋体" w:eastAsia="宋体" w:cs="宋体"/>
          <w:szCs w:val="21"/>
          <w:lang w:val="en-GB"/>
        </w:rPr>
        <w:t>注：1）文字描述：单位性质、发展历程、经营规模及服务理念、主营产品、技术力量、实施履行本项目合同所必需的设备、财务状况等。</w:t>
      </w:r>
    </w:p>
    <w:p w14:paraId="6A0C59CD">
      <w:pPr>
        <w:widowControl w:val="0"/>
        <w:kinsoku/>
        <w:overflowPunct/>
        <w:bidi w:val="0"/>
        <w:spacing w:line="360" w:lineRule="auto"/>
        <w:jc w:val="both"/>
        <w:rPr>
          <w:rFonts w:hint="eastAsia" w:ascii="宋体" w:hAnsi="宋体" w:eastAsia="宋体" w:cs="宋体"/>
          <w:szCs w:val="21"/>
          <w:lang w:val="en-GB"/>
        </w:rPr>
      </w:pPr>
      <w:r>
        <w:rPr>
          <w:rFonts w:hint="eastAsia" w:ascii="宋体" w:hAnsi="宋体" w:eastAsia="宋体" w:cs="宋体"/>
          <w:szCs w:val="21"/>
          <w:lang w:val="en-GB"/>
        </w:rPr>
        <w:t>2) 图片描述：经营场所、主要或关键</w:t>
      </w:r>
      <w:r>
        <w:rPr>
          <w:rFonts w:hint="eastAsia" w:ascii="宋体" w:hAnsi="宋体" w:eastAsia="宋体" w:cs="宋体"/>
          <w:szCs w:val="21"/>
          <w:lang w:val="en-US" w:eastAsia="zh-CN"/>
        </w:rPr>
        <w:t>服务内容（产品）</w:t>
      </w:r>
      <w:r>
        <w:rPr>
          <w:rFonts w:hint="eastAsia" w:ascii="宋体" w:hAnsi="宋体" w:eastAsia="宋体" w:cs="宋体"/>
          <w:szCs w:val="21"/>
          <w:lang w:val="en-GB"/>
        </w:rPr>
        <w:t>介绍、场所等。</w:t>
      </w:r>
    </w:p>
    <w:p w14:paraId="0CCD9336">
      <w:pPr>
        <w:widowControl w:val="0"/>
        <w:kinsoku/>
        <w:overflowPunct/>
        <w:bidi w:val="0"/>
        <w:spacing w:line="360" w:lineRule="auto"/>
        <w:jc w:val="both"/>
        <w:rPr>
          <w:rFonts w:hint="eastAsia" w:ascii="宋体" w:hAnsi="宋体" w:eastAsia="宋体" w:cs="宋体"/>
          <w:szCs w:val="21"/>
          <w:lang w:val="en-GB"/>
        </w:rPr>
      </w:pPr>
      <w:r>
        <w:rPr>
          <w:rFonts w:hint="eastAsia" w:ascii="宋体" w:hAnsi="宋体" w:eastAsia="宋体" w:cs="宋体"/>
          <w:szCs w:val="21"/>
          <w:lang w:val="en-GB"/>
        </w:rPr>
        <w:t>3）供应商可提供上述情况的证明材料.</w:t>
      </w:r>
    </w:p>
    <w:p w14:paraId="227E8F55">
      <w:pPr>
        <w:widowControl w:val="0"/>
        <w:kinsoku/>
        <w:overflowPunct/>
        <w:bidi w:val="0"/>
        <w:spacing w:line="360" w:lineRule="auto"/>
        <w:jc w:val="both"/>
        <w:rPr>
          <w:rFonts w:hint="eastAsia" w:ascii="宋体" w:hAnsi="宋体" w:eastAsia="宋体" w:cs="宋体"/>
          <w:szCs w:val="21"/>
          <w:lang w:val="en-GB"/>
        </w:rPr>
      </w:pPr>
      <w:r>
        <w:rPr>
          <w:rFonts w:hint="eastAsia" w:ascii="宋体" w:hAnsi="宋体" w:eastAsia="宋体" w:cs="宋体"/>
          <w:szCs w:val="21"/>
          <w:lang w:val="en-GB"/>
        </w:rPr>
        <w:t>4）如供应商此表数据有虚假，一经查实，自行承担相关责任。</w:t>
      </w:r>
    </w:p>
    <w:p w14:paraId="3C0EEEC3">
      <w:pPr>
        <w:widowControl w:val="0"/>
        <w:kinsoku/>
        <w:overflowPunct/>
        <w:bidi w:val="0"/>
        <w:spacing w:line="360" w:lineRule="auto"/>
        <w:jc w:val="left"/>
        <w:rPr>
          <w:rFonts w:hint="eastAsia" w:ascii="宋体" w:hAnsi="宋体" w:eastAsia="宋体" w:cs="宋体"/>
          <w:b/>
          <w:bCs/>
          <w:szCs w:val="21"/>
        </w:rPr>
      </w:pPr>
    </w:p>
    <w:p w14:paraId="43851F56">
      <w:pPr>
        <w:widowControl w:val="0"/>
        <w:tabs>
          <w:tab w:val="left" w:pos="540"/>
        </w:tabs>
        <w:kinsoku/>
        <w:overflowPunct/>
        <w:bidi w:val="0"/>
        <w:spacing w:line="360" w:lineRule="auto"/>
        <w:jc w:val="both"/>
        <w:rPr>
          <w:rFonts w:hint="eastAsia" w:ascii="宋体" w:hAnsi="宋体" w:eastAsia="宋体" w:cs="宋体"/>
          <w:b/>
          <w:szCs w:val="21"/>
        </w:rPr>
      </w:pPr>
      <w:r>
        <w:rPr>
          <w:rFonts w:hint="eastAsia" w:ascii="宋体" w:hAnsi="宋体" w:eastAsia="宋体" w:cs="宋体"/>
          <w:b/>
          <w:bCs/>
          <w:szCs w:val="21"/>
        </w:rPr>
        <w:br w:type="page"/>
      </w:r>
      <w:r>
        <w:rPr>
          <w:rFonts w:hint="eastAsia" w:ascii="宋体" w:hAnsi="宋体" w:eastAsia="宋体" w:cs="宋体"/>
          <w:b/>
          <w:bCs/>
          <w:szCs w:val="21"/>
        </w:rPr>
        <w:t>二</w:t>
      </w:r>
      <w:r>
        <w:rPr>
          <w:rFonts w:hint="eastAsia" w:ascii="宋体" w:hAnsi="宋体" w:eastAsia="宋体" w:cs="宋体"/>
          <w:b/>
          <w:szCs w:val="21"/>
        </w:rPr>
        <w:t>、类似项目业绩概况表</w:t>
      </w:r>
    </w:p>
    <w:tbl>
      <w:tblPr>
        <w:tblStyle w:val="37"/>
        <w:tblW w:w="10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992"/>
        <w:gridCol w:w="1340"/>
        <w:gridCol w:w="1510"/>
        <w:gridCol w:w="857"/>
        <w:gridCol w:w="2839"/>
        <w:gridCol w:w="1195"/>
      </w:tblGrid>
      <w:tr w14:paraId="34D9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518" w:type="dxa"/>
            <w:shd w:val="clear" w:color="auto" w:fill="F3F3F3"/>
            <w:noWrap w:val="0"/>
            <w:vAlign w:val="center"/>
          </w:tcPr>
          <w:p w14:paraId="01104CA7">
            <w:pPr>
              <w:widowControl/>
              <w:kinsoku/>
              <w:overflowPunct/>
              <w:bidi w:val="0"/>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992" w:type="dxa"/>
            <w:shd w:val="clear" w:color="auto" w:fill="F3F3F3"/>
            <w:noWrap w:val="0"/>
            <w:vAlign w:val="center"/>
          </w:tcPr>
          <w:p w14:paraId="6EE8BC12">
            <w:pPr>
              <w:widowControl/>
              <w:kinsoku/>
              <w:overflowPunct/>
              <w:bidi w:val="0"/>
              <w:spacing w:line="360" w:lineRule="auto"/>
              <w:jc w:val="center"/>
              <w:rPr>
                <w:rFonts w:hint="eastAsia" w:ascii="宋体" w:hAnsi="宋体" w:eastAsia="宋体" w:cs="宋体"/>
                <w:b/>
                <w:bCs/>
                <w:szCs w:val="21"/>
              </w:rPr>
            </w:pPr>
            <w:r>
              <w:rPr>
                <w:rFonts w:hint="eastAsia" w:ascii="宋体" w:hAnsi="宋体" w:eastAsia="宋体" w:cs="宋体"/>
                <w:b/>
                <w:bCs/>
                <w:szCs w:val="21"/>
              </w:rPr>
              <w:t>客户名称</w:t>
            </w:r>
          </w:p>
          <w:p w14:paraId="02E4CAF4">
            <w:pPr>
              <w:widowControl/>
              <w:kinsoku/>
              <w:overflowPunct/>
              <w:bidi w:val="0"/>
              <w:spacing w:line="360" w:lineRule="auto"/>
              <w:jc w:val="center"/>
              <w:rPr>
                <w:rFonts w:hint="eastAsia" w:ascii="宋体" w:hAnsi="宋体" w:eastAsia="宋体" w:cs="宋体"/>
                <w:b/>
                <w:bCs/>
                <w:szCs w:val="21"/>
              </w:rPr>
            </w:pPr>
            <w:r>
              <w:rPr>
                <w:rFonts w:hint="eastAsia" w:ascii="宋体" w:hAnsi="宋体" w:eastAsia="宋体" w:cs="宋体"/>
                <w:b/>
                <w:bCs/>
                <w:szCs w:val="21"/>
              </w:rPr>
              <w:t>（合同甲方或买方）</w:t>
            </w:r>
          </w:p>
        </w:tc>
        <w:tc>
          <w:tcPr>
            <w:tcW w:w="1340" w:type="dxa"/>
            <w:shd w:val="clear" w:color="auto" w:fill="F3F3F3"/>
            <w:noWrap w:val="0"/>
            <w:vAlign w:val="center"/>
          </w:tcPr>
          <w:p w14:paraId="45B835F8">
            <w:pPr>
              <w:widowControl/>
              <w:kinsoku/>
              <w:overflowPunct/>
              <w:bidi w:val="0"/>
              <w:spacing w:line="360" w:lineRule="auto"/>
              <w:jc w:val="left"/>
              <w:rPr>
                <w:rFonts w:hint="eastAsia" w:ascii="宋体" w:hAnsi="宋体" w:eastAsia="宋体" w:cs="宋体"/>
                <w:b/>
                <w:bCs/>
                <w:szCs w:val="21"/>
              </w:rPr>
            </w:pPr>
            <w:r>
              <w:rPr>
                <w:rFonts w:hint="eastAsia" w:ascii="宋体" w:hAnsi="宋体" w:eastAsia="宋体" w:cs="宋体"/>
                <w:b/>
                <w:bCs/>
                <w:szCs w:val="21"/>
              </w:rPr>
              <w:t>项目名称</w:t>
            </w:r>
          </w:p>
        </w:tc>
        <w:tc>
          <w:tcPr>
            <w:tcW w:w="1510" w:type="dxa"/>
            <w:shd w:val="clear" w:color="auto" w:fill="F3F3F3"/>
            <w:noWrap w:val="0"/>
            <w:vAlign w:val="center"/>
          </w:tcPr>
          <w:p w14:paraId="62E3E65B">
            <w:pPr>
              <w:widowControl/>
              <w:kinsoku/>
              <w:overflowPunct/>
              <w:bidi w:val="0"/>
              <w:spacing w:line="360" w:lineRule="auto"/>
              <w:jc w:val="left"/>
              <w:rPr>
                <w:rFonts w:hint="eastAsia" w:ascii="宋体" w:hAnsi="宋体" w:eastAsia="宋体" w:cs="宋体"/>
                <w:b/>
                <w:bCs/>
                <w:szCs w:val="21"/>
              </w:rPr>
            </w:pPr>
            <w:r>
              <w:rPr>
                <w:rFonts w:hint="eastAsia" w:ascii="宋体" w:hAnsi="宋体" w:eastAsia="宋体" w:cs="宋体"/>
                <w:b/>
                <w:bCs/>
                <w:szCs w:val="21"/>
              </w:rPr>
              <w:t>合同金额（单位请以“元”填写）</w:t>
            </w:r>
          </w:p>
          <w:p w14:paraId="47AE63B2">
            <w:pPr>
              <w:widowControl/>
              <w:kinsoku/>
              <w:overflowPunct/>
              <w:bidi w:val="0"/>
              <w:spacing w:line="360" w:lineRule="auto"/>
              <w:jc w:val="left"/>
              <w:rPr>
                <w:rFonts w:hint="eastAsia" w:ascii="宋体" w:hAnsi="宋体" w:eastAsia="宋体" w:cs="宋体"/>
                <w:b/>
                <w:bCs/>
                <w:szCs w:val="21"/>
              </w:rPr>
            </w:pPr>
          </w:p>
        </w:tc>
        <w:tc>
          <w:tcPr>
            <w:tcW w:w="857" w:type="dxa"/>
            <w:shd w:val="clear" w:color="auto" w:fill="F3F3F3"/>
            <w:noWrap w:val="0"/>
            <w:vAlign w:val="center"/>
          </w:tcPr>
          <w:p w14:paraId="17C63C3E">
            <w:pPr>
              <w:widowControl/>
              <w:kinsoku/>
              <w:overflowPunct/>
              <w:bidi w:val="0"/>
              <w:spacing w:line="360" w:lineRule="auto"/>
              <w:jc w:val="left"/>
              <w:rPr>
                <w:rFonts w:hint="eastAsia" w:ascii="宋体" w:hAnsi="宋体" w:eastAsia="宋体" w:cs="宋体"/>
                <w:b/>
                <w:bCs/>
                <w:szCs w:val="21"/>
              </w:rPr>
            </w:pPr>
            <w:r>
              <w:rPr>
                <w:rFonts w:hint="eastAsia" w:ascii="宋体" w:hAnsi="宋体" w:eastAsia="宋体" w:cs="宋体"/>
                <w:b/>
                <w:bCs/>
                <w:szCs w:val="21"/>
              </w:rPr>
              <w:t>合同签订时间</w:t>
            </w:r>
          </w:p>
        </w:tc>
        <w:tc>
          <w:tcPr>
            <w:tcW w:w="2839" w:type="dxa"/>
            <w:shd w:val="clear" w:color="auto" w:fill="F3F3F3"/>
            <w:noWrap w:val="0"/>
            <w:vAlign w:val="center"/>
          </w:tcPr>
          <w:p w14:paraId="7D39799A">
            <w:pPr>
              <w:widowControl/>
              <w:kinsoku/>
              <w:overflowPunct/>
              <w:bidi w:val="0"/>
              <w:spacing w:line="360"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主要内容</w:t>
            </w:r>
          </w:p>
        </w:tc>
        <w:tc>
          <w:tcPr>
            <w:tcW w:w="1195" w:type="dxa"/>
            <w:shd w:val="clear" w:color="auto" w:fill="F3F3F3"/>
            <w:noWrap w:val="0"/>
            <w:vAlign w:val="center"/>
          </w:tcPr>
          <w:p w14:paraId="114D752A">
            <w:pPr>
              <w:widowControl/>
              <w:kinsoku/>
              <w:overflowPunct/>
              <w:bidi w:val="0"/>
              <w:spacing w:line="360" w:lineRule="auto"/>
              <w:jc w:val="center"/>
              <w:rPr>
                <w:rFonts w:hint="eastAsia" w:ascii="宋体" w:hAnsi="宋体" w:eastAsia="宋体" w:cs="宋体"/>
                <w:b/>
                <w:bCs/>
                <w:szCs w:val="21"/>
              </w:rPr>
            </w:pPr>
            <w:r>
              <w:rPr>
                <w:rFonts w:hint="eastAsia" w:ascii="宋体" w:hAnsi="宋体" w:eastAsia="宋体" w:cs="宋体"/>
                <w:b/>
                <w:bCs/>
                <w:szCs w:val="21"/>
              </w:rPr>
              <w:t>备注</w:t>
            </w:r>
          </w:p>
        </w:tc>
      </w:tr>
      <w:tr w14:paraId="25AE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518" w:type="dxa"/>
            <w:noWrap w:val="0"/>
            <w:vAlign w:val="center"/>
          </w:tcPr>
          <w:p w14:paraId="015E1897">
            <w:pPr>
              <w:widowControl/>
              <w:kinsoku/>
              <w:overflowPunct/>
              <w:bidi w:val="0"/>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1992" w:type="dxa"/>
            <w:noWrap w:val="0"/>
            <w:vAlign w:val="center"/>
          </w:tcPr>
          <w:p w14:paraId="0242DB61">
            <w:pPr>
              <w:widowControl/>
              <w:kinsoku/>
              <w:overflowPunct/>
              <w:bidi w:val="0"/>
              <w:spacing w:line="360" w:lineRule="auto"/>
              <w:jc w:val="center"/>
              <w:rPr>
                <w:rFonts w:hint="eastAsia" w:ascii="宋体" w:hAnsi="宋体" w:eastAsia="宋体" w:cs="宋体"/>
                <w:szCs w:val="21"/>
              </w:rPr>
            </w:pPr>
            <w:r>
              <w:rPr>
                <w:rFonts w:hint="eastAsia" w:ascii="宋体" w:hAnsi="宋体" w:eastAsia="宋体" w:cs="宋体"/>
                <w:szCs w:val="21"/>
              </w:rPr>
              <w:t>…</w:t>
            </w:r>
          </w:p>
        </w:tc>
        <w:tc>
          <w:tcPr>
            <w:tcW w:w="1340" w:type="dxa"/>
            <w:noWrap w:val="0"/>
            <w:vAlign w:val="center"/>
          </w:tcPr>
          <w:p w14:paraId="3175424A">
            <w:pPr>
              <w:widowControl/>
              <w:kinsoku/>
              <w:overflowPunct/>
              <w:bidi w:val="0"/>
              <w:spacing w:line="360" w:lineRule="auto"/>
              <w:jc w:val="center"/>
              <w:rPr>
                <w:rFonts w:hint="eastAsia" w:ascii="宋体" w:hAnsi="宋体" w:eastAsia="宋体" w:cs="宋体"/>
                <w:szCs w:val="21"/>
              </w:rPr>
            </w:pPr>
            <w:r>
              <w:rPr>
                <w:rFonts w:hint="eastAsia" w:ascii="宋体" w:hAnsi="宋体" w:eastAsia="宋体" w:cs="宋体"/>
                <w:szCs w:val="21"/>
              </w:rPr>
              <w:t>…</w:t>
            </w:r>
          </w:p>
        </w:tc>
        <w:tc>
          <w:tcPr>
            <w:tcW w:w="1510" w:type="dxa"/>
            <w:noWrap w:val="0"/>
            <w:vAlign w:val="center"/>
          </w:tcPr>
          <w:p w14:paraId="45E99037">
            <w:pPr>
              <w:widowControl/>
              <w:kinsoku/>
              <w:overflowPunct/>
              <w:bidi w:val="0"/>
              <w:spacing w:line="360" w:lineRule="auto"/>
              <w:jc w:val="center"/>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元</w:t>
            </w:r>
          </w:p>
        </w:tc>
        <w:tc>
          <w:tcPr>
            <w:tcW w:w="857" w:type="dxa"/>
            <w:noWrap w:val="0"/>
            <w:vAlign w:val="center"/>
          </w:tcPr>
          <w:p w14:paraId="09881C50">
            <w:pPr>
              <w:widowControl/>
              <w:kinsoku/>
              <w:overflowPunct/>
              <w:bidi w:val="0"/>
              <w:spacing w:line="360" w:lineRule="auto"/>
              <w:jc w:val="center"/>
              <w:rPr>
                <w:rFonts w:hint="eastAsia" w:ascii="宋体" w:hAnsi="宋体" w:eastAsia="宋体" w:cs="宋体"/>
                <w:szCs w:val="21"/>
              </w:rPr>
            </w:pPr>
            <w:r>
              <w:rPr>
                <w:rFonts w:hint="eastAsia" w:ascii="宋体" w:hAnsi="宋体" w:eastAsia="宋体" w:cs="宋体"/>
                <w:szCs w:val="21"/>
              </w:rPr>
              <w:t>…</w:t>
            </w:r>
          </w:p>
        </w:tc>
        <w:tc>
          <w:tcPr>
            <w:tcW w:w="2839" w:type="dxa"/>
            <w:noWrap w:val="0"/>
            <w:vAlign w:val="top"/>
          </w:tcPr>
          <w:p w14:paraId="2498D994">
            <w:pPr>
              <w:widowControl/>
              <w:kinsoku/>
              <w:overflowPunct/>
              <w:bidi w:val="0"/>
              <w:spacing w:line="360" w:lineRule="auto"/>
              <w:jc w:val="left"/>
              <w:rPr>
                <w:rFonts w:hint="eastAsia" w:ascii="宋体" w:hAnsi="宋体" w:eastAsia="宋体" w:cs="宋体"/>
                <w:szCs w:val="21"/>
              </w:rPr>
            </w:pPr>
          </w:p>
        </w:tc>
        <w:tc>
          <w:tcPr>
            <w:tcW w:w="1195" w:type="dxa"/>
            <w:noWrap w:val="0"/>
            <w:vAlign w:val="center"/>
          </w:tcPr>
          <w:p w14:paraId="6A931B05">
            <w:pPr>
              <w:widowControl/>
              <w:kinsoku/>
              <w:overflowPunct/>
              <w:bidi w:val="0"/>
              <w:spacing w:line="360" w:lineRule="auto"/>
              <w:jc w:val="left"/>
              <w:rPr>
                <w:rFonts w:hint="eastAsia" w:ascii="宋体" w:hAnsi="宋体" w:eastAsia="宋体" w:cs="宋体"/>
                <w:szCs w:val="21"/>
              </w:rPr>
            </w:pPr>
            <w:r>
              <w:rPr>
                <w:rFonts w:hint="eastAsia" w:ascii="宋体" w:hAnsi="宋体" w:eastAsia="宋体" w:cs="宋体"/>
                <w:szCs w:val="21"/>
              </w:rPr>
              <w:sym w:font="Wingdings 2" w:char="F030"/>
            </w:r>
            <w:r>
              <w:rPr>
                <w:rFonts w:hint="eastAsia" w:ascii="宋体" w:hAnsi="宋体" w:eastAsia="宋体" w:cs="宋体"/>
                <w:szCs w:val="21"/>
              </w:rPr>
              <w:t>是</w:t>
            </w:r>
          </w:p>
          <w:p w14:paraId="1FAA2873">
            <w:pPr>
              <w:widowControl/>
              <w:kinsoku/>
              <w:overflowPunct/>
              <w:bidi w:val="0"/>
              <w:spacing w:line="360" w:lineRule="auto"/>
              <w:jc w:val="left"/>
              <w:rPr>
                <w:rFonts w:hint="eastAsia" w:ascii="宋体" w:hAnsi="宋体" w:eastAsia="宋体" w:cs="宋体"/>
                <w:szCs w:val="21"/>
              </w:rPr>
            </w:pPr>
          </w:p>
          <w:p w14:paraId="22A8E279">
            <w:pPr>
              <w:widowControl/>
              <w:kinsoku/>
              <w:overflowPunct/>
              <w:bidi w:val="0"/>
              <w:spacing w:line="360" w:lineRule="auto"/>
              <w:jc w:val="left"/>
              <w:rPr>
                <w:rFonts w:hint="eastAsia" w:ascii="宋体" w:hAnsi="宋体" w:eastAsia="宋体" w:cs="宋体"/>
                <w:szCs w:val="21"/>
              </w:rPr>
            </w:pPr>
            <w:r>
              <w:rPr>
                <w:rFonts w:hint="eastAsia" w:ascii="宋体" w:hAnsi="宋体" w:eastAsia="宋体" w:cs="宋体"/>
                <w:szCs w:val="21"/>
              </w:rPr>
              <w:sym w:font="Wingdings 2" w:char="F030"/>
            </w:r>
            <w:r>
              <w:rPr>
                <w:rFonts w:hint="eastAsia" w:ascii="宋体" w:hAnsi="宋体" w:eastAsia="宋体" w:cs="宋体"/>
                <w:szCs w:val="21"/>
              </w:rPr>
              <w:t>否</w:t>
            </w:r>
          </w:p>
        </w:tc>
      </w:tr>
      <w:tr w14:paraId="37C64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518" w:type="dxa"/>
            <w:noWrap w:val="0"/>
            <w:vAlign w:val="center"/>
          </w:tcPr>
          <w:p w14:paraId="701C9828">
            <w:pPr>
              <w:widowControl/>
              <w:kinsoku/>
              <w:overflowPunct/>
              <w:bidi w:val="0"/>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1992" w:type="dxa"/>
            <w:noWrap w:val="0"/>
            <w:vAlign w:val="center"/>
          </w:tcPr>
          <w:p w14:paraId="00ABE89A">
            <w:pPr>
              <w:widowControl/>
              <w:kinsoku/>
              <w:overflowPunct/>
              <w:bidi w:val="0"/>
              <w:spacing w:line="360" w:lineRule="auto"/>
              <w:jc w:val="center"/>
              <w:rPr>
                <w:rFonts w:hint="eastAsia" w:ascii="宋体" w:hAnsi="宋体" w:eastAsia="宋体" w:cs="宋体"/>
                <w:szCs w:val="21"/>
              </w:rPr>
            </w:pPr>
          </w:p>
        </w:tc>
        <w:tc>
          <w:tcPr>
            <w:tcW w:w="1340" w:type="dxa"/>
            <w:noWrap w:val="0"/>
            <w:vAlign w:val="center"/>
          </w:tcPr>
          <w:p w14:paraId="4C6BC1E7">
            <w:pPr>
              <w:widowControl/>
              <w:kinsoku/>
              <w:overflowPunct/>
              <w:bidi w:val="0"/>
              <w:spacing w:line="360" w:lineRule="auto"/>
              <w:jc w:val="center"/>
              <w:rPr>
                <w:rFonts w:hint="eastAsia" w:ascii="宋体" w:hAnsi="宋体" w:eastAsia="宋体" w:cs="宋体"/>
                <w:szCs w:val="21"/>
              </w:rPr>
            </w:pPr>
          </w:p>
        </w:tc>
        <w:tc>
          <w:tcPr>
            <w:tcW w:w="1510" w:type="dxa"/>
            <w:noWrap w:val="0"/>
            <w:vAlign w:val="center"/>
          </w:tcPr>
          <w:p w14:paraId="3C9C9D8B">
            <w:pPr>
              <w:widowControl/>
              <w:kinsoku/>
              <w:overflowPunct/>
              <w:bidi w:val="0"/>
              <w:spacing w:line="360" w:lineRule="auto"/>
              <w:jc w:val="center"/>
              <w:rPr>
                <w:rFonts w:hint="eastAsia" w:ascii="宋体" w:hAnsi="宋体" w:eastAsia="宋体" w:cs="宋体"/>
                <w:szCs w:val="21"/>
              </w:rPr>
            </w:pPr>
          </w:p>
        </w:tc>
        <w:tc>
          <w:tcPr>
            <w:tcW w:w="857" w:type="dxa"/>
            <w:noWrap w:val="0"/>
            <w:vAlign w:val="center"/>
          </w:tcPr>
          <w:p w14:paraId="3D2362D4">
            <w:pPr>
              <w:widowControl/>
              <w:kinsoku/>
              <w:overflowPunct/>
              <w:bidi w:val="0"/>
              <w:spacing w:line="360" w:lineRule="auto"/>
              <w:jc w:val="left"/>
              <w:rPr>
                <w:rFonts w:hint="eastAsia" w:ascii="宋体" w:hAnsi="宋体" w:eastAsia="宋体" w:cs="宋体"/>
                <w:szCs w:val="21"/>
              </w:rPr>
            </w:pPr>
          </w:p>
        </w:tc>
        <w:tc>
          <w:tcPr>
            <w:tcW w:w="2839" w:type="dxa"/>
            <w:noWrap w:val="0"/>
            <w:vAlign w:val="center"/>
          </w:tcPr>
          <w:p w14:paraId="5559A8A2">
            <w:pPr>
              <w:widowControl/>
              <w:kinsoku/>
              <w:overflowPunct/>
              <w:bidi w:val="0"/>
              <w:spacing w:line="360" w:lineRule="auto"/>
              <w:ind w:left="-132" w:leftChars="-64" w:right="-105" w:rightChars="-50" w:hanging="2"/>
              <w:jc w:val="center"/>
              <w:rPr>
                <w:rFonts w:hint="eastAsia" w:ascii="宋体" w:hAnsi="宋体" w:eastAsia="宋体" w:cs="宋体"/>
                <w:b/>
                <w:szCs w:val="21"/>
                <w:lang w:val="en-GB"/>
              </w:rPr>
            </w:pPr>
          </w:p>
        </w:tc>
        <w:tc>
          <w:tcPr>
            <w:tcW w:w="1195" w:type="dxa"/>
            <w:noWrap w:val="0"/>
            <w:vAlign w:val="top"/>
          </w:tcPr>
          <w:p w14:paraId="3452F0BE">
            <w:pPr>
              <w:widowControl/>
              <w:kinsoku/>
              <w:overflowPunct/>
              <w:bidi w:val="0"/>
              <w:spacing w:line="360" w:lineRule="auto"/>
              <w:jc w:val="center"/>
              <w:rPr>
                <w:rFonts w:hint="eastAsia" w:ascii="宋体" w:hAnsi="宋体" w:eastAsia="宋体" w:cs="宋体"/>
                <w:szCs w:val="21"/>
              </w:rPr>
            </w:pPr>
          </w:p>
        </w:tc>
      </w:tr>
      <w:tr w14:paraId="5CFC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518" w:type="dxa"/>
            <w:noWrap w:val="0"/>
            <w:vAlign w:val="center"/>
          </w:tcPr>
          <w:p w14:paraId="78CD1FC4">
            <w:pPr>
              <w:widowControl/>
              <w:kinsoku/>
              <w:overflowPunct/>
              <w:bidi w:val="0"/>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1992" w:type="dxa"/>
            <w:noWrap w:val="0"/>
            <w:vAlign w:val="center"/>
          </w:tcPr>
          <w:p w14:paraId="4AD8A81B">
            <w:pPr>
              <w:widowControl/>
              <w:kinsoku/>
              <w:overflowPunct/>
              <w:bidi w:val="0"/>
              <w:spacing w:line="360" w:lineRule="auto"/>
              <w:jc w:val="center"/>
              <w:rPr>
                <w:rFonts w:hint="eastAsia" w:ascii="宋体" w:hAnsi="宋体" w:eastAsia="宋体" w:cs="宋体"/>
                <w:szCs w:val="21"/>
              </w:rPr>
            </w:pPr>
          </w:p>
        </w:tc>
        <w:tc>
          <w:tcPr>
            <w:tcW w:w="1340" w:type="dxa"/>
            <w:noWrap w:val="0"/>
            <w:vAlign w:val="center"/>
          </w:tcPr>
          <w:p w14:paraId="6009FD75">
            <w:pPr>
              <w:widowControl/>
              <w:kinsoku/>
              <w:overflowPunct/>
              <w:bidi w:val="0"/>
              <w:spacing w:line="360" w:lineRule="auto"/>
              <w:jc w:val="center"/>
              <w:rPr>
                <w:rFonts w:hint="eastAsia" w:ascii="宋体" w:hAnsi="宋体" w:eastAsia="宋体" w:cs="宋体"/>
                <w:szCs w:val="21"/>
              </w:rPr>
            </w:pPr>
          </w:p>
        </w:tc>
        <w:tc>
          <w:tcPr>
            <w:tcW w:w="1510" w:type="dxa"/>
            <w:noWrap w:val="0"/>
            <w:vAlign w:val="center"/>
          </w:tcPr>
          <w:p w14:paraId="55D74D50">
            <w:pPr>
              <w:widowControl/>
              <w:kinsoku/>
              <w:overflowPunct/>
              <w:bidi w:val="0"/>
              <w:spacing w:line="360" w:lineRule="auto"/>
              <w:jc w:val="center"/>
              <w:rPr>
                <w:rFonts w:hint="eastAsia" w:ascii="宋体" w:hAnsi="宋体" w:eastAsia="宋体" w:cs="宋体"/>
                <w:szCs w:val="21"/>
              </w:rPr>
            </w:pPr>
          </w:p>
        </w:tc>
        <w:tc>
          <w:tcPr>
            <w:tcW w:w="857" w:type="dxa"/>
            <w:noWrap w:val="0"/>
            <w:vAlign w:val="center"/>
          </w:tcPr>
          <w:p w14:paraId="1BC03EA5">
            <w:pPr>
              <w:widowControl/>
              <w:kinsoku/>
              <w:overflowPunct/>
              <w:bidi w:val="0"/>
              <w:spacing w:line="360" w:lineRule="auto"/>
              <w:jc w:val="left"/>
              <w:rPr>
                <w:rFonts w:hint="eastAsia" w:ascii="宋体" w:hAnsi="宋体" w:eastAsia="宋体" w:cs="宋体"/>
                <w:szCs w:val="21"/>
              </w:rPr>
            </w:pPr>
          </w:p>
        </w:tc>
        <w:tc>
          <w:tcPr>
            <w:tcW w:w="2839" w:type="dxa"/>
            <w:noWrap w:val="0"/>
            <w:vAlign w:val="center"/>
          </w:tcPr>
          <w:p w14:paraId="6B7437DD">
            <w:pPr>
              <w:widowControl/>
              <w:kinsoku/>
              <w:overflowPunct/>
              <w:bidi w:val="0"/>
              <w:spacing w:line="360" w:lineRule="auto"/>
              <w:ind w:left="-132" w:leftChars="-64" w:right="-105" w:rightChars="-50" w:hanging="2"/>
              <w:jc w:val="center"/>
              <w:rPr>
                <w:rFonts w:hint="eastAsia" w:ascii="宋体" w:hAnsi="宋体" w:eastAsia="宋体" w:cs="宋体"/>
                <w:b/>
                <w:szCs w:val="21"/>
                <w:lang w:val="en-GB"/>
              </w:rPr>
            </w:pPr>
          </w:p>
        </w:tc>
        <w:tc>
          <w:tcPr>
            <w:tcW w:w="1195" w:type="dxa"/>
            <w:noWrap w:val="0"/>
            <w:vAlign w:val="top"/>
          </w:tcPr>
          <w:p w14:paraId="7542A596">
            <w:pPr>
              <w:widowControl/>
              <w:kinsoku/>
              <w:overflowPunct/>
              <w:bidi w:val="0"/>
              <w:spacing w:line="360" w:lineRule="auto"/>
              <w:jc w:val="center"/>
              <w:rPr>
                <w:rFonts w:hint="eastAsia" w:ascii="宋体" w:hAnsi="宋体" w:eastAsia="宋体" w:cs="宋体"/>
                <w:szCs w:val="21"/>
              </w:rPr>
            </w:pPr>
          </w:p>
        </w:tc>
      </w:tr>
      <w:tr w14:paraId="23FB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518" w:type="dxa"/>
            <w:noWrap w:val="0"/>
            <w:vAlign w:val="center"/>
          </w:tcPr>
          <w:p w14:paraId="525D6824">
            <w:pPr>
              <w:widowControl/>
              <w:kinsoku/>
              <w:overflowPunct/>
              <w:bidi w:val="0"/>
              <w:spacing w:line="360" w:lineRule="auto"/>
              <w:jc w:val="center"/>
              <w:rPr>
                <w:rFonts w:hint="eastAsia" w:ascii="宋体" w:hAnsi="宋体" w:eastAsia="宋体" w:cs="宋体"/>
                <w:szCs w:val="21"/>
              </w:rPr>
            </w:pPr>
            <w:r>
              <w:rPr>
                <w:rFonts w:hint="eastAsia" w:ascii="宋体" w:hAnsi="宋体" w:eastAsia="宋体" w:cs="宋体"/>
                <w:szCs w:val="21"/>
              </w:rPr>
              <w:t>…</w:t>
            </w:r>
          </w:p>
        </w:tc>
        <w:tc>
          <w:tcPr>
            <w:tcW w:w="1992" w:type="dxa"/>
            <w:noWrap w:val="0"/>
            <w:vAlign w:val="center"/>
          </w:tcPr>
          <w:p w14:paraId="320C120A">
            <w:pPr>
              <w:widowControl/>
              <w:kinsoku/>
              <w:overflowPunct/>
              <w:bidi w:val="0"/>
              <w:spacing w:line="360" w:lineRule="auto"/>
              <w:jc w:val="center"/>
              <w:rPr>
                <w:rFonts w:hint="eastAsia" w:ascii="宋体" w:hAnsi="宋体" w:eastAsia="宋体" w:cs="宋体"/>
                <w:szCs w:val="21"/>
              </w:rPr>
            </w:pPr>
          </w:p>
        </w:tc>
        <w:tc>
          <w:tcPr>
            <w:tcW w:w="1340" w:type="dxa"/>
            <w:noWrap w:val="0"/>
            <w:vAlign w:val="center"/>
          </w:tcPr>
          <w:p w14:paraId="3A70F539">
            <w:pPr>
              <w:widowControl/>
              <w:kinsoku/>
              <w:overflowPunct/>
              <w:bidi w:val="0"/>
              <w:spacing w:line="360" w:lineRule="auto"/>
              <w:jc w:val="center"/>
              <w:rPr>
                <w:rFonts w:hint="eastAsia" w:ascii="宋体" w:hAnsi="宋体" w:eastAsia="宋体" w:cs="宋体"/>
                <w:szCs w:val="21"/>
              </w:rPr>
            </w:pPr>
          </w:p>
        </w:tc>
        <w:tc>
          <w:tcPr>
            <w:tcW w:w="1510" w:type="dxa"/>
            <w:noWrap w:val="0"/>
            <w:vAlign w:val="center"/>
          </w:tcPr>
          <w:p w14:paraId="43FA21AF">
            <w:pPr>
              <w:widowControl/>
              <w:kinsoku/>
              <w:overflowPunct/>
              <w:bidi w:val="0"/>
              <w:spacing w:line="360" w:lineRule="auto"/>
              <w:jc w:val="center"/>
              <w:rPr>
                <w:rFonts w:hint="eastAsia" w:ascii="宋体" w:hAnsi="宋体" w:eastAsia="宋体" w:cs="宋体"/>
                <w:szCs w:val="21"/>
              </w:rPr>
            </w:pPr>
          </w:p>
        </w:tc>
        <w:tc>
          <w:tcPr>
            <w:tcW w:w="857" w:type="dxa"/>
            <w:noWrap w:val="0"/>
            <w:vAlign w:val="center"/>
          </w:tcPr>
          <w:p w14:paraId="15B9B833">
            <w:pPr>
              <w:widowControl/>
              <w:kinsoku/>
              <w:overflowPunct/>
              <w:bidi w:val="0"/>
              <w:spacing w:line="360" w:lineRule="auto"/>
              <w:jc w:val="center"/>
              <w:rPr>
                <w:rFonts w:hint="eastAsia" w:ascii="宋体" w:hAnsi="宋体" w:eastAsia="宋体" w:cs="宋体"/>
                <w:szCs w:val="21"/>
              </w:rPr>
            </w:pPr>
          </w:p>
        </w:tc>
        <w:tc>
          <w:tcPr>
            <w:tcW w:w="2839" w:type="dxa"/>
            <w:noWrap w:val="0"/>
            <w:vAlign w:val="center"/>
          </w:tcPr>
          <w:p w14:paraId="6C667CD2">
            <w:pPr>
              <w:widowControl/>
              <w:kinsoku/>
              <w:overflowPunct/>
              <w:bidi w:val="0"/>
              <w:spacing w:line="360" w:lineRule="auto"/>
              <w:jc w:val="center"/>
              <w:rPr>
                <w:rFonts w:hint="eastAsia" w:ascii="宋体" w:hAnsi="宋体" w:eastAsia="宋体" w:cs="宋体"/>
                <w:szCs w:val="21"/>
              </w:rPr>
            </w:pPr>
          </w:p>
        </w:tc>
        <w:tc>
          <w:tcPr>
            <w:tcW w:w="1195" w:type="dxa"/>
            <w:noWrap w:val="0"/>
            <w:vAlign w:val="top"/>
          </w:tcPr>
          <w:p w14:paraId="5F60CD08">
            <w:pPr>
              <w:widowControl/>
              <w:kinsoku/>
              <w:overflowPunct/>
              <w:bidi w:val="0"/>
              <w:spacing w:line="360" w:lineRule="auto"/>
              <w:jc w:val="center"/>
              <w:rPr>
                <w:rFonts w:hint="eastAsia" w:ascii="宋体" w:hAnsi="宋体" w:eastAsia="宋体" w:cs="宋体"/>
                <w:szCs w:val="21"/>
              </w:rPr>
            </w:pPr>
          </w:p>
        </w:tc>
      </w:tr>
    </w:tbl>
    <w:p w14:paraId="6DB0C9DE">
      <w:pPr>
        <w:widowControl w:val="0"/>
        <w:kinsoku/>
        <w:overflowPunct/>
        <w:bidi w:val="0"/>
        <w:spacing w:line="360" w:lineRule="auto"/>
        <w:jc w:val="both"/>
        <w:rPr>
          <w:rFonts w:hint="eastAsia" w:ascii="宋体" w:hAnsi="宋体" w:eastAsia="宋体" w:cs="宋体"/>
          <w:b/>
          <w:szCs w:val="21"/>
          <w:lang w:val="en-GB"/>
        </w:rPr>
      </w:pPr>
      <w:r>
        <w:rPr>
          <w:rFonts w:hint="eastAsia" w:ascii="宋体" w:hAnsi="宋体" w:eastAsia="宋体" w:cs="宋体"/>
          <w:b/>
          <w:szCs w:val="21"/>
          <w:lang w:val="en-GB"/>
        </w:rPr>
        <w:t>注：供应商应按评审要求提供相关业绩证明文件</w:t>
      </w:r>
      <w:r>
        <w:rPr>
          <w:rFonts w:hint="eastAsia" w:ascii="宋体" w:hAnsi="宋体" w:eastAsia="宋体" w:cs="宋体"/>
          <w:b/>
          <w:szCs w:val="21"/>
          <w:lang w:val="en-GB" w:eastAsia="zh-CN"/>
        </w:rPr>
        <w:t>（</w:t>
      </w:r>
      <w:r>
        <w:rPr>
          <w:rFonts w:hint="eastAsia" w:ascii="宋体" w:hAnsi="宋体" w:eastAsia="宋体" w:cs="宋体"/>
          <w:b/>
          <w:szCs w:val="21"/>
          <w:lang w:val="en-US" w:eastAsia="zh-CN"/>
        </w:rPr>
        <w:t>具体评分要求详见评标办法</w:t>
      </w:r>
      <w:r>
        <w:rPr>
          <w:rFonts w:hint="eastAsia" w:ascii="宋体" w:hAnsi="宋体" w:eastAsia="宋体" w:cs="宋体"/>
          <w:b/>
          <w:szCs w:val="21"/>
          <w:lang w:val="en-GB" w:eastAsia="zh-CN"/>
        </w:rPr>
        <w:t>）</w:t>
      </w:r>
      <w:r>
        <w:rPr>
          <w:rFonts w:hint="eastAsia" w:ascii="宋体" w:hAnsi="宋体" w:eastAsia="宋体" w:cs="宋体"/>
          <w:b/>
          <w:szCs w:val="21"/>
          <w:lang w:val="en-GB"/>
        </w:rPr>
        <w:t>。</w:t>
      </w:r>
    </w:p>
    <w:p w14:paraId="064ECB36">
      <w:pPr>
        <w:widowControl w:val="0"/>
        <w:tabs>
          <w:tab w:val="left" w:pos="540"/>
        </w:tabs>
        <w:kinsoku/>
        <w:overflowPunct/>
        <w:bidi w:val="0"/>
        <w:spacing w:line="360" w:lineRule="auto"/>
        <w:jc w:val="both"/>
        <w:rPr>
          <w:rFonts w:hint="eastAsia" w:ascii="宋体" w:hAnsi="宋体" w:eastAsia="宋体" w:cs="宋体"/>
          <w:b/>
          <w:szCs w:val="21"/>
        </w:rPr>
      </w:pPr>
    </w:p>
    <w:p w14:paraId="0D59A049">
      <w:pPr>
        <w:widowControl w:val="0"/>
        <w:kinsoku/>
        <w:overflowPunct/>
        <w:bidi w:val="0"/>
        <w:spacing w:line="360" w:lineRule="auto"/>
        <w:ind w:firstLine="420"/>
        <w:jc w:val="both"/>
        <w:rPr>
          <w:rFonts w:hint="eastAsia" w:ascii="宋体" w:hAnsi="宋体" w:eastAsia="宋体" w:cs="宋体"/>
          <w:b/>
          <w:szCs w:val="21"/>
        </w:rPr>
      </w:pPr>
      <w:r>
        <w:rPr>
          <w:rFonts w:hint="eastAsia" w:ascii="宋体" w:hAnsi="宋体" w:eastAsia="宋体" w:cs="宋体"/>
          <w:szCs w:val="24"/>
        </w:rPr>
        <w:br w:type="page"/>
      </w:r>
      <w:r>
        <w:rPr>
          <w:rFonts w:hint="eastAsia" w:ascii="宋体" w:hAnsi="宋体" w:eastAsia="宋体" w:cs="宋体"/>
          <w:b/>
          <w:szCs w:val="21"/>
          <w:lang w:val="en-US" w:eastAsia="zh-CN"/>
        </w:rPr>
        <w:t>三</w:t>
      </w:r>
      <w:r>
        <w:rPr>
          <w:rFonts w:hint="eastAsia" w:ascii="宋体" w:hAnsi="宋体" w:eastAsia="宋体" w:cs="宋体"/>
          <w:b/>
          <w:szCs w:val="21"/>
        </w:rPr>
        <w:t>、拟任执行管理及技术人员情况</w:t>
      </w:r>
    </w:p>
    <w:tbl>
      <w:tblPr>
        <w:tblStyle w:val="37"/>
        <w:tblW w:w="0" w:type="auto"/>
        <w:tblInd w:w="-2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513"/>
        <w:gridCol w:w="946"/>
        <w:gridCol w:w="2751"/>
        <w:gridCol w:w="758"/>
        <w:gridCol w:w="758"/>
        <w:gridCol w:w="1699"/>
      </w:tblGrid>
      <w:tr w14:paraId="6840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exact"/>
        </w:trPr>
        <w:tc>
          <w:tcPr>
            <w:tcW w:w="1636" w:type="dxa"/>
            <w:tcBorders>
              <w:top w:val="single" w:color="auto" w:sz="4" w:space="0"/>
              <w:left w:val="single" w:color="auto" w:sz="4" w:space="0"/>
              <w:bottom w:val="nil"/>
              <w:right w:val="single" w:color="auto" w:sz="4" w:space="0"/>
            </w:tcBorders>
            <w:shd w:val="clear" w:color="auto" w:fill="F3F3F3"/>
            <w:noWrap w:val="0"/>
            <w:vAlign w:val="center"/>
          </w:tcPr>
          <w:p w14:paraId="718026B0">
            <w:pPr>
              <w:widowControl/>
              <w:kinsoku/>
              <w:overflowPunct/>
              <w:bidi w:val="0"/>
              <w:spacing w:line="360" w:lineRule="auto"/>
              <w:jc w:val="center"/>
              <w:rPr>
                <w:rFonts w:hint="eastAsia" w:ascii="宋体" w:hAnsi="宋体" w:eastAsia="宋体" w:cs="宋体"/>
                <w:b/>
                <w:bCs/>
                <w:szCs w:val="21"/>
              </w:rPr>
            </w:pPr>
            <w:r>
              <w:rPr>
                <w:rFonts w:hint="eastAsia" w:ascii="宋体" w:hAnsi="宋体" w:eastAsia="宋体" w:cs="宋体"/>
                <w:b/>
                <w:bCs/>
                <w:szCs w:val="21"/>
              </w:rPr>
              <w:t>职责分工</w:t>
            </w:r>
          </w:p>
        </w:tc>
        <w:tc>
          <w:tcPr>
            <w:tcW w:w="1513" w:type="dxa"/>
            <w:tcBorders>
              <w:top w:val="single" w:color="auto" w:sz="4" w:space="0"/>
              <w:left w:val="single" w:color="auto" w:sz="4" w:space="0"/>
              <w:bottom w:val="nil"/>
              <w:right w:val="single" w:color="auto" w:sz="4" w:space="0"/>
            </w:tcBorders>
            <w:shd w:val="clear" w:color="auto" w:fill="F3F3F3"/>
            <w:noWrap w:val="0"/>
            <w:vAlign w:val="center"/>
          </w:tcPr>
          <w:p w14:paraId="4D9BFFF4">
            <w:pPr>
              <w:widowControl/>
              <w:kinsoku/>
              <w:overflowPunct/>
              <w:bidi w:val="0"/>
              <w:spacing w:line="360" w:lineRule="auto"/>
              <w:jc w:val="center"/>
              <w:rPr>
                <w:rFonts w:hint="eastAsia" w:ascii="宋体" w:hAnsi="宋体" w:eastAsia="宋体" w:cs="宋体"/>
                <w:b/>
                <w:bCs/>
                <w:szCs w:val="21"/>
              </w:rPr>
            </w:pPr>
            <w:r>
              <w:rPr>
                <w:rFonts w:hint="eastAsia" w:ascii="宋体" w:hAnsi="宋体" w:eastAsia="宋体" w:cs="宋体"/>
                <w:b/>
                <w:bCs/>
                <w:szCs w:val="21"/>
              </w:rPr>
              <w:t>姓名</w:t>
            </w:r>
          </w:p>
        </w:tc>
        <w:tc>
          <w:tcPr>
            <w:tcW w:w="946" w:type="dxa"/>
            <w:tcBorders>
              <w:top w:val="single" w:color="auto" w:sz="4" w:space="0"/>
              <w:left w:val="single" w:color="auto" w:sz="4" w:space="0"/>
              <w:bottom w:val="nil"/>
            </w:tcBorders>
            <w:shd w:val="clear" w:color="auto" w:fill="F3F3F3"/>
            <w:noWrap w:val="0"/>
            <w:vAlign w:val="center"/>
          </w:tcPr>
          <w:p w14:paraId="73CA8DC4">
            <w:pPr>
              <w:widowControl/>
              <w:kinsoku/>
              <w:overflowPunct/>
              <w:bidi w:val="0"/>
              <w:spacing w:line="360" w:lineRule="auto"/>
              <w:jc w:val="center"/>
              <w:rPr>
                <w:rFonts w:hint="eastAsia" w:ascii="宋体" w:hAnsi="宋体" w:eastAsia="宋体" w:cs="宋体"/>
                <w:b/>
                <w:bCs/>
                <w:szCs w:val="21"/>
              </w:rPr>
            </w:pPr>
            <w:r>
              <w:rPr>
                <w:rFonts w:hint="eastAsia" w:ascii="宋体" w:hAnsi="宋体" w:eastAsia="宋体" w:cs="宋体"/>
                <w:b/>
                <w:bCs/>
                <w:szCs w:val="21"/>
              </w:rPr>
              <w:t>现职务</w:t>
            </w:r>
          </w:p>
        </w:tc>
        <w:tc>
          <w:tcPr>
            <w:tcW w:w="2751" w:type="dxa"/>
            <w:tcBorders>
              <w:top w:val="single" w:color="auto" w:sz="4" w:space="0"/>
              <w:bottom w:val="nil"/>
            </w:tcBorders>
            <w:shd w:val="clear" w:color="auto" w:fill="F3F3F3"/>
            <w:noWrap w:val="0"/>
            <w:vAlign w:val="center"/>
          </w:tcPr>
          <w:p w14:paraId="2D950DE8">
            <w:pPr>
              <w:widowControl/>
              <w:kinsoku/>
              <w:overflowPunct/>
              <w:bidi w:val="0"/>
              <w:spacing w:line="360" w:lineRule="auto"/>
              <w:jc w:val="center"/>
              <w:rPr>
                <w:rFonts w:hint="eastAsia" w:ascii="宋体" w:hAnsi="宋体" w:eastAsia="宋体" w:cs="宋体"/>
                <w:b/>
                <w:bCs/>
                <w:szCs w:val="21"/>
              </w:rPr>
            </w:pPr>
            <w:r>
              <w:rPr>
                <w:rFonts w:hint="eastAsia" w:ascii="宋体" w:hAnsi="宋体" w:eastAsia="宋体" w:cs="宋体"/>
                <w:b/>
                <w:bCs/>
                <w:szCs w:val="21"/>
              </w:rPr>
              <w:t>曾主持/参与的同类项目经历</w:t>
            </w:r>
          </w:p>
        </w:tc>
        <w:tc>
          <w:tcPr>
            <w:tcW w:w="758" w:type="dxa"/>
            <w:tcBorders>
              <w:top w:val="single" w:color="auto" w:sz="4" w:space="0"/>
              <w:bottom w:val="nil"/>
            </w:tcBorders>
            <w:shd w:val="clear" w:color="auto" w:fill="F3F3F3"/>
            <w:noWrap w:val="0"/>
            <w:vAlign w:val="center"/>
          </w:tcPr>
          <w:p w14:paraId="4F67B753">
            <w:pPr>
              <w:widowControl/>
              <w:kinsoku/>
              <w:overflowPunct/>
              <w:bidi w:val="0"/>
              <w:spacing w:line="360" w:lineRule="auto"/>
              <w:jc w:val="center"/>
              <w:rPr>
                <w:rFonts w:hint="eastAsia" w:ascii="宋体" w:hAnsi="宋体" w:eastAsia="宋体" w:cs="宋体"/>
                <w:b/>
                <w:bCs/>
                <w:szCs w:val="21"/>
              </w:rPr>
            </w:pPr>
            <w:r>
              <w:rPr>
                <w:rFonts w:hint="eastAsia" w:ascii="宋体" w:hAnsi="宋体" w:eastAsia="宋体" w:cs="宋体"/>
                <w:b/>
                <w:bCs/>
                <w:szCs w:val="21"/>
              </w:rPr>
              <w:t>职称</w:t>
            </w:r>
          </w:p>
        </w:tc>
        <w:tc>
          <w:tcPr>
            <w:tcW w:w="758" w:type="dxa"/>
            <w:tcBorders>
              <w:top w:val="single" w:color="auto" w:sz="4" w:space="0"/>
              <w:bottom w:val="nil"/>
              <w:right w:val="single" w:color="auto" w:sz="4" w:space="0"/>
            </w:tcBorders>
            <w:shd w:val="clear" w:color="auto" w:fill="F3F3F3"/>
            <w:noWrap w:val="0"/>
            <w:vAlign w:val="center"/>
          </w:tcPr>
          <w:p w14:paraId="70B7E921">
            <w:pPr>
              <w:widowControl/>
              <w:kinsoku/>
              <w:overflowPunct/>
              <w:bidi w:val="0"/>
              <w:spacing w:line="360" w:lineRule="auto"/>
              <w:jc w:val="center"/>
              <w:rPr>
                <w:rFonts w:hint="eastAsia" w:ascii="宋体" w:hAnsi="宋体" w:eastAsia="宋体" w:cs="宋体"/>
                <w:b/>
                <w:bCs/>
                <w:szCs w:val="21"/>
              </w:rPr>
            </w:pPr>
            <w:r>
              <w:rPr>
                <w:rFonts w:hint="eastAsia" w:ascii="宋体" w:hAnsi="宋体" w:eastAsia="宋体" w:cs="宋体"/>
                <w:b/>
                <w:bCs/>
                <w:szCs w:val="21"/>
              </w:rPr>
              <w:t>专业工龄</w:t>
            </w:r>
          </w:p>
        </w:tc>
        <w:tc>
          <w:tcPr>
            <w:tcW w:w="1699" w:type="dxa"/>
            <w:tcBorders>
              <w:top w:val="single" w:color="auto" w:sz="4" w:space="0"/>
              <w:bottom w:val="nil"/>
              <w:right w:val="single" w:color="auto" w:sz="4" w:space="0"/>
            </w:tcBorders>
            <w:shd w:val="clear" w:color="auto" w:fill="F3F3F3"/>
            <w:noWrap w:val="0"/>
            <w:vAlign w:val="center"/>
          </w:tcPr>
          <w:p w14:paraId="1BD378F5">
            <w:pPr>
              <w:widowControl/>
              <w:kinsoku/>
              <w:overflowPunct/>
              <w:bidi w:val="0"/>
              <w:spacing w:line="360" w:lineRule="auto"/>
              <w:jc w:val="center"/>
              <w:rPr>
                <w:rFonts w:hint="eastAsia" w:ascii="宋体" w:hAnsi="宋体" w:eastAsia="宋体" w:cs="宋体"/>
                <w:b/>
                <w:bCs/>
                <w:szCs w:val="21"/>
              </w:rPr>
            </w:pPr>
            <w:r>
              <w:rPr>
                <w:rFonts w:hint="eastAsia" w:ascii="宋体" w:hAnsi="宋体" w:eastAsia="宋体" w:cs="宋体"/>
                <w:b/>
                <w:bCs/>
                <w:szCs w:val="21"/>
              </w:rPr>
              <w:t>联系电话/手机</w:t>
            </w:r>
          </w:p>
        </w:tc>
      </w:tr>
      <w:tr w14:paraId="03089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exact"/>
        </w:trPr>
        <w:tc>
          <w:tcPr>
            <w:tcW w:w="1636" w:type="dxa"/>
            <w:tcBorders>
              <w:top w:val="single" w:color="auto" w:sz="4" w:space="0"/>
              <w:left w:val="single" w:color="auto" w:sz="4" w:space="0"/>
              <w:bottom w:val="nil"/>
              <w:right w:val="single" w:color="auto" w:sz="4" w:space="0"/>
            </w:tcBorders>
            <w:noWrap w:val="0"/>
            <w:vAlign w:val="center"/>
          </w:tcPr>
          <w:p w14:paraId="1B08ECC0">
            <w:pPr>
              <w:widowControl/>
              <w:kinsoku/>
              <w:overflowPunct/>
              <w:bidi w:val="0"/>
              <w:spacing w:line="360" w:lineRule="auto"/>
              <w:jc w:val="left"/>
              <w:rPr>
                <w:rFonts w:hint="eastAsia" w:ascii="宋体" w:hAnsi="宋体" w:eastAsia="宋体" w:cs="宋体"/>
                <w:szCs w:val="21"/>
              </w:rPr>
            </w:pPr>
            <w:r>
              <w:rPr>
                <w:rFonts w:hint="eastAsia" w:ascii="宋体" w:hAnsi="宋体" w:eastAsia="宋体" w:cs="宋体"/>
                <w:szCs w:val="21"/>
              </w:rPr>
              <w:t>负责人</w:t>
            </w:r>
          </w:p>
        </w:tc>
        <w:tc>
          <w:tcPr>
            <w:tcW w:w="1513" w:type="dxa"/>
            <w:tcBorders>
              <w:top w:val="single" w:color="auto" w:sz="4" w:space="0"/>
              <w:left w:val="single" w:color="auto" w:sz="4" w:space="0"/>
              <w:bottom w:val="nil"/>
              <w:right w:val="single" w:color="auto" w:sz="4" w:space="0"/>
            </w:tcBorders>
            <w:noWrap w:val="0"/>
            <w:vAlign w:val="center"/>
          </w:tcPr>
          <w:p w14:paraId="42CE313F">
            <w:pPr>
              <w:widowControl/>
              <w:kinsoku/>
              <w:overflowPunct/>
              <w:bidi w:val="0"/>
              <w:spacing w:line="360" w:lineRule="auto"/>
              <w:jc w:val="center"/>
              <w:rPr>
                <w:rFonts w:hint="eastAsia" w:ascii="宋体" w:hAnsi="宋体" w:eastAsia="宋体" w:cs="宋体"/>
                <w:szCs w:val="21"/>
              </w:rPr>
            </w:pPr>
          </w:p>
        </w:tc>
        <w:tc>
          <w:tcPr>
            <w:tcW w:w="946" w:type="dxa"/>
            <w:tcBorders>
              <w:top w:val="single" w:color="auto" w:sz="4" w:space="0"/>
              <w:left w:val="single" w:color="auto" w:sz="4" w:space="0"/>
              <w:bottom w:val="nil"/>
            </w:tcBorders>
            <w:noWrap w:val="0"/>
            <w:vAlign w:val="center"/>
          </w:tcPr>
          <w:p w14:paraId="02B39BA5">
            <w:pPr>
              <w:widowControl/>
              <w:kinsoku/>
              <w:overflowPunct/>
              <w:bidi w:val="0"/>
              <w:spacing w:line="360" w:lineRule="auto"/>
              <w:jc w:val="center"/>
              <w:rPr>
                <w:rFonts w:hint="eastAsia" w:ascii="宋体" w:hAnsi="宋体" w:eastAsia="宋体" w:cs="宋体"/>
                <w:szCs w:val="21"/>
              </w:rPr>
            </w:pPr>
          </w:p>
        </w:tc>
        <w:tc>
          <w:tcPr>
            <w:tcW w:w="2751" w:type="dxa"/>
            <w:tcBorders>
              <w:top w:val="single" w:color="auto" w:sz="4" w:space="0"/>
              <w:bottom w:val="nil"/>
            </w:tcBorders>
            <w:noWrap w:val="0"/>
            <w:vAlign w:val="center"/>
          </w:tcPr>
          <w:p w14:paraId="53C41067">
            <w:pPr>
              <w:widowControl/>
              <w:kinsoku/>
              <w:overflowPunct/>
              <w:bidi w:val="0"/>
              <w:spacing w:line="360" w:lineRule="auto"/>
              <w:jc w:val="center"/>
              <w:rPr>
                <w:rFonts w:hint="eastAsia" w:ascii="宋体" w:hAnsi="宋体" w:eastAsia="宋体" w:cs="宋体"/>
                <w:szCs w:val="21"/>
              </w:rPr>
            </w:pPr>
          </w:p>
        </w:tc>
        <w:tc>
          <w:tcPr>
            <w:tcW w:w="758" w:type="dxa"/>
            <w:tcBorders>
              <w:top w:val="single" w:color="auto" w:sz="4" w:space="0"/>
              <w:bottom w:val="nil"/>
            </w:tcBorders>
            <w:noWrap w:val="0"/>
            <w:vAlign w:val="center"/>
          </w:tcPr>
          <w:p w14:paraId="2C6C3581">
            <w:pPr>
              <w:widowControl/>
              <w:kinsoku/>
              <w:overflowPunct/>
              <w:bidi w:val="0"/>
              <w:spacing w:line="360" w:lineRule="auto"/>
              <w:jc w:val="center"/>
              <w:rPr>
                <w:rFonts w:hint="eastAsia" w:ascii="宋体" w:hAnsi="宋体" w:eastAsia="宋体" w:cs="宋体"/>
                <w:szCs w:val="21"/>
              </w:rPr>
            </w:pPr>
          </w:p>
        </w:tc>
        <w:tc>
          <w:tcPr>
            <w:tcW w:w="758" w:type="dxa"/>
            <w:tcBorders>
              <w:top w:val="single" w:color="auto" w:sz="4" w:space="0"/>
              <w:bottom w:val="nil"/>
              <w:right w:val="single" w:color="auto" w:sz="4" w:space="0"/>
            </w:tcBorders>
            <w:noWrap w:val="0"/>
            <w:vAlign w:val="center"/>
          </w:tcPr>
          <w:p w14:paraId="2AFC5726">
            <w:pPr>
              <w:widowControl/>
              <w:kinsoku/>
              <w:overflowPunct/>
              <w:bidi w:val="0"/>
              <w:spacing w:line="360" w:lineRule="auto"/>
              <w:ind w:firstLine="12"/>
              <w:jc w:val="center"/>
              <w:rPr>
                <w:rFonts w:hint="eastAsia" w:ascii="宋体" w:hAnsi="宋体" w:eastAsia="宋体" w:cs="宋体"/>
                <w:szCs w:val="21"/>
              </w:rPr>
            </w:pPr>
          </w:p>
        </w:tc>
        <w:tc>
          <w:tcPr>
            <w:tcW w:w="1699" w:type="dxa"/>
            <w:tcBorders>
              <w:top w:val="single" w:color="auto" w:sz="4" w:space="0"/>
              <w:bottom w:val="nil"/>
              <w:right w:val="single" w:color="auto" w:sz="4" w:space="0"/>
            </w:tcBorders>
            <w:noWrap w:val="0"/>
            <w:vAlign w:val="center"/>
          </w:tcPr>
          <w:p w14:paraId="1813C237">
            <w:pPr>
              <w:widowControl/>
              <w:kinsoku/>
              <w:overflowPunct/>
              <w:bidi w:val="0"/>
              <w:spacing w:line="360" w:lineRule="auto"/>
              <w:ind w:firstLine="12"/>
              <w:jc w:val="center"/>
              <w:rPr>
                <w:rFonts w:hint="eastAsia" w:ascii="宋体" w:hAnsi="宋体" w:eastAsia="宋体" w:cs="宋体"/>
                <w:szCs w:val="21"/>
              </w:rPr>
            </w:pPr>
          </w:p>
        </w:tc>
      </w:tr>
      <w:tr w14:paraId="14C6A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exact"/>
        </w:trPr>
        <w:tc>
          <w:tcPr>
            <w:tcW w:w="1636" w:type="dxa"/>
            <w:vMerge w:val="restart"/>
            <w:tcBorders>
              <w:left w:val="single" w:color="auto" w:sz="4" w:space="0"/>
              <w:right w:val="single" w:color="auto" w:sz="4" w:space="0"/>
            </w:tcBorders>
            <w:noWrap w:val="0"/>
            <w:vAlign w:val="center"/>
          </w:tcPr>
          <w:p w14:paraId="131CF3E9">
            <w:pPr>
              <w:widowControl/>
              <w:kinsoku/>
              <w:overflowPunct/>
              <w:bidi w:val="0"/>
              <w:spacing w:line="360" w:lineRule="auto"/>
              <w:jc w:val="left"/>
              <w:rPr>
                <w:rFonts w:hint="eastAsia" w:ascii="宋体" w:hAnsi="宋体" w:eastAsia="宋体" w:cs="宋体"/>
                <w:szCs w:val="21"/>
              </w:rPr>
            </w:pPr>
            <w:r>
              <w:rPr>
                <w:rFonts w:hint="eastAsia" w:ascii="宋体" w:hAnsi="宋体" w:eastAsia="宋体" w:cs="宋体"/>
                <w:szCs w:val="21"/>
              </w:rPr>
              <w:t>其他主要技术人员</w:t>
            </w:r>
          </w:p>
        </w:tc>
        <w:tc>
          <w:tcPr>
            <w:tcW w:w="1513" w:type="dxa"/>
            <w:tcBorders>
              <w:left w:val="single" w:color="auto" w:sz="4" w:space="0"/>
              <w:right w:val="single" w:color="auto" w:sz="4" w:space="0"/>
            </w:tcBorders>
            <w:noWrap w:val="0"/>
            <w:vAlign w:val="center"/>
          </w:tcPr>
          <w:p w14:paraId="38F847E4">
            <w:pPr>
              <w:widowControl/>
              <w:kinsoku/>
              <w:overflowPunct/>
              <w:bidi w:val="0"/>
              <w:spacing w:line="360" w:lineRule="auto"/>
              <w:jc w:val="center"/>
              <w:rPr>
                <w:rFonts w:hint="eastAsia" w:ascii="宋体" w:hAnsi="宋体" w:eastAsia="宋体" w:cs="宋体"/>
                <w:szCs w:val="21"/>
              </w:rPr>
            </w:pPr>
          </w:p>
        </w:tc>
        <w:tc>
          <w:tcPr>
            <w:tcW w:w="946" w:type="dxa"/>
            <w:tcBorders>
              <w:left w:val="single" w:color="auto" w:sz="4" w:space="0"/>
            </w:tcBorders>
            <w:noWrap w:val="0"/>
            <w:vAlign w:val="center"/>
          </w:tcPr>
          <w:p w14:paraId="65256F35">
            <w:pPr>
              <w:widowControl/>
              <w:kinsoku/>
              <w:overflowPunct/>
              <w:bidi w:val="0"/>
              <w:spacing w:line="360" w:lineRule="auto"/>
              <w:jc w:val="center"/>
              <w:rPr>
                <w:rFonts w:hint="eastAsia" w:ascii="宋体" w:hAnsi="宋体" w:eastAsia="宋体" w:cs="宋体"/>
                <w:szCs w:val="21"/>
              </w:rPr>
            </w:pPr>
          </w:p>
        </w:tc>
        <w:tc>
          <w:tcPr>
            <w:tcW w:w="2751" w:type="dxa"/>
            <w:noWrap w:val="0"/>
            <w:vAlign w:val="center"/>
          </w:tcPr>
          <w:p w14:paraId="4B6C3FC7">
            <w:pPr>
              <w:widowControl/>
              <w:kinsoku/>
              <w:overflowPunct/>
              <w:bidi w:val="0"/>
              <w:spacing w:line="360" w:lineRule="auto"/>
              <w:jc w:val="center"/>
              <w:rPr>
                <w:rFonts w:hint="eastAsia" w:ascii="宋体" w:hAnsi="宋体" w:eastAsia="宋体" w:cs="宋体"/>
                <w:szCs w:val="21"/>
              </w:rPr>
            </w:pPr>
          </w:p>
        </w:tc>
        <w:tc>
          <w:tcPr>
            <w:tcW w:w="758" w:type="dxa"/>
            <w:noWrap w:val="0"/>
            <w:vAlign w:val="center"/>
          </w:tcPr>
          <w:p w14:paraId="70A4D16B">
            <w:pPr>
              <w:widowControl/>
              <w:kinsoku/>
              <w:overflowPunct/>
              <w:bidi w:val="0"/>
              <w:spacing w:line="360" w:lineRule="auto"/>
              <w:jc w:val="center"/>
              <w:rPr>
                <w:rFonts w:hint="eastAsia" w:ascii="宋体" w:hAnsi="宋体" w:eastAsia="宋体" w:cs="宋体"/>
                <w:szCs w:val="21"/>
              </w:rPr>
            </w:pPr>
          </w:p>
        </w:tc>
        <w:tc>
          <w:tcPr>
            <w:tcW w:w="758" w:type="dxa"/>
            <w:tcBorders>
              <w:right w:val="single" w:color="auto" w:sz="4" w:space="0"/>
            </w:tcBorders>
            <w:noWrap w:val="0"/>
            <w:vAlign w:val="center"/>
          </w:tcPr>
          <w:p w14:paraId="0CB871AB">
            <w:pPr>
              <w:widowControl/>
              <w:kinsoku/>
              <w:overflowPunct/>
              <w:bidi w:val="0"/>
              <w:spacing w:line="360" w:lineRule="auto"/>
              <w:jc w:val="center"/>
              <w:rPr>
                <w:rFonts w:hint="eastAsia" w:ascii="宋体" w:hAnsi="宋体" w:eastAsia="宋体" w:cs="宋体"/>
                <w:szCs w:val="21"/>
              </w:rPr>
            </w:pPr>
          </w:p>
        </w:tc>
        <w:tc>
          <w:tcPr>
            <w:tcW w:w="1699" w:type="dxa"/>
            <w:tcBorders>
              <w:right w:val="single" w:color="auto" w:sz="4" w:space="0"/>
            </w:tcBorders>
            <w:noWrap w:val="0"/>
            <w:vAlign w:val="center"/>
          </w:tcPr>
          <w:p w14:paraId="5EE27837">
            <w:pPr>
              <w:widowControl/>
              <w:kinsoku/>
              <w:overflowPunct/>
              <w:bidi w:val="0"/>
              <w:spacing w:line="360" w:lineRule="auto"/>
              <w:jc w:val="center"/>
              <w:rPr>
                <w:rFonts w:hint="eastAsia" w:ascii="宋体" w:hAnsi="宋体" w:eastAsia="宋体" w:cs="宋体"/>
                <w:szCs w:val="21"/>
              </w:rPr>
            </w:pPr>
          </w:p>
        </w:tc>
      </w:tr>
      <w:tr w14:paraId="7C766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636" w:type="dxa"/>
            <w:vMerge w:val="continue"/>
            <w:tcBorders>
              <w:left w:val="single" w:color="auto" w:sz="4" w:space="0"/>
              <w:right w:val="single" w:color="auto" w:sz="4" w:space="0"/>
            </w:tcBorders>
            <w:noWrap w:val="0"/>
            <w:vAlign w:val="center"/>
          </w:tcPr>
          <w:p w14:paraId="655370F1">
            <w:pPr>
              <w:widowControl/>
              <w:kinsoku/>
              <w:overflowPunct/>
              <w:bidi w:val="0"/>
              <w:spacing w:line="360" w:lineRule="auto"/>
              <w:jc w:val="left"/>
              <w:rPr>
                <w:rFonts w:hint="eastAsia" w:ascii="宋体" w:hAnsi="宋体" w:eastAsia="宋体" w:cs="宋体"/>
                <w:szCs w:val="21"/>
              </w:rPr>
            </w:pPr>
          </w:p>
        </w:tc>
        <w:tc>
          <w:tcPr>
            <w:tcW w:w="1513" w:type="dxa"/>
            <w:tcBorders>
              <w:left w:val="single" w:color="auto" w:sz="4" w:space="0"/>
              <w:right w:val="single" w:color="auto" w:sz="4" w:space="0"/>
            </w:tcBorders>
            <w:noWrap w:val="0"/>
            <w:vAlign w:val="center"/>
          </w:tcPr>
          <w:p w14:paraId="54646879">
            <w:pPr>
              <w:widowControl/>
              <w:kinsoku/>
              <w:overflowPunct/>
              <w:bidi w:val="0"/>
              <w:spacing w:line="360" w:lineRule="auto"/>
              <w:jc w:val="center"/>
              <w:rPr>
                <w:rFonts w:hint="eastAsia" w:ascii="宋体" w:hAnsi="宋体" w:eastAsia="宋体" w:cs="宋体"/>
                <w:szCs w:val="21"/>
              </w:rPr>
            </w:pPr>
          </w:p>
        </w:tc>
        <w:tc>
          <w:tcPr>
            <w:tcW w:w="946" w:type="dxa"/>
            <w:tcBorders>
              <w:left w:val="single" w:color="auto" w:sz="4" w:space="0"/>
            </w:tcBorders>
            <w:noWrap w:val="0"/>
            <w:vAlign w:val="center"/>
          </w:tcPr>
          <w:p w14:paraId="66CFB8A7">
            <w:pPr>
              <w:widowControl/>
              <w:kinsoku/>
              <w:overflowPunct/>
              <w:bidi w:val="0"/>
              <w:spacing w:line="360" w:lineRule="auto"/>
              <w:jc w:val="center"/>
              <w:rPr>
                <w:rFonts w:hint="eastAsia" w:ascii="宋体" w:hAnsi="宋体" w:eastAsia="宋体" w:cs="宋体"/>
                <w:szCs w:val="21"/>
              </w:rPr>
            </w:pPr>
          </w:p>
        </w:tc>
        <w:tc>
          <w:tcPr>
            <w:tcW w:w="2751" w:type="dxa"/>
            <w:noWrap w:val="0"/>
            <w:vAlign w:val="center"/>
          </w:tcPr>
          <w:p w14:paraId="5D0F28C7">
            <w:pPr>
              <w:widowControl/>
              <w:kinsoku/>
              <w:overflowPunct/>
              <w:bidi w:val="0"/>
              <w:spacing w:line="360" w:lineRule="auto"/>
              <w:jc w:val="center"/>
              <w:rPr>
                <w:rFonts w:hint="eastAsia" w:ascii="宋体" w:hAnsi="宋体" w:eastAsia="宋体" w:cs="宋体"/>
                <w:szCs w:val="21"/>
              </w:rPr>
            </w:pPr>
          </w:p>
        </w:tc>
        <w:tc>
          <w:tcPr>
            <w:tcW w:w="758" w:type="dxa"/>
            <w:noWrap w:val="0"/>
            <w:vAlign w:val="center"/>
          </w:tcPr>
          <w:p w14:paraId="114979AF">
            <w:pPr>
              <w:widowControl/>
              <w:kinsoku/>
              <w:overflowPunct/>
              <w:bidi w:val="0"/>
              <w:spacing w:line="360" w:lineRule="auto"/>
              <w:jc w:val="center"/>
              <w:rPr>
                <w:rFonts w:hint="eastAsia" w:ascii="宋体" w:hAnsi="宋体" w:eastAsia="宋体" w:cs="宋体"/>
                <w:szCs w:val="21"/>
              </w:rPr>
            </w:pPr>
          </w:p>
        </w:tc>
        <w:tc>
          <w:tcPr>
            <w:tcW w:w="758" w:type="dxa"/>
            <w:tcBorders>
              <w:right w:val="single" w:color="auto" w:sz="4" w:space="0"/>
            </w:tcBorders>
            <w:noWrap w:val="0"/>
            <w:vAlign w:val="center"/>
          </w:tcPr>
          <w:p w14:paraId="7C43C466">
            <w:pPr>
              <w:widowControl/>
              <w:kinsoku/>
              <w:overflowPunct/>
              <w:bidi w:val="0"/>
              <w:spacing w:line="360" w:lineRule="auto"/>
              <w:jc w:val="center"/>
              <w:rPr>
                <w:rFonts w:hint="eastAsia" w:ascii="宋体" w:hAnsi="宋体" w:eastAsia="宋体" w:cs="宋体"/>
                <w:szCs w:val="21"/>
              </w:rPr>
            </w:pPr>
          </w:p>
        </w:tc>
        <w:tc>
          <w:tcPr>
            <w:tcW w:w="1699" w:type="dxa"/>
            <w:tcBorders>
              <w:right w:val="single" w:color="auto" w:sz="4" w:space="0"/>
            </w:tcBorders>
            <w:noWrap w:val="0"/>
            <w:vAlign w:val="center"/>
          </w:tcPr>
          <w:p w14:paraId="70BF5896">
            <w:pPr>
              <w:widowControl/>
              <w:kinsoku/>
              <w:overflowPunct/>
              <w:bidi w:val="0"/>
              <w:spacing w:line="360" w:lineRule="auto"/>
              <w:jc w:val="center"/>
              <w:rPr>
                <w:rFonts w:hint="eastAsia" w:ascii="宋体" w:hAnsi="宋体" w:eastAsia="宋体" w:cs="宋体"/>
                <w:szCs w:val="21"/>
              </w:rPr>
            </w:pPr>
          </w:p>
        </w:tc>
      </w:tr>
      <w:tr w14:paraId="0C8FC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exact"/>
        </w:trPr>
        <w:tc>
          <w:tcPr>
            <w:tcW w:w="1636" w:type="dxa"/>
            <w:vMerge w:val="continue"/>
            <w:tcBorders>
              <w:left w:val="single" w:color="auto" w:sz="4" w:space="0"/>
              <w:right w:val="single" w:color="auto" w:sz="4" w:space="0"/>
            </w:tcBorders>
            <w:noWrap w:val="0"/>
            <w:vAlign w:val="center"/>
          </w:tcPr>
          <w:p w14:paraId="4BF1D43B">
            <w:pPr>
              <w:widowControl/>
              <w:kinsoku/>
              <w:overflowPunct/>
              <w:bidi w:val="0"/>
              <w:spacing w:line="360" w:lineRule="auto"/>
              <w:jc w:val="center"/>
              <w:rPr>
                <w:rFonts w:hint="eastAsia" w:ascii="宋体" w:hAnsi="宋体" w:eastAsia="宋体" w:cs="宋体"/>
                <w:szCs w:val="21"/>
              </w:rPr>
            </w:pPr>
          </w:p>
        </w:tc>
        <w:tc>
          <w:tcPr>
            <w:tcW w:w="1513" w:type="dxa"/>
            <w:tcBorders>
              <w:left w:val="single" w:color="auto" w:sz="4" w:space="0"/>
              <w:right w:val="single" w:color="auto" w:sz="4" w:space="0"/>
            </w:tcBorders>
            <w:noWrap w:val="0"/>
            <w:vAlign w:val="center"/>
          </w:tcPr>
          <w:p w14:paraId="416432D0">
            <w:pPr>
              <w:widowControl/>
              <w:kinsoku/>
              <w:overflowPunct/>
              <w:bidi w:val="0"/>
              <w:spacing w:line="360" w:lineRule="auto"/>
              <w:jc w:val="center"/>
              <w:rPr>
                <w:rFonts w:hint="eastAsia" w:ascii="宋体" w:hAnsi="宋体" w:eastAsia="宋体" w:cs="宋体"/>
                <w:szCs w:val="21"/>
              </w:rPr>
            </w:pPr>
            <w:r>
              <w:rPr>
                <w:rFonts w:hint="eastAsia" w:ascii="宋体" w:hAnsi="宋体" w:eastAsia="宋体" w:cs="宋体"/>
                <w:szCs w:val="21"/>
              </w:rPr>
              <w:t>…</w:t>
            </w:r>
          </w:p>
        </w:tc>
        <w:tc>
          <w:tcPr>
            <w:tcW w:w="946" w:type="dxa"/>
            <w:tcBorders>
              <w:left w:val="single" w:color="auto" w:sz="4" w:space="0"/>
            </w:tcBorders>
            <w:noWrap w:val="0"/>
            <w:vAlign w:val="center"/>
          </w:tcPr>
          <w:p w14:paraId="2FFB6804">
            <w:pPr>
              <w:widowControl/>
              <w:kinsoku/>
              <w:overflowPunct/>
              <w:bidi w:val="0"/>
              <w:spacing w:line="360" w:lineRule="auto"/>
              <w:jc w:val="center"/>
              <w:rPr>
                <w:rFonts w:hint="eastAsia" w:ascii="宋体" w:hAnsi="宋体" w:eastAsia="宋体" w:cs="宋体"/>
                <w:szCs w:val="21"/>
              </w:rPr>
            </w:pPr>
          </w:p>
        </w:tc>
        <w:tc>
          <w:tcPr>
            <w:tcW w:w="2751" w:type="dxa"/>
            <w:noWrap w:val="0"/>
            <w:vAlign w:val="center"/>
          </w:tcPr>
          <w:p w14:paraId="38045362">
            <w:pPr>
              <w:widowControl/>
              <w:kinsoku/>
              <w:overflowPunct/>
              <w:bidi w:val="0"/>
              <w:spacing w:line="360" w:lineRule="auto"/>
              <w:jc w:val="center"/>
              <w:rPr>
                <w:rFonts w:hint="eastAsia" w:ascii="宋体" w:hAnsi="宋体" w:eastAsia="宋体" w:cs="宋体"/>
                <w:szCs w:val="21"/>
              </w:rPr>
            </w:pPr>
          </w:p>
        </w:tc>
        <w:tc>
          <w:tcPr>
            <w:tcW w:w="758" w:type="dxa"/>
            <w:noWrap w:val="0"/>
            <w:vAlign w:val="center"/>
          </w:tcPr>
          <w:p w14:paraId="377B93DC">
            <w:pPr>
              <w:widowControl/>
              <w:kinsoku/>
              <w:overflowPunct/>
              <w:bidi w:val="0"/>
              <w:spacing w:line="360" w:lineRule="auto"/>
              <w:jc w:val="center"/>
              <w:rPr>
                <w:rFonts w:hint="eastAsia" w:ascii="宋体" w:hAnsi="宋体" w:eastAsia="宋体" w:cs="宋体"/>
                <w:szCs w:val="21"/>
              </w:rPr>
            </w:pPr>
          </w:p>
        </w:tc>
        <w:tc>
          <w:tcPr>
            <w:tcW w:w="758" w:type="dxa"/>
            <w:tcBorders>
              <w:right w:val="single" w:color="auto" w:sz="4" w:space="0"/>
            </w:tcBorders>
            <w:noWrap w:val="0"/>
            <w:vAlign w:val="center"/>
          </w:tcPr>
          <w:p w14:paraId="642DC83F">
            <w:pPr>
              <w:widowControl/>
              <w:kinsoku/>
              <w:overflowPunct/>
              <w:bidi w:val="0"/>
              <w:spacing w:line="360" w:lineRule="auto"/>
              <w:jc w:val="center"/>
              <w:rPr>
                <w:rFonts w:hint="eastAsia" w:ascii="宋体" w:hAnsi="宋体" w:eastAsia="宋体" w:cs="宋体"/>
                <w:szCs w:val="21"/>
              </w:rPr>
            </w:pPr>
          </w:p>
        </w:tc>
        <w:tc>
          <w:tcPr>
            <w:tcW w:w="1699" w:type="dxa"/>
            <w:tcBorders>
              <w:right w:val="single" w:color="auto" w:sz="4" w:space="0"/>
            </w:tcBorders>
            <w:noWrap w:val="0"/>
            <w:vAlign w:val="center"/>
          </w:tcPr>
          <w:p w14:paraId="2C6901E8">
            <w:pPr>
              <w:widowControl/>
              <w:kinsoku/>
              <w:overflowPunct/>
              <w:bidi w:val="0"/>
              <w:spacing w:line="360" w:lineRule="auto"/>
              <w:jc w:val="center"/>
              <w:rPr>
                <w:rFonts w:hint="eastAsia" w:ascii="宋体" w:hAnsi="宋体" w:eastAsia="宋体" w:cs="宋体"/>
                <w:szCs w:val="21"/>
              </w:rPr>
            </w:pPr>
          </w:p>
        </w:tc>
      </w:tr>
    </w:tbl>
    <w:p w14:paraId="4DDF01BC">
      <w:pPr>
        <w:widowControl w:val="0"/>
        <w:kinsoku/>
        <w:overflowPunct/>
        <w:bidi w:val="0"/>
        <w:spacing w:line="360" w:lineRule="auto"/>
        <w:jc w:val="both"/>
        <w:rPr>
          <w:rFonts w:hint="eastAsia" w:ascii="宋体" w:hAnsi="宋体" w:eastAsia="宋体" w:cs="宋体"/>
          <w:szCs w:val="21"/>
          <w:lang w:val="en-GB"/>
        </w:rPr>
      </w:pPr>
      <w:r>
        <w:rPr>
          <w:rFonts w:hint="eastAsia" w:ascii="宋体" w:hAnsi="宋体" w:eastAsia="宋体" w:cs="宋体"/>
          <w:szCs w:val="21"/>
          <w:lang w:val="en-GB"/>
        </w:rPr>
        <w:t>注：</w:t>
      </w:r>
      <w:r>
        <w:rPr>
          <w:rFonts w:hint="eastAsia" w:ascii="宋体" w:hAnsi="宋体" w:eastAsia="宋体" w:cs="宋体"/>
          <w:szCs w:val="21"/>
          <w:lang w:val="en-GB" w:eastAsia="zh-CN"/>
        </w:rPr>
        <w:t>供应商</w:t>
      </w:r>
      <w:r>
        <w:rPr>
          <w:rFonts w:hint="eastAsia" w:ascii="宋体" w:hAnsi="宋体" w:eastAsia="宋体" w:cs="宋体"/>
          <w:szCs w:val="21"/>
          <w:lang w:val="en-GB"/>
        </w:rPr>
        <w:t>应按评审要求提供相关人员证明文件，未要求的，供应商自行提供。</w:t>
      </w:r>
    </w:p>
    <w:p w14:paraId="49FE4717">
      <w:pPr>
        <w:widowControl w:val="0"/>
        <w:tabs>
          <w:tab w:val="left" w:pos="540"/>
        </w:tabs>
        <w:kinsoku/>
        <w:overflowPunct/>
        <w:bidi w:val="0"/>
        <w:spacing w:line="360" w:lineRule="auto"/>
        <w:jc w:val="both"/>
        <w:rPr>
          <w:rFonts w:hint="eastAsia" w:ascii="宋体" w:hAnsi="宋体" w:eastAsia="宋体" w:cs="宋体"/>
          <w:b/>
          <w:szCs w:val="21"/>
          <w:lang w:val="en-GB"/>
        </w:rPr>
      </w:pPr>
    </w:p>
    <w:p w14:paraId="502E6C8E">
      <w:pPr>
        <w:widowControl w:val="0"/>
        <w:kinsoku/>
        <w:overflowPunct/>
        <w:bidi w:val="0"/>
        <w:spacing w:line="360" w:lineRule="auto"/>
        <w:ind w:firstLine="630" w:firstLineChars="300"/>
        <w:jc w:val="left"/>
        <w:rPr>
          <w:rFonts w:hint="eastAsia" w:ascii="宋体" w:hAnsi="宋体" w:eastAsia="宋体" w:cs="宋体"/>
          <w:b/>
          <w:bCs/>
          <w:szCs w:val="21"/>
        </w:rPr>
      </w:pPr>
      <w:r>
        <w:rPr>
          <w:rFonts w:hint="eastAsia" w:ascii="宋体" w:hAnsi="宋体" w:eastAsia="宋体" w:cs="宋体"/>
          <w:szCs w:val="21"/>
        </w:rPr>
        <w:br w:type="page"/>
      </w:r>
      <w:r>
        <w:rPr>
          <w:rFonts w:hint="eastAsia" w:ascii="宋体" w:hAnsi="宋体" w:eastAsia="宋体" w:cs="宋体"/>
          <w:b/>
          <w:bCs/>
          <w:szCs w:val="21"/>
          <w:lang w:val="en-US" w:eastAsia="zh-CN"/>
        </w:rPr>
        <w:t>四</w:t>
      </w:r>
      <w:r>
        <w:rPr>
          <w:rFonts w:hint="eastAsia" w:ascii="宋体" w:hAnsi="宋体" w:eastAsia="宋体" w:cs="宋体"/>
          <w:b/>
          <w:bCs/>
          <w:szCs w:val="21"/>
        </w:rPr>
        <w:t>、中标服务费承诺书（格式）</w:t>
      </w:r>
    </w:p>
    <w:p w14:paraId="1DA77794">
      <w:pPr>
        <w:widowControl w:val="0"/>
        <w:kinsoku/>
        <w:overflowPunct/>
        <w:bidi w:val="0"/>
        <w:adjustRightInd w:val="0"/>
        <w:snapToGrid w:val="0"/>
        <w:spacing w:line="360" w:lineRule="auto"/>
        <w:jc w:val="both"/>
        <w:rPr>
          <w:rFonts w:hint="eastAsia" w:ascii="宋体" w:hAnsi="宋体" w:eastAsia="宋体" w:cs="宋体"/>
          <w:b/>
          <w:szCs w:val="21"/>
        </w:rPr>
      </w:pPr>
      <w:r>
        <w:rPr>
          <w:rFonts w:hint="eastAsia" w:ascii="宋体" w:hAnsi="宋体" w:eastAsia="宋体" w:cs="宋体"/>
          <w:b/>
          <w:szCs w:val="21"/>
        </w:rPr>
        <w:t>国义招标股份有限公司：</w:t>
      </w:r>
    </w:p>
    <w:p w14:paraId="70DC5972">
      <w:pPr>
        <w:widowControl w:val="0"/>
        <w:kinsoku/>
        <w:overflowPunct/>
        <w:bidi w:val="0"/>
        <w:adjustRightInd w:val="0"/>
        <w:snapToGrid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本</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供应商</w:t>
      </w:r>
      <w:r>
        <w:rPr>
          <w:rFonts w:hint="eastAsia" w:ascii="宋体" w:hAnsi="宋体" w:eastAsia="宋体" w:cs="宋体"/>
          <w:szCs w:val="21"/>
          <w:u w:val="single"/>
        </w:rPr>
        <w:t xml:space="preserve">名称）   </w:t>
      </w:r>
      <w:r>
        <w:rPr>
          <w:rFonts w:hint="eastAsia" w:ascii="宋体" w:hAnsi="宋体" w:eastAsia="宋体" w:cs="宋体"/>
          <w:szCs w:val="21"/>
        </w:rPr>
        <w:t>公司在参加在贵司进行的</w:t>
      </w:r>
      <w:r>
        <w:rPr>
          <w:rFonts w:hint="eastAsia" w:ascii="宋体" w:hAnsi="宋体" w:eastAsia="宋体" w:cs="宋体"/>
          <w:szCs w:val="21"/>
          <w:u w:val="single"/>
        </w:rPr>
        <w:t xml:space="preserve">   （项目名称）  </w:t>
      </w:r>
      <w:r>
        <w:rPr>
          <w:rFonts w:hint="eastAsia" w:ascii="宋体" w:hAnsi="宋体" w:eastAsia="宋体" w:cs="宋体"/>
          <w:szCs w:val="21"/>
        </w:rPr>
        <w:t>(项目编号：</w:t>
      </w:r>
      <w:r>
        <w:rPr>
          <w:rFonts w:hint="eastAsia" w:ascii="宋体" w:hAnsi="宋体" w:eastAsia="宋体" w:cs="宋体"/>
          <w:szCs w:val="21"/>
          <w:u w:val="single"/>
        </w:rPr>
        <w:t xml:space="preserve">           包号： </w:t>
      </w:r>
      <w:r>
        <w:rPr>
          <w:rFonts w:hint="eastAsia" w:ascii="宋体" w:hAnsi="宋体" w:eastAsia="宋体" w:cs="宋体"/>
          <w:szCs w:val="21"/>
        </w:rPr>
        <w:t>)招标中如获中标，我司保证在领取“中标通知书”前，按本项目</w:t>
      </w:r>
      <w:r>
        <w:rPr>
          <w:rFonts w:hint="eastAsia" w:ascii="宋体" w:hAnsi="宋体" w:eastAsia="宋体" w:cs="宋体"/>
          <w:szCs w:val="21"/>
          <w:lang w:eastAsia="zh-CN"/>
        </w:rPr>
        <w:t>供应商</w:t>
      </w:r>
      <w:r>
        <w:rPr>
          <w:rFonts w:hint="eastAsia" w:ascii="宋体" w:hAnsi="宋体" w:eastAsia="宋体" w:cs="宋体"/>
          <w:szCs w:val="21"/>
        </w:rPr>
        <w:t>须知相关规定向贵司缴纳 “中标服务费”。</w:t>
      </w:r>
    </w:p>
    <w:p w14:paraId="1C3A6632">
      <w:pPr>
        <w:widowControl w:val="0"/>
        <w:kinsoku/>
        <w:overflowPunct/>
        <w:bidi w:val="0"/>
        <w:adjustRightInd w:val="0"/>
        <w:snapToGrid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如我方违约，愿凭贵方开出的违约通知，按上述承付金额的200%由采购人在支付我司的合同款中代为扣付。</w:t>
      </w:r>
    </w:p>
    <w:p w14:paraId="06F81592">
      <w:pPr>
        <w:widowControl w:val="0"/>
        <w:kinsoku/>
        <w:overflowPunct/>
        <w:bidi w:val="0"/>
        <w:adjustRightInd w:val="0"/>
        <w:snapToGrid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特此承诺。</w:t>
      </w:r>
    </w:p>
    <w:p w14:paraId="10B6AFFF">
      <w:pPr>
        <w:widowControl w:val="0"/>
        <w:kinsoku/>
        <w:overflowPunct/>
        <w:bidi w:val="0"/>
        <w:spacing w:line="360" w:lineRule="auto"/>
        <w:jc w:val="both"/>
        <w:rPr>
          <w:rFonts w:hint="eastAsia" w:ascii="宋体" w:hAnsi="宋体" w:eastAsia="宋体" w:cs="宋体"/>
          <w:szCs w:val="21"/>
        </w:rPr>
      </w:pPr>
      <w:r>
        <w:rPr>
          <w:rFonts w:hint="eastAsia" w:ascii="宋体" w:hAnsi="宋体" w:eastAsia="宋体" w:cs="宋体"/>
          <w:szCs w:val="21"/>
        </w:rPr>
        <w:t>另关于我司缴纳中标服务费后开具中标服务费发票的事宜，我司声明如下：</w:t>
      </w:r>
    </w:p>
    <w:p w14:paraId="66462D48">
      <w:pPr>
        <w:widowControl w:val="0"/>
        <w:kinsoku/>
        <w:overflowPunct/>
        <w:bidi w:val="0"/>
        <w:spacing w:line="360" w:lineRule="auto"/>
        <w:jc w:val="both"/>
        <w:rPr>
          <w:rFonts w:hint="eastAsia" w:ascii="宋体" w:hAnsi="宋体" w:eastAsia="宋体" w:cs="宋体"/>
          <w:szCs w:val="21"/>
        </w:rPr>
      </w:pPr>
      <w:r>
        <w:rPr>
          <w:rFonts w:hint="eastAsia" w:ascii="宋体" w:hAnsi="宋体" w:eastAsia="宋体" w:cs="宋体"/>
          <w:b/>
          <w:szCs w:val="21"/>
        </w:rPr>
        <w:t>A：</w:t>
      </w:r>
      <w:r>
        <w:rPr>
          <w:rFonts w:hint="eastAsia" w:ascii="宋体" w:hAnsi="宋体" w:eastAsia="宋体" w:cs="宋体"/>
          <w:szCs w:val="21"/>
        </w:rPr>
        <w:t>如需开具</w:t>
      </w:r>
      <w:r>
        <w:rPr>
          <w:rFonts w:hint="eastAsia" w:ascii="宋体" w:hAnsi="宋体" w:eastAsia="宋体" w:cs="宋体"/>
          <w:b/>
          <w:szCs w:val="21"/>
          <w:u w:val="single"/>
        </w:rPr>
        <w:t>增值税普通发票</w:t>
      </w:r>
      <w:r>
        <w:rPr>
          <w:rFonts w:hint="eastAsia" w:ascii="宋体" w:hAnsi="宋体" w:eastAsia="宋体" w:cs="宋体"/>
          <w:szCs w:val="21"/>
        </w:rPr>
        <w:t>，请于下方（ ）打“√”</w:t>
      </w:r>
    </w:p>
    <w:p w14:paraId="5BF1ED3F">
      <w:pPr>
        <w:widowControl w:val="0"/>
        <w:kinsoku/>
        <w:overflowPunct/>
        <w:bidi w:val="0"/>
        <w:spacing w:line="360" w:lineRule="auto"/>
        <w:jc w:val="both"/>
        <w:rPr>
          <w:rFonts w:hint="eastAsia" w:ascii="宋体" w:hAnsi="宋体" w:eastAsia="宋体" w:cs="宋体"/>
          <w:szCs w:val="21"/>
        </w:rPr>
      </w:pPr>
      <w:r>
        <w:rPr>
          <w:rFonts w:hint="eastAsia" w:ascii="宋体" w:hAnsi="宋体" w:eastAsia="宋体" w:cs="宋体"/>
          <w:szCs w:val="21"/>
        </w:rPr>
        <w:t>（    ）请向我司开具中标费的“</w:t>
      </w:r>
      <w:r>
        <w:rPr>
          <w:rFonts w:hint="eastAsia" w:ascii="宋体" w:hAnsi="宋体" w:eastAsia="宋体" w:cs="宋体"/>
          <w:b/>
          <w:szCs w:val="21"/>
          <w:u w:val="single"/>
        </w:rPr>
        <w:t>增值税普通发票</w:t>
      </w:r>
      <w:r>
        <w:rPr>
          <w:rFonts w:hint="eastAsia" w:ascii="宋体" w:hAnsi="宋体" w:eastAsia="宋体" w:cs="宋体"/>
          <w:b/>
          <w:szCs w:val="21"/>
        </w:rPr>
        <w:t>”</w:t>
      </w:r>
      <w:r>
        <w:rPr>
          <w:rFonts w:hint="eastAsia" w:ascii="宋体" w:hAnsi="宋体" w:eastAsia="宋体" w:cs="宋体"/>
          <w:szCs w:val="21"/>
        </w:rPr>
        <w:t>，开票信息如下：</w:t>
      </w:r>
    </w:p>
    <w:p w14:paraId="68FA00DF">
      <w:pPr>
        <w:widowControl w:val="0"/>
        <w:kinsoku/>
        <w:overflowPunct/>
        <w:bidi w:val="0"/>
        <w:spacing w:line="360" w:lineRule="auto"/>
        <w:jc w:val="both"/>
        <w:rPr>
          <w:rFonts w:hint="eastAsia" w:ascii="宋体" w:hAnsi="宋体" w:eastAsia="宋体" w:cs="宋体"/>
          <w:szCs w:val="21"/>
        </w:rPr>
      </w:pPr>
      <w:r>
        <w:rPr>
          <w:rFonts w:hint="eastAsia" w:ascii="宋体" w:hAnsi="宋体" w:eastAsia="宋体" w:cs="宋体"/>
          <w:b/>
          <w:szCs w:val="21"/>
        </w:rPr>
        <w:t>1、</w:t>
      </w:r>
      <w:r>
        <w:rPr>
          <w:rFonts w:hint="eastAsia" w:ascii="宋体" w:hAnsi="宋体" w:eastAsia="宋体" w:cs="宋体"/>
          <w:szCs w:val="21"/>
        </w:rPr>
        <w:t>我司工商注册名称为：</w:t>
      </w:r>
      <w:r>
        <w:rPr>
          <w:rFonts w:hint="eastAsia" w:ascii="宋体" w:hAnsi="宋体" w:eastAsia="宋体" w:cs="宋体"/>
          <w:szCs w:val="21"/>
          <w:u w:val="single"/>
        </w:rPr>
        <w:t xml:space="preserve">                   </w:t>
      </w:r>
      <w:r>
        <w:rPr>
          <w:rFonts w:hint="eastAsia" w:ascii="宋体" w:hAnsi="宋体" w:eastAsia="宋体" w:cs="宋体"/>
          <w:szCs w:val="21"/>
        </w:rPr>
        <w:t>；</w:t>
      </w:r>
    </w:p>
    <w:p w14:paraId="577D2BB5">
      <w:pPr>
        <w:widowControl w:val="0"/>
        <w:kinsoku/>
        <w:overflowPunct/>
        <w:bidi w:val="0"/>
        <w:spacing w:line="360" w:lineRule="auto"/>
        <w:jc w:val="both"/>
        <w:rPr>
          <w:rFonts w:hint="eastAsia" w:ascii="宋体" w:hAnsi="宋体" w:eastAsia="宋体" w:cs="宋体"/>
          <w:szCs w:val="21"/>
        </w:rPr>
      </w:pPr>
      <w:r>
        <w:rPr>
          <w:rFonts w:hint="eastAsia" w:ascii="宋体" w:hAnsi="宋体" w:eastAsia="宋体" w:cs="宋体"/>
          <w:szCs w:val="21"/>
        </w:rPr>
        <w:t>2、纳税人识别号（国税）/或统一社会信用代码：</w:t>
      </w:r>
      <w:r>
        <w:rPr>
          <w:rFonts w:hint="eastAsia" w:ascii="宋体" w:hAnsi="宋体" w:eastAsia="宋体" w:cs="宋体"/>
          <w:szCs w:val="21"/>
          <w:u w:val="single"/>
        </w:rPr>
        <w:t xml:space="preserve">    （请填写）              </w:t>
      </w:r>
    </w:p>
    <w:p w14:paraId="577050AD">
      <w:pPr>
        <w:widowControl w:val="0"/>
        <w:kinsoku/>
        <w:overflowPunct/>
        <w:bidi w:val="0"/>
        <w:spacing w:line="360" w:lineRule="auto"/>
        <w:jc w:val="both"/>
        <w:rPr>
          <w:rFonts w:hint="eastAsia" w:ascii="宋体" w:hAnsi="宋体" w:eastAsia="宋体" w:cs="宋体"/>
          <w:szCs w:val="21"/>
        </w:rPr>
      </w:pPr>
      <w:r>
        <w:rPr>
          <w:rFonts w:hint="eastAsia" w:ascii="宋体" w:hAnsi="宋体" w:eastAsia="宋体" w:cs="宋体"/>
          <w:b/>
          <w:szCs w:val="21"/>
        </w:rPr>
        <w:t>B：</w:t>
      </w:r>
      <w:r>
        <w:rPr>
          <w:rFonts w:hint="eastAsia" w:ascii="宋体" w:hAnsi="宋体" w:eastAsia="宋体" w:cs="宋体"/>
          <w:szCs w:val="21"/>
        </w:rPr>
        <w:t>如需开具增值税专用发票，请于下方（ ）打“√”,并提供相关资料</w:t>
      </w:r>
    </w:p>
    <w:p w14:paraId="3C5B3D26">
      <w:pPr>
        <w:widowControl w:val="0"/>
        <w:kinsoku/>
        <w:overflowPunct/>
        <w:bidi w:val="0"/>
        <w:spacing w:line="360" w:lineRule="auto"/>
        <w:jc w:val="both"/>
        <w:rPr>
          <w:rFonts w:hint="eastAsia" w:ascii="宋体" w:hAnsi="宋体" w:eastAsia="宋体" w:cs="宋体"/>
          <w:szCs w:val="21"/>
        </w:rPr>
      </w:pPr>
      <w:r>
        <w:rPr>
          <w:rFonts w:hint="eastAsia" w:ascii="宋体" w:hAnsi="宋体" w:eastAsia="宋体" w:cs="宋体"/>
          <w:szCs w:val="21"/>
        </w:rPr>
        <w:t>（    ）请向我司开具中标费的“</w:t>
      </w:r>
      <w:r>
        <w:rPr>
          <w:rFonts w:hint="eastAsia" w:ascii="宋体" w:hAnsi="宋体" w:eastAsia="宋体" w:cs="宋体"/>
          <w:b/>
          <w:szCs w:val="21"/>
          <w:u w:val="single"/>
        </w:rPr>
        <w:t>增值税专用发票</w:t>
      </w:r>
      <w:r>
        <w:rPr>
          <w:rFonts w:hint="eastAsia" w:ascii="宋体" w:hAnsi="宋体" w:eastAsia="宋体" w:cs="宋体"/>
          <w:b/>
          <w:szCs w:val="21"/>
        </w:rPr>
        <w:t>”</w:t>
      </w:r>
      <w:r>
        <w:rPr>
          <w:rFonts w:hint="eastAsia" w:ascii="宋体" w:hAnsi="宋体" w:eastAsia="宋体" w:cs="宋体"/>
          <w:szCs w:val="21"/>
        </w:rPr>
        <w:t>，开票信息为：</w:t>
      </w:r>
    </w:p>
    <w:p w14:paraId="0D1CF8BB">
      <w:pPr>
        <w:widowControl w:val="0"/>
        <w:kinsoku/>
        <w:overflowPunct/>
        <w:bidi w:val="0"/>
        <w:spacing w:line="360" w:lineRule="auto"/>
        <w:jc w:val="both"/>
        <w:rPr>
          <w:rFonts w:hint="eastAsia" w:ascii="宋体" w:hAnsi="宋体" w:eastAsia="宋体" w:cs="宋体"/>
          <w:szCs w:val="21"/>
        </w:rPr>
      </w:pPr>
      <w:r>
        <w:rPr>
          <w:rFonts w:hint="eastAsia" w:ascii="宋体" w:hAnsi="宋体" w:eastAsia="宋体" w:cs="宋体"/>
          <w:szCs w:val="21"/>
        </w:rPr>
        <w:t>1、我司工商注册名称：</w:t>
      </w:r>
      <w:r>
        <w:rPr>
          <w:rFonts w:hint="eastAsia" w:ascii="宋体" w:hAnsi="宋体" w:eastAsia="宋体" w:cs="宋体"/>
          <w:szCs w:val="21"/>
          <w:u w:val="single"/>
        </w:rPr>
        <w:t xml:space="preserve">    （请填写）              </w:t>
      </w:r>
    </w:p>
    <w:p w14:paraId="7892F2FF">
      <w:pPr>
        <w:widowControl w:val="0"/>
        <w:kinsoku/>
        <w:overflowPunct/>
        <w:bidi w:val="0"/>
        <w:spacing w:line="360" w:lineRule="auto"/>
        <w:jc w:val="both"/>
        <w:rPr>
          <w:rFonts w:hint="eastAsia" w:ascii="宋体" w:hAnsi="宋体" w:eastAsia="宋体" w:cs="宋体"/>
          <w:szCs w:val="21"/>
        </w:rPr>
      </w:pPr>
      <w:r>
        <w:rPr>
          <w:rFonts w:hint="eastAsia" w:ascii="宋体" w:hAnsi="宋体" w:eastAsia="宋体" w:cs="宋体"/>
          <w:szCs w:val="21"/>
        </w:rPr>
        <w:t>2、纳税人识别号（国税）/或统一社会信用代码：</w:t>
      </w:r>
      <w:r>
        <w:rPr>
          <w:rFonts w:hint="eastAsia" w:ascii="宋体" w:hAnsi="宋体" w:eastAsia="宋体" w:cs="宋体"/>
          <w:szCs w:val="21"/>
          <w:u w:val="single"/>
        </w:rPr>
        <w:t xml:space="preserve">    （请填写）              </w:t>
      </w:r>
    </w:p>
    <w:p w14:paraId="61B8EF94">
      <w:pPr>
        <w:widowControl w:val="0"/>
        <w:kinsoku/>
        <w:overflowPunct/>
        <w:bidi w:val="0"/>
        <w:spacing w:line="360" w:lineRule="auto"/>
        <w:jc w:val="both"/>
        <w:rPr>
          <w:rFonts w:hint="eastAsia" w:ascii="宋体" w:hAnsi="宋体" w:eastAsia="宋体" w:cs="宋体"/>
          <w:szCs w:val="21"/>
        </w:rPr>
      </w:pPr>
      <w:r>
        <w:rPr>
          <w:rFonts w:hint="eastAsia" w:ascii="宋体" w:hAnsi="宋体" w:eastAsia="宋体" w:cs="宋体"/>
          <w:szCs w:val="21"/>
        </w:rPr>
        <w:t>3、注册地址：</w:t>
      </w:r>
      <w:r>
        <w:rPr>
          <w:rFonts w:hint="eastAsia" w:ascii="宋体" w:hAnsi="宋体" w:eastAsia="宋体" w:cs="宋体"/>
          <w:szCs w:val="21"/>
          <w:u w:val="single"/>
        </w:rPr>
        <w:t xml:space="preserve">    （请填写）              </w:t>
      </w:r>
    </w:p>
    <w:p w14:paraId="71B569EB">
      <w:pPr>
        <w:widowControl w:val="0"/>
        <w:kinsoku/>
        <w:overflowPunct/>
        <w:bidi w:val="0"/>
        <w:spacing w:line="360" w:lineRule="auto"/>
        <w:jc w:val="both"/>
        <w:rPr>
          <w:rFonts w:hint="eastAsia" w:ascii="宋体" w:hAnsi="宋体" w:eastAsia="宋体" w:cs="宋体"/>
          <w:szCs w:val="21"/>
        </w:rPr>
      </w:pPr>
      <w:r>
        <w:rPr>
          <w:rFonts w:hint="eastAsia" w:ascii="宋体" w:hAnsi="宋体" w:eastAsia="宋体" w:cs="宋体"/>
          <w:szCs w:val="21"/>
        </w:rPr>
        <w:t>4、办公电话（固话）：</w:t>
      </w:r>
      <w:r>
        <w:rPr>
          <w:rFonts w:hint="eastAsia" w:ascii="宋体" w:hAnsi="宋体" w:eastAsia="宋体" w:cs="宋体"/>
          <w:szCs w:val="21"/>
          <w:u w:val="single"/>
        </w:rPr>
        <w:t xml:space="preserve">    （请填写）              </w:t>
      </w:r>
    </w:p>
    <w:p w14:paraId="1EC28926">
      <w:pPr>
        <w:widowControl w:val="0"/>
        <w:kinsoku/>
        <w:overflowPunct/>
        <w:bidi w:val="0"/>
        <w:spacing w:line="360" w:lineRule="auto"/>
        <w:jc w:val="both"/>
        <w:rPr>
          <w:rFonts w:hint="eastAsia" w:ascii="宋体" w:hAnsi="宋体" w:eastAsia="宋体" w:cs="宋体"/>
          <w:szCs w:val="21"/>
        </w:rPr>
      </w:pPr>
      <w:r>
        <w:rPr>
          <w:rFonts w:hint="eastAsia" w:ascii="宋体" w:hAnsi="宋体" w:eastAsia="宋体" w:cs="宋体"/>
          <w:szCs w:val="21"/>
        </w:rPr>
        <w:t>5、开户银行及账号：</w:t>
      </w:r>
      <w:r>
        <w:rPr>
          <w:rFonts w:hint="eastAsia" w:ascii="宋体" w:hAnsi="宋体" w:eastAsia="宋体" w:cs="宋体"/>
          <w:szCs w:val="21"/>
          <w:u w:val="single"/>
        </w:rPr>
        <w:t xml:space="preserve">    （请填写）              </w:t>
      </w:r>
    </w:p>
    <w:p w14:paraId="7ACAED89">
      <w:pPr>
        <w:widowControl w:val="0"/>
        <w:kinsoku/>
        <w:overflowPunct/>
        <w:bidi w:val="0"/>
        <w:spacing w:line="360" w:lineRule="auto"/>
        <w:jc w:val="both"/>
        <w:rPr>
          <w:rFonts w:hint="eastAsia" w:ascii="宋体" w:hAnsi="宋体" w:eastAsia="宋体" w:cs="宋体"/>
          <w:szCs w:val="21"/>
          <w:u w:val="single"/>
        </w:rPr>
      </w:pPr>
      <w:r>
        <w:rPr>
          <w:rFonts w:hint="eastAsia" w:ascii="宋体" w:hAnsi="宋体" w:eastAsia="宋体" w:cs="宋体"/>
          <w:szCs w:val="21"/>
        </w:rPr>
        <w:t>6、一般纳税人资格证书/或加盖了税务局“增值税一般纳税人”条章的国税登记证扫描件/或在所属国税局网站的查询结果截图</w:t>
      </w:r>
      <w:r>
        <w:rPr>
          <w:rFonts w:hint="eastAsia" w:ascii="宋体" w:hAnsi="宋体" w:eastAsia="宋体" w:cs="宋体"/>
          <w:szCs w:val="21"/>
          <w:u w:val="single"/>
        </w:rPr>
        <w:t>（截图后附）</w:t>
      </w:r>
    </w:p>
    <w:p w14:paraId="04F2B965">
      <w:pPr>
        <w:widowControl w:val="0"/>
        <w:kinsoku/>
        <w:overflowPunct/>
        <w:bidi w:val="0"/>
        <w:spacing w:line="360" w:lineRule="auto"/>
        <w:jc w:val="both"/>
        <w:rPr>
          <w:rFonts w:hint="eastAsia" w:ascii="宋体" w:hAnsi="宋体" w:eastAsia="宋体" w:cs="宋体"/>
          <w:szCs w:val="21"/>
        </w:rPr>
      </w:pPr>
      <w:r>
        <w:rPr>
          <w:rFonts w:hint="eastAsia" w:ascii="宋体" w:hAnsi="宋体" w:eastAsia="宋体" w:cs="宋体"/>
          <w:szCs w:val="21"/>
        </w:rPr>
        <w:t>中标单位联系人：</w:t>
      </w:r>
      <w:r>
        <w:rPr>
          <w:rFonts w:hint="eastAsia" w:ascii="宋体" w:hAnsi="宋体" w:eastAsia="宋体" w:cs="宋体"/>
          <w:szCs w:val="21"/>
          <w:u w:val="single"/>
        </w:rPr>
        <w:t xml:space="preserve">          </w:t>
      </w:r>
      <w:r>
        <w:rPr>
          <w:rFonts w:hint="eastAsia" w:ascii="宋体" w:hAnsi="宋体" w:eastAsia="宋体" w:cs="宋体"/>
          <w:szCs w:val="21"/>
        </w:rPr>
        <w:t>， 手机</w:t>
      </w:r>
      <w:r>
        <w:rPr>
          <w:rFonts w:hint="eastAsia" w:ascii="宋体" w:hAnsi="宋体" w:eastAsia="宋体" w:cs="宋体"/>
          <w:szCs w:val="21"/>
          <w:u w:val="single"/>
        </w:rPr>
        <w:t>号：            ;</w:t>
      </w:r>
      <w:r>
        <w:rPr>
          <w:rFonts w:hint="eastAsia" w:ascii="宋体" w:hAnsi="宋体" w:eastAsia="宋体" w:cs="宋体"/>
          <w:szCs w:val="21"/>
        </w:rPr>
        <w:t xml:space="preserve"> </w:t>
      </w:r>
    </w:p>
    <w:p w14:paraId="0EE7C6AD">
      <w:pPr>
        <w:widowControl w:val="0"/>
        <w:kinsoku/>
        <w:overflowPunct/>
        <w:bidi w:val="0"/>
        <w:spacing w:line="360" w:lineRule="auto"/>
        <w:jc w:val="both"/>
        <w:rPr>
          <w:rFonts w:hint="eastAsia" w:ascii="宋体" w:hAnsi="宋体" w:eastAsia="宋体" w:cs="宋体"/>
          <w:szCs w:val="21"/>
          <w:u w:val="single"/>
        </w:rPr>
      </w:pPr>
      <w:r>
        <w:rPr>
          <w:rFonts w:hint="eastAsia" w:ascii="宋体" w:hAnsi="宋体" w:eastAsia="宋体" w:cs="宋体"/>
          <w:szCs w:val="21"/>
        </w:rPr>
        <w:t>单位地址：</w:t>
      </w:r>
      <w:r>
        <w:rPr>
          <w:rFonts w:hint="eastAsia" w:ascii="宋体" w:hAnsi="宋体" w:eastAsia="宋体" w:cs="宋体"/>
          <w:szCs w:val="21"/>
          <w:u w:val="single"/>
        </w:rPr>
        <w:t xml:space="preserve">         </w:t>
      </w:r>
      <w:r>
        <w:rPr>
          <w:rFonts w:hint="eastAsia" w:ascii="宋体" w:hAnsi="宋体" w:eastAsia="宋体" w:cs="宋体"/>
          <w:szCs w:val="21"/>
        </w:rPr>
        <w:t>电话：</w:t>
      </w:r>
      <w:r>
        <w:rPr>
          <w:rFonts w:hint="eastAsia" w:ascii="宋体" w:hAnsi="宋体" w:eastAsia="宋体" w:cs="宋体"/>
          <w:szCs w:val="21"/>
          <w:u w:val="single"/>
        </w:rPr>
        <w:t xml:space="preserve">          </w:t>
      </w:r>
      <w:r>
        <w:rPr>
          <w:rFonts w:hint="eastAsia" w:ascii="宋体" w:hAnsi="宋体" w:eastAsia="宋体" w:cs="宋体"/>
          <w:szCs w:val="21"/>
        </w:rPr>
        <w:t>传真：</w:t>
      </w:r>
      <w:r>
        <w:rPr>
          <w:rFonts w:hint="eastAsia" w:ascii="宋体" w:hAnsi="宋体" w:eastAsia="宋体" w:cs="宋体"/>
          <w:szCs w:val="21"/>
          <w:u w:val="single"/>
        </w:rPr>
        <w:t xml:space="preserve">        。</w:t>
      </w:r>
    </w:p>
    <w:p w14:paraId="42FFA5D3">
      <w:pPr>
        <w:widowControl w:val="0"/>
        <w:kinsoku/>
        <w:overflowPunct/>
        <w:bidi w:val="0"/>
        <w:spacing w:line="360" w:lineRule="auto"/>
        <w:jc w:val="both"/>
        <w:rPr>
          <w:rFonts w:hint="eastAsia" w:ascii="宋体" w:hAnsi="宋体" w:eastAsia="宋体" w:cs="宋体"/>
          <w:szCs w:val="21"/>
        </w:rPr>
      </w:pPr>
      <w:r>
        <w:rPr>
          <w:rFonts w:hint="eastAsia" w:ascii="宋体" w:hAnsi="宋体" w:eastAsia="宋体" w:cs="宋体"/>
          <w:szCs w:val="21"/>
        </w:rPr>
        <w:t>特此声明。</w:t>
      </w:r>
    </w:p>
    <w:p w14:paraId="16DD5D5F">
      <w:pPr>
        <w:widowControl w:val="0"/>
        <w:kinsoku/>
        <w:overflowPunct/>
        <w:bidi w:val="0"/>
        <w:spacing w:line="360" w:lineRule="auto"/>
        <w:jc w:val="both"/>
        <w:rPr>
          <w:rFonts w:hint="eastAsia" w:ascii="宋体" w:hAnsi="宋体" w:eastAsia="宋体" w:cs="宋体"/>
          <w:szCs w:val="21"/>
        </w:rPr>
      </w:pPr>
      <w:r>
        <w:rPr>
          <w:rFonts w:hint="eastAsia" w:ascii="宋体" w:hAnsi="宋体" w:eastAsia="宋体" w:cs="宋体"/>
          <w:szCs w:val="21"/>
        </w:rPr>
        <w:t xml:space="preserve">                                                </w:t>
      </w:r>
    </w:p>
    <w:p w14:paraId="157DE870">
      <w:pPr>
        <w:widowControl w:val="0"/>
        <w:kinsoku/>
        <w:overflowPunct/>
        <w:bidi w:val="0"/>
        <w:spacing w:line="360" w:lineRule="auto"/>
        <w:jc w:val="both"/>
        <w:rPr>
          <w:rFonts w:hint="eastAsia" w:ascii="宋体" w:hAnsi="宋体" w:eastAsia="宋体" w:cs="宋体"/>
          <w:szCs w:val="21"/>
        </w:rPr>
      </w:pPr>
      <w:r>
        <w:rPr>
          <w:rFonts w:hint="eastAsia" w:ascii="宋体" w:hAnsi="宋体" w:eastAsia="宋体" w:cs="宋体"/>
          <w:szCs w:val="21"/>
        </w:rPr>
        <w:t xml:space="preserve">               </w:t>
      </w:r>
    </w:p>
    <w:p w14:paraId="7CAC9D26">
      <w:pPr>
        <w:widowControl w:val="0"/>
        <w:kinsoku/>
        <w:overflowPunct/>
        <w:bidi w:val="0"/>
        <w:spacing w:line="360" w:lineRule="auto"/>
        <w:jc w:val="both"/>
        <w:rPr>
          <w:rFonts w:hint="eastAsia" w:ascii="宋体" w:hAnsi="宋体" w:eastAsia="宋体" w:cs="宋体"/>
          <w:szCs w:val="21"/>
        </w:rPr>
      </w:pPr>
      <w:r>
        <w:rPr>
          <w:rFonts w:hint="eastAsia" w:ascii="宋体" w:hAnsi="宋体" w:eastAsia="宋体" w:cs="宋体"/>
          <w:szCs w:val="21"/>
        </w:rPr>
        <w:t xml:space="preserve">                                     </w:t>
      </w:r>
    </w:p>
    <w:p w14:paraId="06C640B4">
      <w:pPr>
        <w:widowControl w:val="0"/>
        <w:kinsoku/>
        <w:overflowPunct/>
        <w:bidi w:val="0"/>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lang w:eastAsia="zh-CN"/>
        </w:rPr>
        <w:t>供应商</w:t>
      </w:r>
      <w:r>
        <w:rPr>
          <w:rFonts w:hint="eastAsia" w:ascii="宋体" w:hAnsi="宋体" w:eastAsia="宋体" w:cs="宋体"/>
          <w:szCs w:val="21"/>
        </w:rPr>
        <w:t>法定代表人（或法定代表人授权代表）签字（或签章）：</w:t>
      </w:r>
      <w:r>
        <w:rPr>
          <w:rFonts w:hint="eastAsia" w:ascii="宋体" w:hAnsi="宋体" w:eastAsia="宋体" w:cs="宋体"/>
          <w:szCs w:val="21"/>
          <w:u w:val="single"/>
        </w:rPr>
        <w:t xml:space="preserve">                   </w:t>
      </w:r>
    </w:p>
    <w:p w14:paraId="4BC25A1A">
      <w:pPr>
        <w:widowControl w:val="0"/>
        <w:kinsoku/>
        <w:overflowPunct/>
        <w:bidi w:val="0"/>
        <w:adjustRightInd w:val="0"/>
        <w:snapToGrid w:val="0"/>
        <w:spacing w:line="360" w:lineRule="auto"/>
        <w:jc w:val="both"/>
        <w:rPr>
          <w:rFonts w:hint="eastAsia" w:ascii="宋体" w:hAnsi="宋体" w:eastAsia="宋体" w:cs="宋体"/>
          <w:szCs w:val="21"/>
          <w:u w:val="single"/>
        </w:rPr>
      </w:pPr>
      <w:r>
        <w:rPr>
          <w:rFonts w:hint="eastAsia" w:ascii="宋体" w:hAnsi="宋体" w:eastAsia="宋体" w:cs="宋体"/>
          <w:szCs w:val="21"/>
          <w:lang w:eastAsia="zh-CN"/>
        </w:rPr>
        <w:t>供应商</w:t>
      </w:r>
      <w:r>
        <w:rPr>
          <w:rFonts w:hint="eastAsia" w:ascii="宋体" w:hAnsi="宋体" w:eastAsia="宋体" w:cs="宋体"/>
          <w:szCs w:val="21"/>
        </w:rPr>
        <w:t>名称（加盖公章）：</w:t>
      </w:r>
      <w:r>
        <w:rPr>
          <w:rFonts w:hint="eastAsia" w:ascii="宋体" w:hAnsi="宋体" w:eastAsia="宋体" w:cs="宋体"/>
          <w:szCs w:val="21"/>
          <w:u w:val="single"/>
        </w:rPr>
        <w:t xml:space="preserve">                        </w:t>
      </w:r>
    </w:p>
    <w:p w14:paraId="3631D83F">
      <w:pPr>
        <w:widowControl w:val="0"/>
        <w:kinsoku/>
        <w:overflowPunct/>
        <w:bidi w:val="0"/>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 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14:paraId="7C53E6BE">
      <w:pPr>
        <w:widowControl w:val="0"/>
        <w:kinsoku/>
        <w:overflowPunct/>
        <w:autoSpaceDE w:val="0"/>
        <w:autoSpaceDN w:val="0"/>
        <w:bidi w:val="0"/>
        <w:spacing w:line="360" w:lineRule="auto"/>
        <w:ind w:right="1400"/>
        <w:jc w:val="both"/>
        <w:rPr>
          <w:rFonts w:hint="eastAsia" w:ascii="宋体" w:hAnsi="宋体" w:eastAsia="宋体" w:cs="宋体"/>
          <w:b/>
          <w:szCs w:val="21"/>
          <w:highlight w:val="none"/>
          <w:u w:val="single"/>
        </w:rPr>
      </w:pPr>
      <w:r>
        <w:rPr>
          <w:rFonts w:hint="eastAsia" w:ascii="宋体" w:hAnsi="宋体" w:eastAsia="宋体" w:cs="宋体"/>
          <w:b/>
          <w:szCs w:val="21"/>
        </w:rPr>
        <w:br w:type="page"/>
      </w:r>
      <w:r>
        <w:rPr>
          <w:rFonts w:hint="eastAsia" w:ascii="宋体" w:hAnsi="宋体" w:eastAsia="宋体" w:cs="宋体"/>
          <w:b/>
          <w:szCs w:val="21"/>
          <w:highlight w:val="none"/>
          <w:lang w:val="en-US" w:eastAsia="zh-CN"/>
        </w:rPr>
        <w:t>五</w:t>
      </w:r>
      <w:r>
        <w:rPr>
          <w:rFonts w:hint="eastAsia" w:ascii="宋体" w:hAnsi="宋体" w:eastAsia="宋体" w:cs="宋体"/>
          <w:b/>
          <w:snapToGrid w:val="0"/>
          <w:kern w:val="0"/>
          <w:szCs w:val="21"/>
          <w:highlight w:val="none"/>
        </w:rPr>
        <w:t>、政府采购政策适用性相关函件</w:t>
      </w:r>
    </w:p>
    <w:p w14:paraId="086E55F8">
      <w:pPr>
        <w:widowControl w:val="0"/>
        <w:kinsoku/>
        <w:overflowPunct/>
        <w:bidi w:val="0"/>
        <w:spacing w:line="360" w:lineRule="auto"/>
        <w:jc w:val="left"/>
        <w:rPr>
          <w:rFonts w:hint="eastAsia" w:ascii="宋体" w:hAnsi="宋体" w:eastAsia="宋体" w:cs="宋体"/>
          <w:b/>
          <w:bCs/>
          <w:szCs w:val="21"/>
          <w:highlight w:val="none"/>
        </w:rPr>
      </w:pPr>
      <w:r>
        <w:rPr>
          <w:rFonts w:hint="eastAsia" w:ascii="宋体" w:hAnsi="宋体" w:eastAsia="宋体" w:cs="宋体"/>
          <w:b/>
          <w:szCs w:val="21"/>
          <w:highlight w:val="none"/>
          <w:lang w:val="en-US" w:eastAsia="zh-CN"/>
        </w:rPr>
        <w:t>1</w:t>
      </w:r>
      <w:r>
        <w:rPr>
          <w:rFonts w:hint="eastAsia" w:ascii="宋体" w:hAnsi="宋体" w:eastAsia="宋体" w:cs="宋体"/>
          <w:b/>
          <w:szCs w:val="21"/>
          <w:highlight w:val="none"/>
          <w:lang w:eastAsia="zh-CN"/>
        </w:rPr>
        <w:t>、</w:t>
      </w:r>
      <w:r>
        <w:rPr>
          <w:rFonts w:hint="eastAsia" w:ascii="宋体" w:hAnsi="宋体" w:eastAsia="宋体" w:cs="宋体"/>
          <w:b/>
          <w:szCs w:val="21"/>
          <w:highlight w:val="none"/>
        </w:rPr>
        <w:t>中小企业声明函</w:t>
      </w:r>
    </w:p>
    <w:p w14:paraId="0DD57C06">
      <w:pPr>
        <w:widowControl w:val="0"/>
        <w:tabs>
          <w:tab w:val="left" w:pos="567"/>
          <w:tab w:val="left" w:pos="993"/>
        </w:tabs>
        <w:kinsoku/>
        <w:overflowPunct/>
        <w:bidi w:val="0"/>
        <w:spacing w:line="360" w:lineRule="auto"/>
        <w:jc w:val="both"/>
        <w:rPr>
          <w:rFonts w:hint="eastAsia" w:ascii="宋体" w:hAnsi="宋体" w:eastAsia="宋体" w:cs="宋体"/>
          <w:b/>
          <w:szCs w:val="21"/>
          <w:highlight w:val="none"/>
        </w:rPr>
      </w:pPr>
    </w:p>
    <w:p w14:paraId="0FBCD175">
      <w:pPr>
        <w:spacing w:line="360" w:lineRule="auto"/>
        <w:jc w:val="center"/>
        <w:rPr>
          <w:rFonts w:asciiTheme="minorEastAsia" w:hAnsiTheme="minorEastAsia"/>
          <w:b/>
          <w:spacing w:val="6"/>
          <w:sz w:val="24"/>
          <w:szCs w:val="24"/>
        </w:rPr>
      </w:pPr>
      <w:r>
        <w:rPr>
          <w:rFonts w:hint="eastAsia" w:asciiTheme="minorEastAsia" w:hAnsiTheme="minorEastAsia"/>
          <w:b/>
          <w:spacing w:val="6"/>
          <w:sz w:val="24"/>
          <w:szCs w:val="24"/>
        </w:rPr>
        <w:t>中小企业声明函（工程、服务）</w:t>
      </w:r>
    </w:p>
    <w:p w14:paraId="2B422E84">
      <w:pPr>
        <w:spacing w:line="360" w:lineRule="auto"/>
        <w:jc w:val="center"/>
        <w:rPr>
          <w:rFonts w:asciiTheme="minorEastAsia" w:hAnsiTheme="minorEastAsia"/>
          <w:b/>
          <w:spacing w:val="6"/>
          <w:sz w:val="24"/>
          <w:szCs w:val="24"/>
        </w:rPr>
      </w:pPr>
    </w:p>
    <w:p w14:paraId="4C6B028F">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本公司（联合体）郑重声明，根据《政府采购促进中小企业发展管理办法》（财库﹝</w:t>
      </w:r>
      <w:r>
        <w:rPr>
          <w:rFonts w:ascii="宋体" w:hAnsi="宋体" w:eastAsia="宋体" w:cs="宋体"/>
          <w:kern w:val="0"/>
          <w:sz w:val="24"/>
          <w:szCs w:val="24"/>
        </w:rPr>
        <w:t>2020</w:t>
      </w:r>
      <w:r>
        <w:rPr>
          <w:rFonts w:hint="eastAsia" w:ascii="宋体" w:hAnsi="宋体" w:eastAsia="宋体" w:cs="宋体"/>
          <w:kern w:val="0"/>
          <w:sz w:val="24"/>
          <w:szCs w:val="24"/>
        </w:rPr>
        <w:t>﹞</w:t>
      </w:r>
      <w:r>
        <w:rPr>
          <w:rFonts w:ascii="宋体" w:hAnsi="宋体" w:eastAsia="宋体" w:cs="宋体"/>
          <w:kern w:val="0"/>
          <w:sz w:val="24"/>
          <w:szCs w:val="24"/>
        </w:rPr>
        <w:t xml:space="preserve">46 </w:t>
      </w:r>
      <w:r>
        <w:rPr>
          <w:rFonts w:hint="eastAsia" w:ascii="宋体" w:hAnsi="宋体" w:eastAsia="宋体" w:cs="宋体"/>
          <w:kern w:val="0"/>
          <w:sz w:val="24"/>
          <w:szCs w:val="24"/>
        </w:rPr>
        <w:t>号）的规定，本公司</w:t>
      </w:r>
      <w:r>
        <w:rPr>
          <w:rFonts w:hint="eastAsia" w:ascii="宋体" w:hAnsi="宋体" w:eastAsia="宋体" w:cs="宋体"/>
          <w:kern w:val="0"/>
          <w:sz w:val="24"/>
          <w:szCs w:val="24"/>
          <w:u w:val="single"/>
        </w:rPr>
        <w:t>（联合体）</w:t>
      </w:r>
      <w:r>
        <w:rPr>
          <w:rFonts w:hint="eastAsia" w:ascii="宋体" w:hAnsi="宋体" w:eastAsia="宋体" w:cs="宋体"/>
          <w:kern w:val="0"/>
          <w:sz w:val="24"/>
          <w:szCs w:val="24"/>
        </w:rPr>
        <w:t>参加</w:t>
      </w:r>
      <w:r>
        <w:rPr>
          <w:rFonts w:hint="eastAsia" w:ascii="宋体" w:hAnsi="宋体" w:eastAsia="宋体" w:cs="宋体"/>
          <w:kern w:val="0"/>
          <w:sz w:val="24"/>
          <w:szCs w:val="24"/>
          <w:u w:val="single"/>
        </w:rPr>
        <w:t>（单位名称）</w:t>
      </w:r>
      <w:r>
        <w:rPr>
          <w:rFonts w:hint="eastAsia" w:ascii="宋体" w:hAnsi="宋体" w:eastAsia="宋体" w:cs="宋体"/>
          <w:kern w:val="0"/>
          <w:sz w:val="24"/>
          <w:szCs w:val="24"/>
        </w:rPr>
        <w:t>的</w:t>
      </w:r>
      <w:r>
        <w:rPr>
          <w:rFonts w:hint="eastAsia" w:ascii="宋体" w:hAnsi="宋体" w:eastAsia="宋体" w:cs="宋体"/>
          <w:kern w:val="0"/>
          <w:sz w:val="24"/>
          <w:szCs w:val="24"/>
          <w:u w:val="single"/>
        </w:rPr>
        <w:t>（项目名称）</w:t>
      </w:r>
      <w:r>
        <w:rPr>
          <w:rFonts w:hint="eastAsia" w:ascii="宋体" w:hAnsi="宋体" w:eastAsia="宋体" w:cs="宋体"/>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2C0D506">
      <w:pPr>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 xml:space="preserve">1. </w:t>
      </w:r>
      <w:r>
        <w:rPr>
          <w:rFonts w:hint="eastAsia" w:ascii="宋体" w:hAnsi="宋体" w:eastAsia="宋体" w:cs="宋体"/>
          <w:kern w:val="0"/>
          <w:sz w:val="24"/>
          <w:szCs w:val="24"/>
          <w:u w:val="single"/>
        </w:rPr>
        <w:t>（标的名称）</w:t>
      </w:r>
      <w:r>
        <w:rPr>
          <w:rFonts w:ascii="宋体" w:hAnsi="宋体" w:eastAsia="宋体" w:cs="宋体"/>
          <w:kern w:val="0"/>
          <w:sz w:val="24"/>
          <w:szCs w:val="24"/>
        </w:rPr>
        <w:t xml:space="preserve"> </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（采购文件中明确的所属行业）</w:t>
      </w:r>
      <w:r>
        <w:rPr>
          <w:rFonts w:hint="eastAsia" w:ascii="宋体" w:hAnsi="宋体" w:eastAsia="宋体" w:cs="宋体"/>
          <w:kern w:val="0"/>
          <w:sz w:val="24"/>
          <w:szCs w:val="24"/>
        </w:rPr>
        <w:t>；承建（承接）企业为</w:t>
      </w:r>
      <w:r>
        <w:rPr>
          <w:rFonts w:hint="eastAsia" w:ascii="宋体" w:hAnsi="宋体" w:eastAsia="宋体" w:cs="宋体"/>
          <w:kern w:val="0"/>
          <w:sz w:val="24"/>
          <w:szCs w:val="24"/>
          <w:u w:val="single"/>
        </w:rPr>
        <w:t>（企业名称）</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人，营业收入为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万元，资产总额为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万元，属于（</w:t>
      </w:r>
      <w:r>
        <w:rPr>
          <w:rFonts w:hint="eastAsia" w:ascii="宋体" w:hAnsi="宋体" w:eastAsia="宋体" w:cs="宋体"/>
          <w:kern w:val="0"/>
          <w:sz w:val="24"/>
          <w:szCs w:val="24"/>
          <w:u w:val="single"/>
        </w:rPr>
        <w:t>中型企业、小型企业、微型企业</w:t>
      </w:r>
      <w:r>
        <w:rPr>
          <w:rFonts w:hint="eastAsia" w:ascii="宋体" w:hAnsi="宋体" w:eastAsia="宋体" w:cs="宋体"/>
          <w:kern w:val="0"/>
          <w:sz w:val="24"/>
          <w:szCs w:val="24"/>
        </w:rPr>
        <w:t>）；</w:t>
      </w:r>
    </w:p>
    <w:p w14:paraId="44E19E46">
      <w:pPr>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 xml:space="preserve">2. </w:t>
      </w:r>
      <w:r>
        <w:rPr>
          <w:rFonts w:hint="eastAsia" w:ascii="宋体" w:hAnsi="宋体" w:eastAsia="宋体" w:cs="宋体"/>
          <w:kern w:val="0"/>
          <w:sz w:val="24"/>
          <w:szCs w:val="24"/>
          <w:u w:val="single"/>
        </w:rPr>
        <w:t>（标的名称）</w:t>
      </w:r>
      <w:r>
        <w:rPr>
          <w:rFonts w:ascii="宋体" w:hAnsi="宋体" w:eastAsia="宋体" w:cs="宋体"/>
          <w:kern w:val="0"/>
          <w:sz w:val="24"/>
          <w:szCs w:val="24"/>
        </w:rPr>
        <w:t xml:space="preserve"> </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（采购文件中明确的所属行业）</w:t>
      </w:r>
      <w:r>
        <w:rPr>
          <w:rFonts w:hint="eastAsia" w:ascii="宋体" w:hAnsi="宋体" w:eastAsia="宋体" w:cs="宋体"/>
          <w:kern w:val="0"/>
          <w:sz w:val="24"/>
          <w:szCs w:val="24"/>
        </w:rPr>
        <w:t>；承建（承接）企业为</w:t>
      </w:r>
      <w:r>
        <w:rPr>
          <w:rFonts w:hint="eastAsia" w:ascii="宋体" w:hAnsi="宋体" w:eastAsia="宋体" w:cs="宋体"/>
          <w:kern w:val="0"/>
          <w:sz w:val="24"/>
          <w:szCs w:val="24"/>
          <w:u w:val="single"/>
        </w:rPr>
        <w:t>（企业名称）</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人，营业收入为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万元，资产总额为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万元，属于（</w:t>
      </w:r>
      <w:r>
        <w:rPr>
          <w:rFonts w:hint="eastAsia" w:ascii="宋体" w:hAnsi="宋体" w:eastAsia="宋体" w:cs="宋体"/>
          <w:kern w:val="0"/>
          <w:sz w:val="24"/>
          <w:szCs w:val="24"/>
          <w:u w:val="single"/>
        </w:rPr>
        <w:t>中型企业、小型企业、微型企业</w:t>
      </w:r>
      <w:r>
        <w:rPr>
          <w:rFonts w:hint="eastAsia" w:ascii="宋体" w:hAnsi="宋体" w:eastAsia="宋体" w:cs="宋体"/>
          <w:kern w:val="0"/>
          <w:sz w:val="24"/>
          <w:szCs w:val="24"/>
        </w:rPr>
        <w:t>）；</w:t>
      </w:r>
    </w:p>
    <w:p w14:paraId="613AB29F">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p>
    <w:p w14:paraId="71B711C7">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以上企业，不属于大企业的分支机构，不存在控股股东为大企业的情形，也不存在与大企业的负责人为同一人的情形。</w:t>
      </w:r>
    </w:p>
    <w:p w14:paraId="4BAE318D">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本企业对上述声明内容的真实性负责。如有虚假，将依法承担相应责任。</w:t>
      </w:r>
    </w:p>
    <w:p w14:paraId="5417AA54">
      <w:pPr>
        <w:spacing w:line="360" w:lineRule="auto"/>
        <w:ind w:firstLine="480" w:firstLineChars="200"/>
        <w:jc w:val="right"/>
        <w:rPr>
          <w:rFonts w:ascii="宋体" w:hAnsi="宋体" w:eastAsia="宋体" w:cs="宋体"/>
          <w:kern w:val="0"/>
          <w:sz w:val="24"/>
          <w:szCs w:val="24"/>
        </w:rPr>
      </w:pPr>
      <w:r>
        <w:rPr>
          <w:rFonts w:hint="eastAsia" w:ascii="宋体" w:hAnsi="宋体" w:eastAsia="宋体" w:cs="宋体"/>
          <w:kern w:val="0"/>
          <w:sz w:val="24"/>
          <w:szCs w:val="24"/>
        </w:rPr>
        <w:t>企业名称（盖章）：</w:t>
      </w:r>
    </w:p>
    <w:p w14:paraId="76E8C7C5">
      <w:pPr>
        <w:spacing w:line="360" w:lineRule="auto"/>
        <w:ind w:right="480" w:firstLine="480" w:firstLineChars="200"/>
        <w:jc w:val="right"/>
        <w:rPr>
          <w:rFonts w:cs="宋体"/>
          <w:b/>
        </w:rPr>
      </w:pPr>
      <w:r>
        <w:rPr>
          <w:rFonts w:hint="eastAsia" w:ascii="宋体" w:hAnsi="宋体" w:eastAsia="宋体" w:cs="宋体"/>
          <w:kern w:val="0"/>
          <w:sz w:val="24"/>
          <w:szCs w:val="24"/>
        </w:rPr>
        <w:t>日期：</w:t>
      </w:r>
    </w:p>
    <w:p w14:paraId="67F99739">
      <w:pPr>
        <w:spacing w:line="360" w:lineRule="auto"/>
        <w:rPr>
          <w:rStyle w:val="40"/>
          <w:rFonts w:ascii="宋体" w:hAnsi="宋体"/>
          <w:kern w:val="0"/>
          <w:sz w:val="24"/>
          <w:szCs w:val="24"/>
        </w:rPr>
      </w:pPr>
      <w:r>
        <w:rPr>
          <w:rFonts w:hint="eastAsia" w:ascii="宋体" w:hAnsi="宋体" w:eastAsia="宋体" w:cs="宋体"/>
          <w:kern w:val="0"/>
          <w:szCs w:val="21"/>
        </w:rPr>
        <w:t>注：人员、营业收入、资产总额填报上一年度数据，无上一年度数据的新成立企业可不填报。</w:t>
      </w:r>
    </w:p>
    <w:p w14:paraId="431AE9FB">
      <w:pPr>
        <w:widowControl w:val="0"/>
        <w:tabs>
          <w:tab w:val="left" w:pos="567"/>
          <w:tab w:val="left" w:pos="993"/>
        </w:tabs>
        <w:kinsoku/>
        <w:overflowPunct/>
        <w:bidi w:val="0"/>
        <w:spacing w:line="360" w:lineRule="auto"/>
        <w:jc w:val="left"/>
        <w:rPr>
          <w:rFonts w:hint="eastAsia" w:ascii="宋体" w:hAnsi="宋体" w:eastAsia="宋体" w:cs="宋体"/>
          <w:b/>
          <w:bCs/>
          <w:szCs w:val="21"/>
          <w:u w:val="single"/>
        </w:rPr>
      </w:pPr>
    </w:p>
    <w:p w14:paraId="258BC2F5">
      <w:pPr>
        <w:widowControl w:val="0"/>
        <w:tabs>
          <w:tab w:val="left" w:pos="567"/>
          <w:tab w:val="left" w:pos="993"/>
        </w:tabs>
        <w:kinsoku/>
        <w:overflowPunct/>
        <w:bidi w:val="0"/>
        <w:spacing w:line="360" w:lineRule="auto"/>
        <w:jc w:val="left"/>
        <w:rPr>
          <w:rFonts w:hint="eastAsia" w:ascii="宋体" w:hAnsi="宋体" w:eastAsia="宋体" w:cs="宋体"/>
          <w:b/>
          <w:bCs/>
          <w:szCs w:val="21"/>
        </w:rPr>
      </w:pPr>
      <w:r>
        <w:rPr>
          <w:rFonts w:hint="eastAsia" w:ascii="宋体" w:hAnsi="宋体" w:eastAsia="宋体" w:cs="宋体"/>
          <w:b/>
          <w:bCs/>
          <w:szCs w:val="21"/>
        </w:rPr>
        <w:br w:type="page"/>
      </w:r>
      <w:r>
        <w:rPr>
          <w:rFonts w:hint="eastAsia" w:ascii="宋体" w:hAnsi="宋体" w:eastAsia="宋体" w:cs="宋体"/>
          <w:b/>
          <w:szCs w:val="21"/>
          <w:lang w:val="en-US" w:eastAsia="zh-CN"/>
        </w:rPr>
        <w:t>2</w:t>
      </w:r>
      <w:r>
        <w:rPr>
          <w:rFonts w:hint="eastAsia" w:ascii="宋体" w:hAnsi="宋体" w:eastAsia="宋体" w:cs="宋体"/>
          <w:b/>
          <w:szCs w:val="21"/>
          <w:lang w:eastAsia="zh-CN"/>
        </w:rPr>
        <w:t>、</w:t>
      </w:r>
      <w:r>
        <w:rPr>
          <w:rFonts w:hint="eastAsia" w:ascii="宋体" w:hAnsi="宋体" w:eastAsia="宋体" w:cs="宋体"/>
          <w:b/>
          <w:szCs w:val="21"/>
        </w:rPr>
        <w:t>残疾人福利性单位声明函</w:t>
      </w:r>
      <w:r>
        <w:rPr>
          <w:rFonts w:hint="eastAsia" w:ascii="宋体" w:hAnsi="宋体" w:eastAsia="宋体" w:cs="宋体"/>
          <w:b/>
          <w:snapToGrid w:val="0"/>
          <w:kern w:val="0"/>
          <w:szCs w:val="21"/>
        </w:rPr>
        <w:t>（如投标人不符合条件，不需提供）</w:t>
      </w:r>
    </w:p>
    <w:p w14:paraId="11289D3B">
      <w:pPr>
        <w:widowControl w:val="0"/>
        <w:tabs>
          <w:tab w:val="left" w:pos="567"/>
          <w:tab w:val="left" w:pos="993"/>
        </w:tabs>
        <w:kinsoku/>
        <w:overflowPunct/>
        <w:bidi w:val="0"/>
        <w:spacing w:line="360" w:lineRule="auto"/>
        <w:jc w:val="both"/>
        <w:rPr>
          <w:rFonts w:hint="eastAsia" w:ascii="宋体" w:hAnsi="宋体" w:eastAsia="宋体" w:cs="宋体"/>
          <w:b/>
          <w:szCs w:val="21"/>
        </w:rPr>
      </w:pPr>
    </w:p>
    <w:p w14:paraId="481D4A3A">
      <w:pPr>
        <w:widowControl w:val="0"/>
        <w:tabs>
          <w:tab w:val="left" w:pos="567"/>
          <w:tab w:val="left" w:pos="993"/>
        </w:tabs>
        <w:kinsoku/>
        <w:overflowPunct/>
        <w:bidi w:val="0"/>
        <w:spacing w:line="360" w:lineRule="auto"/>
        <w:jc w:val="both"/>
        <w:rPr>
          <w:rFonts w:hint="eastAsia" w:ascii="宋体" w:hAnsi="宋体" w:eastAsia="宋体" w:cs="宋体"/>
          <w:b/>
          <w:szCs w:val="21"/>
        </w:rPr>
      </w:pPr>
    </w:p>
    <w:p w14:paraId="35AB534B">
      <w:pPr>
        <w:widowControl w:val="0"/>
        <w:kinsoku/>
        <w:overflowPunct/>
        <w:bidi w:val="0"/>
        <w:spacing w:line="360" w:lineRule="auto"/>
        <w:ind w:firstLine="444" w:firstLineChars="200"/>
        <w:jc w:val="center"/>
        <w:rPr>
          <w:rFonts w:hint="eastAsia" w:ascii="宋体" w:hAnsi="宋体" w:eastAsia="宋体" w:cs="宋体"/>
          <w:b/>
          <w:spacing w:val="6"/>
          <w:szCs w:val="21"/>
        </w:rPr>
      </w:pPr>
      <w:bookmarkStart w:id="83" w:name="OLE_LINK14"/>
      <w:bookmarkStart w:id="84" w:name="OLE_LINK13"/>
      <w:r>
        <w:rPr>
          <w:rFonts w:hint="eastAsia" w:ascii="宋体" w:hAnsi="宋体" w:eastAsia="宋体" w:cs="宋体"/>
          <w:b/>
          <w:spacing w:val="6"/>
          <w:szCs w:val="21"/>
        </w:rPr>
        <w:t>残疾人福利性单位声明函</w:t>
      </w:r>
    </w:p>
    <w:bookmarkEnd w:id="83"/>
    <w:bookmarkEnd w:id="84"/>
    <w:p w14:paraId="7EEB445A">
      <w:pPr>
        <w:widowControl w:val="0"/>
        <w:kinsoku/>
        <w:overflowPunct/>
        <w:bidi w:val="0"/>
        <w:spacing w:line="360" w:lineRule="auto"/>
        <w:jc w:val="both"/>
        <w:rPr>
          <w:rFonts w:hint="eastAsia" w:ascii="宋体" w:hAnsi="宋体" w:eastAsia="宋体" w:cs="宋体"/>
          <w:b/>
          <w:spacing w:val="6"/>
          <w:szCs w:val="21"/>
        </w:rPr>
      </w:pPr>
    </w:p>
    <w:p w14:paraId="70EA20C4">
      <w:pPr>
        <w:widowControl w:val="0"/>
        <w:kinsoku/>
        <w:overflowPunct/>
        <w:bidi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A11CF7B">
      <w:pPr>
        <w:widowControl w:val="0"/>
        <w:kinsoku/>
        <w:overflowPunct/>
        <w:bidi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本单位对上述声明的真实性负责。如有虚假，将依法承担相应责任。</w:t>
      </w:r>
    </w:p>
    <w:p w14:paraId="1B2075CB">
      <w:pPr>
        <w:widowControl w:val="0"/>
        <w:kinsoku/>
        <w:overflowPunct/>
        <w:bidi w:val="0"/>
        <w:spacing w:line="360" w:lineRule="auto"/>
        <w:ind w:firstLine="444" w:firstLineChars="200"/>
        <w:jc w:val="both"/>
        <w:rPr>
          <w:rFonts w:hint="eastAsia" w:ascii="宋体" w:hAnsi="宋体" w:eastAsia="宋体" w:cs="宋体"/>
          <w:spacing w:val="6"/>
          <w:szCs w:val="21"/>
        </w:rPr>
      </w:pPr>
    </w:p>
    <w:p w14:paraId="469686A9">
      <w:pPr>
        <w:widowControl w:val="0"/>
        <w:kinsoku/>
        <w:overflowPunct/>
        <w:bidi w:val="0"/>
        <w:spacing w:line="360" w:lineRule="auto"/>
        <w:ind w:firstLine="444" w:firstLineChars="200"/>
        <w:jc w:val="both"/>
        <w:rPr>
          <w:rFonts w:hint="eastAsia" w:ascii="宋体" w:hAnsi="宋体" w:eastAsia="宋体" w:cs="宋体"/>
          <w:spacing w:val="6"/>
          <w:szCs w:val="21"/>
        </w:rPr>
      </w:pPr>
    </w:p>
    <w:p w14:paraId="5438BCCB">
      <w:pPr>
        <w:widowControl w:val="0"/>
        <w:kinsoku/>
        <w:overflowPunct/>
        <w:bidi w:val="0"/>
        <w:spacing w:line="360" w:lineRule="auto"/>
        <w:ind w:firstLine="444" w:firstLineChars="200"/>
        <w:jc w:val="both"/>
        <w:rPr>
          <w:rFonts w:hint="eastAsia" w:ascii="宋体" w:hAnsi="宋体" w:eastAsia="宋体" w:cs="宋体"/>
          <w:spacing w:val="6"/>
          <w:szCs w:val="21"/>
        </w:rPr>
      </w:pPr>
    </w:p>
    <w:p w14:paraId="442C64F1">
      <w:pPr>
        <w:widowControl w:val="0"/>
        <w:kinsoku/>
        <w:overflowPunct/>
        <w:bidi w:val="0"/>
        <w:spacing w:line="360" w:lineRule="auto"/>
        <w:ind w:firstLine="444" w:firstLineChars="200"/>
        <w:jc w:val="both"/>
        <w:rPr>
          <w:rFonts w:hint="eastAsia" w:ascii="宋体" w:hAnsi="宋体" w:eastAsia="宋体" w:cs="宋体"/>
          <w:spacing w:val="6"/>
          <w:szCs w:val="21"/>
        </w:rPr>
      </w:pPr>
    </w:p>
    <w:p w14:paraId="4AD33CC0">
      <w:pPr>
        <w:widowControl w:val="0"/>
        <w:kinsoku/>
        <w:overflowPunct/>
        <w:bidi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投标单位名称（盖章）：</w:t>
      </w:r>
    </w:p>
    <w:p w14:paraId="0865B507">
      <w:pPr>
        <w:widowControl w:val="0"/>
        <w:kinsoku/>
        <w:overflowPunct/>
        <w:bidi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日  期：</w:t>
      </w:r>
    </w:p>
    <w:p w14:paraId="0F83AEFB">
      <w:pPr>
        <w:widowControl w:val="0"/>
        <w:kinsoku/>
        <w:overflowPunct/>
        <w:autoSpaceDE w:val="0"/>
        <w:autoSpaceDN w:val="0"/>
        <w:bidi w:val="0"/>
        <w:spacing w:line="360" w:lineRule="auto"/>
        <w:jc w:val="both"/>
        <w:rPr>
          <w:rFonts w:hint="eastAsia" w:ascii="宋体" w:hAnsi="宋体" w:eastAsia="宋体" w:cs="宋体"/>
          <w:b/>
          <w:szCs w:val="21"/>
        </w:rPr>
      </w:pPr>
    </w:p>
    <w:p w14:paraId="28D948D7">
      <w:pPr>
        <w:widowControl w:val="0"/>
        <w:kinsoku/>
        <w:overflowPunct/>
        <w:autoSpaceDE w:val="0"/>
        <w:autoSpaceDN w:val="0"/>
        <w:bidi w:val="0"/>
        <w:spacing w:line="360" w:lineRule="auto"/>
        <w:jc w:val="both"/>
        <w:rPr>
          <w:rFonts w:hint="eastAsia" w:ascii="宋体" w:hAnsi="宋体" w:eastAsia="宋体" w:cs="宋体"/>
          <w:b/>
          <w:szCs w:val="21"/>
        </w:rPr>
      </w:pPr>
    </w:p>
    <w:p w14:paraId="4C3B81B4">
      <w:pPr>
        <w:widowControl w:val="0"/>
        <w:kinsoku/>
        <w:overflowPunct/>
        <w:autoSpaceDE w:val="0"/>
        <w:autoSpaceDN w:val="0"/>
        <w:bidi w:val="0"/>
        <w:spacing w:line="360" w:lineRule="auto"/>
        <w:jc w:val="both"/>
        <w:rPr>
          <w:rFonts w:hint="eastAsia" w:ascii="宋体" w:hAnsi="宋体" w:eastAsia="宋体" w:cs="宋体"/>
          <w:b/>
          <w:szCs w:val="21"/>
        </w:rPr>
      </w:pPr>
    </w:p>
    <w:p w14:paraId="21FABE17">
      <w:pPr>
        <w:widowControl w:val="0"/>
        <w:kinsoku/>
        <w:overflowPunct/>
        <w:autoSpaceDE w:val="0"/>
        <w:autoSpaceDN w:val="0"/>
        <w:bidi w:val="0"/>
        <w:spacing w:line="360" w:lineRule="auto"/>
        <w:jc w:val="both"/>
        <w:rPr>
          <w:rFonts w:hint="eastAsia" w:ascii="宋体" w:hAnsi="宋体" w:eastAsia="宋体" w:cs="宋体"/>
          <w:b/>
          <w:szCs w:val="21"/>
        </w:rPr>
      </w:pPr>
    </w:p>
    <w:p w14:paraId="156A6425">
      <w:pPr>
        <w:widowControl w:val="0"/>
        <w:kinsoku/>
        <w:overflowPunct/>
        <w:bidi w:val="0"/>
        <w:spacing w:line="360" w:lineRule="auto"/>
        <w:jc w:val="both"/>
        <w:rPr>
          <w:rFonts w:hint="eastAsia" w:ascii="宋体" w:hAnsi="宋体" w:eastAsia="宋体" w:cs="宋体"/>
          <w:spacing w:val="6"/>
          <w:szCs w:val="21"/>
        </w:rPr>
      </w:pPr>
      <w:r>
        <w:rPr>
          <w:rFonts w:hint="eastAsia" w:ascii="宋体" w:hAnsi="宋体" w:eastAsia="宋体" w:cs="宋体"/>
          <w:spacing w:val="6"/>
          <w:szCs w:val="21"/>
        </w:rPr>
        <w:t>备注：1、中标、中标人承诺为残疾人福利性单位的，投标人的《残疾人福利性单位声明函》将随中标、成交结果同时公告，接受社会监督。</w:t>
      </w:r>
    </w:p>
    <w:p w14:paraId="46489A2A">
      <w:pPr>
        <w:pStyle w:val="214"/>
        <w:widowControl/>
        <w:kinsoku/>
        <w:overflowPunct/>
        <w:bidi w:val="0"/>
        <w:spacing w:line="360" w:lineRule="auto"/>
        <w:jc w:val="left"/>
        <w:rPr>
          <w:rFonts w:hint="eastAsia" w:ascii="宋体" w:hAnsi="宋体" w:eastAsia="宋体" w:cs="宋体"/>
        </w:rPr>
      </w:pPr>
    </w:p>
    <w:p w14:paraId="12B0F522">
      <w:pPr>
        <w:widowControl w:val="0"/>
        <w:tabs>
          <w:tab w:val="left" w:pos="567"/>
          <w:tab w:val="left" w:pos="993"/>
        </w:tabs>
        <w:kinsoku/>
        <w:overflowPunct/>
        <w:bidi w:val="0"/>
        <w:spacing w:line="360" w:lineRule="auto"/>
        <w:jc w:val="left"/>
        <w:rPr>
          <w:rFonts w:hint="eastAsia" w:ascii="宋体" w:hAnsi="宋体" w:eastAsia="宋体" w:cs="宋体"/>
          <w:b/>
          <w:szCs w:val="21"/>
        </w:rPr>
      </w:pPr>
      <w:r>
        <w:rPr>
          <w:rFonts w:hint="eastAsia" w:ascii="宋体" w:hAnsi="宋体" w:eastAsia="宋体" w:cs="宋体"/>
          <w:szCs w:val="24"/>
        </w:rPr>
        <w:br w:type="page"/>
      </w:r>
      <w:r>
        <w:rPr>
          <w:rFonts w:hint="eastAsia" w:ascii="宋体" w:hAnsi="宋体" w:eastAsia="宋体" w:cs="宋体"/>
          <w:b/>
          <w:szCs w:val="21"/>
          <w:lang w:val="en-US" w:eastAsia="zh-CN"/>
        </w:rPr>
        <w:t>3</w:t>
      </w:r>
      <w:r>
        <w:rPr>
          <w:rFonts w:hint="eastAsia" w:ascii="宋体" w:hAnsi="宋体" w:eastAsia="宋体" w:cs="宋体"/>
          <w:b/>
          <w:szCs w:val="21"/>
          <w:lang w:eastAsia="zh-CN"/>
        </w:rPr>
        <w:t>、</w:t>
      </w:r>
      <w:r>
        <w:rPr>
          <w:rFonts w:hint="eastAsia" w:ascii="宋体" w:hAnsi="宋体" w:eastAsia="宋体" w:cs="宋体"/>
          <w:b/>
          <w:szCs w:val="21"/>
        </w:rPr>
        <w:t>监狱企业声明函</w:t>
      </w:r>
      <w:r>
        <w:rPr>
          <w:rFonts w:hint="eastAsia" w:ascii="宋体" w:hAnsi="宋体" w:eastAsia="宋体" w:cs="宋体"/>
          <w:b/>
          <w:snapToGrid w:val="0"/>
          <w:kern w:val="0"/>
          <w:szCs w:val="21"/>
        </w:rPr>
        <w:t>（如投标人不符合条件，不需提供）</w:t>
      </w:r>
    </w:p>
    <w:p w14:paraId="22D59C80">
      <w:pPr>
        <w:widowControl w:val="0"/>
        <w:kinsoku/>
        <w:overflowPunct/>
        <w:bidi w:val="0"/>
        <w:spacing w:line="360" w:lineRule="auto"/>
        <w:ind w:firstLine="420" w:firstLineChars="200"/>
        <w:jc w:val="center"/>
        <w:rPr>
          <w:rFonts w:hint="eastAsia" w:ascii="宋体" w:hAnsi="宋体" w:eastAsia="宋体" w:cs="宋体"/>
          <w:szCs w:val="20"/>
        </w:rPr>
      </w:pPr>
    </w:p>
    <w:p w14:paraId="62B2B439">
      <w:pPr>
        <w:widowControl w:val="0"/>
        <w:kinsoku/>
        <w:overflowPunct/>
        <w:bidi w:val="0"/>
        <w:spacing w:line="360" w:lineRule="auto"/>
        <w:ind w:firstLine="420" w:firstLineChars="200"/>
        <w:jc w:val="center"/>
        <w:rPr>
          <w:rFonts w:hint="eastAsia" w:ascii="宋体" w:hAnsi="宋体" w:eastAsia="宋体" w:cs="宋体"/>
          <w:szCs w:val="20"/>
        </w:rPr>
      </w:pPr>
    </w:p>
    <w:p w14:paraId="5237A29E">
      <w:pPr>
        <w:widowControl w:val="0"/>
        <w:kinsoku/>
        <w:overflowPunct/>
        <w:bidi w:val="0"/>
        <w:spacing w:line="360" w:lineRule="auto"/>
        <w:ind w:firstLine="420" w:firstLineChars="200"/>
        <w:jc w:val="center"/>
        <w:rPr>
          <w:rFonts w:hint="eastAsia" w:ascii="宋体" w:hAnsi="宋体" w:eastAsia="宋体" w:cs="宋体"/>
          <w:szCs w:val="20"/>
        </w:rPr>
      </w:pPr>
    </w:p>
    <w:p w14:paraId="60FE278F">
      <w:pPr>
        <w:widowControl w:val="0"/>
        <w:kinsoku/>
        <w:overflowPunct/>
        <w:bidi w:val="0"/>
        <w:spacing w:line="360" w:lineRule="auto"/>
        <w:ind w:firstLine="444" w:firstLineChars="200"/>
        <w:jc w:val="center"/>
        <w:rPr>
          <w:rFonts w:hint="eastAsia" w:ascii="宋体" w:hAnsi="宋体" w:eastAsia="宋体" w:cs="宋体"/>
          <w:b/>
          <w:spacing w:val="6"/>
          <w:szCs w:val="21"/>
        </w:rPr>
      </w:pPr>
      <w:r>
        <w:rPr>
          <w:rFonts w:hint="eastAsia" w:ascii="宋体" w:hAnsi="宋体" w:eastAsia="宋体" w:cs="宋体"/>
          <w:b/>
          <w:spacing w:val="6"/>
          <w:szCs w:val="21"/>
        </w:rPr>
        <w:t>监狱企业声明函</w:t>
      </w:r>
    </w:p>
    <w:p w14:paraId="49D83DA2">
      <w:pPr>
        <w:widowControl w:val="0"/>
        <w:kinsoku/>
        <w:overflowPunct/>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（格式自拟）</w:t>
      </w:r>
    </w:p>
    <w:p w14:paraId="01CC3944">
      <w:pPr>
        <w:widowControl w:val="0"/>
        <w:kinsoku/>
        <w:overflowPunct/>
        <w:bidi w:val="0"/>
        <w:spacing w:line="360" w:lineRule="auto"/>
        <w:jc w:val="both"/>
        <w:rPr>
          <w:rFonts w:hint="eastAsia" w:ascii="宋体" w:hAnsi="宋体" w:eastAsia="宋体" w:cs="宋体"/>
          <w:kern w:val="0"/>
          <w:sz w:val="24"/>
          <w:szCs w:val="24"/>
        </w:rPr>
      </w:pPr>
    </w:p>
    <w:p w14:paraId="2D390CA9">
      <w:pPr>
        <w:widowControl w:val="0"/>
        <w:kinsoku/>
        <w:overflowPunct/>
        <w:bidi w:val="0"/>
        <w:spacing w:line="360" w:lineRule="auto"/>
        <w:jc w:val="both"/>
        <w:rPr>
          <w:rFonts w:hint="eastAsia" w:ascii="宋体" w:hAnsi="宋体" w:eastAsia="宋体" w:cs="宋体"/>
          <w:kern w:val="0"/>
          <w:sz w:val="24"/>
          <w:szCs w:val="24"/>
        </w:rPr>
      </w:pPr>
    </w:p>
    <w:p w14:paraId="2F2E905C">
      <w:pPr>
        <w:widowControl w:val="0"/>
        <w:kinsoku/>
        <w:overflowPunct/>
        <w:bidi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说明：</w:t>
      </w:r>
    </w:p>
    <w:p w14:paraId="4EC09174">
      <w:pPr>
        <w:widowControl w:val="0"/>
        <w:kinsoku/>
        <w:overflowPunct/>
        <w:bidi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1、投标人符合《政府采购支持监狱企业发展有关问题的通知》（财库【2014】68号）规定的划分标准为监狱企业适用。</w:t>
      </w:r>
    </w:p>
    <w:p w14:paraId="4998CD6D">
      <w:pPr>
        <w:pStyle w:val="214"/>
        <w:widowControl/>
        <w:kinsoku/>
        <w:overflowPunct/>
        <w:bidi w:val="0"/>
        <w:spacing w:line="360" w:lineRule="auto"/>
        <w:jc w:val="left"/>
        <w:rPr>
          <w:rFonts w:hint="eastAsia" w:ascii="宋体" w:hAnsi="宋体" w:eastAsia="宋体" w:cs="宋体"/>
        </w:rPr>
      </w:pPr>
      <w:r>
        <w:rPr>
          <w:rFonts w:hint="eastAsia" w:ascii="宋体" w:hAnsi="宋体" w:eastAsia="宋体" w:cs="宋体"/>
          <w:kern w:val="0"/>
          <w:sz w:val="24"/>
        </w:rPr>
        <w:t>2、在政府采购活动中，监狱企业视同小型、微型企业，享受预留份额、评审中价格扣除等政府采购促进中小企业发展的政府采购政策。监狱企业参加政府采购活动时，</w:t>
      </w:r>
      <w:r>
        <w:rPr>
          <w:rFonts w:hint="eastAsia" w:ascii="宋体" w:hAnsi="宋体" w:eastAsia="宋体" w:cs="宋体"/>
          <w:b/>
          <w:kern w:val="0"/>
          <w:sz w:val="24"/>
        </w:rPr>
        <w:t>还应当提供由省级以上监狱管理局、戒毒管理局(含新疆生产建设兵团)出具的属于监狱企业的证明文件</w:t>
      </w:r>
      <w:r>
        <w:rPr>
          <w:rFonts w:hint="eastAsia" w:ascii="宋体" w:hAnsi="宋体" w:eastAsia="宋体" w:cs="宋体"/>
          <w:kern w:val="0"/>
          <w:sz w:val="24"/>
        </w:rPr>
        <w:t>。</w:t>
      </w:r>
    </w:p>
    <w:p w14:paraId="1D888986">
      <w:pPr>
        <w:pStyle w:val="214"/>
        <w:widowControl/>
        <w:kinsoku/>
        <w:overflowPunct/>
        <w:bidi w:val="0"/>
        <w:spacing w:line="360" w:lineRule="auto"/>
        <w:jc w:val="left"/>
        <w:rPr>
          <w:rFonts w:hint="eastAsia" w:ascii="宋体" w:hAnsi="宋体" w:eastAsia="宋体" w:cs="宋体"/>
        </w:rPr>
      </w:pPr>
    </w:p>
    <w:p w14:paraId="1AD53A44">
      <w:pPr>
        <w:widowControl w:val="0"/>
        <w:kinsoku/>
        <w:overflowPunct/>
        <w:autoSpaceDE w:val="0"/>
        <w:autoSpaceDN w:val="0"/>
        <w:bidi w:val="0"/>
        <w:spacing w:line="360" w:lineRule="auto"/>
        <w:jc w:val="both"/>
        <w:rPr>
          <w:rFonts w:hint="eastAsia" w:ascii="宋体" w:hAnsi="宋体" w:eastAsia="宋体" w:cs="宋体"/>
          <w:b/>
          <w:szCs w:val="21"/>
          <w:lang w:val="en-US" w:eastAsia="zh-CN"/>
        </w:rPr>
      </w:pPr>
      <w:r>
        <w:rPr>
          <w:rFonts w:hint="eastAsia" w:ascii="宋体" w:hAnsi="宋体" w:eastAsia="宋体" w:cs="宋体"/>
          <w:b/>
          <w:szCs w:val="21"/>
        </w:rPr>
        <w:br w:type="page"/>
      </w:r>
      <w:r>
        <w:rPr>
          <w:rFonts w:hint="eastAsia" w:ascii="宋体" w:hAnsi="宋体" w:eastAsia="宋体" w:cs="宋体"/>
          <w:b/>
          <w:szCs w:val="21"/>
          <w:lang w:val="en-US" w:eastAsia="zh-CN"/>
        </w:rPr>
        <w:t>4、节能、环保产品明细表（如为节能、环保产品提供下列明细表，非节能环保产品可不提供）</w:t>
      </w:r>
    </w:p>
    <w:p w14:paraId="77FAD5AC">
      <w:pPr>
        <w:pStyle w:val="215"/>
        <w:keepNext w:val="0"/>
        <w:keepLines w:val="0"/>
        <w:pageBreakBefore w:val="0"/>
        <w:widowControl w:val="0"/>
        <w:tabs>
          <w:tab w:val="left" w:pos="-120"/>
        </w:tabs>
        <w:kinsoku/>
        <w:wordWrap/>
        <w:overflowPunct/>
        <w:topLinePunct w:val="0"/>
        <w:autoSpaceDE/>
        <w:autoSpaceDN/>
        <w:bidi w:val="0"/>
        <w:adjustRightInd/>
        <w:snapToGrid/>
        <w:spacing w:line="440" w:lineRule="exact"/>
        <w:ind w:firstLine="0"/>
        <w:textAlignment w:val="baseline"/>
        <w:rPr>
          <w:rFonts w:hint="eastAsia" w:ascii="宋体" w:hAnsi="宋体" w:eastAsia="宋体" w:cs="宋体"/>
          <w:color w:val="auto"/>
          <w:sz w:val="24"/>
          <w:highlight w:val="none"/>
        </w:rPr>
      </w:pPr>
      <w:r>
        <w:rPr>
          <w:rFonts w:hint="eastAsia" w:ascii="宋体" w:hAnsi="宋体" w:eastAsia="宋体" w:cs="宋体"/>
          <w:color w:val="auto"/>
          <w:spacing w:val="0"/>
          <w:sz w:val="24"/>
          <w:szCs w:val="24"/>
          <w:highlight w:val="none"/>
        </w:rPr>
        <w:t>能、环保产品明细表（如为节能、环保产品提供下列明细表，非节能环保产品可不提供）</w:t>
      </w:r>
    </w:p>
    <w:p w14:paraId="6440F542">
      <w:pPr>
        <w:pStyle w:val="216"/>
        <w:rPr>
          <w:rFonts w:hint="eastAsia" w:ascii="宋体" w:hAnsi="宋体" w:cs="宋体"/>
          <w:color w:val="auto"/>
          <w:sz w:val="24"/>
          <w:highlight w:val="none"/>
        </w:rPr>
      </w:pPr>
    </w:p>
    <w:p w14:paraId="232119C8">
      <w:pPr>
        <w:widowControl w:val="0"/>
        <w:shd w:val="clear" w:color="auto" w:fill="FFFFFF"/>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环境标志产品明细表</w:t>
      </w:r>
    </w:p>
    <w:p w14:paraId="3426B11B">
      <w:pPr>
        <w:pStyle w:val="217"/>
        <w:spacing w:line="360" w:lineRule="auto"/>
        <w:ind w:left="0" w:firstLine="0"/>
        <w:rPr>
          <w:rFonts w:hint="eastAsia" w:ascii="宋体" w:hAnsi="宋体" w:cs="宋体"/>
          <w:color w:val="auto"/>
          <w:highlight w:val="none"/>
        </w:rPr>
      </w:pPr>
      <w:r>
        <w:rPr>
          <w:rFonts w:hint="eastAsia" w:ascii="宋体" w:hAnsi="宋体" w:cs="宋体"/>
          <w:color w:val="auto"/>
          <w:highlight w:val="none"/>
        </w:rPr>
        <w:t>项目编号、包号：                                    价格单位：元</w:t>
      </w:r>
    </w:p>
    <w:tbl>
      <w:tblPr>
        <w:tblStyle w:val="37"/>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191"/>
        <w:gridCol w:w="1191"/>
        <w:gridCol w:w="1191"/>
        <w:gridCol w:w="1191"/>
        <w:gridCol w:w="1603"/>
        <w:gridCol w:w="1404"/>
        <w:gridCol w:w="1089"/>
      </w:tblGrid>
      <w:tr w14:paraId="1EC8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14:paraId="2CA0C342">
            <w:pPr>
              <w:pStyle w:val="216"/>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568F478D">
            <w:pPr>
              <w:pStyle w:val="216"/>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产品名称</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199BAC19">
            <w:pPr>
              <w:pStyle w:val="216"/>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企业名称</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4D56FD74">
            <w:pPr>
              <w:pStyle w:val="216"/>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注册商标</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13931CDC">
            <w:pPr>
              <w:pStyle w:val="216"/>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规格型号</w:t>
            </w:r>
          </w:p>
        </w:tc>
        <w:tc>
          <w:tcPr>
            <w:tcW w:w="1603" w:type="dxa"/>
            <w:tcBorders>
              <w:top w:val="single" w:color="auto" w:sz="4" w:space="0"/>
              <w:left w:val="single" w:color="auto" w:sz="4" w:space="0"/>
              <w:bottom w:val="single" w:color="auto" w:sz="4" w:space="0"/>
              <w:right w:val="single" w:color="auto" w:sz="4" w:space="0"/>
            </w:tcBorders>
            <w:noWrap w:val="0"/>
            <w:vAlign w:val="center"/>
          </w:tcPr>
          <w:p w14:paraId="3127CF26">
            <w:pPr>
              <w:pStyle w:val="216"/>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中国环境标志认证证书编号</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5B964A8">
            <w:pPr>
              <w:pStyle w:val="216"/>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认证证书有效截止日期</w:t>
            </w:r>
          </w:p>
        </w:tc>
        <w:tc>
          <w:tcPr>
            <w:tcW w:w="1089" w:type="dxa"/>
            <w:tcBorders>
              <w:top w:val="single" w:color="auto" w:sz="4" w:space="0"/>
              <w:left w:val="single" w:color="auto" w:sz="4" w:space="0"/>
              <w:bottom w:val="single" w:color="auto" w:sz="4" w:space="0"/>
              <w:right w:val="single" w:color="auto" w:sz="4" w:space="0"/>
            </w:tcBorders>
            <w:noWrap w:val="0"/>
            <w:vAlign w:val="center"/>
          </w:tcPr>
          <w:p w14:paraId="7739BDA9">
            <w:pPr>
              <w:pStyle w:val="216"/>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价格</w:t>
            </w:r>
          </w:p>
        </w:tc>
      </w:tr>
      <w:tr w14:paraId="5F44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14:paraId="5B0218B1">
            <w:pPr>
              <w:pStyle w:val="216"/>
              <w:spacing w:line="360" w:lineRule="auto"/>
              <w:ind w:right="480" w:firstLine="210" w:firstLineChars="10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191" w:type="dxa"/>
            <w:tcBorders>
              <w:top w:val="single" w:color="auto" w:sz="4" w:space="0"/>
              <w:left w:val="single" w:color="auto" w:sz="4" w:space="0"/>
              <w:bottom w:val="single" w:color="auto" w:sz="4" w:space="0"/>
              <w:right w:val="single" w:color="auto" w:sz="4" w:space="0"/>
            </w:tcBorders>
            <w:noWrap w:val="0"/>
            <w:vAlign w:val="top"/>
          </w:tcPr>
          <w:p w14:paraId="63D5989C">
            <w:pPr>
              <w:pStyle w:val="216"/>
              <w:spacing w:line="360" w:lineRule="auto"/>
              <w:ind w:right="480"/>
              <w:rPr>
                <w:rFonts w:hint="eastAsia" w:ascii="宋体" w:hAnsi="宋体" w:cs="宋体"/>
                <w:color w:val="auto"/>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top"/>
          </w:tcPr>
          <w:p w14:paraId="68C1F5CF">
            <w:pPr>
              <w:pStyle w:val="216"/>
              <w:spacing w:line="360" w:lineRule="auto"/>
              <w:ind w:right="480"/>
              <w:rPr>
                <w:rFonts w:hint="eastAsia" w:ascii="宋体" w:hAnsi="宋体" w:cs="宋体"/>
                <w:color w:val="auto"/>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top"/>
          </w:tcPr>
          <w:p w14:paraId="319EBFD3">
            <w:pPr>
              <w:pStyle w:val="216"/>
              <w:spacing w:line="360" w:lineRule="auto"/>
              <w:ind w:right="480"/>
              <w:rPr>
                <w:rFonts w:hint="eastAsia" w:ascii="宋体" w:hAnsi="宋体" w:cs="宋体"/>
                <w:color w:val="auto"/>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top"/>
          </w:tcPr>
          <w:p w14:paraId="6458C429">
            <w:pPr>
              <w:pStyle w:val="216"/>
              <w:spacing w:line="360" w:lineRule="auto"/>
              <w:ind w:right="480"/>
              <w:rPr>
                <w:rFonts w:hint="eastAsia" w:ascii="宋体" w:hAnsi="宋体" w:cs="宋体"/>
                <w:color w:val="auto"/>
                <w:sz w:val="21"/>
                <w:szCs w:val="21"/>
                <w:highlight w:val="none"/>
              </w:rPr>
            </w:pPr>
          </w:p>
        </w:tc>
        <w:tc>
          <w:tcPr>
            <w:tcW w:w="1603" w:type="dxa"/>
            <w:tcBorders>
              <w:top w:val="single" w:color="auto" w:sz="4" w:space="0"/>
              <w:left w:val="single" w:color="auto" w:sz="4" w:space="0"/>
              <w:bottom w:val="single" w:color="auto" w:sz="4" w:space="0"/>
              <w:right w:val="single" w:color="auto" w:sz="4" w:space="0"/>
            </w:tcBorders>
            <w:noWrap w:val="0"/>
            <w:vAlign w:val="top"/>
          </w:tcPr>
          <w:p w14:paraId="4473FC98">
            <w:pPr>
              <w:pStyle w:val="216"/>
              <w:spacing w:line="360" w:lineRule="auto"/>
              <w:ind w:right="480"/>
              <w:rPr>
                <w:rFonts w:hint="eastAsia" w:ascii="宋体" w:hAnsi="宋体" w:cs="宋体"/>
                <w:color w:val="auto"/>
                <w:sz w:val="21"/>
                <w:szCs w:val="21"/>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4E2B7FFE">
            <w:pPr>
              <w:pStyle w:val="216"/>
              <w:spacing w:line="360" w:lineRule="auto"/>
              <w:ind w:right="480"/>
              <w:rPr>
                <w:rFonts w:hint="eastAsia" w:ascii="宋体" w:hAnsi="宋体" w:cs="宋体"/>
                <w:color w:val="auto"/>
                <w:sz w:val="21"/>
                <w:szCs w:val="21"/>
                <w:highlight w:val="none"/>
              </w:rPr>
            </w:pPr>
          </w:p>
        </w:tc>
        <w:tc>
          <w:tcPr>
            <w:tcW w:w="1089" w:type="dxa"/>
            <w:tcBorders>
              <w:top w:val="single" w:color="auto" w:sz="4" w:space="0"/>
              <w:left w:val="single" w:color="auto" w:sz="4" w:space="0"/>
              <w:bottom w:val="single" w:color="auto" w:sz="4" w:space="0"/>
              <w:right w:val="single" w:color="auto" w:sz="4" w:space="0"/>
            </w:tcBorders>
            <w:noWrap w:val="0"/>
            <w:vAlign w:val="top"/>
          </w:tcPr>
          <w:p w14:paraId="4C1CBE32">
            <w:pPr>
              <w:pStyle w:val="216"/>
              <w:spacing w:line="360" w:lineRule="auto"/>
              <w:ind w:right="480"/>
              <w:rPr>
                <w:rFonts w:hint="eastAsia" w:ascii="宋体" w:hAnsi="宋体" w:cs="宋体"/>
                <w:color w:val="auto"/>
                <w:sz w:val="21"/>
                <w:szCs w:val="21"/>
                <w:highlight w:val="none"/>
              </w:rPr>
            </w:pPr>
          </w:p>
        </w:tc>
      </w:tr>
      <w:tr w14:paraId="24008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14:paraId="7A19A167">
            <w:pPr>
              <w:pStyle w:val="216"/>
              <w:spacing w:line="360" w:lineRule="auto"/>
              <w:ind w:right="480" w:firstLine="210" w:firstLineChars="10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1191" w:type="dxa"/>
            <w:tcBorders>
              <w:top w:val="single" w:color="auto" w:sz="4" w:space="0"/>
              <w:left w:val="single" w:color="auto" w:sz="4" w:space="0"/>
              <w:bottom w:val="single" w:color="auto" w:sz="4" w:space="0"/>
              <w:right w:val="single" w:color="auto" w:sz="4" w:space="0"/>
            </w:tcBorders>
            <w:noWrap w:val="0"/>
            <w:vAlign w:val="top"/>
          </w:tcPr>
          <w:p w14:paraId="5CDCBDEB">
            <w:pPr>
              <w:pStyle w:val="216"/>
              <w:spacing w:line="360" w:lineRule="auto"/>
              <w:ind w:right="480"/>
              <w:rPr>
                <w:rFonts w:hint="eastAsia" w:ascii="宋体" w:hAnsi="宋体" w:cs="宋体"/>
                <w:color w:val="auto"/>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top"/>
          </w:tcPr>
          <w:p w14:paraId="09E8BA35">
            <w:pPr>
              <w:pStyle w:val="216"/>
              <w:spacing w:line="360" w:lineRule="auto"/>
              <w:ind w:right="480"/>
              <w:rPr>
                <w:rFonts w:hint="eastAsia" w:ascii="宋体" w:hAnsi="宋体" w:cs="宋体"/>
                <w:color w:val="auto"/>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top"/>
          </w:tcPr>
          <w:p w14:paraId="76FE3F69">
            <w:pPr>
              <w:pStyle w:val="216"/>
              <w:spacing w:line="360" w:lineRule="auto"/>
              <w:ind w:right="480"/>
              <w:rPr>
                <w:rFonts w:hint="eastAsia" w:ascii="宋体" w:hAnsi="宋体" w:cs="宋体"/>
                <w:color w:val="auto"/>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top"/>
          </w:tcPr>
          <w:p w14:paraId="12D6931E">
            <w:pPr>
              <w:pStyle w:val="216"/>
              <w:spacing w:line="360" w:lineRule="auto"/>
              <w:ind w:right="480"/>
              <w:rPr>
                <w:rFonts w:hint="eastAsia" w:ascii="宋体" w:hAnsi="宋体" w:cs="宋体"/>
                <w:color w:val="auto"/>
                <w:sz w:val="21"/>
                <w:szCs w:val="21"/>
                <w:highlight w:val="none"/>
              </w:rPr>
            </w:pPr>
          </w:p>
        </w:tc>
        <w:tc>
          <w:tcPr>
            <w:tcW w:w="1603" w:type="dxa"/>
            <w:tcBorders>
              <w:top w:val="single" w:color="auto" w:sz="4" w:space="0"/>
              <w:left w:val="single" w:color="auto" w:sz="4" w:space="0"/>
              <w:bottom w:val="single" w:color="auto" w:sz="4" w:space="0"/>
              <w:right w:val="single" w:color="auto" w:sz="4" w:space="0"/>
            </w:tcBorders>
            <w:noWrap w:val="0"/>
            <w:vAlign w:val="top"/>
          </w:tcPr>
          <w:p w14:paraId="3BFD2092">
            <w:pPr>
              <w:pStyle w:val="216"/>
              <w:spacing w:line="360" w:lineRule="auto"/>
              <w:ind w:right="480"/>
              <w:rPr>
                <w:rFonts w:hint="eastAsia" w:ascii="宋体" w:hAnsi="宋体" w:cs="宋体"/>
                <w:color w:val="auto"/>
                <w:sz w:val="21"/>
                <w:szCs w:val="21"/>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57C59AF8">
            <w:pPr>
              <w:pStyle w:val="216"/>
              <w:spacing w:line="360" w:lineRule="auto"/>
              <w:ind w:right="480"/>
              <w:rPr>
                <w:rFonts w:hint="eastAsia" w:ascii="宋体" w:hAnsi="宋体" w:cs="宋体"/>
                <w:color w:val="auto"/>
                <w:sz w:val="21"/>
                <w:szCs w:val="21"/>
                <w:highlight w:val="none"/>
              </w:rPr>
            </w:pPr>
          </w:p>
        </w:tc>
        <w:tc>
          <w:tcPr>
            <w:tcW w:w="1089" w:type="dxa"/>
            <w:tcBorders>
              <w:top w:val="single" w:color="auto" w:sz="4" w:space="0"/>
              <w:left w:val="single" w:color="auto" w:sz="4" w:space="0"/>
              <w:bottom w:val="single" w:color="auto" w:sz="4" w:space="0"/>
              <w:right w:val="single" w:color="auto" w:sz="4" w:space="0"/>
            </w:tcBorders>
            <w:noWrap w:val="0"/>
            <w:vAlign w:val="top"/>
          </w:tcPr>
          <w:p w14:paraId="2B05BC5B">
            <w:pPr>
              <w:pStyle w:val="216"/>
              <w:spacing w:line="360" w:lineRule="auto"/>
              <w:ind w:right="480"/>
              <w:rPr>
                <w:rFonts w:hint="eastAsia" w:ascii="宋体" w:hAnsi="宋体" w:cs="宋体"/>
                <w:color w:val="auto"/>
                <w:sz w:val="21"/>
                <w:szCs w:val="21"/>
                <w:highlight w:val="none"/>
              </w:rPr>
            </w:pPr>
          </w:p>
        </w:tc>
      </w:tr>
      <w:tr w14:paraId="4B69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14:paraId="755296FA">
            <w:pPr>
              <w:pStyle w:val="216"/>
              <w:spacing w:line="360" w:lineRule="auto"/>
              <w:ind w:right="480" w:firstLine="210" w:firstLineChars="10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1191" w:type="dxa"/>
            <w:tcBorders>
              <w:top w:val="single" w:color="auto" w:sz="4" w:space="0"/>
              <w:left w:val="single" w:color="auto" w:sz="4" w:space="0"/>
              <w:bottom w:val="single" w:color="auto" w:sz="4" w:space="0"/>
              <w:right w:val="single" w:color="auto" w:sz="4" w:space="0"/>
            </w:tcBorders>
            <w:noWrap w:val="0"/>
            <w:vAlign w:val="top"/>
          </w:tcPr>
          <w:p w14:paraId="01D3E984">
            <w:pPr>
              <w:pStyle w:val="216"/>
              <w:spacing w:line="360" w:lineRule="auto"/>
              <w:ind w:right="480"/>
              <w:rPr>
                <w:rFonts w:hint="eastAsia" w:ascii="宋体" w:hAnsi="宋体" w:cs="宋体"/>
                <w:color w:val="auto"/>
                <w:sz w:val="21"/>
                <w:szCs w:val="21"/>
                <w:highlight w:val="none"/>
              </w:rPr>
            </w:pPr>
          </w:p>
          <w:p w14:paraId="117769DB">
            <w:pPr>
              <w:pStyle w:val="216"/>
              <w:spacing w:line="360" w:lineRule="auto"/>
              <w:ind w:right="480"/>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1191" w:type="dxa"/>
            <w:tcBorders>
              <w:top w:val="single" w:color="auto" w:sz="4" w:space="0"/>
              <w:left w:val="single" w:color="auto" w:sz="4" w:space="0"/>
              <w:bottom w:val="single" w:color="auto" w:sz="4" w:space="0"/>
              <w:right w:val="single" w:color="auto" w:sz="4" w:space="0"/>
            </w:tcBorders>
            <w:noWrap w:val="0"/>
            <w:vAlign w:val="top"/>
          </w:tcPr>
          <w:p w14:paraId="2FDE47C7">
            <w:pPr>
              <w:pStyle w:val="216"/>
              <w:spacing w:line="360" w:lineRule="auto"/>
              <w:ind w:right="480"/>
              <w:rPr>
                <w:rFonts w:hint="eastAsia" w:ascii="宋体" w:hAnsi="宋体" w:cs="宋体"/>
                <w:color w:val="auto"/>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top"/>
          </w:tcPr>
          <w:p w14:paraId="1F1D3A21">
            <w:pPr>
              <w:pStyle w:val="216"/>
              <w:spacing w:line="360" w:lineRule="auto"/>
              <w:ind w:right="480"/>
              <w:rPr>
                <w:rFonts w:hint="eastAsia" w:ascii="宋体" w:hAnsi="宋体" w:cs="宋体"/>
                <w:color w:val="auto"/>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top"/>
          </w:tcPr>
          <w:p w14:paraId="46DFBF92">
            <w:pPr>
              <w:pStyle w:val="216"/>
              <w:spacing w:line="360" w:lineRule="auto"/>
              <w:ind w:right="480"/>
              <w:rPr>
                <w:rFonts w:hint="eastAsia" w:ascii="宋体" w:hAnsi="宋体" w:cs="宋体"/>
                <w:color w:val="auto"/>
                <w:sz w:val="21"/>
                <w:szCs w:val="21"/>
                <w:highlight w:val="none"/>
              </w:rPr>
            </w:pPr>
          </w:p>
        </w:tc>
        <w:tc>
          <w:tcPr>
            <w:tcW w:w="1603" w:type="dxa"/>
            <w:tcBorders>
              <w:top w:val="single" w:color="auto" w:sz="4" w:space="0"/>
              <w:left w:val="single" w:color="auto" w:sz="4" w:space="0"/>
              <w:bottom w:val="single" w:color="auto" w:sz="4" w:space="0"/>
              <w:right w:val="single" w:color="auto" w:sz="4" w:space="0"/>
            </w:tcBorders>
            <w:noWrap w:val="0"/>
            <w:vAlign w:val="top"/>
          </w:tcPr>
          <w:p w14:paraId="4690DEC7">
            <w:pPr>
              <w:pStyle w:val="216"/>
              <w:spacing w:line="360" w:lineRule="auto"/>
              <w:ind w:right="480"/>
              <w:rPr>
                <w:rFonts w:hint="eastAsia" w:ascii="宋体" w:hAnsi="宋体" w:cs="宋体"/>
                <w:color w:val="auto"/>
                <w:sz w:val="21"/>
                <w:szCs w:val="21"/>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28403FB3">
            <w:pPr>
              <w:pStyle w:val="216"/>
              <w:spacing w:line="360" w:lineRule="auto"/>
              <w:ind w:right="480"/>
              <w:rPr>
                <w:rFonts w:hint="eastAsia" w:ascii="宋体" w:hAnsi="宋体" w:cs="宋体"/>
                <w:color w:val="auto"/>
                <w:sz w:val="21"/>
                <w:szCs w:val="21"/>
                <w:highlight w:val="none"/>
              </w:rPr>
            </w:pPr>
          </w:p>
        </w:tc>
        <w:tc>
          <w:tcPr>
            <w:tcW w:w="1089" w:type="dxa"/>
            <w:tcBorders>
              <w:top w:val="single" w:color="auto" w:sz="4" w:space="0"/>
              <w:left w:val="single" w:color="auto" w:sz="4" w:space="0"/>
              <w:bottom w:val="single" w:color="auto" w:sz="4" w:space="0"/>
              <w:right w:val="single" w:color="auto" w:sz="4" w:space="0"/>
            </w:tcBorders>
            <w:noWrap w:val="0"/>
            <w:vAlign w:val="top"/>
          </w:tcPr>
          <w:p w14:paraId="04A43251">
            <w:pPr>
              <w:pStyle w:val="216"/>
              <w:spacing w:line="360" w:lineRule="auto"/>
              <w:ind w:right="480"/>
              <w:rPr>
                <w:rFonts w:hint="eastAsia" w:ascii="宋体" w:hAnsi="宋体" w:cs="宋体"/>
                <w:color w:val="auto"/>
                <w:sz w:val="21"/>
                <w:szCs w:val="21"/>
                <w:highlight w:val="none"/>
              </w:rPr>
            </w:pPr>
          </w:p>
        </w:tc>
      </w:tr>
      <w:tr w14:paraId="13B05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14:paraId="290D5EAE">
            <w:pPr>
              <w:pStyle w:val="216"/>
              <w:spacing w:line="360" w:lineRule="auto"/>
              <w:ind w:right="480" w:firstLine="210" w:firstLineChars="10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3CD68EC3">
            <w:pPr>
              <w:pStyle w:val="216"/>
              <w:spacing w:line="360" w:lineRule="auto"/>
              <w:ind w:right="154" w:firstLine="105" w:firstLineChars="5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合计</w:t>
            </w:r>
          </w:p>
        </w:tc>
        <w:tc>
          <w:tcPr>
            <w:tcW w:w="1191" w:type="dxa"/>
            <w:tcBorders>
              <w:top w:val="single" w:color="auto" w:sz="4" w:space="0"/>
              <w:left w:val="single" w:color="auto" w:sz="4" w:space="0"/>
              <w:bottom w:val="single" w:color="auto" w:sz="4" w:space="0"/>
              <w:right w:val="single" w:color="auto" w:sz="4" w:space="0"/>
            </w:tcBorders>
            <w:noWrap w:val="0"/>
            <w:vAlign w:val="top"/>
          </w:tcPr>
          <w:p w14:paraId="4A8A7164">
            <w:pPr>
              <w:pStyle w:val="216"/>
              <w:spacing w:line="360" w:lineRule="auto"/>
              <w:ind w:right="480"/>
              <w:rPr>
                <w:rFonts w:hint="eastAsia" w:ascii="宋体" w:hAnsi="宋体" w:cs="宋体"/>
                <w:color w:val="auto"/>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top"/>
          </w:tcPr>
          <w:p w14:paraId="0ED5984A">
            <w:pPr>
              <w:pStyle w:val="216"/>
              <w:spacing w:line="360" w:lineRule="auto"/>
              <w:ind w:right="480"/>
              <w:rPr>
                <w:rFonts w:hint="eastAsia" w:ascii="宋体" w:hAnsi="宋体" w:cs="宋体"/>
                <w:color w:val="auto"/>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top"/>
          </w:tcPr>
          <w:p w14:paraId="26123866">
            <w:pPr>
              <w:pStyle w:val="216"/>
              <w:spacing w:line="360" w:lineRule="auto"/>
              <w:ind w:right="480"/>
              <w:rPr>
                <w:rFonts w:hint="eastAsia" w:ascii="宋体" w:hAnsi="宋体" w:cs="宋体"/>
                <w:color w:val="auto"/>
                <w:sz w:val="21"/>
                <w:szCs w:val="21"/>
                <w:highlight w:val="none"/>
              </w:rPr>
            </w:pPr>
          </w:p>
        </w:tc>
        <w:tc>
          <w:tcPr>
            <w:tcW w:w="1603" w:type="dxa"/>
            <w:tcBorders>
              <w:top w:val="single" w:color="auto" w:sz="4" w:space="0"/>
              <w:left w:val="single" w:color="auto" w:sz="4" w:space="0"/>
              <w:bottom w:val="single" w:color="auto" w:sz="4" w:space="0"/>
              <w:right w:val="single" w:color="auto" w:sz="4" w:space="0"/>
            </w:tcBorders>
            <w:noWrap w:val="0"/>
            <w:vAlign w:val="top"/>
          </w:tcPr>
          <w:p w14:paraId="034F5556">
            <w:pPr>
              <w:pStyle w:val="216"/>
              <w:spacing w:line="360" w:lineRule="auto"/>
              <w:ind w:right="480"/>
              <w:rPr>
                <w:rFonts w:hint="eastAsia" w:ascii="宋体" w:hAnsi="宋体" w:cs="宋体"/>
                <w:color w:val="auto"/>
                <w:sz w:val="21"/>
                <w:szCs w:val="21"/>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71705EEF">
            <w:pPr>
              <w:pStyle w:val="216"/>
              <w:spacing w:line="360" w:lineRule="auto"/>
              <w:ind w:right="480"/>
              <w:rPr>
                <w:rFonts w:hint="eastAsia" w:ascii="宋体" w:hAnsi="宋体" w:cs="宋体"/>
                <w:color w:val="auto"/>
                <w:sz w:val="21"/>
                <w:szCs w:val="21"/>
                <w:highlight w:val="none"/>
              </w:rPr>
            </w:pPr>
          </w:p>
        </w:tc>
        <w:tc>
          <w:tcPr>
            <w:tcW w:w="1089" w:type="dxa"/>
            <w:tcBorders>
              <w:top w:val="single" w:color="auto" w:sz="4" w:space="0"/>
              <w:left w:val="single" w:color="auto" w:sz="4" w:space="0"/>
              <w:bottom w:val="single" w:color="auto" w:sz="4" w:space="0"/>
              <w:right w:val="single" w:color="auto" w:sz="4" w:space="0"/>
            </w:tcBorders>
            <w:noWrap w:val="0"/>
            <w:vAlign w:val="top"/>
          </w:tcPr>
          <w:p w14:paraId="3F98F267">
            <w:pPr>
              <w:pStyle w:val="216"/>
              <w:spacing w:line="360" w:lineRule="auto"/>
              <w:ind w:right="480"/>
              <w:rPr>
                <w:rFonts w:hint="eastAsia" w:ascii="宋体" w:hAnsi="宋体" w:cs="宋体"/>
                <w:color w:val="auto"/>
                <w:sz w:val="21"/>
                <w:szCs w:val="21"/>
                <w:highlight w:val="none"/>
              </w:rPr>
            </w:pPr>
          </w:p>
        </w:tc>
      </w:tr>
    </w:tbl>
    <w:p w14:paraId="6899156C">
      <w:pPr>
        <w:pStyle w:val="216"/>
        <w:keepNext w:val="0"/>
        <w:keepLines w:val="0"/>
        <w:pageBreakBefore w:val="0"/>
        <w:widowControl w:val="0"/>
        <w:kinsoku/>
        <w:wordWrap/>
        <w:overflowPunct/>
        <w:topLinePunct w:val="0"/>
        <w:autoSpaceDE/>
        <w:autoSpaceDN/>
        <w:bidi w:val="0"/>
        <w:adjustRightInd/>
        <w:snapToGrid/>
        <w:spacing w:line="440" w:lineRule="exact"/>
        <w:ind w:right="-91"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说明：</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所投产品属于国家颁布的环境标志品目内产品的，须提交国家确定的认证机构出具的的环境标志产品认证证书，否则，不予</w:t>
      </w:r>
      <w:r>
        <w:rPr>
          <w:rFonts w:hint="eastAsia" w:ascii="宋体" w:hAnsi="宋体" w:cs="宋体"/>
          <w:color w:val="auto"/>
          <w:sz w:val="24"/>
          <w:highlight w:val="none"/>
          <w:lang w:val="en-US" w:eastAsia="zh-CN"/>
        </w:rPr>
        <w:t>认可</w:t>
      </w:r>
      <w:r>
        <w:rPr>
          <w:rFonts w:hint="eastAsia" w:ascii="宋体" w:hAnsi="宋体" w:cs="宋体"/>
          <w:color w:val="auto"/>
          <w:sz w:val="24"/>
          <w:highlight w:val="none"/>
        </w:rPr>
        <w:t>。</w:t>
      </w:r>
    </w:p>
    <w:p w14:paraId="1453CA0F">
      <w:pPr>
        <w:pStyle w:val="216"/>
        <w:spacing w:line="360" w:lineRule="auto"/>
        <w:ind w:left="7560" w:right="-97" w:hanging="7560" w:hangingChars="3150"/>
        <w:jc w:val="right"/>
        <w:rPr>
          <w:rFonts w:hint="eastAsia" w:ascii="宋体" w:hAnsi="宋体" w:cs="宋体"/>
          <w:color w:val="auto"/>
          <w:sz w:val="24"/>
          <w:highlight w:val="none"/>
        </w:rPr>
      </w:pPr>
    </w:p>
    <w:p w14:paraId="58D72A52">
      <w:pPr>
        <w:pStyle w:val="216"/>
        <w:spacing w:line="360" w:lineRule="auto"/>
        <w:ind w:left="7560" w:right="-97" w:hanging="7560" w:hangingChars="3150"/>
        <w:jc w:val="right"/>
        <w:rPr>
          <w:rFonts w:hint="eastAsia" w:ascii="宋体" w:hAnsi="宋体" w:cs="宋体"/>
          <w:color w:val="auto"/>
          <w:sz w:val="24"/>
          <w:highlight w:val="none"/>
        </w:rPr>
      </w:pPr>
    </w:p>
    <w:p w14:paraId="710DB22D">
      <w:pPr>
        <w:widowControl/>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lang w:val="en-US" w:eastAsia="zh-CN"/>
        </w:rPr>
        <w:t>盖</w:t>
      </w:r>
      <w:r>
        <w:rPr>
          <w:rFonts w:hint="eastAsia" w:ascii="宋体" w:hAnsi="宋体" w:eastAsia="宋体" w:cs="宋体"/>
          <w:color w:val="auto"/>
          <w:sz w:val="24"/>
          <w:szCs w:val="24"/>
          <w:highlight w:val="none"/>
        </w:rPr>
        <w:t>公章）：</w:t>
      </w:r>
    </w:p>
    <w:p w14:paraId="1A4440D7">
      <w:pPr>
        <w:pStyle w:val="216"/>
        <w:spacing w:line="360" w:lineRule="auto"/>
        <w:ind w:left="7560" w:right="-97" w:hanging="7560" w:hangingChars="3150"/>
        <w:jc w:val="right"/>
        <w:rPr>
          <w:rFonts w:hint="eastAsia" w:ascii="宋体" w:hAnsi="宋体" w:cs="宋体"/>
          <w:color w:val="auto"/>
          <w:sz w:val="24"/>
          <w:highlight w:val="none"/>
        </w:rPr>
      </w:pPr>
      <w:r>
        <w:rPr>
          <w:rFonts w:hint="eastAsia" w:ascii="宋体" w:hAnsi="宋体" w:cs="宋体"/>
          <w:color w:val="auto"/>
          <w:sz w:val="24"/>
          <w:highlight w:val="none"/>
        </w:rPr>
        <w:t xml:space="preserve">                                  日  期：    年    月    日</w:t>
      </w:r>
    </w:p>
    <w:p w14:paraId="315F69E8">
      <w:pPr>
        <w:pStyle w:val="216"/>
        <w:rPr>
          <w:rFonts w:hint="eastAsia" w:ascii="宋体" w:hAnsi="宋体" w:cs="宋体"/>
          <w:b/>
          <w:bCs/>
          <w:color w:val="auto"/>
          <w:sz w:val="28"/>
          <w:szCs w:val="28"/>
          <w:highlight w:val="none"/>
        </w:rPr>
      </w:pPr>
      <w:r>
        <w:rPr>
          <w:rFonts w:hint="eastAsia" w:ascii="宋体" w:hAnsi="宋体" w:cs="宋体"/>
          <w:color w:val="auto"/>
          <w:sz w:val="24"/>
          <w:highlight w:val="none"/>
        </w:rPr>
        <w:br w:type="page"/>
      </w:r>
    </w:p>
    <w:p w14:paraId="7F5132DC">
      <w:pPr>
        <w:widowControl w:val="0"/>
        <w:shd w:val="clear" w:color="auto" w:fill="FFFFFF"/>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节能标志产品明细表</w:t>
      </w:r>
    </w:p>
    <w:p w14:paraId="74CBCA66">
      <w:pPr>
        <w:pStyle w:val="217"/>
        <w:spacing w:line="360" w:lineRule="auto"/>
        <w:ind w:left="0" w:firstLine="0"/>
        <w:rPr>
          <w:rFonts w:hint="eastAsia" w:ascii="宋体" w:hAnsi="宋体" w:cs="宋体"/>
          <w:color w:val="auto"/>
          <w:highlight w:val="none"/>
        </w:rPr>
      </w:pPr>
      <w:r>
        <w:rPr>
          <w:rFonts w:hint="eastAsia" w:ascii="宋体" w:hAnsi="宋体" w:cs="宋体"/>
          <w:color w:val="auto"/>
          <w:highlight w:val="none"/>
        </w:rPr>
        <w:t>项目编号、包号：                    价格单位：元</w:t>
      </w:r>
    </w:p>
    <w:tbl>
      <w:tblPr>
        <w:tblStyle w:val="37"/>
        <w:tblW w:w="9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650"/>
        <w:gridCol w:w="1120"/>
        <w:gridCol w:w="1245"/>
        <w:gridCol w:w="1617"/>
        <w:gridCol w:w="1742"/>
        <w:gridCol w:w="1174"/>
      </w:tblGrid>
      <w:tr w14:paraId="712E2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14:paraId="783E9D23">
            <w:pPr>
              <w:pStyle w:val="21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2A055BE3">
            <w:pPr>
              <w:pStyle w:val="21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产品名称</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496E46CF">
            <w:pPr>
              <w:pStyle w:val="21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制造商</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166A49D">
            <w:pPr>
              <w:pStyle w:val="21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产品型号</w:t>
            </w:r>
          </w:p>
        </w:tc>
        <w:tc>
          <w:tcPr>
            <w:tcW w:w="1617" w:type="dxa"/>
            <w:tcBorders>
              <w:top w:val="single" w:color="auto" w:sz="4" w:space="0"/>
              <w:left w:val="single" w:color="auto" w:sz="4" w:space="0"/>
              <w:bottom w:val="single" w:color="auto" w:sz="4" w:space="0"/>
              <w:right w:val="single" w:color="auto" w:sz="4" w:space="0"/>
            </w:tcBorders>
            <w:noWrap w:val="0"/>
            <w:vAlign w:val="center"/>
          </w:tcPr>
          <w:p w14:paraId="5161F576">
            <w:pPr>
              <w:pStyle w:val="21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节能标志认证证书号</w:t>
            </w:r>
          </w:p>
        </w:tc>
        <w:tc>
          <w:tcPr>
            <w:tcW w:w="1742" w:type="dxa"/>
            <w:tcBorders>
              <w:top w:val="single" w:color="auto" w:sz="4" w:space="0"/>
              <w:left w:val="single" w:color="auto" w:sz="4" w:space="0"/>
              <w:bottom w:val="single" w:color="auto" w:sz="4" w:space="0"/>
              <w:right w:val="single" w:color="auto" w:sz="4" w:space="0"/>
            </w:tcBorders>
            <w:noWrap w:val="0"/>
            <w:vAlign w:val="center"/>
          </w:tcPr>
          <w:p w14:paraId="482E14FC">
            <w:pPr>
              <w:pStyle w:val="21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节能产品认证证书有效截止日期</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57ACE800">
            <w:pPr>
              <w:pStyle w:val="21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价格</w:t>
            </w:r>
          </w:p>
        </w:tc>
      </w:tr>
      <w:tr w14:paraId="54E09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14:paraId="67046D39">
            <w:pPr>
              <w:pStyle w:val="216"/>
              <w:keepNext w:val="0"/>
              <w:keepLines w:val="0"/>
              <w:pageBreakBefore w:val="0"/>
              <w:widowControl w:val="0"/>
              <w:kinsoku/>
              <w:wordWrap/>
              <w:overflowPunct/>
              <w:topLinePunct w:val="0"/>
              <w:autoSpaceDE/>
              <w:autoSpaceDN/>
              <w:bidi w:val="0"/>
              <w:adjustRightInd/>
              <w:snapToGrid/>
              <w:spacing w:line="300" w:lineRule="exact"/>
              <w:ind w:right="480" w:firstLine="210" w:firstLineChars="10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B1FE314">
            <w:pPr>
              <w:pStyle w:val="216"/>
              <w:keepNext w:val="0"/>
              <w:keepLines w:val="0"/>
              <w:pageBreakBefore w:val="0"/>
              <w:widowControl w:val="0"/>
              <w:kinsoku/>
              <w:wordWrap/>
              <w:overflowPunct/>
              <w:topLinePunct w:val="0"/>
              <w:autoSpaceDE/>
              <w:autoSpaceDN/>
              <w:bidi w:val="0"/>
              <w:adjustRightInd/>
              <w:snapToGrid/>
              <w:spacing w:line="300" w:lineRule="exact"/>
              <w:ind w:right="480"/>
              <w:jc w:val="center"/>
              <w:textAlignment w:val="auto"/>
              <w:rPr>
                <w:rFonts w:hint="eastAsia" w:ascii="宋体" w:hAnsi="宋体" w:cs="宋体"/>
                <w:color w:val="auto"/>
                <w:sz w:val="21"/>
                <w:szCs w:val="21"/>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14:paraId="3854E7B7">
            <w:pPr>
              <w:pStyle w:val="216"/>
              <w:keepNext w:val="0"/>
              <w:keepLines w:val="0"/>
              <w:pageBreakBefore w:val="0"/>
              <w:widowControl w:val="0"/>
              <w:kinsoku/>
              <w:wordWrap/>
              <w:overflowPunct/>
              <w:topLinePunct w:val="0"/>
              <w:autoSpaceDE/>
              <w:autoSpaceDN/>
              <w:bidi w:val="0"/>
              <w:adjustRightInd/>
              <w:snapToGrid/>
              <w:spacing w:line="300" w:lineRule="exact"/>
              <w:ind w:right="480"/>
              <w:jc w:val="center"/>
              <w:textAlignment w:val="auto"/>
              <w:rPr>
                <w:rFonts w:hint="eastAsia" w:ascii="宋体" w:hAnsi="宋体" w:cs="宋体"/>
                <w:color w:val="auto"/>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475636D">
            <w:pPr>
              <w:pStyle w:val="216"/>
              <w:keepNext w:val="0"/>
              <w:keepLines w:val="0"/>
              <w:pageBreakBefore w:val="0"/>
              <w:widowControl w:val="0"/>
              <w:kinsoku/>
              <w:wordWrap/>
              <w:overflowPunct/>
              <w:topLinePunct w:val="0"/>
              <w:autoSpaceDE/>
              <w:autoSpaceDN/>
              <w:bidi w:val="0"/>
              <w:adjustRightInd/>
              <w:snapToGrid/>
              <w:spacing w:line="300" w:lineRule="exact"/>
              <w:ind w:right="480"/>
              <w:jc w:val="center"/>
              <w:textAlignment w:val="auto"/>
              <w:rPr>
                <w:rFonts w:hint="eastAsia" w:ascii="宋体" w:hAnsi="宋体" w:cs="宋体"/>
                <w:color w:val="auto"/>
                <w:sz w:val="21"/>
                <w:szCs w:val="21"/>
                <w:highlight w:val="none"/>
              </w:rPr>
            </w:pPr>
          </w:p>
        </w:tc>
        <w:tc>
          <w:tcPr>
            <w:tcW w:w="1617" w:type="dxa"/>
            <w:tcBorders>
              <w:top w:val="single" w:color="auto" w:sz="4" w:space="0"/>
              <w:left w:val="single" w:color="auto" w:sz="4" w:space="0"/>
              <w:bottom w:val="single" w:color="auto" w:sz="4" w:space="0"/>
              <w:right w:val="single" w:color="auto" w:sz="4" w:space="0"/>
            </w:tcBorders>
            <w:noWrap w:val="0"/>
            <w:vAlign w:val="center"/>
          </w:tcPr>
          <w:p w14:paraId="02D67E65">
            <w:pPr>
              <w:pStyle w:val="216"/>
              <w:keepNext w:val="0"/>
              <w:keepLines w:val="0"/>
              <w:pageBreakBefore w:val="0"/>
              <w:widowControl w:val="0"/>
              <w:kinsoku/>
              <w:wordWrap/>
              <w:overflowPunct/>
              <w:topLinePunct w:val="0"/>
              <w:autoSpaceDE/>
              <w:autoSpaceDN/>
              <w:bidi w:val="0"/>
              <w:adjustRightInd/>
              <w:snapToGrid/>
              <w:spacing w:line="300" w:lineRule="exact"/>
              <w:ind w:right="480"/>
              <w:jc w:val="center"/>
              <w:textAlignment w:val="auto"/>
              <w:rPr>
                <w:rFonts w:hint="eastAsia" w:ascii="宋体" w:hAnsi="宋体" w:cs="宋体"/>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noWrap w:val="0"/>
            <w:vAlign w:val="center"/>
          </w:tcPr>
          <w:p w14:paraId="06E27AA2">
            <w:pPr>
              <w:pStyle w:val="216"/>
              <w:keepNext w:val="0"/>
              <w:keepLines w:val="0"/>
              <w:pageBreakBefore w:val="0"/>
              <w:widowControl w:val="0"/>
              <w:kinsoku/>
              <w:wordWrap/>
              <w:overflowPunct/>
              <w:topLinePunct w:val="0"/>
              <w:autoSpaceDE/>
              <w:autoSpaceDN/>
              <w:bidi w:val="0"/>
              <w:adjustRightInd/>
              <w:snapToGrid/>
              <w:spacing w:line="300" w:lineRule="exact"/>
              <w:ind w:right="480"/>
              <w:jc w:val="center"/>
              <w:textAlignment w:val="auto"/>
              <w:rPr>
                <w:rFonts w:hint="eastAsia" w:ascii="宋体" w:hAnsi="宋体" w:cs="宋体"/>
                <w:color w:val="auto"/>
                <w:sz w:val="21"/>
                <w:szCs w:val="21"/>
                <w:highlight w:val="none"/>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36776944">
            <w:pPr>
              <w:pStyle w:val="216"/>
              <w:keepNext w:val="0"/>
              <w:keepLines w:val="0"/>
              <w:pageBreakBefore w:val="0"/>
              <w:widowControl w:val="0"/>
              <w:kinsoku/>
              <w:wordWrap/>
              <w:overflowPunct/>
              <w:topLinePunct w:val="0"/>
              <w:autoSpaceDE/>
              <w:autoSpaceDN/>
              <w:bidi w:val="0"/>
              <w:adjustRightInd/>
              <w:snapToGrid/>
              <w:spacing w:line="300" w:lineRule="exact"/>
              <w:ind w:right="480"/>
              <w:jc w:val="center"/>
              <w:textAlignment w:val="auto"/>
              <w:rPr>
                <w:rFonts w:hint="eastAsia" w:ascii="宋体" w:hAnsi="宋体" w:cs="宋体"/>
                <w:color w:val="auto"/>
                <w:sz w:val="21"/>
                <w:szCs w:val="21"/>
                <w:highlight w:val="none"/>
              </w:rPr>
            </w:pPr>
          </w:p>
        </w:tc>
      </w:tr>
      <w:tr w14:paraId="5B523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14:paraId="7EC38C5D">
            <w:pPr>
              <w:pStyle w:val="216"/>
              <w:keepNext w:val="0"/>
              <w:keepLines w:val="0"/>
              <w:pageBreakBefore w:val="0"/>
              <w:widowControl w:val="0"/>
              <w:kinsoku/>
              <w:wordWrap/>
              <w:overflowPunct/>
              <w:topLinePunct w:val="0"/>
              <w:autoSpaceDE/>
              <w:autoSpaceDN/>
              <w:bidi w:val="0"/>
              <w:adjustRightInd/>
              <w:snapToGrid/>
              <w:spacing w:line="300" w:lineRule="exact"/>
              <w:ind w:right="480" w:firstLine="210" w:firstLineChars="10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3844A73B">
            <w:pPr>
              <w:pStyle w:val="216"/>
              <w:keepNext w:val="0"/>
              <w:keepLines w:val="0"/>
              <w:pageBreakBefore w:val="0"/>
              <w:widowControl w:val="0"/>
              <w:kinsoku/>
              <w:wordWrap/>
              <w:overflowPunct/>
              <w:topLinePunct w:val="0"/>
              <w:autoSpaceDE/>
              <w:autoSpaceDN/>
              <w:bidi w:val="0"/>
              <w:adjustRightInd/>
              <w:snapToGrid/>
              <w:spacing w:line="300" w:lineRule="exact"/>
              <w:ind w:right="480"/>
              <w:jc w:val="center"/>
              <w:textAlignment w:val="auto"/>
              <w:rPr>
                <w:rFonts w:hint="eastAsia" w:ascii="宋体" w:hAnsi="宋体" w:cs="宋体"/>
                <w:color w:val="auto"/>
                <w:sz w:val="21"/>
                <w:szCs w:val="21"/>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14:paraId="6321D401">
            <w:pPr>
              <w:pStyle w:val="216"/>
              <w:keepNext w:val="0"/>
              <w:keepLines w:val="0"/>
              <w:pageBreakBefore w:val="0"/>
              <w:widowControl w:val="0"/>
              <w:kinsoku/>
              <w:wordWrap/>
              <w:overflowPunct/>
              <w:topLinePunct w:val="0"/>
              <w:autoSpaceDE/>
              <w:autoSpaceDN/>
              <w:bidi w:val="0"/>
              <w:adjustRightInd/>
              <w:snapToGrid/>
              <w:spacing w:line="300" w:lineRule="exact"/>
              <w:ind w:right="480"/>
              <w:jc w:val="center"/>
              <w:textAlignment w:val="auto"/>
              <w:rPr>
                <w:rFonts w:hint="eastAsia" w:ascii="宋体" w:hAnsi="宋体" w:cs="宋体"/>
                <w:color w:val="auto"/>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BD3AEA3">
            <w:pPr>
              <w:pStyle w:val="216"/>
              <w:keepNext w:val="0"/>
              <w:keepLines w:val="0"/>
              <w:pageBreakBefore w:val="0"/>
              <w:widowControl w:val="0"/>
              <w:kinsoku/>
              <w:wordWrap/>
              <w:overflowPunct/>
              <w:topLinePunct w:val="0"/>
              <w:autoSpaceDE/>
              <w:autoSpaceDN/>
              <w:bidi w:val="0"/>
              <w:adjustRightInd/>
              <w:snapToGrid/>
              <w:spacing w:line="300" w:lineRule="exact"/>
              <w:ind w:right="480"/>
              <w:jc w:val="center"/>
              <w:textAlignment w:val="auto"/>
              <w:rPr>
                <w:rFonts w:hint="eastAsia" w:ascii="宋体" w:hAnsi="宋体" w:cs="宋体"/>
                <w:color w:val="auto"/>
                <w:sz w:val="21"/>
                <w:szCs w:val="21"/>
                <w:highlight w:val="none"/>
              </w:rPr>
            </w:pPr>
          </w:p>
        </w:tc>
        <w:tc>
          <w:tcPr>
            <w:tcW w:w="1617" w:type="dxa"/>
            <w:tcBorders>
              <w:top w:val="single" w:color="auto" w:sz="4" w:space="0"/>
              <w:left w:val="single" w:color="auto" w:sz="4" w:space="0"/>
              <w:bottom w:val="single" w:color="auto" w:sz="4" w:space="0"/>
              <w:right w:val="single" w:color="auto" w:sz="4" w:space="0"/>
            </w:tcBorders>
            <w:noWrap w:val="0"/>
            <w:vAlign w:val="center"/>
          </w:tcPr>
          <w:p w14:paraId="14F1DE75">
            <w:pPr>
              <w:pStyle w:val="216"/>
              <w:keepNext w:val="0"/>
              <w:keepLines w:val="0"/>
              <w:pageBreakBefore w:val="0"/>
              <w:widowControl w:val="0"/>
              <w:kinsoku/>
              <w:wordWrap/>
              <w:overflowPunct/>
              <w:topLinePunct w:val="0"/>
              <w:autoSpaceDE/>
              <w:autoSpaceDN/>
              <w:bidi w:val="0"/>
              <w:adjustRightInd/>
              <w:snapToGrid/>
              <w:spacing w:line="300" w:lineRule="exact"/>
              <w:ind w:right="480"/>
              <w:jc w:val="center"/>
              <w:textAlignment w:val="auto"/>
              <w:rPr>
                <w:rFonts w:hint="eastAsia" w:ascii="宋体" w:hAnsi="宋体" w:cs="宋体"/>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noWrap w:val="0"/>
            <w:vAlign w:val="center"/>
          </w:tcPr>
          <w:p w14:paraId="43280154">
            <w:pPr>
              <w:pStyle w:val="216"/>
              <w:keepNext w:val="0"/>
              <w:keepLines w:val="0"/>
              <w:pageBreakBefore w:val="0"/>
              <w:widowControl w:val="0"/>
              <w:kinsoku/>
              <w:wordWrap/>
              <w:overflowPunct/>
              <w:topLinePunct w:val="0"/>
              <w:autoSpaceDE/>
              <w:autoSpaceDN/>
              <w:bidi w:val="0"/>
              <w:adjustRightInd/>
              <w:snapToGrid/>
              <w:spacing w:line="300" w:lineRule="exact"/>
              <w:ind w:right="480"/>
              <w:jc w:val="center"/>
              <w:textAlignment w:val="auto"/>
              <w:rPr>
                <w:rFonts w:hint="eastAsia" w:ascii="宋体" w:hAnsi="宋体" w:cs="宋体"/>
                <w:color w:val="auto"/>
                <w:sz w:val="21"/>
                <w:szCs w:val="21"/>
                <w:highlight w:val="none"/>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2FDECD61">
            <w:pPr>
              <w:pStyle w:val="216"/>
              <w:keepNext w:val="0"/>
              <w:keepLines w:val="0"/>
              <w:pageBreakBefore w:val="0"/>
              <w:widowControl w:val="0"/>
              <w:kinsoku/>
              <w:wordWrap/>
              <w:overflowPunct/>
              <w:topLinePunct w:val="0"/>
              <w:autoSpaceDE/>
              <w:autoSpaceDN/>
              <w:bidi w:val="0"/>
              <w:adjustRightInd/>
              <w:snapToGrid/>
              <w:spacing w:line="300" w:lineRule="exact"/>
              <w:ind w:right="480"/>
              <w:jc w:val="center"/>
              <w:textAlignment w:val="auto"/>
              <w:rPr>
                <w:rFonts w:hint="eastAsia" w:ascii="宋体" w:hAnsi="宋体" w:cs="宋体"/>
                <w:color w:val="auto"/>
                <w:sz w:val="21"/>
                <w:szCs w:val="21"/>
                <w:highlight w:val="none"/>
              </w:rPr>
            </w:pPr>
          </w:p>
        </w:tc>
      </w:tr>
      <w:tr w14:paraId="244DF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14:paraId="2214AC0A">
            <w:pPr>
              <w:pStyle w:val="216"/>
              <w:keepNext w:val="0"/>
              <w:keepLines w:val="0"/>
              <w:pageBreakBefore w:val="0"/>
              <w:widowControl w:val="0"/>
              <w:kinsoku/>
              <w:wordWrap/>
              <w:overflowPunct/>
              <w:topLinePunct w:val="0"/>
              <w:autoSpaceDE/>
              <w:autoSpaceDN/>
              <w:bidi w:val="0"/>
              <w:adjustRightInd/>
              <w:snapToGrid/>
              <w:spacing w:line="300" w:lineRule="exact"/>
              <w:ind w:right="480" w:firstLine="210" w:firstLineChars="10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3173AD98">
            <w:pPr>
              <w:pStyle w:val="216"/>
              <w:keepNext w:val="0"/>
              <w:keepLines w:val="0"/>
              <w:pageBreakBefore w:val="0"/>
              <w:widowControl w:val="0"/>
              <w:kinsoku/>
              <w:wordWrap/>
              <w:overflowPunct/>
              <w:topLinePunct w:val="0"/>
              <w:autoSpaceDE/>
              <w:autoSpaceDN/>
              <w:bidi w:val="0"/>
              <w:adjustRightInd/>
              <w:snapToGrid/>
              <w:spacing w:line="300" w:lineRule="exact"/>
              <w:ind w:right="480" w:firstLine="420" w:firstLineChars="200"/>
              <w:jc w:val="center"/>
              <w:textAlignment w:val="auto"/>
              <w:rPr>
                <w:rFonts w:hint="eastAsia" w:ascii="宋体" w:hAnsi="宋体" w:cs="宋体"/>
                <w:color w:val="auto"/>
                <w:sz w:val="21"/>
                <w:szCs w:val="21"/>
                <w:highlight w:val="none"/>
              </w:rPr>
            </w:pPr>
          </w:p>
          <w:p w14:paraId="1EE7AE0B">
            <w:pPr>
              <w:pStyle w:val="216"/>
              <w:keepNext w:val="0"/>
              <w:keepLines w:val="0"/>
              <w:pageBreakBefore w:val="0"/>
              <w:widowControl w:val="0"/>
              <w:kinsoku/>
              <w:wordWrap/>
              <w:overflowPunct/>
              <w:topLinePunct w:val="0"/>
              <w:autoSpaceDE/>
              <w:autoSpaceDN/>
              <w:bidi w:val="0"/>
              <w:adjustRightInd/>
              <w:snapToGrid/>
              <w:spacing w:line="300" w:lineRule="exact"/>
              <w:ind w:right="480" w:firstLine="525" w:firstLineChars="25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5E851925">
            <w:pPr>
              <w:pStyle w:val="216"/>
              <w:keepNext w:val="0"/>
              <w:keepLines w:val="0"/>
              <w:pageBreakBefore w:val="0"/>
              <w:widowControl w:val="0"/>
              <w:kinsoku/>
              <w:wordWrap/>
              <w:overflowPunct/>
              <w:topLinePunct w:val="0"/>
              <w:autoSpaceDE/>
              <w:autoSpaceDN/>
              <w:bidi w:val="0"/>
              <w:adjustRightInd/>
              <w:snapToGrid/>
              <w:spacing w:line="300" w:lineRule="exact"/>
              <w:ind w:right="480"/>
              <w:jc w:val="center"/>
              <w:textAlignment w:val="auto"/>
              <w:rPr>
                <w:rFonts w:hint="eastAsia" w:ascii="宋体" w:hAnsi="宋体" w:cs="宋体"/>
                <w:color w:val="auto"/>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22E12B3F">
            <w:pPr>
              <w:pStyle w:val="216"/>
              <w:keepNext w:val="0"/>
              <w:keepLines w:val="0"/>
              <w:pageBreakBefore w:val="0"/>
              <w:widowControl w:val="0"/>
              <w:kinsoku/>
              <w:wordWrap/>
              <w:overflowPunct/>
              <w:topLinePunct w:val="0"/>
              <w:autoSpaceDE/>
              <w:autoSpaceDN/>
              <w:bidi w:val="0"/>
              <w:adjustRightInd/>
              <w:snapToGrid/>
              <w:spacing w:line="300" w:lineRule="exact"/>
              <w:ind w:right="480"/>
              <w:jc w:val="center"/>
              <w:textAlignment w:val="auto"/>
              <w:rPr>
                <w:rFonts w:hint="eastAsia" w:ascii="宋体" w:hAnsi="宋体" w:cs="宋体"/>
                <w:color w:val="auto"/>
                <w:sz w:val="21"/>
                <w:szCs w:val="21"/>
                <w:highlight w:val="none"/>
              </w:rPr>
            </w:pPr>
          </w:p>
        </w:tc>
        <w:tc>
          <w:tcPr>
            <w:tcW w:w="1617" w:type="dxa"/>
            <w:tcBorders>
              <w:top w:val="single" w:color="auto" w:sz="4" w:space="0"/>
              <w:left w:val="single" w:color="auto" w:sz="4" w:space="0"/>
              <w:bottom w:val="single" w:color="auto" w:sz="4" w:space="0"/>
              <w:right w:val="single" w:color="auto" w:sz="4" w:space="0"/>
            </w:tcBorders>
            <w:noWrap w:val="0"/>
            <w:vAlign w:val="center"/>
          </w:tcPr>
          <w:p w14:paraId="1A7E25CA">
            <w:pPr>
              <w:pStyle w:val="216"/>
              <w:keepNext w:val="0"/>
              <w:keepLines w:val="0"/>
              <w:pageBreakBefore w:val="0"/>
              <w:widowControl w:val="0"/>
              <w:kinsoku/>
              <w:wordWrap/>
              <w:overflowPunct/>
              <w:topLinePunct w:val="0"/>
              <w:autoSpaceDE/>
              <w:autoSpaceDN/>
              <w:bidi w:val="0"/>
              <w:adjustRightInd/>
              <w:snapToGrid/>
              <w:spacing w:line="300" w:lineRule="exact"/>
              <w:ind w:right="480"/>
              <w:jc w:val="center"/>
              <w:textAlignment w:val="auto"/>
              <w:rPr>
                <w:rFonts w:hint="eastAsia" w:ascii="宋体" w:hAnsi="宋体" w:cs="宋体"/>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noWrap w:val="0"/>
            <w:vAlign w:val="center"/>
          </w:tcPr>
          <w:p w14:paraId="69C8F5A7">
            <w:pPr>
              <w:pStyle w:val="216"/>
              <w:keepNext w:val="0"/>
              <w:keepLines w:val="0"/>
              <w:pageBreakBefore w:val="0"/>
              <w:widowControl w:val="0"/>
              <w:kinsoku/>
              <w:wordWrap/>
              <w:overflowPunct/>
              <w:topLinePunct w:val="0"/>
              <w:autoSpaceDE/>
              <w:autoSpaceDN/>
              <w:bidi w:val="0"/>
              <w:adjustRightInd/>
              <w:snapToGrid/>
              <w:spacing w:line="300" w:lineRule="exact"/>
              <w:ind w:right="480"/>
              <w:jc w:val="center"/>
              <w:textAlignment w:val="auto"/>
              <w:rPr>
                <w:rFonts w:hint="eastAsia" w:ascii="宋体" w:hAnsi="宋体" w:cs="宋体"/>
                <w:color w:val="auto"/>
                <w:sz w:val="21"/>
                <w:szCs w:val="21"/>
                <w:highlight w:val="none"/>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00510279">
            <w:pPr>
              <w:pStyle w:val="216"/>
              <w:keepNext w:val="0"/>
              <w:keepLines w:val="0"/>
              <w:pageBreakBefore w:val="0"/>
              <w:widowControl w:val="0"/>
              <w:kinsoku/>
              <w:wordWrap/>
              <w:overflowPunct/>
              <w:topLinePunct w:val="0"/>
              <w:autoSpaceDE/>
              <w:autoSpaceDN/>
              <w:bidi w:val="0"/>
              <w:adjustRightInd/>
              <w:snapToGrid/>
              <w:spacing w:line="300" w:lineRule="exact"/>
              <w:ind w:right="480"/>
              <w:jc w:val="center"/>
              <w:textAlignment w:val="auto"/>
              <w:rPr>
                <w:rFonts w:hint="eastAsia" w:ascii="宋体" w:hAnsi="宋体" w:cs="宋体"/>
                <w:color w:val="auto"/>
                <w:sz w:val="21"/>
                <w:szCs w:val="21"/>
                <w:highlight w:val="none"/>
              </w:rPr>
            </w:pPr>
          </w:p>
        </w:tc>
      </w:tr>
      <w:tr w14:paraId="0B72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14:paraId="259A24D7">
            <w:pPr>
              <w:pStyle w:val="216"/>
              <w:keepNext w:val="0"/>
              <w:keepLines w:val="0"/>
              <w:pageBreakBefore w:val="0"/>
              <w:widowControl w:val="0"/>
              <w:kinsoku/>
              <w:wordWrap/>
              <w:overflowPunct/>
              <w:topLinePunct w:val="0"/>
              <w:autoSpaceDE/>
              <w:autoSpaceDN/>
              <w:bidi w:val="0"/>
              <w:adjustRightInd/>
              <w:snapToGrid/>
              <w:spacing w:line="300" w:lineRule="exact"/>
              <w:ind w:right="480" w:firstLine="210" w:firstLineChars="10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C52CB44">
            <w:pPr>
              <w:pStyle w:val="216"/>
              <w:keepNext w:val="0"/>
              <w:keepLines w:val="0"/>
              <w:pageBreakBefore w:val="0"/>
              <w:widowControl w:val="0"/>
              <w:kinsoku/>
              <w:wordWrap/>
              <w:overflowPunct/>
              <w:topLinePunct w:val="0"/>
              <w:autoSpaceDE/>
              <w:autoSpaceDN/>
              <w:bidi w:val="0"/>
              <w:adjustRightInd/>
              <w:snapToGrid/>
              <w:spacing w:line="300" w:lineRule="exact"/>
              <w:ind w:right="83" w:firstLine="105" w:firstLineChars="5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合计</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7C9FB452">
            <w:pPr>
              <w:pStyle w:val="216"/>
              <w:keepNext w:val="0"/>
              <w:keepLines w:val="0"/>
              <w:pageBreakBefore w:val="0"/>
              <w:widowControl w:val="0"/>
              <w:kinsoku/>
              <w:wordWrap/>
              <w:overflowPunct/>
              <w:topLinePunct w:val="0"/>
              <w:autoSpaceDE/>
              <w:autoSpaceDN/>
              <w:bidi w:val="0"/>
              <w:adjustRightInd/>
              <w:snapToGrid/>
              <w:spacing w:line="300" w:lineRule="exact"/>
              <w:ind w:right="480"/>
              <w:jc w:val="center"/>
              <w:textAlignment w:val="auto"/>
              <w:rPr>
                <w:rFonts w:hint="eastAsia" w:ascii="宋体" w:hAnsi="宋体" w:cs="宋体"/>
                <w:color w:val="auto"/>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29E58979">
            <w:pPr>
              <w:pStyle w:val="216"/>
              <w:keepNext w:val="0"/>
              <w:keepLines w:val="0"/>
              <w:pageBreakBefore w:val="0"/>
              <w:widowControl w:val="0"/>
              <w:kinsoku/>
              <w:wordWrap/>
              <w:overflowPunct/>
              <w:topLinePunct w:val="0"/>
              <w:autoSpaceDE/>
              <w:autoSpaceDN/>
              <w:bidi w:val="0"/>
              <w:adjustRightInd/>
              <w:snapToGrid/>
              <w:spacing w:line="300" w:lineRule="exact"/>
              <w:ind w:right="480"/>
              <w:jc w:val="center"/>
              <w:textAlignment w:val="auto"/>
              <w:rPr>
                <w:rFonts w:hint="eastAsia" w:ascii="宋体" w:hAnsi="宋体" w:cs="宋体"/>
                <w:color w:val="auto"/>
                <w:sz w:val="21"/>
                <w:szCs w:val="21"/>
                <w:highlight w:val="none"/>
              </w:rPr>
            </w:pPr>
          </w:p>
        </w:tc>
        <w:tc>
          <w:tcPr>
            <w:tcW w:w="1617" w:type="dxa"/>
            <w:tcBorders>
              <w:top w:val="single" w:color="auto" w:sz="4" w:space="0"/>
              <w:left w:val="single" w:color="auto" w:sz="4" w:space="0"/>
              <w:bottom w:val="single" w:color="auto" w:sz="4" w:space="0"/>
              <w:right w:val="single" w:color="auto" w:sz="4" w:space="0"/>
            </w:tcBorders>
            <w:noWrap w:val="0"/>
            <w:vAlign w:val="center"/>
          </w:tcPr>
          <w:p w14:paraId="4F859A17">
            <w:pPr>
              <w:pStyle w:val="216"/>
              <w:keepNext w:val="0"/>
              <w:keepLines w:val="0"/>
              <w:pageBreakBefore w:val="0"/>
              <w:widowControl w:val="0"/>
              <w:kinsoku/>
              <w:wordWrap/>
              <w:overflowPunct/>
              <w:topLinePunct w:val="0"/>
              <w:autoSpaceDE/>
              <w:autoSpaceDN/>
              <w:bidi w:val="0"/>
              <w:adjustRightInd/>
              <w:snapToGrid/>
              <w:spacing w:line="300" w:lineRule="exact"/>
              <w:ind w:right="480"/>
              <w:jc w:val="center"/>
              <w:textAlignment w:val="auto"/>
              <w:rPr>
                <w:rFonts w:hint="eastAsia" w:ascii="宋体" w:hAnsi="宋体" w:cs="宋体"/>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noWrap w:val="0"/>
            <w:vAlign w:val="center"/>
          </w:tcPr>
          <w:p w14:paraId="733EC65D">
            <w:pPr>
              <w:pStyle w:val="216"/>
              <w:keepNext w:val="0"/>
              <w:keepLines w:val="0"/>
              <w:pageBreakBefore w:val="0"/>
              <w:widowControl w:val="0"/>
              <w:kinsoku/>
              <w:wordWrap/>
              <w:overflowPunct/>
              <w:topLinePunct w:val="0"/>
              <w:autoSpaceDE/>
              <w:autoSpaceDN/>
              <w:bidi w:val="0"/>
              <w:adjustRightInd/>
              <w:snapToGrid/>
              <w:spacing w:line="300" w:lineRule="exact"/>
              <w:ind w:right="480"/>
              <w:jc w:val="center"/>
              <w:textAlignment w:val="auto"/>
              <w:rPr>
                <w:rFonts w:hint="eastAsia" w:ascii="宋体" w:hAnsi="宋体" w:cs="宋体"/>
                <w:color w:val="auto"/>
                <w:sz w:val="21"/>
                <w:szCs w:val="21"/>
                <w:highlight w:val="none"/>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05D47896">
            <w:pPr>
              <w:pStyle w:val="216"/>
              <w:keepNext w:val="0"/>
              <w:keepLines w:val="0"/>
              <w:pageBreakBefore w:val="0"/>
              <w:widowControl w:val="0"/>
              <w:kinsoku/>
              <w:wordWrap/>
              <w:overflowPunct/>
              <w:topLinePunct w:val="0"/>
              <w:autoSpaceDE/>
              <w:autoSpaceDN/>
              <w:bidi w:val="0"/>
              <w:adjustRightInd/>
              <w:snapToGrid/>
              <w:spacing w:line="300" w:lineRule="exact"/>
              <w:ind w:right="480"/>
              <w:jc w:val="center"/>
              <w:textAlignment w:val="auto"/>
              <w:rPr>
                <w:rFonts w:hint="eastAsia" w:ascii="宋体" w:hAnsi="宋体" w:cs="宋体"/>
                <w:color w:val="auto"/>
                <w:sz w:val="21"/>
                <w:szCs w:val="21"/>
                <w:highlight w:val="none"/>
              </w:rPr>
            </w:pPr>
          </w:p>
        </w:tc>
      </w:tr>
    </w:tbl>
    <w:p w14:paraId="1F208234">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说明：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所投产品属于国家颁布的节能品目内产品的，须提交国家确定的认证机构出具的节能产品认证证书，否则，不予</w:t>
      </w:r>
      <w:r>
        <w:rPr>
          <w:rFonts w:hint="eastAsia" w:ascii="宋体" w:hAnsi="宋体" w:eastAsia="宋体" w:cs="宋体"/>
          <w:color w:val="auto"/>
          <w:sz w:val="24"/>
          <w:szCs w:val="24"/>
          <w:highlight w:val="none"/>
          <w:lang w:val="en-US" w:eastAsia="zh-CN"/>
        </w:rPr>
        <w:t>认可</w:t>
      </w:r>
      <w:r>
        <w:rPr>
          <w:rFonts w:hint="eastAsia" w:ascii="宋体" w:hAnsi="宋体" w:eastAsia="宋体" w:cs="宋体"/>
          <w:color w:val="auto"/>
          <w:sz w:val="24"/>
          <w:szCs w:val="24"/>
          <w:highlight w:val="none"/>
        </w:rPr>
        <w:t>。</w:t>
      </w:r>
    </w:p>
    <w:p w14:paraId="3FE6B3E3">
      <w:pPr>
        <w:widowControl/>
        <w:spacing w:line="400" w:lineRule="exact"/>
        <w:jc w:val="left"/>
        <w:rPr>
          <w:rFonts w:hint="eastAsia" w:ascii="宋体" w:hAnsi="宋体" w:eastAsia="宋体" w:cs="宋体"/>
          <w:bCs/>
          <w:color w:val="auto"/>
          <w:szCs w:val="24"/>
          <w:highlight w:val="none"/>
        </w:rPr>
      </w:pPr>
    </w:p>
    <w:p w14:paraId="38BF8BAE">
      <w:pPr>
        <w:widowControl/>
        <w:spacing w:line="400" w:lineRule="exact"/>
        <w:jc w:val="left"/>
        <w:rPr>
          <w:rFonts w:hint="eastAsia" w:ascii="宋体" w:hAnsi="宋体" w:eastAsia="宋体" w:cs="宋体"/>
          <w:bCs/>
          <w:color w:val="auto"/>
          <w:szCs w:val="24"/>
          <w:highlight w:val="none"/>
        </w:rPr>
      </w:pPr>
    </w:p>
    <w:p w14:paraId="37E7AB8C">
      <w:pPr>
        <w:widowControl/>
        <w:spacing w:line="400" w:lineRule="exact"/>
        <w:ind w:firstLine="4680" w:firstLineChars="19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lang w:val="en-US" w:eastAsia="zh-CN"/>
        </w:rPr>
        <w:t>盖</w:t>
      </w:r>
      <w:r>
        <w:rPr>
          <w:rFonts w:hint="eastAsia" w:ascii="宋体" w:hAnsi="宋体" w:eastAsia="宋体" w:cs="宋体"/>
          <w:color w:val="auto"/>
          <w:sz w:val="24"/>
          <w:szCs w:val="24"/>
          <w:highlight w:val="none"/>
        </w:rPr>
        <w:t>公章）：</w:t>
      </w:r>
    </w:p>
    <w:p w14:paraId="4D6A0DD9">
      <w:pPr>
        <w:widowControl w:val="0"/>
        <w:kinsoku/>
        <w:overflowPunct/>
        <w:autoSpaceDE w:val="0"/>
        <w:autoSpaceDN w:val="0"/>
        <w:bidi w:val="0"/>
        <w:spacing w:line="360" w:lineRule="auto"/>
        <w:jc w:val="both"/>
        <w:rPr>
          <w:rFonts w:hint="eastAsia" w:ascii="宋体" w:hAnsi="宋体" w:eastAsia="宋体" w:cs="宋体"/>
          <w:b/>
          <w:szCs w:val="21"/>
          <w:lang w:eastAsia="zh-CN"/>
        </w:rPr>
      </w:pPr>
      <w:r>
        <w:rPr>
          <w:rFonts w:hint="eastAsia" w:ascii="宋体" w:hAnsi="宋体" w:eastAsia="宋体" w:cs="宋体"/>
          <w:color w:val="auto"/>
          <w:sz w:val="24"/>
          <w:szCs w:val="24"/>
          <w:highlight w:val="none"/>
        </w:rPr>
        <w:t xml:space="preserve">                                  日  期：    年    月    日</w:t>
      </w:r>
      <w:r>
        <w:rPr>
          <w:rFonts w:hint="eastAsia" w:ascii="宋体" w:hAnsi="宋体" w:eastAsia="宋体" w:cs="宋体"/>
          <w:b/>
          <w:szCs w:val="21"/>
        </w:rPr>
        <w:br w:type="page"/>
      </w:r>
      <w:r>
        <w:rPr>
          <w:rFonts w:hint="eastAsia" w:ascii="宋体" w:hAnsi="宋体" w:eastAsia="宋体" w:cs="宋体"/>
          <w:b/>
          <w:szCs w:val="21"/>
          <w:lang w:val="en-US" w:eastAsia="zh-CN"/>
        </w:rPr>
        <w:t>5、偏离表</w:t>
      </w:r>
    </w:p>
    <w:p w14:paraId="14E0801A">
      <w:pPr>
        <w:widowControl w:val="0"/>
        <w:kinsoku/>
        <w:overflowPunct/>
        <w:bidi w:val="0"/>
        <w:spacing w:line="360" w:lineRule="auto"/>
        <w:jc w:val="left"/>
        <w:rPr>
          <w:rFonts w:hint="eastAsia" w:ascii="宋体" w:hAnsi="宋体" w:eastAsia="宋体" w:cs="宋体"/>
          <w:b/>
          <w:bCs/>
          <w:spacing w:val="10"/>
          <w:kern w:val="0"/>
          <w:szCs w:val="21"/>
        </w:rPr>
      </w:pPr>
      <w:r>
        <w:rPr>
          <w:rFonts w:hint="eastAsia" w:ascii="宋体" w:hAnsi="宋体" w:eastAsia="宋体" w:cs="宋体"/>
          <w:b/>
          <w:bCs/>
          <w:spacing w:val="10"/>
          <w:kern w:val="0"/>
          <w:szCs w:val="21"/>
        </w:rPr>
        <w:t>（1）商务</w:t>
      </w:r>
      <w:r>
        <w:rPr>
          <w:rFonts w:hint="eastAsia" w:ascii="宋体" w:hAnsi="宋体" w:eastAsia="宋体" w:cs="宋体"/>
          <w:b/>
          <w:bCs/>
          <w:spacing w:val="10"/>
          <w:kern w:val="0"/>
          <w:szCs w:val="21"/>
          <w:lang w:eastAsia="zh-CN"/>
        </w:rPr>
        <w:t>、</w:t>
      </w:r>
      <w:r>
        <w:rPr>
          <w:rFonts w:hint="eastAsia" w:ascii="宋体" w:hAnsi="宋体" w:eastAsia="宋体" w:cs="宋体"/>
          <w:b/>
          <w:bCs/>
          <w:spacing w:val="10"/>
          <w:kern w:val="0"/>
          <w:szCs w:val="21"/>
          <w:lang w:val="en-US" w:eastAsia="zh-CN"/>
        </w:rPr>
        <w:t>技术</w:t>
      </w:r>
      <w:r>
        <w:rPr>
          <w:rFonts w:hint="eastAsia" w:ascii="宋体" w:hAnsi="宋体" w:eastAsia="宋体" w:cs="宋体"/>
          <w:b/>
          <w:bCs/>
          <w:spacing w:val="10"/>
          <w:kern w:val="0"/>
          <w:szCs w:val="21"/>
        </w:rPr>
        <w:t>条款响应表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5361"/>
        <w:gridCol w:w="1430"/>
        <w:gridCol w:w="1272"/>
      </w:tblGrid>
      <w:tr w14:paraId="4B5C3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990" w:type="dxa"/>
            <w:shd w:val="clear" w:color="auto" w:fill="F3F3F3"/>
            <w:noWrap w:val="0"/>
            <w:vAlign w:val="center"/>
          </w:tcPr>
          <w:p w14:paraId="29CB552F">
            <w:pPr>
              <w:widowControl/>
              <w:kinsoku/>
              <w:overflowPunct/>
              <w:bidi w:val="0"/>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5361" w:type="dxa"/>
            <w:shd w:val="clear" w:color="auto" w:fill="F3F3F3"/>
            <w:noWrap w:val="0"/>
            <w:vAlign w:val="center"/>
          </w:tcPr>
          <w:p w14:paraId="053FCAC4">
            <w:pPr>
              <w:widowControl/>
              <w:kinsoku/>
              <w:overflowPunct/>
              <w:bidi w:val="0"/>
              <w:spacing w:line="360" w:lineRule="auto"/>
              <w:jc w:val="center"/>
              <w:rPr>
                <w:rFonts w:hint="eastAsia" w:ascii="宋体" w:hAnsi="宋体" w:eastAsia="宋体" w:cs="宋体"/>
                <w:b/>
                <w:bCs/>
                <w:szCs w:val="21"/>
              </w:rPr>
            </w:pPr>
            <w:r>
              <w:rPr>
                <w:rFonts w:hint="eastAsia" w:ascii="宋体" w:hAnsi="宋体" w:eastAsia="宋体" w:cs="宋体"/>
                <w:b/>
                <w:bCs/>
                <w:szCs w:val="21"/>
              </w:rPr>
              <w:t>条款要求</w:t>
            </w:r>
          </w:p>
        </w:tc>
        <w:tc>
          <w:tcPr>
            <w:tcW w:w="1430" w:type="dxa"/>
            <w:shd w:val="clear" w:color="auto" w:fill="F3F3F3"/>
            <w:noWrap w:val="0"/>
            <w:vAlign w:val="center"/>
          </w:tcPr>
          <w:p w14:paraId="0A77A327">
            <w:pPr>
              <w:widowControl/>
              <w:kinsoku/>
              <w:overflowPunct/>
              <w:bidi w:val="0"/>
              <w:spacing w:line="360" w:lineRule="auto"/>
              <w:jc w:val="center"/>
              <w:rPr>
                <w:rFonts w:hint="eastAsia" w:ascii="宋体" w:hAnsi="宋体" w:eastAsia="宋体" w:cs="宋体"/>
                <w:b/>
                <w:bCs/>
                <w:szCs w:val="21"/>
              </w:rPr>
            </w:pPr>
            <w:r>
              <w:rPr>
                <w:rFonts w:hint="eastAsia" w:ascii="宋体" w:hAnsi="宋体" w:eastAsia="宋体" w:cs="宋体"/>
                <w:b/>
                <w:bCs/>
                <w:szCs w:val="21"/>
              </w:rPr>
              <w:t>是否响应</w:t>
            </w:r>
          </w:p>
        </w:tc>
        <w:tc>
          <w:tcPr>
            <w:tcW w:w="1272" w:type="dxa"/>
            <w:shd w:val="clear" w:color="auto" w:fill="F3F3F3"/>
            <w:noWrap w:val="0"/>
            <w:vAlign w:val="center"/>
          </w:tcPr>
          <w:p w14:paraId="466DCD34">
            <w:pPr>
              <w:widowControl/>
              <w:kinsoku/>
              <w:overflowPunct/>
              <w:bidi w:val="0"/>
              <w:spacing w:line="360" w:lineRule="auto"/>
              <w:jc w:val="center"/>
              <w:rPr>
                <w:rFonts w:hint="eastAsia" w:ascii="宋体" w:hAnsi="宋体" w:eastAsia="宋体" w:cs="宋体"/>
                <w:b/>
                <w:bCs/>
                <w:szCs w:val="21"/>
              </w:rPr>
            </w:pPr>
            <w:r>
              <w:rPr>
                <w:rFonts w:hint="eastAsia" w:ascii="宋体" w:hAnsi="宋体" w:eastAsia="宋体" w:cs="宋体"/>
                <w:b/>
                <w:bCs/>
                <w:szCs w:val="21"/>
              </w:rPr>
              <w:t>偏离说明</w:t>
            </w:r>
          </w:p>
        </w:tc>
      </w:tr>
      <w:tr w14:paraId="4843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990" w:type="dxa"/>
            <w:noWrap w:val="0"/>
            <w:vAlign w:val="center"/>
          </w:tcPr>
          <w:p w14:paraId="02573429">
            <w:pPr>
              <w:widowControl/>
              <w:tabs>
                <w:tab w:val="left" w:pos="7740"/>
              </w:tabs>
              <w:kinsoku/>
              <w:overflowPunct/>
              <w:bidi w:val="0"/>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5361" w:type="dxa"/>
            <w:noWrap w:val="0"/>
            <w:vAlign w:val="center"/>
          </w:tcPr>
          <w:p w14:paraId="08A0B684">
            <w:pPr>
              <w:widowControl/>
              <w:kinsoku/>
              <w:overflowPunct/>
              <w:bidi w:val="0"/>
              <w:spacing w:line="360" w:lineRule="auto"/>
              <w:jc w:val="left"/>
              <w:rPr>
                <w:rFonts w:hint="eastAsia" w:ascii="宋体" w:hAnsi="宋体" w:eastAsia="宋体" w:cs="宋体"/>
                <w:szCs w:val="21"/>
              </w:rPr>
            </w:pPr>
          </w:p>
        </w:tc>
        <w:tc>
          <w:tcPr>
            <w:tcW w:w="1430" w:type="dxa"/>
            <w:noWrap w:val="0"/>
            <w:vAlign w:val="center"/>
          </w:tcPr>
          <w:p w14:paraId="0889A1F5">
            <w:pPr>
              <w:widowControl/>
              <w:kinsoku/>
              <w:overflowPunct/>
              <w:bidi w:val="0"/>
              <w:spacing w:line="360" w:lineRule="auto"/>
              <w:jc w:val="center"/>
              <w:rPr>
                <w:rFonts w:hint="eastAsia" w:ascii="宋体" w:hAnsi="宋体" w:eastAsia="宋体" w:cs="宋体"/>
                <w:szCs w:val="21"/>
              </w:rPr>
            </w:pPr>
          </w:p>
        </w:tc>
        <w:tc>
          <w:tcPr>
            <w:tcW w:w="1272" w:type="dxa"/>
            <w:noWrap w:val="0"/>
            <w:vAlign w:val="center"/>
          </w:tcPr>
          <w:p w14:paraId="222038F4">
            <w:pPr>
              <w:widowControl/>
              <w:kinsoku/>
              <w:overflowPunct/>
              <w:bidi w:val="0"/>
              <w:spacing w:line="360" w:lineRule="auto"/>
              <w:jc w:val="center"/>
              <w:rPr>
                <w:rFonts w:hint="eastAsia" w:ascii="宋体" w:hAnsi="宋体" w:eastAsia="宋体" w:cs="宋体"/>
                <w:szCs w:val="21"/>
              </w:rPr>
            </w:pPr>
          </w:p>
        </w:tc>
      </w:tr>
      <w:tr w14:paraId="66303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990" w:type="dxa"/>
            <w:noWrap w:val="0"/>
            <w:vAlign w:val="center"/>
          </w:tcPr>
          <w:p w14:paraId="355E4348">
            <w:pPr>
              <w:widowControl/>
              <w:tabs>
                <w:tab w:val="left" w:pos="7740"/>
              </w:tabs>
              <w:kinsoku/>
              <w:overflowPunct/>
              <w:bidi w:val="0"/>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5361" w:type="dxa"/>
            <w:noWrap w:val="0"/>
            <w:vAlign w:val="center"/>
          </w:tcPr>
          <w:p w14:paraId="0E1594ED">
            <w:pPr>
              <w:widowControl/>
              <w:kinsoku/>
              <w:overflowPunct/>
              <w:autoSpaceDE w:val="0"/>
              <w:autoSpaceDN w:val="0"/>
              <w:bidi w:val="0"/>
              <w:spacing w:line="360" w:lineRule="auto"/>
              <w:jc w:val="left"/>
              <w:rPr>
                <w:rFonts w:hint="eastAsia" w:ascii="宋体" w:hAnsi="宋体" w:eastAsia="宋体" w:cs="宋体"/>
                <w:kern w:val="0"/>
                <w:szCs w:val="21"/>
                <w:lang w:val="zh-CN"/>
              </w:rPr>
            </w:pPr>
          </w:p>
        </w:tc>
        <w:tc>
          <w:tcPr>
            <w:tcW w:w="1430" w:type="dxa"/>
            <w:noWrap w:val="0"/>
            <w:vAlign w:val="center"/>
          </w:tcPr>
          <w:p w14:paraId="3AA0FA8D">
            <w:pPr>
              <w:widowControl/>
              <w:kinsoku/>
              <w:overflowPunct/>
              <w:bidi w:val="0"/>
              <w:spacing w:line="360" w:lineRule="auto"/>
              <w:jc w:val="center"/>
              <w:rPr>
                <w:rFonts w:hint="eastAsia" w:ascii="宋体" w:hAnsi="宋体" w:eastAsia="宋体" w:cs="宋体"/>
                <w:szCs w:val="21"/>
              </w:rPr>
            </w:pPr>
          </w:p>
        </w:tc>
        <w:tc>
          <w:tcPr>
            <w:tcW w:w="1272" w:type="dxa"/>
            <w:noWrap w:val="0"/>
            <w:vAlign w:val="center"/>
          </w:tcPr>
          <w:p w14:paraId="59FC0DBA">
            <w:pPr>
              <w:widowControl/>
              <w:kinsoku/>
              <w:overflowPunct/>
              <w:bidi w:val="0"/>
              <w:spacing w:line="360" w:lineRule="auto"/>
              <w:jc w:val="center"/>
              <w:rPr>
                <w:rFonts w:hint="eastAsia" w:ascii="宋体" w:hAnsi="宋体" w:eastAsia="宋体" w:cs="宋体"/>
                <w:szCs w:val="21"/>
              </w:rPr>
            </w:pPr>
          </w:p>
        </w:tc>
      </w:tr>
      <w:tr w14:paraId="781EB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990" w:type="dxa"/>
            <w:noWrap w:val="0"/>
            <w:vAlign w:val="center"/>
          </w:tcPr>
          <w:p w14:paraId="010A2A26">
            <w:pPr>
              <w:widowControl/>
              <w:tabs>
                <w:tab w:val="left" w:pos="7740"/>
              </w:tabs>
              <w:kinsoku/>
              <w:overflowPunct/>
              <w:bidi w:val="0"/>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5361" w:type="dxa"/>
            <w:noWrap w:val="0"/>
            <w:vAlign w:val="center"/>
          </w:tcPr>
          <w:p w14:paraId="5A339C20">
            <w:pPr>
              <w:widowControl/>
              <w:kinsoku/>
              <w:overflowPunct/>
              <w:autoSpaceDE w:val="0"/>
              <w:autoSpaceDN w:val="0"/>
              <w:bidi w:val="0"/>
              <w:spacing w:line="360" w:lineRule="auto"/>
              <w:jc w:val="left"/>
              <w:rPr>
                <w:rFonts w:hint="eastAsia" w:ascii="宋体" w:hAnsi="宋体" w:eastAsia="宋体" w:cs="宋体"/>
                <w:kern w:val="0"/>
                <w:szCs w:val="21"/>
                <w:lang w:val="zh-CN"/>
              </w:rPr>
            </w:pPr>
          </w:p>
        </w:tc>
        <w:tc>
          <w:tcPr>
            <w:tcW w:w="1430" w:type="dxa"/>
            <w:noWrap w:val="0"/>
            <w:vAlign w:val="center"/>
          </w:tcPr>
          <w:p w14:paraId="08D59EC4">
            <w:pPr>
              <w:widowControl/>
              <w:kinsoku/>
              <w:overflowPunct/>
              <w:bidi w:val="0"/>
              <w:spacing w:line="360" w:lineRule="auto"/>
              <w:jc w:val="center"/>
              <w:rPr>
                <w:rFonts w:hint="eastAsia" w:ascii="宋体" w:hAnsi="宋体" w:eastAsia="宋体" w:cs="宋体"/>
                <w:szCs w:val="21"/>
              </w:rPr>
            </w:pPr>
          </w:p>
        </w:tc>
        <w:tc>
          <w:tcPr>
            <w:tcW w:w="1272" w:type="dxa"/>
            <w:noWrap w:val="0"/>
            <w:vAlign w:val="center"/>
          </w:tcPr>
          <w:p w14:paraId="192416F5">
            <w:pPr>
              <w:widowControl/>
              <w:kinsoku/>
              <w:overflowPunct/>
              <w:bidi w:val="0"/>
              <w:spacing w:line="360" w:lineRule="auto"/>
              <w:jc w:val="center"/>
              <w:rPr>
                <w:rFonts w:hint="eastAsia" w:ascii="宋体" w:hAnsi="宋体" w:eastAsia="宋体" w:cs="宋体"/>
                <w:szCs w:val="21"/>
              </w:rPr>
            </w:pPr>
          </w:p>
        </w:tc>
      </w:tr>
      <w:tr w14:paraId="2C89E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990" w:type="dxa"/>
            <w:noWrap w:val="0"/>
            <w:vAlign w:val="center"/>
          </w:tcPr>
          <w:p w14:paraId="76470710">
            <w:pPr>
              <w:widowControl/>
              <w:tabs>
                <w:tab w:val="left" w:pos="7740"/>
              </w:tabs>
              <w:kinsoku/>
              <w:overflowPunct/>
              <w:bidi w:val="0"/>
              <w:spacing w:line="360" w:lineRule="auto"/>
              <w:jc w:val="center"/>
              <w:rPr>
                <w:rFonts w:hint="eastAsia" w:ascii="宋体" w:hAnsi="宋体" w:eastAsia="宋体" w:cs="宋体"/>
                <w:szCs w:val="21"/>
              </w:rPr>
            </w:pPr>
            <w:r>
              <w:rPr>
                <w:rFonts w:hint="eastAsia" w:ascii="宋体" w:hAnsi="宋体" w:eastAsia="宋体" w:cs="宋体"/>
                <w:szCs w:val="21"/>
              </w:rPr>
              <w:t>4</w:t>
            </w:r>
          </w:p>
        </w:tc>
        <w:tc>
          <w:tcPr>
            <w:tcW w:w="5361" w:type="dxa"/>
            <w:noWrap w:val="0"/>
            <w:vAlign w:val="center"/>
          </w:tcPr>
          <w:p w14:paraId="1E08DAA0">
            <w:pPr>
              <w:widowControl/>
              <w:kinsoku/>
              <w:overflowPunct/>
              <w:autoSpaceDE w:val="0"/>
              <w:autoSpaceDN w:val="0"/>
              <w:bidi w:val="0"/>
              <w:spacing w:line="360" w:lineRule="auto"/>
              <w:jc w:val="left"/>
              <w:rPr>
                <w:rFonts w:hint="eastAsia" w:ascii="宋体" w:hAnsi="宋体" w:eastAsia="宋体" w:cs="宋体"/>
                <w:kern w:val="0"/>
                <w:szCs w:val="21"/>
                <w:lang w:val="zh-CN"/>
              </w:rPr>
            </w:pPr>
          </w:p>
        </w:tc>
        <w:tc>
          <w:tcPr>
            <w:tcW w:w="1430" w:type="dxa"/>
            <w:noWrap w:val="0"/>
            <w:vAlign w:val="center"/>
          </w:tcPr>
          <w:p w14:paraId="7372453B">
            <w:pPr>
              <w:widowControl/>
              <w:kinsoku/>
              <w:overflowPunct/>
              <w:bidi w:val="0"/>
              <w:spacing w:line="360" w:lineRule="auto"/>
              <w:jc w:val="center"/>
              <w:rPr>
                <w:rFonts w:hint="eastAsia" w:ascii="宋体" w:hAnsi="宋体" w:eastAsia="宋体" w:cs="宋体"/>
                <w:szCs w:val="21"/>
              </w:rPr>
            </w:pPr>
          </w:p>
        </w:tc>
        <w:tc>
          <w:tcPr>
            <w:tcW w:w="1272" w:type="dxa"/>
            <w:noWrap w:val="0"/>
            <w:vAlign w:val="center"/>
          </w:tcPr>
          <w:p w14:paraId="6AE1249D">
            <w:pPr>
              <w:widowControl/>
              <w:kinsoku/>
              <w:overflowPunct/>
              <w:bidi w:val="0"/>
              <w:spacing w:line="360" w:lineRule="auto"/>
              <w:jc w:val="center"/>
              <w:rPr>
                <w:rFonts w:hint="eastAsia" w:ascii="宋体" w:hAnsi="宋体" w:eastAsia="宋体" w:cs="宋体"/>
                <w:szCs w:val="21"/>
              </w:rPr>
            </w:pPr>
          </w:p>
        </w:tc>
      </w:tr>
      <w:tr w14:paraId="77938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990" w:type="dxa"/>
            <w:noWrap w:val="0"/>
            <w:vAlign w:val="center"/>
          </w:tcPr>
          <w:p w14:paraId="6FF55DED">
            <w:pPr>
              <w:widowControl/>
              <w:tabs>
                <w:tab w:val="left" w:pos="7740"/>
              </w:tabs>
              <w:kinsoku/>
              <w:overflowPunct/>
              <w:bidi w:val="0"/>
              <w:spacing w:line="360" w:lineRule="auto"/>
              <w:jc w:val="center"/>
              <w:rPr>
                <w:rFonts w:hint="eastAsia" w:ascii="宋体" w:hAnsi="宋体" w:eastAsia="宋体" w:cs="宋体"/>
                <w:szCs w:val="21"/>
              </w:rPr>
            </w:pPr>
            <w:r>
              <w:rPr>
                <w:rFonts w:hint="eastAsia" w:ascii="宋体" w:hAnsi="宋体" w:eastAsia="宋体" w:cs="宋体"/>
                <w:szCs w:val="21"/>
              </w:rPr>
              <w:t>5</w:t>
            </w:r>
          </w:p>
        </w:tc>
        <w:tc>
          <w:tcPr>
            <w:tcW w:w="5361" w:type="dxa"/>
            <w:noWrap w:val="0"/>
            <w:vAlign w:val="center"/>
          </w:tcPr>
          <w:p w14:paraId="3F098E81">
            <w:pPr>
              <w:widowControl/>
              <w:kinsoku/>
              <w:overflowPunct/>
              <w:autoSpaceDE w:val="0"/>
              <w:autoSpaceDN w:val="0"/>
              <w:bidi w:val="0"/>
              <w:spacing w:line="360" w:lineRule="auto"/>
              <w:jc w:val="left"/>
              <w:rPr>
                <w:rFonts w:hint="eastAsia" w:ascii="宋体" w:hAnsi="宋体" w:eastAsia="宋体" w:cs="宋体"/>
                <w:kern w:val="0"/>
                <w:szCs w:val="21"/>
                <w:lang w:val="zh-CN"/>
              </w:rPr>
            </w:pPr>
          </w:p>
        </w:tc>
        <w:tc>
          <w:tcPr>
            <w:tcW w:w="1430" w:type="dxa"/>
            <w:noWrap w:val="0"/>
            <w:vAlign w:val="center"/>
          </w:tcPr>
          <w:p w14:paraId="3E465DAF">
            <w:pPr>
              <w:widowControl/>
              <w:kinsoku/>
              <w:overflowPunct/>
              <w:bidi w:val="0"/>
              <w:spacing w:line="360" w:lineRule="auto"/>
              <w:jc w:val="center"/>
              <w:rPr>
                <w:rFonts w:hint="eastAsia" w:ascii="宋体" w:hAnsi="宋体" w:eastAsia="宋体" w:cs="宋体"/>
                <w:szCs w:val="21"/>
              </w:rPr>
            </w:pPr>
          </w:p>
        </w:tc>
        <w:tc>
          <w:tcPr>
            <w:tcW w:w="1272" w:type="dxa"/>
            <w:noWrap w:val="0"/>
            <w:vAlign w:val="center"/>
          </w:tcPr>
          <w:p w14:paraId="14A9A9B0">
            <w:pPr>
              <w:widowControl/>
              <w:kinsoku/>
              <w:overflowPunct/>
              <w:bidi w:val="0"/>
              <w:spacing w:line="360" w:lineRule="auto"/>
              <w:jc w:val="center"/>
              <w:rPr>
                <w:rFonts w:hint="eastAsia" w:ascii="宋体" w:hAnsi="宋体" w:eastAsia="宋体" w:cs="宋体"/>
                <w:szCs w:val="21"/>
              </w:rPr>
            </w:pPr>
          </w:p>
        </w:tc>
      </w:tr>
    </w:tbl>
    <w:p w14:paraId="18BF835E">
      <w:pPr>
        <w:widowControl w:val="0"/>
        <w:kinsoku/>
        <w:overflowPunct/>
        <w:bidi w:val="0"/>
        <w:spacing w:line="360" w:lineRule="auto"/>
        <w:ind w:left="178" w:leftChars="85" w:firstLine="1"/>
        <w:jc w:val="both"/>
        <w:rPr>
          <w:rFonts w:hint="eastAsia" w:ascii="宋体" w:hAnsi="宋体" w:eastAsia="宋体" w:cs="宋体"/>
          <w:szCs w:val="21"/>
          <w:lang w:val="en-GB"/>
        </w:rPr>
      </w:pPr>
      <w:r>
        <w:rPr>
          <w:rFonts w:hint="eastAsia" w:ascii="宋体" w:hAnsi="宋体" w:eastAsia="宋体" w:cs="宋体"/>
          <w:szCs w:val="21"/>
          <w:lang w:val="en-GB"/>
        </w:rPr>
        <w:t>注：</w:t>
      </w:r>
    </w:p>
    <w:p w14:paraId="58983A7E">
      <w:pPr>
        <w:widowControl w:val="0"/>
        <w:kinsoku/>
        <w:overflowPunct/>
        <w:bidi w:val="0"/>
        <w:spacing w:line="360" w:lineRule="auto"/>
        <w:ind w:left="178" w:leftChars="85" w:firstLine="362"/>
        <w:jc w:val="both"/>
        <w:rPr>
          <w:rFonts w:hint="eastAsia" w:ascii="宋体" w:hAnsi="宋体" w:eastAsia="宋体" w:cs="宋体"/>
          <w:szCs w:val="21"/>
          <w:lang w:val="en-GB"/>
        </w:rPr>
      </w:pPr>
      <w:r>
        <w:rPr>
          <w:rFonts w:hint="eastAsia" w:ascii="宋体" w:hAnsi="宋体" w:eastAsia="宋体" w:cs="宋体"/>
          <w:szCs w:val="21"/>
          <w:lang w:val="en-GB"/>
        </w:rPr>
        <w:t>1.</w:t>
      </w:r>
      <w:r>
        <w:rPr>
          <w:rFonts w:hint="eastAsia" w:ascii="宋体" w:hAnsi="宋体" w:eastAsia="宋体" w:cs="宋体"/>
          <w:szCs w:val="21"/>
        </w:rPr>
        <w:t>对</w:t>
      </w:r>
      <w:r>
        <w:rPr>
          <w:rFonts w:hint="eastAsia" w:ascii="宋体" w:hAnsi="宋体" w:eastAsia="宋体" w:cs="宋体"/>
          <w:szCs w:val="21"/>
          <w:lang w:val="en-GB"/>
        </w:rPr>
        <w:t>于上述要求，</w:t>
      </w:r>
      <w:r>
        <w:rPr>
          <w:rFonts w:hint="eastAsia" w:ascii="宋体" w:hAnsi="宋体" w:eastAsia="宋体" w:cs="宋体"/>
          <w:szCs w:val="21"/>
          <w:lang w:val="en-US" w:eastAsia="zh-CN"/>
        </w:rPr>
        <w:t>供应商须逐条响应（如需提供证明材料的情形详见采购需求及评标办法），</w:t>
      </w:r>
      <w:r>
        <w:rPr>
          <w:rFonts w:hint="eastAsia" w:ascii="宋体" w:hAnsi="宋体" w:eastAsia="宋体" w:cs="宋体"/>
          <w:szCs w:val="21"/>
          <w:lang w:val="en-GB"/>
        </w:rPr>
        <w:t>如</w:t>
      </w:r>
      <w:r>
        <w:rPr>
          <w:rFonts w:hint="eastAsia" w:ascii="宋体" w:hAnsi="宋体" w:eastAsia="宋体" w:cs="宋体"/>
          <w:szCs w:val="21"/>
          <w:lang w:val="en-US" w:eastAsia="zh-CN"/>
        </w:rPr>
        <w:t>供应商</w:t>
      </w:r>
      <w:r>
        <w:rPr>
          <w:rFonts w:hint="eastAsia" w:ascii="宋体" w:hAnsi="宋体" w:eastAsia="宋体" w:cs="宋体"/>
          <w:szCs w:val="21"/>
          <w:lang w:val="en-GB"/>
        </w:rPr>
        <w:t>完全响应，则请在“</w:t>
      </w:r>
      <w:r>
        <w:rPr>
          <w:rFonts w:hint="eastAsia" w:ascii="宋体" w:hAnsi="宋体" w:eastAsia="宋体" w:cs="宋体"/>
          <w:szCs w:val="21"/>
          <w:lang w:val="en-US" w:eastAsia="zh-CN"/>
        </w:rPr>
        <w:t>条款要求</w:t>
      </w:r>
      <w:r>
        <w:rPr>
          <w:rFonts w:hint="eastAsia" w:ascii="宋体" w:hAnsi="宋体" w:eastAsia="宋体" w:cs="宋体"/>
          <w:szCs w:val="21"/>
          <w:lang w:val="en-GB"/>
        </w:rPr>
        <w:t>”栏内</w:t>
      </w:r>
      <w:r>
        <w:rPr>
          <w:rFonts w:hint="eastAsia" w:ascii="宋体" w:hAnsi="宋体" w:eastAsia="宋体" w:cs="宋体"/>
          <w:szCs w:val="21"/>
          <w:lang w:val="en-US" w:eastAsia="zh-CN"/>
        </w:rPr>
        <w:t>填写“无偏离”</w:t>
      </w:r>
      <w:r>
        <w:rPr>
          <w:rFonts w:hint="eastAsia" w:ascii="宋体" w:hAnsi="宋体" w:eastAsia="宋体" w:cs="宋体"/>
          <w:szCs w:val="21"/>
          <w:lang w:val="en-GB"/>
        </w:rPr>
        <w:t>。</w:t>
      </w:r>
    </w:p>
    <w:p w14:paraId="1897A010">
      <w:pPr>
        <w:widowControl w:val="0"/>
        <w:kinsoku/>
        <w:overflowPunct/>
        <w:bidi w:val="0"/>
        <w:spacing w:line="360" w:lineRule="auto"/>
        <w:ind w:left="178" w:leftChars="85" w:firstLine="362"/>
        <w:jc w:val="both"/>
        <w:rPr>
          <w:rFonts w:hint="eastAsia" w:ascii="宋体" w:hAnsi="宋体" w:eastAsia="宋体" w:cs="宋体"/>
          <w:szCs w:val="21"/>
          <w:lang w:val="en-GB"/>
        </w:rPr>
      </w:pPr>
      <w:r>
        <w:rPr>
          <w:rFonts w:hint="eastAsia" w:ascii="宋体" w:hAnsi="宋体" w:eastAsia="宋体" w:cs="宋体"/>
          <w:szCs w:val="21"/>
          <w:lang w:val="en-US" w:eastAsia="zh-CN"/>
        </w:rPr>
        <w:t>2</w:t>
      </w:r>
      <w:r>
        <w:rPr>
          <w:rFonts w:hint="eastAsia" w:ascii="宋体" w:hAnsi="宋体" w:eastAsia="宋体" w:cs="宋体"/>
          <w:szCs w:val="21"/>
          <w:lang w:val="en-GB"/>
        </w:rPr>
        <w:t>.</w:t>
      </w:r>
      <w:r>
        <w:rPr>
          <w:rFonts w:hint="eastAsia" w:ascii="宋体" w:hAnsi="宋体" w:eastAsia="宋体" w:cs="宋体"/>
          <w:szCs w:val="21"/>
          <w:lang w:val="en-US" w:eastAsia="zh-CN"/>
        </w:rPr>
        <w:t>如此表空白则视为供应商完全响应文件要求，无偏离</w:t>
      </w:r>
      <w:r>
        <w:rPr>
          <w:rFonts w:hint="eastAsia" w:ascii="宋体" w:hAnsi="宋体" w:eastAsia="宋体" w:cs="宋体"/>
          <w:szCs w:val="21"/>
          <w:lang w:val="en-GB"/>
        </w:rPr>
        <w:t>。</w:t>
      </w:r>
    </w:p>
    <w:p w14:paraId="5BA4A303">
      <w:pPr>
        <w:widowControl w:val="0"/>
        <w:kinsoku/>
        <w:overflowPunct/>
        <w:bidi w:val="0"/>
        <w:adjustRightInd w:val="0"/>
        <w:snapToGrid w:val="0"/>
        <w:spacing w:line="360" w:lineRule="auto"/>
        <w:jc w:val="both"/>
        <w:rPr>
          <w:rFonts w:hint="eastAsia" w:ascii="宋体" w:hAnsi="宋体" w:eastAsia="宋体" w:cs="宋体"/>
          <w:szCs w:val="21"/>
        </w:rPr>
      </w:pPr>
    </w:p>
    <w:p w14:paraId="1365E2DB">
      <w:pPr>
        <w:widowControl w:val="0"/>
        <w:kinsoku/>
        <w:overflowPunct/>
        <w:bidi w:val="0"/>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lang w:eastAsia="zh-CN"/>
        </w:rPr>
        <w:t>供应商</w:t>
      </w:r>
      <w:r>
        <w:rPr>
          <w:rFonts w:hint="eastAsia" w:ascii="宋体" w:hAnsi="宋体" w:eastAsia="宋体" w:cs="宋体"/>
          <w:szCs w:val="21"/>
        </w:rPr>
        <w:t>法定代表人（或法定代表人授权代表）签字（或签章）：</w:t>
      </w:r>
      <w:r>
        <w:rPr>
          <w:rFonts w:hint="eastAsia" w:ascii="宋体" w:hAnsi="宋体" w:eastAsia="宋体" w:cs="宋体"/>
          <w:szCs w:val="21"/>
          <w:u w:val="single"/>
        </w:rPr>
        <w:t xml:space="preserve">                   </w:t>
      </w:r>
    </w:p>
    <w:p w14:paraId="7612624E">
      <w:pPr>
        <w:widowControl w:val="0"/>
        <w:kinsoku/>
        <w:overflowPunct/>
        <w:bidi w:val="0"/>
        <w:adjustRightInd w:val="0"/>
        <w:snapToGrid w:val="0"/>
        <w:spacing w:line="360" w:lineRule="auto"/>
        <w:jc w:val="both"/>
        <w:rPr>
          <w:rFonts w:hint="eastAsia" w:ascii="宋体" w:hAnsi="宋体" w:eastAsia="宋体" w:cs="宋体"/>
          <w:szCs w:val="21"/>
          <w:u w:val="single"/>
        </w:rPr>
      </w:pPr>
      <w:r>
        <w:rPr>
          <w:rFonts w:hint="eastAsia" w:ascii="宋体" w:hAnsi="宋体" w:eastAsia="宋体" w:cs="宋体"/>
          <w:szCs w:val="21"/>
          <w:lang w:eastAsia="zh-CN"/>
        </w:rPr>
        <w:t>供应商</w:t>
      </w:r>
      <w:r>
        <w:rPr>
          <w:rFonts w:hint="eastAsia" w:ascii="宋体" w:hAnsi="宋体" w:eastAsia="宋体" w:cs="宋体"/>
          <w:szCs w:val="21"/>
        </w:rPr>
        <w:t>名称（加盖公章）：</w:t>
      </w:r>
      <w:r>
        <w:rPr>
          <w:rFonts w:hint="eastAsia" w:ascii="宋体" w:hAnsi="宋体" w:eastAsia="宋体" w:cs="宋体"/>
          <w:szCs w:val="21"/>
          <w:u w:val="single"/>
        </w:rPr>
        <w:t xml:space="preserve">                        </w:t>
      </w:r>
    </w:p>
    <w:p w14:paraId="0D210CD2">
      <w:pPr>
        <w:widowControl w:val="0"/>
        <w:kinsoku/>
        <w:overflowPunct/>
        <w:bidi w:val="0"/>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 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14:paraId="676E0EE6">
      <w:pPr>
        <w:widowControl w:val="0"/>
        <w:kinsoku/>
        <w:overflowPunct/>
        <w:bidi w:val="0"/>
        <w:adjustRightInd w:val="0"/>
        <w:snapToGrid w:val="0"/>
        <w:spacing w:line="360" w:lineRule="auto"/>
        <w:jc w:val="both"/>
        <w:rPr>
          <w:rFonts w:hint="eastAsia" w:ascii="宋体" w:hAnsi="宋体" w:eastAsia="宋体" w:cs="宋体"/>
          <w:szCs w:val="21"/>
        </w:rPr>
      </w:pPr>
    </w:p>
    <w:p w14:paraId="328062B1">
      <w:pPr>
        <w:widowControl w:val="0"/>
        <w:kinsoku/>
        <w:overflowPunct/>
        <w:bidi w:val="0"/>
        <w:spacing w:line="360" w:lineRule="auto"/>
        <w:jc w:val="both"/>
        <w:rPr>
          <w:rFonts w:hint="default" w:ascii="宋体" w:hAnsi="宋体" w:eastAsia="宋体" w:cs="宋体"/>
          <w:b/>
          <w:szCs w:val="21"/>
          <w:lang w:val="en-US" w:eastAsia="zh-CN"/>
        </w:rPr>
      </w:pPr>
      <w:r>
        <w:rPr>
          <w:rFonts w:hint="eastAsia" w:ascii="宋体" w:hAnsi="宋体" w:eastAsia="宋体" w:cs="宋体"/>
          <w:b/>
          <w:szCs w:val="21"/>
        </w:rPr>
        <w:br w:type="page"/>
      </w:r>
      <w:r>
        <w:rPr>
          <w:rFonts w:hint="eastAsia" w:ascii="宋体" w:hAnsi="宋体" w:eastAsia="宋体" w:cs="宋体"/>
          <w:b/>
          <w:szCs w:val="21"/>
          <w:lang w:val="en-US" w:eastAsia="zh-CN"/>
        </w:rPr>
        <w:t>6、其他内容</w:t>
      </w:r>
    </w:p>
    <w:p w14:paraId="5A588FFC">
      <w:pPr>
        <w:widowControl w:val="0"/>
        <w:kinsoku/>
        <w:overflowPunct/>
        <w:bidi w:val="0"/>
        <w:spacing w:line="360" w:lineRule="auto"/>
        <w:ind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供应商根据文件的要求，可提供认为需要增加的相关材料。（格式自拟）</w:t>
      </w:r>
    </w:p>
    <w:p w14:paraId="12A135C9">
      <w:pPr>
        <w:widowControl w:val="0"/>
        <w:kinsoku/>
        <w:overflowPunct/>
        <w:bidi w:val="0"/>
        <w:spacing w:line="360" w:lineRule="auto"/>
        <w:ind w:firstLine="420" w:firstLineChars="200"/>
        <w:jc w:val="both"/>
        <w:rPr>
          <w:rFonts w:hint="eastAsia" w:ascii="宋体" w:hAnsi="宋体" w:eastAsia="宋体" w:cs="宋体"/>
          <w:szCs w:val="21"/>
        </w:rPr>
      </w:pPr>
    </w:p>
    <w:p w14:paraId="57C5FAEB">
      <w:pPr>
        <w:widowControl w:val="0"/>
        <w:kinsoku/>
        <w:overflowPunct/>
        <w:bidi w:val="0"/>
        <w:spacing w:line="360" w:lineRule="auto"/>
        <w:ind w:firstLine="420" w:firstLineChars="200"/>
        <w:jc w:val="both"/>
        <w:rPr>
          <w:rFonts w:hint="eastAsia" w:ascii="宋体" w:hAnsi="宋体" w:eastAsia="宋体" w:cs="宋体"/>
          <w:szCs w:val="21"/>
        </w:rPr>
      </w:pPr>
    </w:p>
    <w:p w14:paraId="05C1D11D">
      <w:pPr>
        <w:widowControl w:val="0"/>
        <w:kinsoku/>
        <w:overflowPunct/>
        <w:bidi w:val="0"/>
        <w:spacing w:line="360" w:lineRule="auto"/>
        <w:ind w:firstLine="420" w:firstLineChars="200"/>
        <w:jc w:val="both"/>
        <w:rPr>
          <w:rFonts w:hint="eastAsia" w:ascii="宋体" w:hAnsi="宋体" w:eastAsia="宋体" w:cs="宋体"/>
          <w:szCs w:val="21"/>
        </w:rPr>
      </w:pPr>
    </w:p>
    <w:p w14:paraId="758F5A86">
      <w:pPr>
        <w:widowControl w:val="0"/>
        <w:kinsoku/>
        <w:overflowPunct/>
        <w:bidi w:val="0"/>
        <w:spacing w:line="360" w:lineRule="auto"/>
        <w:ind w:firstLine="420" w:firstLineChars="200"/>
        <w:jc w:val="both"/>
        <w:rPr>
          <w:rFonts w:hint="eastAsia" w:ascii="宋体" w:hAnsi="宋体" w:eastAsia="宋体" w:cs="宋体"/>
          <w:szCs w:val="21"/>
        </w:rPr>
      </w:pPr>
    </w:p>
    <w:p w14:paraId="3D047A7F">
      <w:pPr>
        <w:widowControl w:val="0"/>
        <w:kinsoku/>
        <w:overflowPunct/>
        <w:bidi w:val="0"/>
        <w:spacing w:line="360" w:lineRule="auto"/>
        <w:jc w:val="both"/>
        <w:rPr>
          <w:rFonts w:hint="eastAsia" w:ascii="宋体" w:hAnsi="宋体" w:eastAsia="宋体" w:cs="宋体"/>
          <w:szCs w:val="21"/>
        </w:rPr>
      </w:pPr>
    </w:p>
    <w:p w14:paraId="64C289E3">
      <w:pPr>
        <w:keepNext/>
        <w:keepLines/>
        <w:widowControl w:val="0"/>
        <w:kinsoku/>
        <w:overflowPunct/>
        <w:bidi w:val="0"/>
        <w:spacing w:line="360" w:lineRule="auto"/>
        <w:jc w:val="center"/>
        <w:outlineLvl w:val="1"/>
        <w:rPr>
          <w:rFonts w:hint="eastAsia" w:ascii="宋体" w:hAnsi="宋体" w:eastAsia="宋体" w:cs="宋体"/>
          <w:b/>
          <w:bCs/>
          <w:szCs w:val="21"/>
          <w:highlight w:val="none"/>
        </w:rPr>
      </w:pPr>
      <w:bookmarkStart w:id="85" w:name="_Toc202819880"/>
      <w:bookmarkStart w:id="86" w:name="_Toc202820353"/>
      <w:bookmarkStart w:id="87" w:name="_Toc202252036"/>
      <w:bookmarkStart w:id="88" w:name="_Toc202254107"/>
      <w:bookmarkStart w:id="89" w:name="_Toc202251077"/>
      <w:bookmarkStart w:id="90" w:name="_Toc202251702"/>
      <w:bookmarkStart w:id="91" w:name="_Toc202816998"/>
      <w:r>
        <w:rPr>
          <w:rFonts w:hint="eastAsia" w:ascii="宋体" w:hAnsi="宋体" w:eastAsia="宋体" w:cs="宋体"/>
          <w:b/>
          <w:bCs/>
          <w:szCs w:val="21"/>
        </w:rPr>
        <w:br w:type="page"/>
      </w:r>
      <w:bookmarkStart w:id="92" w:name="_Toc86854504"/>
      <w:bookmarkStart w:id="93" w:name="_Toc16512"/>
      <w:bookmarkStart w:id="94" w:name="_Toc6939"/>
      <w:bookmarkStart w:id="95" w:name="_Toc3785"/>
      <w:bookmarkStart w:id="96" w:name="_Toc6003"/>
      <w:bookmarkStart w:id="97" w:name="_Toc27611"/>
      <w:bookmarkStart w:id="98" w:name="_Toc30881"/>
      <w:bookmarkStart w:id="99" w:name="_Toc171969528"/>
      <w:bookmarkStart w:id="100" w:name="_Toc21649"/>
      <w:r>
        <w:rPr>
          <w:rFonts w:hint="eastAsia" w:ascii="宋体" w:hAnsi="宋体" w:eastAsia="宋体" w:cs="宋体"/>
          <w:b/>
          <w:bCs/>
          <w:szCs w:val="21"/>
          <w:highlight w:val="none"/>
          <w:lang w:val="en-US" w:eastAsia="zh-CN"/>
        </w:rPr>
        <w:t>三</w:t>
      </w:r>
      <w:r>
        <w:rPr>
          <w:rFonts w:hint="eastAsia" w:ascii="宋体" w:hAnsi="宋体" w:eastAsia="宋体" w:cs="宋体"/>
          <w:b/>
          <w:bCs/>
          <w:szCs w:val="21"/>
          <w:highlight w:val="none"/>
        </w:rPr>
        <w:t>、技术</w:t>
      </w:r>
      <w:bookmarkEnd w:id="85"/>
      <w:bookmarkEnd w:id="86"/>
      <w:bookmarkEnd w:id="87"/>
      <w:bookmarkEnd w:id="88"/>
      <w:bookmarkEnd w:id="89"/>
      <w:bookmarkEnd w:id="90"/>
      <w:bookmarkEnd w:id="91"/>
      <w:r>
        <w:rPr>
          <w:rFonts w:hint="eastAsia" w:ascii="宋体" w:hAnsi="宋体" w:eastAsia="宋体" w:cs="宋体"/>
          <w:b/>
          <w:bCs/>
          <w:szCs w:val="21"/>
          <w:highlight w:val="none"/>
        </w:rPr>
        <w:t>部分</w:t>
      </w:r>
      <w:bookmarkEnd w:id="92"/>
      <w:bookmarkEnd w:id="93"/>
      <w:bookmarkEnd w:id="94"/>
      <w:bookmarkEnd w:id="95"/>
      <w:bookmarkEnd w:id="96"/>
      <w:bookmarkEnd w:id="97"/>
      <w:bookmarkEnd w:id="98"/>
      <w:bookmarkEnd w:id="99"/>
      <w:bookmarkEnd w:id="100"/>
    </w:p>
    <w:p w14:paraId="65335120">
      <w:pPr>
        <w:widowControl w:val="0"/>
        <w:kinsoku/>
        <w:overflowPunct/>
        <w:bidi w:val="0"/>
        <w:spacing w:line="360" w:lineRule="auto"/>
        <w:jc w:val="both"/>
        <w:rPr>
          <w:rFonts w:hint="eastAsia" w:ascii="宋体" w:hAnsi="宋体" w:eastAsia="宋体" w:cs="宋体"/>
          <w:b/>
          <w:szCs w:val="21"/>
          <w:highlight w:val="none"/>
          <w:lang w:eastAsia="zh-CN"/>
        </w:rPr>
      </w:pPr>
      <w:r>
        <w:rPr>
          <w:rFonts w:hint="eastAsia" w:ascii="宋体" w:hAnsi="宋体" w:eastAsia="宋体" w:cs="宋体"/>
          <w:b/>
          <w:szCs w:val="21"/>
          <w:highlight w:val="none"/>
          <w:lang w:val="en-US" w:eastAsia="zh-CN"/>
        </w:rPr>
        <w:t>1、响应</w:t>
      </w:r>
      <w:r>
        <w:rPr>
          <w:rFonts w:hint="eastAsia" w:ascii="宋体" w:hAnsi="宋体" w:eastAsia="宋体" w:cs="宋体"/>
          <w:b/>
          <w:szCs w:val="21"/>
          <w:highlight w:val="none"/>
        </w:rPr>
        <w:t>方案</w:t>
      </w:r>
      <w:r>
        <w:rPr>
          <w:rFonts w:hint="eastAsia" w:ascii="宋体" w:hAnsi="宋体" w:eastAsia="宋体" w:cs="宋体"/>
          <w:b/>
          <w:szCs w:val="21"/>
          <w:highlight w:val="none"/>
          <w:lang w:eastAsia="zh-CN"/>
        </w:rPr>
        <w:t>（</w:t>
      </w:r>
      <w:r>
        <w:rPr>
          <w:rFonts w:hint="eastAsia" w:ascii="宋体" w:hAnsi="宋体" w:eastAsia="宋体" w:cs="宋体"/>
          <w:b/>
          <w:szCs w:val="21"/>
          <w:highlight w:val="none"/>
          <w:lang w:val="en-US" w:eastAsia="zh-CN"/>
        </w:rPr>
        <w:t>格式自拟</w:t>
      </w:r>
      <w:r>
        <w:rPr>
          <w:rFonts w:hint="eastAsia" w:ascii="宋体" w:hAnsi="宋体" w:eastAsia="宋体" w:cs="宋体"/>
          <w:b/>
          <w:szCs w:val="21"/>
          <w:highlight w:val="none"/>
          <w:lang w:eastAsia="zh-CN"/>
        </w:rPr>
        <w:t>）</w:t>
      </w:r>
    </w:p>
    <w:p w14:paraId="2BBA4921">
      <w:pPr>
        <w:widowControl w:val="0"/>
        <w:tabs>
          <w:tab w:val="left" w:pos="1322"/>
        </w:tabs>
        <w:kinsoku/>
        <w:overflowPunct/>
        <w:bidi w:val="0"/>
        <w:spacing w:line="360" w:lineRule="auto"/>
        <w:ind w:firstLine="420"/>
        <w:jc w:val="both"/>
        <w:rPr>
          <w:rFonts w:hint="eastAsia" w:ascii="宋体" w:hAnsi="宋体" w:eastAsia="宋体" w:cs="宋体"/>
          <w:szCs w:val="21"/>
          <w:highlight w:val="none"/>
          <w:lang w:val="en-GB"/>
        </w:rPr>
      </w:pPr>
      <w:r>
        <w:rPr>
          <w:rFonts w:hint="eastAsia" w:ascii="宋体" w:hAnsi="宋体" w:eastAsia="宋体" w:cs="宋体"/>
          <w:szCs w:val="21"/>
          <w:highlight w:val="none"/>
          <w:lang w:val="en-GB"/>
        </w:rPr>
        <w:t>技术方案设计必须科学合理、真实可行，能充分体现出自身技术和专业优势。其</w:t>
      </w:r>
      <w:r>
        <w:rPr>
          <w:rFonts w:hint="eastAsia" w:ascii="宋体" w:hAnsi="宋体" w:eastAsia="宋体" w:cs="宋体"/>
          <w:szCs w:val="21"/>
          <w:highlight w:val="none"/>
        </w:rPr>
        <w:t>要点和</w:t>
      </w:r>
      <w:r>
        <w:rPr>
          <w:rFonts w:hint="eastAsia" w:ascii="宋体" w:hAnsi="宋体" w:eastAsia="宋体" w:cs="宋体"/>
          <w:szCs w:val="21"/>
          <w:highlight w:val="none"/>
          <w:lang w:val="en-GB"/>
        </w:rPr>
        <w:t>主要内容包括但不限于以下：</w:t>
      </w:r>
    </w:p>
    <w:p w14:paraId="33CAC7E3">
      <w:pPr>
        <w:widowControl w:val="0"/>
        <w:tabs>
          <w:tab w:val="left" w:pos="1322"/>
        </w:tabs>
        <w:kinsoku/>
        <w:overflowPunct/>
        <w:bidi w:val="0"/>
        <w:spacing w:line="360" w:lineRule="auto"/>
        <w:ind w:firstLine="420"/>
        <w:jc w:val="both"/>
        <w:rPr>
          <w:rFonts w:hint="eastAsia" w:ascii="宋体" w:hAnsi="宋体" w:eastAsia="宋体" w:cs="宋体"/>
          <w:bCs/>
          <w:szCs w:val="21"/>
          <w:highlight w:val="none"/>
          <w:lang w:val="en-GB"/>
        </w:rPr>
      </w:pPr>
      <w:r>
        <w:rPr>
          <w:rFonts w:hint="eastAsia" w:ascii="宋体" w:hAnsi="宋体" w:eastAsia="宋体" w:cs="宋体"/>
          <w:bCs/>
          <w:szCs w:val="21"/>
          <w:highlight w:val="none"/>
          <w:lang w:val="en-US" w:eastAsia="zh-CN"/>
        </w:rPr>
        <w:t>1、按</w:t>
      </w:r>
      <w:r>
        <w:rPr>
          <w:rFonts w:hint="eastAsia" w:ascii="宋体" w:hAnsi="宋体" w:eastAsia="宋体" w:cs="宋体"/>
          <w:bCs/>
          <w:szCs w:val="21"/>
          <w:highlight w:val="none"/>
          <w:lang w:val="en-GB"/>
        </w:rPr>
        <w:t>照技术评审标准，自行补充内容</w:t>
      </w:r>
      <w:r>
        <w:rPr>
          <w:rFonts w:hint="eastAsia" w:ascii="宋体" w:hAnsi="宋体" w:eastAsia="宋体" w:cs="宋体"/>
          <w:bCs/>
          <w:szCs w:val="21"/>
          <w:highlight w:val="none"/>
          <w:lang w:val="en-GB" w:eastAsia="zh-CN"/>
        </w:rPr>
        <w:t>（</w:t>
      </w:r>
      <w:r>
        <w:rPr>
          <w:rFonts w:hint="eastAsia" w:ascii="宋体" w:hAnsi="宋体" w:eastAsia="宋体" w:cs="宋体"/>
          <w:bCs/>
          <w:szCs w:val="21"/>
          <w:highlight w:val="none"/>
          <w:lang w:val="en-US" w:eastAsia="zh-CN"/>
        </w:rPr>
        <w:t>详见评标办法</w:t>
      </w:r>
      <w:r>
        <w:rPr>
          <w:rFonts w:hint="eastAsia" w:ascii="宋体" w:hAnsi="宋体" w:eastAsia="宋体" w:cs="宋体"/>
          <w:bCs/>
          <w:szCs w:val="21"/>
          <w:highlight w:val="none"/>
          <w:lang w:val="en-GB" w:eastAsia="zh-CN"/>
        </w:rPr>
        <w:t>）</w:t>
      </w:r>
    </w:p>
    <w:p w14:paraId="6B8E206E">
      <w:pPr>
        <w:widowControl w:val="0"/>
        <w:tabs>
          <w:tab w:val="left" w:pos="1322"/>
        </w:tabs>
        <w:kinsoku/>
        <w:overflowPunct/>
        <w:bidi w:val="0"/>
        <w:spacing w:line="360" w:lineRule="auto"/>
        <w:ind w:firstLine="420"/>
        <w:jc w:val="both"/>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val="en-GB"/>
        </w:rPr>
        <w:t>.</w:t>
      </w:r>
      <w:r>
        <w:rPr>
          <w:rFonts w:hint="eastAsia" w:ascii="宋体" w:hAnsi="宋体" w:eastAsia="宋体" w:cs="宋体"/>
          <w:szCs w:val="21"/>
          <w:highlight w:val="none"/>
          <w:lang w:val="en-US" w:eastAsia="zh-CN"/>
        </w:rPr>
        <w:t>采购需求及技术方案</w:t>
      </w:r>
    </w:p>
    <w:p w14:paraId="7C253E41">
      <w:pPr>
        <w:widowControl w:val="0"/>
        <w:tabs>
          <w:tab w:val="left" w:pos="1322"/>
        </w:tabs>
        <w:kinsoku/>
        <w:overflowPunct/>
        <w:bidi w:val="0"/>
        <w:spacing w:line="360" w:lineRule="auto"/>
        <w:ind w:firstLine="420"/>
        <w:jc w:val="both"/>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val="en-GB"/>
        </w:rPr>
        <w:t>.</w:t>
      </w:r>
      <w:r>
        <w:rPr>
          <w:rFonts w:hint="eastAsia" w:ascii="宋体" w:hAnsi="宋体" w:eastAsia="宋体" w:cs="宋体"/>
          <w:szCs w:val="21"/>
          <w:highlight w:val="none"/>
          <w:lang w:val="en-US" w:eastAsia="zh-CN"/>
        </w:rPr>
        <w:t>服务特点、服务标准等相关内容</w:t>
      </w:r>
    </w:p>
    <w:p w14:paraId="00CE8623">
      <w:pPr>
        <w:widowControl w:val="0"/>
        <w:tabs>
          <w:tab w:val="left" w:pos="1322"/>
        </w:tabs>
        <w:kinsoku/>
        <w:overflowPunct/>
        <w:bidi w:val="0"/>
        <w:spacing w:line="360" w:lineRule="auto"/>
        <w:ind w:firstLine="420"/>
        <w:jc w:val="both"/>
        <w:rPr>
          <w:rFonts w:hint="eastAsia" w:ascii="宋体" w:hAnsi="宋体" w:eastAsia="宋体" w:cs="宋体"/>
          <w:szCs w:val="21"/>
          <w:highlight w:val="none"/>
          <w:lang w:val="en-GB"/>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lang w:val="en-GB"/>
        </w:rPr>
        <w:t>.主要备品备件、易损件、专用工具等配置情况</w:t>
      </w:r>
    </w:p>
    <w:p w14:paraId="504E2C79">
      <w:pPr>
        <w:widowControl w:val="0"/>
        <w:kinsoku/>
        <w:overflowPunct/>
        <w:bidi w:val="0"/>
        <w:adjustRightInd w:val="0"/>
        <w:snapToGrid w:val="0"/>
        <w:spacing w:line="360" w:lineRule="auto"/>
        <w:jc w:val="both"/>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具体内容供应商根据评标办法及采购内容自行编写。格式自拟。</w:t>
      </w:r>
    </w:p>
    <w:p w14:paraId="1B20DB32">
      <w:pPr>
        <w:widowControl w:val="0"/>
        <w:kinsoku/>
        <w:overflowPunct/>
        <w:bidi w:val="0"/>
        <w:adjustRightInd w:val="0"/>
        <w:snapToGrid w:val="0"/>
        <w:spacing w:line="360" w:lineRule="auto"/>
        <w:jc w:val="both"/>
        <w:rPr>
          <w:rFonts w:hint="eastAsia" w:ascii="宋体" w:hAnsi="宋体" w:eastAsia="宋体" w:cs="宋体"/>
          <w:szCs w:val="21"/>
          <w:highlight w:val="yellow"/>
        </w:rPr>
      </w:pPr>
    </w:p>
    <w:p w14:paraId="10541DB0">
      <w:pPr>
        <w:widowControl w:val="0"/>
        <w:kinsoku/>
        <w:overflowPunct/>
        <w:bidi w:val="0"/>
        <w:adjustRightInd w:val="0"/>
        <w:snapToGrid w:val="0"/>
        <w:spacing w:line="360" w:lineRule="auto"/>
        <w:jc w:val="both"/>
        <w:rPr>
          <w:rFonts w:hint="eastAsia" w:ascii="宋体" w:hAnsi="宋体" w:eastAsia="宋体" w:cs="宋体"/>
          <w:szCs w:val="21"/>
          <w:highlight w:val="yellow"/>
        </w:rPr>
      </w:pPr>
    </w:p>
    <w:p w14:paraId="6F511A79">
      <w:pPr>
        <w:widowControl w:val="0"/>
        <w:tabs>
          <w:tab w:val="left" w:pos="1322"/>
        </w:tabs>
        <w:kinsoku/>
        <w:overflowPunct/>
        <w:bidi w:val="0"/>
        <w:spacing w:line="360" w:lineRule="auto"/>
        <w:ind w:left="420"/>
        <w:jc w:val="both"/>
        <w:rPr>
          <w:rFonts w:hint="eastAsia" w:ascii="宋体" w:hAnsi="宋体" w:eastAsia="宋体" w:cs="宋体"/>
          <w:szCs w:val="21"/>
        </w:rPr>
      </w:pPr>
      <w:r>
        <w:rPr>
          <w:rFonts w:hint="eastAsia" w:ascii="宋体" w:hAnsi="宋体" w:eastAsia="宋体" w:cs="宋体"/>
          <w:b/>
          <w:szCs w:val="21"/>
          <w:lang w:val="en-GB"/>
        </w:rPr>
        <w:br w:type="page"/>
      </w:r>
      <w:bookmarkStart w:id="101" w:name="_Toc202820354"/>
      <w:bookmarkStart w:id="102" w:name="_Toc202819881"/>
      <w:bookmarkStart w:id="103" w:name="_Toc202816999"/>
    </w:p>
    <w:bookmarkEnd w:id="101"/>
    <w:bookmarkEnd w:id="102"/>
    <w:bookmarkEnd w:id="103"/>
    <w:p w14:paraId="3D4CD1C1">
      <w:pPr>
        <w:keepNext/>
        <w:keepLines/>
        <w:widowControl w:val="0"/>
        <w:kinsoku/>
        <w:overflowPunct/>
        <w:bidi w:val="0"/>
        <w:spacing w:line="360" w:lineRule="auto"/>
        <w:jc w:val="center"/>
        <w:outlineLvl w:val="1"/>
        <w:rPr>
          <w:rFonts w:hint="eastAsia" w:ascii="宋体" w:hAnsi="宋体" w:eastAsia="宋体" w:cs="宋体"/>
          <w:b/>
          <w:bCs/>
          <w:sz w:val="32"/>
          <w:szCs w:val="32"/>
        </w:rPr>
      </w:pPr>
      <w:bookmarkStart w:id="104" w:name="_Toc202817000"/>
      <w:bookmarkStart w:id="105" w:name="_Toc202252037"/>
      <w:bookmarkStart w:id="106" w:name="_Toc202820355"/>
      <w:bookmarkStart w:id="107" w:name="_Toc202819882"/>
      <w:bookmarkStart w:id="108" w:name="_Toc202251703"/>
      <w:bookmarkStart w:id="109" w:name="_Toc202254108"/>
      <w:bookmarkStart w:id="110" w:name="_Toc202251078"/>
      <w:bookmarkStart w:id="111" w:name="_Toc20251"/>
      <w:bookmarkStart w:id="112" w:name="_Toc86854505"/>
      <w:bookmarkStart w:id="113" w:name="_Toc171969529"/>
      <w:bookmarkStart w:id="114" w:name="_Toc3463"/>
      <w:bookmarkStart w:id="115" w:name="_Toc646"/>
      <w:bookmarkStart w:id="116" w:name="_Toc6440"/>
      <w:bookmarkStart w:id="117" w:name="_Toc470"/>
      <w:bookmarkStart w:id="118" w:name="_Toc22579"/>
      <w:bookmarkStart w:id="119" w:name="_Toc11265"/>
      <w:r>
        <w:rPr>
          <w:rFonts w:hint="eastAsia" w:ascii="宋体" w:hAnsi="宋体" w:eastAsia="宋体" w:cs="宋体"/>
          <w:b/>
          <w:bCs/>
          <w:sz w:val="32"/>
          <w:szCs w:val="32"/>
          <w:lang w:val="en-US" w:eastAsia="zh-CN"/>
        </w:rPr>
        <w:t>四</w:t>
      </w:r>
      <w:r>
        <w:rPr>
          <w:rFonts w:hint="eastAsia" w:ascii="宋体" w:hAnsi="宋体" w:eastAsia="宋体" w:cs="宋体"/>
          <w:b/>
          <w:bCs/>
          <w:sz w:val="32"/>
          <w:szCs w:val="32"/>
        </w:rPr>
        <w:t>、价格</w:t>
      </w:r>
      <w:bookmarkEnd w:id="104"/>
      <w:bookmarkEnd w:id="105"/>
      <w:bookmarkEnd w:id="106"/>
      <w:bookmarkEnd w:id="107"/>
      <w:bookmarkEnd w:id="108"/>
      <w:bookmarkEnd w:id="109"/>
      <w:bookmarkEnd w:id="110"/>
      <w:r>
        <w:rPr>
          <w:rFonts w:hint="eastAsia" w:ascii="宋体" w:hAnsi="宋体" w:eastAsia="宋体" w:cs="宋体"/>
          <w:b/>
          <w:bCs/>
          <w:sz w:val="32"/>
          <w:szCs w:val="32"/>
        </w:rPr>
        <w:t>部分</w:t>
      </w:r>
      <w:bookmarkEnd w:id="111"/>
      <w:bookmarkEnd w:id="112"/>
      <w:bookmarkEnd w:id="113"/>
      <w:bookmarkEnd w:id="114"/>
      <w:bookmarkEnd w:id="115"/>
      <w:bookmarkEnd w:id="116"/>
      <w:bookmarkEnd w:id="117"/>
      <w:bookmarkEnd w:id="118"/>
      <w:bookmarkEnd w:id="119"/>
    </w:p>
    <w:p w14:paraId="7C9969F6">
      <w:pPr>
        <w:widowControl w:val="0"/>
        <w:kinsoku/>
        <w:overflowPunct/>
        <w:bidi w:val="0"/>
        <w:spacing w:line="360" w:lineRule="auto"/>
        <w:jc w:val="both"/>
        <w:rPr>
          <w:rFonts w:hint="eastAsia" w:ascii="宋体" w:hAnsi="宋体" w:eastAsia="宋体" w:cs="宋体"/>
          <w:b/>
          <w:sz w:val="24"/>
          <w:szCs w:val="24"/>
        </w:rPr>
      </w:pPr>
      <w:r>
        <w:rPr>
          <w:rFonts w:hint="eastAsia" w:ascii="宋体" w:hAnsi="宋体" w:eastAsia="宋体" w:cs="宋体"/>
          <w:b/>
          <w:sz w:val="24"/>
          <w:szCs w:val="24"/>
          <w:lang w:val="en-US" w:eastAsia="zh-CN"/>
        </w:rPr>
        <w:t>1、</w:t>
      </w:r>
      <w:r>
        <w:rPr>
          <w:rFonts w:hint="eastAsia" w:ascii="宋体" w:hAnsi="宋体" w:eastAsia="宋体" w:cs="宋体"/>
          <w:b/>
          <w:sz w:val="24"/>
          <w:szCs w:val="24"/>
        </w:rPr>
        <w:t>开标一览表</w:t>
      </w:r>
    </w:p>
    <w:p w14:paraId="6C5538DC">
      <w:pPr>
        <w:widowControl/>
        <w:kinsoku/>
        <w:overflowPunct/>
        <w:bidi w:val="0"/>
        <w:spacing w:line="360" w:lineRule="auto"/>
        <w:jc w:val="both"/>
        <w:rPr>
          <w:rFonts w:hint="eastAsia" w:ascii="宋体" w:hAnsi="宋体" w:eastAsia="宋体" w:cs="宋体"/>
          <w:b/>
          <w:szCs w:val="21"/>
        </w:rPr>
      </w:pPr>
      <w:r>
        <w:rPr>
          <w:rFonts w:hint="eastAsia" w:ascii="宋体" w:hAnsi="宋体" w:eastAsia="宋体" w:cs="宋体"/>
          <w:b/>
          <w:szCs w:val="21"/>
        </w:rPr>
        <w:t>项目名称：</w:t>
      </w:r>
    </w:p>
    <w:p w14:paraId="6CBE2A0C">
      <w:pPr>
        <w:widowControl/>
        <w:kinsoku/>
        <w:overflowPunct/>
        <w:bidi w:val="0"/>
        <w:spacing w:line="360" w:lineRule="auto"/>
        <w:jc w:val="both"/>
        <w:rPr>
          <w:rFonts w:hint="eastAsia" w:ascii="宋体" w:hAnsi="宋体" w:eastAsia="宋体" w:cs="宋体"/>
          <w:b/>
          <w:szCs w:val="21"/>
        </w:rPr>
      </w:pPr>
      <w:r>
        <w:rPr>
          <w:rFonts w:hint="eastAsia" w:ascii="宋体" w:hAnsi="宋体" w:eastAsia="宋体" w:cs="宋体"/>
          <w:b/>
          <w:szCs w:val="21"/>
        </w:rPr>
        <w:t>项目编号：</w:t>
      </w:r>
    </w:p>
    <w:p w14:paraId="3A2F0D86">
      <w:pPr>
        <w:widowControl/>
        <w:kinsoku/>
        <w:overflowPunct/>
        <w:bidi w:val="0"/>
        <w:spacing w:line="360" w:lineRule="auto"/>
        <w:jc w:val="both"/>
        <w:rPr>
          <w:rFonts w:hint="default" w:ascii="宋体" w:hAnsi="宋体" w:eastAsia="宋体" w:cs="宋体"/>
          <w:b/>
          <w:szCs w:val="21"/>
          <w:lang w:val="en-US" w:eastAsia="zh-CN"/>
        </w:rPr>
      </w:pPr>
      <w:r>
        <w:rPr>
          <w:rFonts w:hint="eastAsia" w:ascii="宋体" w:hAnsi="宋体" w:eastAsia="宋体" w:cs="宋体"/>
          <w:b/>
          <w:szCs w:val="21"/>
          <w:lang w:val="en-US" w:eastAsia="zh-CN"/>
        </w:rPr>
        <w:t>供应商名称：</w:t>
      </w:r>
    </w:p>
    <w:tbl>
      <w:tblPr>
        <w:tblStyle w:val="38"/>
        <w:tblW w:w="48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3263"/>
        <w:gridCol w:w="3006"/>
        <w:gridCol w:w="1927"/>
      </w:tblGrid>
      <w:tr w14:paraId="29DC9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94" w:type="pct"/>
            <w:noWrap w:val="0"/>
            <w:vAlign w:val="center"/>
          </w:tcPr>
          <w:p w14:paraId="0E954B7D">
            <w:pPr>
              <w:widowControl w:val="0"/>
              <w:kinsoku/>
              <w:overflowPunct/>
              <w:bidi w:val="0"/>
              <w:spacing w:line="360" w:lineRule="auto"/>
              <w:jc w:val="center"/>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序号</w:t>
            </w:r>
          </w:p>
        </w:tc>
        <w:tc>
          <w:tcPr>
            <w:tcW w:w="1714" w:type="pct"/>
            <w:noWrap w:val="0"/>
            <w:vAlign w:val="center"/>
          </w:tcPr>
          <w:p w14:paraId="1E79F8ED">
            <w:pPr>
              <w:widowControl w:val="0"/>
              <w:kinsoku/>
              <w:overflowPunct/>
              <w:bidi w:val="0"/>
              <w:spacing w:line="360" w:lineRule="auto"/>
              <w:jc w:val="center"/>
              <w:rPr>
                <w:rFonts w:hint="default"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采购内容</w:t>
            </w:r>
          </w:p>
        </w:tc>
        <w:tc>
          <w:tcPr>
            <w:tcW w:w="1579" w:type="pct"/>
            <w:noWrap w:val="0"/>
            <w:vAlign w:val="center"/>
          </w:tcPr>
          <w:p w14:paraId="454B8F02">
            <w:pPr>
              <w:widowControl w:val="0"/>
              <w:kinsoku/>
              <w:overflowPunct/>
              <w:bidi w:val="0"/>
              <w:spacing w:line="360" w:lineRule="auto"/>
              <w:jc w:val="center"/>
              <w:rPr>
                <w:rFonts w:hint="default"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响应总报价（元）</w:t>
            </w:r>
          </w:p>
        </w:tc>
        <w:tc>
          <w:tcPr>
            <w:tcW w:w="1012" w:type="pct"/>
            <w:noWrap w:val="0"/>
            <w:vAlign w:val="center"/>
          </w:tcPr>
          <w:p w14:paraId="4D730DC6">
            <w:pPr>
              <w:widowControl w:val="0"/>
              <w:kinsoku/>
              <w:overflowPunct/>
              <w:bidi w:val="0"/>
              <w:spacing w:line="360" w:lineRule="auto"/>
              <w:jc w:val="center"/>
              <w:rPr>
                <w:rFonts w:hint="default"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备注</w:t>
            </w:r>
          </w:p>
        </w:tc>
      </w:tr>
      <w:tr w14:paraId="67FCE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694" w:type="pct"/>
            <w:noWrap w:val="0"/>
            <w:vAlign w:val="center"/>
          </w:tcPr>
          <w:p w14:paraId="0D65FFBA">
            <w:pPr>
              <w:widowControl w:val="0"/>
              <w:kinsoku/>
              <w:overflowPunct/>
              <w:bidi w:val="0"/>
              <w:spacing w:line="360" w:lineRule="auto"/>
              <w:jc w:val="center"/>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1</w:t>
            </w:r>
          </w:p>
        </w:tc>
        <w:tc>
          <w:tcPr>
            <w:tcW w:w="1714" w:type="pct"/>
            <w:noWrap w:val="0"/>
            <w:vAlign w:val="center"/>
          </w:tcPr>
          <w:p w14:paraId="73E94740">
            <w:pPr>
              <w:widowControl w:val="0"/>
              <w:kinsoku/>
              <w:overflowPunct/>
              <w:bidi w:val="0"/>
              <w:spacing w:line="360" w:lineRule="auto"/>
              <w:jc w:val="left"/>
              <w:rPr>
                <w:rFonts w:hint="default"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油烟机清洗服务</w:t>
            </w:r>
          </w:p>
        </w:tc>
        <w:tc>
          <w:tcPr>
            <w:tcW w:w="1579" w:type="pct"/>
            <w:noWrap w:val="0"/>
            <w:vAlign w:val="center"/>
          </w:tcPr>
          <w:p w14:paraId="619670E9">
            <w:pPr>
              <w:widowControl w:val="0"/>
              <w:kinsoku/>
              <w:overflowPunct/>
              <w:bidi w:val="0"/>
              <w:spacing w:line="360" w:lineRule="auto"/>
              <w:jc w:val="left"/>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小写：</w:t>
            </w:r>
          </w:p>
          <w:p w14:paraId="11DEF16F">
            <w:pPr>
              <w:widowControl w:val="0"/>
              <w:kinsoku/>
              <w:overflowPunct/>
              <w:bidi w:val="0"/>
              <w:spacing w:line="360" w:lineRule="auto"/>
              <w:jc w:val="left"/>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大写：</w:t>
            </w:r>
          </w:p>
        </w:tc>
        <w:tc>
          <w:tcPr>
            <w:tcW w:w="1012" w:type="pct"/>
            <w:noWrap w:val="0"/>
            <w:vAlign w:val="center"/>
          </w:tcPr>
          <w:p w14:paraId="5A54D885">
            <w:pPr>
              <w:widowControl w:val="0"/>
              <w:kinsoku/>
              <w:overflowPunct/>
              <w:bidi w:val="0"/>
              <w:spacing w:line="360" w:lineRule="auto"/>
              <w:jc w:val="center"/>
              <w:rPr>
                <w:rFonts w:hint="eastAsia" w:ascii="宋体" w:hAnsi="宋体" w:eastAsia="宋体" w:cs="宋体"/>
                <w:szCs w:val="21"/>
                <w:vertAlign w:val="baseline"/>
              </w:rPr>
            </w:pPr>
          </w:p>
        </w:tc>
      </w:tr>
    </w:tbl>
    <w:p w14:paraId="1CA180A9">
      <w:pPr>
        <w:widowControl w:val="0"/>
        <w:kinsoku/>
        <w:overflowPunct/>
        <w:bidi w:val="0"/>
        <w:spacing w:line="360" w:lineRule="auto"/>
        <w:jc w:val="both"/>
        <w:rPr>
          <w:rFonts w:hint="eastAsia" w:ascii="宋体" w:hAnsi="宋体" w:eastAsia="宋体" w:cs="宋体"/>
          <w:szCs w:val="21"/>
        </w:rPr>
      </w:pPr>
    </w:p>
    <w:p w14:paraId="5041102B">
      <w:pPr>
        <w:widowControl w:val="0"/>
        <w:kinsoku/>
        <w:overflowPunct/>
        <w:bidi w:val="0"/>
        <w:spacing w:line="360" w:lineRule="auto"/>
        <w:jc w:val="both"/>
        <w:rPr>
          <w:rFonts w:hint="eastAsia" w:ascii="宋体" w:hAnsi="宋体" w:eastAsia="宋体" w:cs="宋体"/>
          <w:szCs w:val="21"/>
        </w:rPr>
      </w:pPr>
      <w:r>
        <w:rPr>
          <w:rFonts w:hint="eastAsia" w:ascii="宋体" w:hAnsi="宋体" w:eastAsia="宋体" w:cs="宋体"/>
          <w:szCs w:val="21"/>
        </w:rPr>
        <w:t>注：1.</w:t>
      </w:r>
      <w:r>
        <w:rPr>
          <w:rFonts w:hint="eastAsia" w:ascii="宋体" w:hAnsi="宋体" w:eastAsia="宋体" w:cs="宋体"/>
          <w:szCs w:val="21"/>
          <w:lang w:eastAsia="zh-CN"/>
        </w:rPr>
        <w:t>供应商</w:t>
      </w:r>
      <w:r>
        <w:rPr>
          <w:rFonts w:hint="eastAsia" w:ascii="宋体" w:hAnsi="宋体" w:eastAsia="宋体" w:cs="宋体"/>
          <w:szCs w:val="21"/>
        </w:rPr>
        <w:t>须按要求填写所有信息，不得随意更改本表格式。</w:t>
      </w:r>
    </w:p>
    <w:p w14:paraId="3947A0B7">
      <w:pPr>
        <w:widowControl w:val="0"/>
        <w:kinsoku/>
        <w:overflowPunct/>
        <w:bidi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4"/>
          <w:lang w:eastAsia="zh-CN"/>
        </w:rPr>
        <w:t>供应商</w:t>
      </w:r>
      <w:r>
        <w:rPr>
          <w:rFonts w:hint="eastAsia" w:ascii="宋体" w:hAnsi="宋体" w:eastAsia="宋体" w:cs="宋体"/>
          <w:szCs w:val="24"/>
        </w:rPr>
        <w:t>报价应为</w:t>
      </w:r>
      <w:r>
        <w:rPr>
          <w:rFonts w:hint="eastAsia" w:ascii="宋体" w:hAnsi="宋体" w:eastAsia="宋体" w:cs="宋体"/>
          <w:szCs w:val="24"/>
          <w:lang w:val="en-US" w:eastAsia="zh-CN"/>
        </w:rPr>
        <w:t>采购服务的全部内容</w:t>
      </w:r>
      <w:r>
        <w:rPr>
          <w:rFonts w:hint="eastAsia" w:ascii="宋体" w:hAnsi="宋体" w:eastAsia="宋体" w:cs="宋体"/>
          <w:szCs w:val="24"/>
        </w:rPr>
        <w:t>，金额包含但不限于</w:t>
      </w:r>
      <w:r>
        <w:rPr>
          <w:rFonts w:hint="eastAsia" w:ascii="宋体" w:hAnsi="宋体" w:eastAsia="宋体" w:cs="宋体"/>
          <w:szCs w:val="24"/>
          <w:lang w:val="zh-TW"/>
        </w:rPr>
        <w:t>税费、运输费、各种辅材配件、保险费及所配套的培训、安装、调试等所有相关费用，最终达到甲方使用要求</w:t>
      </w:r>
      <w:r>
        <w:rPr>
          <w:rFonts w:hint="eastAsia" w:ascii="宋体" w:hAnsi="宋体" w:eastAsia="宋体" w:cs="宋体"/>
          <w:szCs w:val="24"/>
        </w:rPr>
        <w:t>。</w:t>
      </w:r>
    </w:p>
    <w:p w14:paraId="29F2C65A">
      <w:pPr>
        <w:widowControl w:val="0"/>
        <w:kinsoku/>
        <w:overflowPunct/>
        <w:bidi w:val="0"/>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3.报价四舍五入，精确到小数点后两位。</w:t>
      </w:r>
    </w:p>
    <w:p w14:paraId="02D09342">
      <w:pPr>
        <w:widowControl w:val="0"/>
        <w:kinsoku/>
        <w:overflowPunct/>
        <w:bidi w:val="0"/>
        <w:spacing w:line="360" w:lineRule="auto"/>
        <w:ind w:firstLine="420" w:firstLineChars="200"/>
        <w:jc w:val="both"/>
        <w:rPr>
          <w:rFonts w:hint="eastAsia" w:ascii="宋体" w:hAnsi="宋体" w:eastAsia="宋体" w:cs="宋体"/>
          <w:szCs w:val="21"/>
        </w:rPr>
      </w:pPr>
    </w:p>
    <w:p w14:paraId="6BE01452">
      <w:pPr>
        <w:widowControl w:val="0"/>
        <w:kinsoku/>
        <w:overflowPunct/>
        <w:bidi w:val="0"/>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lang w:eastAsia="zh-CN"/>
        </w:rPr>
        <w:t>供应商</w:t>
      </w:r>
      <w:r>
        <w:rPr>
          <w:rFonts w:hint="eastAsia" w:ascii="宋体" w:hAnsi="宋体" w:eastAsia="宋体" w:cs="宋体"/>
          <w:szCs w:val="21"/>
        </w:rPr>
        <w:t>法定代表人（或法定代表人授权代表）签字（或签章）：</w:t>
      </w:r>
    </w:p>
    <w:p w14:paraId="1F74B8F3">
      <w:pPr>
        <w:widowControl w:val="0"/>
        <w:kinsoku/>
        <w:overflowPunct/>
        <w:bidi w:val="0"/>
        <w:adjustRightInd w:val="0"/>
        <w:snapToGrid w:val="0"/>
        <w:spacing w:line="360" w:lineRule="auto"/>
        <w:jc w:val="both"/>
        <w:rPr>
          <w:rFonts w:hint="eastAsia" w:ascii="宋体" w:hAnsi="宋体" w:eastAsia="宋体" w:cs="宋体"/>
          <w:szCs w:val="21"/>
          <w:u w:val="single"/>
        </w:rPr>
      </w:pPr>
      <w:r>
        <w:rPr>
          <w:rFonts w:hint="eastAsia" w:ascii="宋体" w:hAnsi="宋体" w:eastAsia="宋体" w:cs="宋体"/>
          <w:szCs w:val="21"/>
          <w:lang w:eastAsia="zh-CN"/>
        </w:rPr>
        <w:t>供应商</w:t>
      </w:r>
      <w:r>
        <w:rPr>
          <w:rFonts w:hint="eastAsia" w:ascii="宋体" w:hAnsi="宋体" w:eastAsia="宋体" w:cs="宋体"/>
          <w:szCs w:val="21"/>
        </w:rPr>
        <w:t>名称（加盖公章）：</w:t>
      </w:r>
    </w:p>
    <w:p w14:paraId="10F32D8B">
      <w:pPr>
        <w:widowControl w:val="0"/>
        <w:kinsoku/>
        <w:overflowPunct/>
        <w:bidi w:val="0"/>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日期：   年   月   日</w:t>
      </w:r>
    </w:p>
    <w:p w14:paraId="03371B3E">
      <w:pPr>
        <w:kinsoku/>
        <w:overflowPunct/>
        <w:bidi w:val="0"/>
        <w:spacing w:line="360" w:lineRule="auto"/>
        <w:jc w:val="center"/>
        <w:rPr>
          <w:rFonts w:hint="eastAsia" w:ascii="宋体" w:hAnsi="宋体" w:eastAsia="宋体" w:cs="宋体"/>
        </w:rPr>
        <w:sectPr>
          <w:headerReference r:id="rId6" w:type="default"/>
          <w:footerReference r:id="rId7" w:type="default"/>
          <w:pgSz w:w="11906" w:h="16838"/>
          <w:pgMar w:top="1418" w:right="1134" w:bottom="1418" w:left="1134" w:header="426" w:footer="992" w:gutter="0"/>
          <w:pgNumType w:fmt="decimal" w:start="1"/>
          <w:cols w:space="720" w:num="1"/>
          <w:docGrid w:type="linesAndChars" w:linePitch="312" w:charSpace="0"/>
        </w:sectPr>
      </w:pPr>
    </w:p>
    <w:p w14:paraId="0246F70E">
      <w:pPr>
        <w:widowControl/>
        <w:kinsoku/>
        <w:overflowPunct/>
        <w:bidi w:val="0"/>
        <w:spacing w:line="360" w:lineRule="auto"/>
        <w:jc w:val="left"/>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2、</w:t>
      </w:r>
      <w:r>
        <w:rPr>
          <w:rFonts w:hint="eastAsia" w:ascii="宋体" w:hAnsi="宋体" w:eastAsia="宋体" w:cs="宋体"/>
          <w:b/>
          <w:sz w:val="24"/>
          <w:szCs w:val="24"/>
        </w:rPr>
        <w:t>投标明细报价表</w:t>
      </w:r>
    </w:p>
    <w:p w14:paraId="2545EA09">
      <w:pPr>
        <w:widowControl/>
        <w:kinsoku/>
        <w:overflowPunct/>
        <w:bidi w:val="0"/>
        <w:spacing w:line="360" w:lineRule="auto"/>
        <w:jc w:val="both"/>
        <w:rPr>
          <w:rFonts w:hint="eastAsia" w:ascii="宋体" w:hAnsi="宋体" w:eastAsia="宋体" w:cs="宋体"/>
          <w:b/>
          <w:szCs w:val="21"/>
        </w:rPr>
      </w:pPr>
      <w:r>
        <w:rPr>
          <w:rFonts w:hint="eastAsia" w:ascii="宋体" w:hAnsi="宋体" w:eastAsia="宋体" w:cs="宋体"/>
          <w:b/>
          <w:szCs w:val="21"/>
        </w:rPr>
        <w:t>项目名称：</w:t>
      </w:r>
    </w:p>
    <w:p w14:paraId="768BCD0B">
      <w:pPr>
        <w:widowControl/>
        <w:kinsoku/>
        <w:overflowPunct/>
        <w:bidi w:val="0"/>
        <w:spacing w:line="360" w:lineRule="auto"/>
        <w:jc w:val="both"/>
        <w:rPr>
          <w:rFonts w:hint="eastAsia" w:ascii="宋体" w:hAnsi="宋体" w:eastAsia="宋体" w:cs="宋体"/>
          <w:b/>
          <w:szCs w:val="21"/>
        </w:rPr>
      </w:pPr>
      <w:r>
        <w:rPr>
          <w:rFonts w:hint="eastAsia" w:ascii="宋体" w:hAnsi="宋体" w:eastAsia="宋体" w:cs="宋体"/>
          <w:b/>
          <w:szCs w:val="21"/>
        </w:rPr>
        <w:t>项目编号：</w:t>
      </w:r>
    </w:p>
    <w:p w14:paraId="74FC0DA5">
      <w:pPr>
        <w:pStyle w:val="214"/>
        <w:widowControl/>
        <w:kinsoku/>
        <w:overflowPunct/>
        <w:bidi w:val="0"/>
        <w:spacing w:line="360" w:lineRule="auto"/>
        <w:ind w:firstLine="0"/>
        <w:jc w:val="left"/>
        <w:rPr>
          <w:rFonts w:hint="eastAsia" w:ascii="宋体" w:hAnsi="宋体" w:eastAsia="宋体" w:cs="宋体"/>
          <w:b/>
        </w:rPr>
      </w:pPr>
      <w:r>
        <w:rPr>
          <w:rFonts w:hint="eastAsia" w:ascii="宋体" w:hAnsi="宋体" w:cs="宋体"/>
          <w:b/>
          <w:lang w:val="en-US" w:eastAsia="zh-CN"/>
        </w:rPr>
        <w:t>供应商</w:t>
      </w:r>
      <w:r>
        <w:rPr>
          <w:rFonts w:hint="eastAsia" w:ascii="宋体" w:hAnsi="宋体" w:eastAsia="宋体" w:cs="宋体"/>
          <w:b/>
          <w:lang w:val="en-US" w:eastAsia="zh-CN"/>
        </w:rPr>
        <w:t>名称</w:t>
      </w:r>
      <w:r>
        <w:rPr>
          <w:rFonts w:hint="eastAsia" w:ascii="宋体" w:hAnsi="宋体" w:eastAsia="宋体" w:cs="宋体"/>
          <w:b/>
        </w:rPr>
        <w:t>：</w:t>
      </w:r>
    </w:p>
    <w:p w14:paraId="1CDAA1BA">
      <w:pPr>
        <w:pStyle w:val="214"/>
        <w:widowControl/>
        <w:kinsoku/>
        <w:overflowPunct/>
        <w:bidi w:val="0"/>
        <w:spacing w:line="360" w:lineRule="auto"/>
        <w:ind w:firstLine="0"/>
        <w:jc w:val="center"/>
        <w:rPr>
          <w:rFonts w:hint="eastAsia" w:ascii="宋体" w:hAnsi="宋体" w:eastAsia="宋体" w:cs="宋体"/>
          <w:b/>
          <w:sz w:val="28"/>
        </w:rPr>
      </w:pPr>
      <w:r>
        <w:rPr>
          <w:rFonts w:hint="eastAsia" w:ascii="宋体" w:hAnsi="宋体" w:eastAsia="宋体" w:cs="宋体"/>
          <w:b/>
          <w:sz w:val="28"/>
        </w:rPr>
        <w:t>投标明细报价表</w:t>
      </w:r>
    </w:p>
    <w:tbl>
      <w:tblPr>
        <w:tblStyle w:val="37"/>
        <w:tblW w:w="15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440"/>
        <w:gridCol w:w="1460"/>
        <w:gridCol w:w="2499"/>
        <w:gridCol w:w="3741"/>
        <w:gridCol w:w="1080"/>
        <w:gridCol w:w="3543"/>
        <w:gridCol w:w="777"/>
      </w:tblGrid>
      <w:tr w14:paraId="65E1A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noWrap w:val="0"/>
            <w:vAlign w:val="center"/>
          </w:tcPr>
          <w:p w14:paraId="578E3FAB">
            <w:pPr>
              <w:widowControl/>
              <w:kinsoku/>
              <w:overflowPunct/>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2900" w:type="dxa"/>
            <w:gridSpan w:val="2"/>
            <w:noWrap w:val="0"/>
            <w:vAlign w:val="center"/>
          </w:tcPr>
          <w:p w14:paraId="6A10D50C">
            <w:pPr>
              <w:widowControl/>
              <w:kinsoku/>
              <w:overflowPunct/>
              <w:bidi w:val="0"/>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采购内容</w:t>
            </w:r>
          </w:p>
        </w:tc>
        <w:tc>
          <w:tcPr>
            <w:tcW w:w="2499" w:type="dxa"/>
            <w:noWrap w:val="0"/>
            <w:vAlign w:val="center"/>
          </w:tcPr>
          <w:p w14:paraId="51C4D46E">
            <w:pPr>
              <w:widowControl/>
              <w:kinsoku/>
              <w:overflowPunct/>
              <w:bidi w:val="0"/>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响应单价（元/次）</w:t>
            </w:r>
          </w:p>
        </w:tc>
        <w:tc>
          <w:tcPr>
            <w:tcW w:w="3741" w:type="dxa"/>
            <w:noWrap w:val="0"/>
            <w:vAlign w:val="center"/>
          </w:tcPr>
          <w:p w14:paraId="4616DB89">
            <w:pPr>
              <w:widowControl/>
              <w:kinsoku/>
              <w:overflowPunct/>
              <w:bidi w:val="0"/>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采购数量</w:t>
            </w:r>
          </w:p>
        </w:tc>
        <w:tc>
          <w:tcPr>
            <w:tcW w:w="1080" w:type="dxa"/>
            <w:noWrap w:val="0"/>
            <w:vAlign w:val="center"/>
          </w:tcPr>
          <w:p w14:paraId="5AA34BAB">
            <w:pPr>
              <w:widowControl/>
              <w:kinsoku/>
              <w:overflowPunct/>
              <w:bidi w:val="0"/>
              <w:spacing w:line="360" w:lineRule="auto"/>
              <w:jc w:val="center"/>
              <w:rPr>
                <w:rFonts w:hint="eastAsia" w:ascii="宋体" w:hAnsi="宋体" w:eastAsia="宋体" w:cs="宋体"/>
                <w:kern w:val="0"/>
                <w:sz w:val="24"/>
                <w:szCs w:val="24"/>
              </w:rPr>
            </w:pPr>
          </w:p>
        </w:tc>
        <w:tc>
          <w:tcPr>
            <w:tcW w:w="3543" w:type="dxa"/>
            <w:noWrap w:val="0"/>
            <w:vAlign w:val="center"/>
          </w:tcPr>
          <w:p w14:paraId="7C8987F7">
            <w:pPr>
              <w:widowControl/>
              <w:kinsoku/>
              <w:overflowPunct/>
              <w:bidi w:val="0"/>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响应总价（元）</w:t>
            </w:r>
          </w:p>
        </w:tc>
        <w:tc>
          <w:tcPr>
            <w:tcW w:w="777" w:type="dxa"/>
            <w:noWrap w:val="0"/>
            <w:vAlign w:val="center"/>
          </w:tcPr>
          <w:p w14:paraId="1778B3E2">
            <w:pPr>
              <w:widowControl/>
              <w:kinsoku/>
              <w:overflowPunct/>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备注</w:t>
            </w:r>
          </w:p>
        </w:tc>
      </w:tr>
      <w:tr w14:paraId="3299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80" w:type="dxa"/>
            <w:noWrap w:val="0"/>
            <w:vAlign w:val="center"/>
          </w:tcPr>
          <w:p w14:paraId="45AA11E8">
            <w:pPr>
              <w:widowControl/>
              <w:kinsoku/>
              <w:overflowPunct/>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900" w:type="dxa"/>
            <w:gridSpan w:val="2"/>
            <w:noWrap w:val="0"/>
            <w:vAlign w:val="center"/>
          </w:tcPr>
          <w:p w14:paraId="27151475">
            <w:pPr>
              <w:widowControl/>
              <w:tabs>
                <w:tab w:val="left" w:pos="737"/>
                <w:tab w:val="center" w:pos="4153"/>
              </w:tabs>
              <w:kinsoku/>
              <w:overflowPunct/>
              <w:bidi w:val="0"/>
              <w:spacing w:line="360" w:lineRule="auto"/>
              <w:ind w:right="-105" w:rightChars="-50"/>
              <w:jc w:val="center"/>
              <w:rPr>
                <w:rFonts w:hint="eastAsia" w:ascii="宋体" w:hAnsi="宋体" w:eastAsia="宋体" w:cs="宋体"/>
                <w:sz w:val="24"/>
                <w:szCs w:val="24"/>
              </w:rPr>
            </w:pPr>
            <w:r>
              <w:rPr>
                <w:rFonts w:hint="eastAsia" w:ascii="宋体" w:hAnsi="宋体" w:eastAsia="宋体" w:cs="宋体"/>
                <w:sz w:val="24"/>
                <w:szCs w:val="24"/>
              </w:rPr>
              <w:t>重油烟区清洗</w:t>
            </w:r>
          </w:p>
        </w:tc>
        <w:tc>
          <w:tcPr>
            <w:tcW w:w="2499" w:type="dxa"/>
            <w:noWrap w:val="0"/>
            <w:vAlign w:val="center"/>
          </w:tcPr>
          <w:p w14:paraId="3F06AF3E">
            <w:pPr>
              <w:widowControl/>
              <w:kinsoku/>
              <w:overflowPunct/>
              <w:bidi w:val="0"/>
              <w:spacing w:line="360" w:lineRule="auto"/>
              <w:jc w:val="center"/>
              <w:rPr>
                <w:rFonts w:hint="eastAsia" w:ascii="宋体" w:hAnsi="宋体" w:eastAsia="宋体" w:cs="宋体"/>
                <w:kern w:val="0"/>
                <w:sz w:val="24"/>
                <w:szCs w:val="24"/>
              </w:rPr>
            </w:pPr>
          </w:p>
        </w:tc>
        <w:tc>
          <w:tcPr>
            <w:tcW w:w="3741" w:type="dxa"/>
            <w:noWrap w:val="0"/>
            <w:vAlign w:val="center"/>
          </w:tcPr>
          <w:p w14:paraId="691ED998">
            <w:pPr>
              <w:widowControl/>
              <w:kinsoku/>
              <w:overflowPunct/>
              <w:bidi w:val="0"/>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8次</w:t>
            </w:r>
          </w:p>
        </w:tc>
        <w:tc>
          <w:tcPr>
            <w:tcW w:w="1080" w:type="dxa"/>
            <w:noWrap w:val="0"/>
            <w:vAlign w:val="center"/>
          </w:tcPr>
          <w:p w14:paraId="5D3BFBCA">
            <w:pPr>
              <w:widowControl/>
              <w:kinsoku/>
              <w:overflowPunct/>
              <w:bidi w:val="0"/>
              <w:spacing w:line="360" w:lineRule="auto"/>
              <w:jc w:val="center"/>
              <w:rPr>
                <w:rFonts w:hint="eastAsia" w:ascii="宋体" w:hAnsi="宋体" w:eastAsia="宋体" w:cs="宋体"/>
                <w:kern w:val="0"/>
                <w:sz w:val="24"/>
                <w:szCs w:val="24"/>
              </w:rPr>
            </w:pPr>
          </w:p>
        </w:tc>
        <w:tc>
          <w:tcPr>
            <w:tcW w:w="3543" w:type="dxa"/>
            <w:noWrap w:val="0"/>
            <w:vAlign w:val="center"/>
          </w:tcPr>
          <w:p w14:paraId="66C1B62D">
            <w:pPr>
              <w:widowControl/>
              <w:kinsoku/>
              <w:overflowPunct/>
              <w:bidi w:val="0"/>
              <w:spacing w:line="360" w:lineRule="auto"/>
              <w:jc w:val="center"/>
              <w:rPr>
                <w:rFonts w:hint="eastAsia" w:ascii="宋体" w:hAnsi="宋体" w:eastAsia="宋体" w:cs="宋体"/>
                <w:kern w:val="0"/>
                <w:sz w:val="24"/>
                <w:szCs w:val="24"/>
              </w:rPr>
            </w:pPr>
          </w:p>
        </w:tc>
        <w:tc>
          <w:tcPr>
            <w:tcW w:w="777" w:type="dxa"/>
            <w:noWrap w:val="0"/>
            <w:vAlign w:val="center"/>
          </w:tcPr>
          <w:p w14:paraId="1CA8E13E">
            <w:pPr>
              <w:widowControl/>
              <w:kinsoku/>
              <w:overflowPunct/>
              <w:bidi w:val="0"/>
              <w:spacing w:line="360" w:lineRule="auto"/>
              <w:jc w:val="center"/>
              <w:rPr>
                <w:rFonts w:hint="eastAsia" w:ascii="宋体" w:hAnsi="宋体" w:eastAsia="宋体" w:cs="宋体"/>
                <w:kern w:val="0"/>
                <w:sz w:val="24"/>
                <w:szCs w:val="24"/>
              </w:rPr>
            </w:pPr>
          </w:p>
        </w:tc>
      </w:tr>
      <w:tr w14:paraId="72E6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80" w:type="dxa"/>
            <w:noWrap w:val="0"/>
            <w:vAlign w:val="center"/>
          </w:tcPr>
          <w:p w14:paraId="13D90DD2">
            <w:pPr>
              <w:widowControl/>
              <w:kinsoku/>
              <w:overflowPunct/>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900" w:type="dxa"/>
            <w:gridSpan w:val="2"/>
            <w:noWrap w:val="0"/>
            <w:vAlign w:val="center"/>
          </w:tcPr>
          <w:p w14:paraId="68C77617">
            <w:pPr>
              <w:widowControl/>
              <w:tabs>
                <w:tab w:val="left" w:pos="737"/>
                <w:tab w:val="center" w:pos="4153"/>
              </w:tabs>
              <w:kinsoku/>
              <w:overflowPunct/>
              <w:bidi w:val="0"/>
              <w:spacing w:line="360" w:lineRule="auto"/>
              <w:ind w:right="-105" w:rightChars="-50"/>
              <w:jc w:val="center"/>
              <w:rPr>
                <w:rFonts w:hint="eastAsia" w:ascii="宋体" w:hAnsi="宋体" w:eastAsia="宋体" w:cs="宋体"/>
                <w:sz w:val="24"/>
                <w:szCs w:val="24"/>
              </w:rPr>
            </w:pPr>
            <w:r>
              <w:rPr>
                <w:rFonts w:hint="eastAsia" w:ascii="宋体" w:hAnsi="宋体" w:eastAsia="宋体" w:cs="宋体"/>
                <w:sz w:val="24"/>
                <w:szCs w:val="24"/>
              </w:rPr>
              <w:t>轻油烟区清洗</w:t>
            </w:r>
          </w:p>
        </w:tc>
        <w:tc>
          <w:tcPr>
            <w:tcW w:w="2499" w:type="dxa"/>
            <w:noWrap w:val="0"/>
            <w:vAlign w:val="center"/>
          </w:tcPr>
          <w:p w14:paraId="169D24A4">
            <w:pPr>
              <w:widowControl/>
              <w:kinsoku/>
              <w:overflowPunct/>
              <w:bidi w:val="0"/>
              <w:spacing w:line="360" w:lineRule="auto"/>
              <w:jc w:val="center"/>
              <w:rPr>
                <w:rFonts w:hint="eastAsia" w:ascii="宋体" w:hAnsi="宋体" w:eastAsia="宋体" w:cs="宋体"/>
                <w:kern w:val="0"/>
                <w:sz w:val="24"/>
                <w:szCs w:val="24"/>
              </w:rPr>
            </w:pPr>
          </w:p>
        </w:tc>
        <w:tc>
          <w:tcPr>
            <w:tcW w:w="3741" w:type="dxa"/>
            <w:noWrap w:val="0"/>
            <w:vAlign w:val="center"/>
          </w:tcPr>
          <w:p w14:paraId="0F318949">
            <w:pPr>
              <w:widowControl/>
              <w:kinsoku/>
              <w:overflowPunct/>
              <w:bidi w:val="0"/>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4次</w:t>
            </w:r>
          </w:p>
        </w:tc>
        <w:tc>
          <w:tcPr>
            <w:tcW w:w="1080" w:type="dxa"/>
            <w:noWrap w:val="0"/>
            <w:vAlign w:val="center"/>
          </w:tcPr>
          <w:p w14:paraId="2C835954">
            <w:pPr>
              <w:widowControl/>
              <w:kinsoku/>
              <w:overflowPunct/>
              <w:bidi w:val="0"/>
              <w:spacing w:line="360" w:lineRule="auto"/>
              <w:jc w:val="center"/>
              <w:rPr>
                <w:rFonts w:hint="eastAsia" w:ascii="宋体" w:hAnsi="宋体" w:eastAsia="宋体" w:cs="宋体"/>
                <w:kern w:val="0"/>
                <w:sz w:val="24"/>
                <w:szCs w:val="24"/>
              </w:rPr>
            </w:pPr>
          </w:p>
        </w:tc>
        <w:tc>
          <w:tcPr>
            <w:tcW w:w="3543" w:type="dxa"/>
            <w:noWrap w:val="0"/>
            <w:vAlign w:val="center"/>
          </w:tcPr>
          <w:p w14:paraId="6AE870CB">
            <w:pPr>
              <w:widowControl/>
              <w:kinsoku/>
              <w:overflowPunct/>
              <w:bidi w:val="0"/>
              <w:spacing w:line="360" w:lineRule="auto"/>
              <w:jc w:val="center"/>
              <w:rPr>
                <w:rFonts w:hint="eastAsia" w:ascii="宋体" w:hAnsi="宋体" w:eastAsia="宋体" w:cs="宋体"/>
                <w:kern w:val="0"/>
                <w:sz w:val="24"/>
                <w:szCs w:val="24"/>
              </w:rPr>
            </w:pPr>
          </w:p>
        </w:tc>
        <w:tc>
          <w:tcPr>
            <w:tcW w:w="777" w:type="dxa"/>
            <w:noWrap w:val="0"/>
            <w:vAlign w:val="center"/>
          </w:tcPr>
          <w:p w14:paraId="3025E6E6">
            <w:pPr>
              <w:widowControl/>
              <w:kinsoku/>
              <w:overflowPunct/>
              <w:bidi w:val="0"/>
              <w:spacing w:line="360" w:lineRule="auto"/>
              <w:jc w:val="center"/>
              <w:rPr>
                <w:rFonts w:hint="eastAsia" w:ascii="宋体" w:hAnsi="宋体" w:eastAsia="宋体" w:cs="宋体"/>
                <w:kern w:val="0"/>
                <w:sz w:val="24"/>
                <w:szCs w:val="24"/>
              </w:rPr>
            </w:pPr>
          </w:p>
        </w:tc>
      </w:tr>
      <w:tr w14:paraId="77C8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80" w:type="dxa"/>
            <w:noWrap w:val="0"/>
            <w:vAlign w:val="center"/>
          </w:tcPr>
          <w:p w14:paraId="770F4F41">
            <w:pPr>
              <w:widowControl/>
              <w:kinsoku/>
              <w:overflowPunct/>
              <w:bidi w:val="0"/>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3</w:t>
            </w:r>
          </w:p>
        </w:tc>
        <w:tc>
          <w:tcPr>
            <w:tcW w:w="2900" w:type="dxa"/>
            <w:gridSpan w:val="2"/>
            <w:noWrap w:val="0"/>
            <w:vAlign w:val="center"/>
          </w:tcPr>
          <w:p w14:paraId="4541ACF2">
            <w:pPr>
              <w:widowControl/>
              <w:tabs>
                <w:tab w:val="left" w:pos="737"/>
                <w:tab w:val="center" w:pos="4153"/>
              </w:tabs>
              <w:kinsoku/>
              <w:overflowPunct/>
              <w:bidi w:val="0"/>
              <w:spacing w:line="360" w:lineRule="auto"/>
              <w:ind w:right="-105" w:rightChars="-50"/>
              <w:jc w:val="center"/>
              <w:rPr>
                <w:rFonts w:hint="eastAsia" w:ascii="宋体" w:hAnsi="宋体" w:eastAsia="宋体" w:cs="宋体"/>
                <w:sz w:val="24"/>
                <w:szCs w:val="24"/>
              </w:rPr>
            </w:pPr>
            <w:r>
              <w:rPr>
                <w:rFonts w:hint="eastAsia" w:ascii="宋体" w:hAnsi="宋体" w:eastAsia="宋体" w:cs="宋体"/>
                <w:sz w:val="24"/>
                <w:szCs w:val="24"/>
              </w:rPr>
              <w:t>油烟机清洗</w:t>
            </w:r>
          </w:p>
        </w:tc>
        <w:tc>
          <w:tcPr>
            <w:tcW w:w="2499" w:type="dxa"/>
            <w:noWrap w:val="0"/>
            <w:vAlign w:val="center"/>
          </w:tcPr>
          <w:p w14:paraId="4C8C8300">
            <w:pPr>
              <w:widowControl/>
              <w:kinsoku/>
              <w:overflowPunct/>
              <w:bidi w:val="0"/>
              <w:spacing w:line="360" w:lineRule="auto"/>
              <w:jc w:val="center"/>
              <w:rPr>
                <w:rFonts w:hint="eastAsia" w:ascii="宋体" w:hAnsi="宋体" w:eastAsia="宋体" w:cs="宋体"/>
                <w:kern w:val="0"/>
                <w:sz w:val="24"/>
                <w:szCs w:val="24"/>
              </w:rPr>
            </w:pPr>
          </w:p>
        </w:tc>
        <w:tc>
          <w:tcPr>
            <w:tcW w:w="3741" w:type="dxa"/>
            <w:noWrap w:val="0"/>
            <w:vAlign w:val="center"/>
          </w:tcPr>
          <w:p w14:paraId="7BB84E85">
            <w:pPr>
              <w:widowControl/>
              <w:kinsoku/>
              <w:overflowPunct/>
              <w:bidi w:val="0"/>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4次</w:t>
            </w:r>
          </w:p>
        </w:tc>
        <w:tc>
          <w:tcPr>
            <w:tcW w:w="1080" w:type="dxa"/>
            <w:noWrap w:val="0"/>
            <w:vAlign w:val="center"/>
          </w:tcPr>
          <w:p w14:paraId="41D6D26A">
            <w:pPr>
              <w:widowControl/>
              <w:kinsoku/>
              <w:overflowPunct/>
              <w:bidi w:val="0"/>
              <w:spacing w:line="360" w:lineRule="auto"/>
              <w:jc w:val="center"/>
              <w:rPr>
                <w:rFonts w:hint="eastAsia" w:ascii="宋体" w:hAnsi="宋体" w:eastAsia="宋体" w:cs="宋体"/>
                <w:kern w:val="0"/>
                <w:sz w:val="24"/>
                <w:szCs w:val="24"/>
              </w:rPr>
            </w:pPr>
          </w:p>
        </w:tc>
        <w:tc>
          <w:tcPr>
            <w:tcW w:w="3543" w:type="dxa"/>
            <w:noWrap w:val="0"/>
            <w:vAlign w:val="center"/>
          </w:tcPr>
          <w:p w14:paraId="1A2E09DC">
            <w:pPr>
              <w:widowControl/>
              <w:kinsoku/>
              <w:overflowPunct/>
              <w:bidi w:val="0"/>
              <w:spacing w:line="360" w:lineRule="auto"/>
              <w:jc w:val="center"/>
              <w:rPr>
                <w:rFonts w:hint="eastAsia" w:ascii="宋体" w:hAnsi="宋体" w:eastAsia="宋体" w:cs="宋体"/>
                <w:kern w:val="0"/>
                <w:sz w:val="24"/>
                <w:szCs w:val="24"/>
              </w:rPr>
            </w:pPr>
          </w:p>
        </w:tc>
        <w:tc>
          <w:tcPr>
            <w:tcW w:w="777" w:type="dxa"/>
            <w:noWrap w:val="0"/>
            <w:vAlign w:val="center"/>
          </w:tcPr>
          <w:p w14:paraId="2AB583F7">
            <w:pPr>
              <w:widowControl/>
              <w:kinsoku/>
              <w:overflowPunct/>
              <w:bidi w:val="0"/>
              <w:spacing w:line="360" w:lineRule="auto"/>
              <w:jc w:val="center"/>
              <w:rPr>
                <w:rFonts w:hint="eastAsia" w:ascii="宋体" w:hAnsi="宋体" w:eastAsia="宋体" w:cs="宋体"/>
                <w:kern w:val="0"/>
                <w:sz w:val="24"/>
                <w:szCs w:val="24"/>
              </w:rPr>
            </w:pPr>
          </w:p>
        </w:tc>
      </w:tr>
      <w:tr w14:paraId="23D3E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520" w:type="dxa"/>
            <w:gridSpan w:val="2"/>
            <w:noWrap w:val="0"/>
            <w:vAlign w:val="center"/>
          </w:tcPr>
          <w:p w14:paraId="3D0098F5">
            <w:pPr>
              <w:widowControl/>
              <w:kinsoku/>
              <w:overflowPunct/>
              <w:bidi w:val="0"/>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合计：人民币（大写）</w:t>
            </w:r>
          </w:p>
        </w:tc>
        <w:tc>
          <w:tcPr>
            <w:tcW w:w="7700" w:type="dxa"/>
            <w:gridSpan w:val="3"/>
            <w:noWrap w:val="0"/>
            <w:vAlign w:val="center"/>
          </w:tcPr>
          <w:p w14:paraId="61A32C6A">
            <w:pPr>
              <w:widowControl/>
              <w:kinsoku/>
              <w:overflowPunct/>
              <w:bidi w:val="0"/>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　元</w:t>
            </w:r>
          </w:p>
        </w:tc>
        <w:tc>
          <w:tcPr>
            <w:tcW w:w="1080" w:type="dxa"/>
            <w:noWrap w:val="0"/>
            <w:vAlign w:val="center"/>
          </w:tcPr>
          <w:p w14:paraId="0704BBD2">
            <w:pPr>
              <w:widowControl/>
              <w:kinsoku/>
              <w:overflowPunct/>
              <w:bidi w:val="0"/>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小写：￥</w:t>
            </w:r>
          </w:p>
        </w:tc>
        <w:tc>
          <w:tcPr>
            <w:tcW w:w="4320" w:type="dxa"/>
            <w:gridSpan w:val="2"/>
            <w:noWrap w:val="0"/>
            <w:vAlign w:val="center"/>
          </w:tcPr>
          <w:p w14:paraId="0545591E">
            <w:pPr>
              <w:widowControl/>
              <w:kinsoku/>
              <w:overflowPunct/>
              <w:bidi w:val="0"/>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　元</w:t>
            </w:r>
          </w:p>
        </w:tc>
      </w:tr>
      <w:tr w14:paraId="3F46D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5620" w:type="dxa"/>
            <w:gridSpan w:val="8"/>
            <w:noWrap w:val="0"/>
            <w:vAlign w:val="center"/>
          </w:tcPr>
          <w:p w14:paraId="06A72876">
            <w:pPr>
              <w:widowControl/>
              <w:kinsoku/>
              <w:overflowPunct/>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说明：包括全部</w:t>
            </w:r>
            <w:r>
              <w:rPr>
                <w:rFonts w:hint="eastAsia" w:ascii="宋体" w:hAnsi="宋体" w:eastAsia="宋体" w:cs="宋体"/>
                <w:kern w:val="0"/>
                <w:sz w:val="24"/>
                <w:szCs w:val="24"/>
                <w:lang w:val="en-US" w:eastAsia="zh-CN"/>
              </w:rPr>
              <w:t>服务内容</w:t>
            </w:r>
            <w:r>
              <w:rPr>
                <w:rFonts w:hint="eastAsia" w:ascii="宋体" w:hAnsi="宋体" w:eastAsia="宋体" w:cs="宋体"/>
                <w:kern w:val="0"/>
                <w:sz w:val="24"/>
                <w:szCs w:val="24"/>
              </w:rPr>
              <w:t>、税费、包装费、运输、调试</w:t>
            </w:r>
            <w:r>
              <w:rPr>
                <w:rFonts w:hint="eastAsia" w:ascii="宋体" w:hAnsi="宋体" w:eastAsia="宋体" w:cs="宋体"/>
                <w:kern w:val="0"/>
                <w:sz w:val="24"/>
                <w:szCs w:val="24"/>
                <w:lang w:val="en-US" w:eastAsia="zh-CN"/>
              </w:rPr>
              <w:t>等</w:t>
            </w:r>
            <w:r>
              <w:rPr>
                <w:rFonts w:hint="eastAsia" w:ascii="宋体" w:hAnsi="宋体" w:eastAsia="宋体" w:cs="宋体"/>
                <w:kern w:val="0"/>
                <w:sz w:val="24"/>
                <w:szCs w:val="24"/>
              </w:rPr>
              <w:t>必不可少的部件等费用，以及已支付或将支付的营业税和其它税费等所有费用</w:t>
            </w:r>
          </w:p>
        </w:tc>
      </w:tr>
    </w:tbl>
    <w:p w14:paraId="12A53C5F">
      <w:pPr>
        <w:widowControl w:val="0"/>
        <w:kinsoku/>
        <w:overflowPunct/>
        <w:bidi w:val="0"/>
        <w:spacing w:line="360" w:lineRule="auto"/>
        <w:jc w:val="both"/>
        <w:rPr>
          <w:rFonts w:hint="eastAsia" w:ascii="宋体" w:hAnsi="宋体" w:eastAsia="宋体" w:cs="宋体"/>
          <w:szCs w:val="24"/>
        </w:rPr>
      </w:pPr>
      <w:r>
        <w:rPr>
          <w:rFonts w:hint="eastAsia" w:ascii="宋体" w:hAnsi="宋体" w:eastAsia="宋体" w:cs="宋体"/>
          <w:szCs w:val="24"/>
        </w:rPr>
        <w:t>注：</w:t>
      </w:r>
      <w:r>
        <w:rPr>
          <w:rFonts w:hint="eastAsia" w:ascii="宋体" w:hAnsi="宋体" w:eastAsia="宋体" w:cs="宋体"/>
          <w:szCs w:val="24"/>
          <w:lang w:eastAsia="zh-CN"/>
        </w:rPr>
        <w:t>供应商</w:t>
      </w:r>
      <w:r>
        <w:rPr>
          <w:rFonts w:hint="eastAsia" w:ascii="宋体" w:hAnsi="宋体" w:eastAsia="宋体" w:cs="宋体"/>
          <w:szCs w:val="24"/>
        </w:rPr>
        <w:t>报价应为采购服务的全部内容，金额包含但不限于税费、运输费、各种辅材配件、保险费及所配套的培训、安装、调试等所有相关费用，最终达到甲方使用要求。</w:t>
      </w:r>
    </w:p>
    <w:p w14:paraId="2A3542BD">
      <w:pPr>
        <w:widowControl w:val="0"/>
        <w:kinsoku/>
        <w:overflowPunct/>
        <w:bidi w:val="0"/>
        <w:spacing w:line="360" w:lineRule="auto"/>
        <w:jc w:val="both"/>
        <w:rPr>
          <w:rFonts w:hint="eastAsia" w:ascii="宋体" w:hAnsi="宋体" w:eastAsia="宋体" w:cs="宋体"/>
          <w:szCs w:val="22"/>
        </w:rPr>
      </w:pPr>
    </w:p>
    <w:p w14:paraId="5D617AE9">
      <w:pPr>
        <w:widowControl w:val="0"/>
        <w:kinsoku/>
        <w:overflowPunct/>
        <w:bidi w:val="0"/>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lang w:val="en-US" w:eastAsia="zh-CN"/>
        </w:rPr>
        <w:t>供应商</w:t>
      </w:r>
      <w:r>
        <w:rPr>
          <w:rFonts w:hint="eastAsia" w:ascii="宋体" w:hAnsi="宋体" w:eastAsia="宋体" w:cs="宋体"/>
          <w:szCs w:val="21"/>
        </w:rPr>
        <w:t>法定代表人（或法定代表人授权代表）签字（或签章）：</w:t>
      </w:r>
    </w:p>
    <w:p w14:paraId="30408F1D">
      <w:pPr>
        <w:widowControl w:val="0"/>
        <w:tabs>
          <w:tab w:val="left" w:pos="4410"/>
        </w:tabs>
        <w:kinsoku/>
        <w:overflowPunct/>
        <w:bidi w:val="0"/>
        <w:adjustRightInd w:val="0"/>
        <w:snapToGrid w:val="0"/>
        <w:spacing w:line="360" w:lineRule="auto"/>
        <w:jc w:val="both"/>
        <w:rPr>
          <w:rFonts w:hint="eastAsia" w:ascii="宋体" w:hAnsi="宋体" w:eastAsia="宋体" w:cs="宋体"/>
          <w:szCs w:val="21"/>
          <w:u w:val="single"/>
        </w:rPr>
      </w:pPr>
      <w:r>
        <w:rPr>
          <w:rFonts w:hint="eastAsia" w:ascii="宋体" w:hAnsi="宋体" w:eastAsia="宋体" w:cs="宋体"/>
          <w:szCs w:val="21"/>
          <w:lang w:val="en-US" w:eastAsia="zh-CN"/>
        </w:rPr>
        <w:t>供应商</w:t>
      </w:r>
      <w:r>
        <w:rPr>
          <w:rFonts w:hint="eastAsia" w:ascii="宋体" w:hAnsi="宋体" w:eastAsia="宋体" w:cs="宋体"/>
          <w:szCs w:val="21"/>
        </w:rPr>
        <w:t>名称（加盖公章）：</w:t>
      </w:r>
      <w:r>
        <w:rPr>
          <w:rFonts w:hint="eastAsia" w:ascii="宋体" w:hAnsi="宋体" w:eastAsia="宋体" w:cs="宋体"/>
          <w:szCs w:val="21"/>
        </w:rPr>
        <w:tab/>
      </w:r>
    </w:p>
    <w:p w14:paraId="7F00152C">
      <w:pPr>
        <w:widowControl w:val="0"/>
        <w:kinsoku/>
        <w:overflowPunct/>
        <w:bidi w:val="0"/>
        <w:adjustRightInd w:val="0"/>
        <w:snapToGrid w:val="0"/>
        <w:spacing w:line="360" w:lineRule="auto"/>
        <w:jc w:val="both"/>
        <w:rPr>
          <w:rFonts w:hint="eastAsia" w:ascii="宋体" w:hAnsi="宋体" w:eastAsia="宋体" w:cs="宋体"/>
          <w:szCs w:val="21"/>
        </w:rPr>
        <w:sectPr>
          <w:pgSz w:w="16838" w:h="11906" w:orient="landscape"/>
          <w:pgMar w:top="1134" w:right="1418" w:bottom="1134" w:left="1418" w:header="426" w:footer="992" w:gutter="0"/>
          <w:pgNumType w:fmt="decimal"/>
          <w:cols w:space="720" w:num="1"/>
          <w:docGrid w:type="lines" w:linePitch="312" w:charSpace="0"/>
        </w:sectPr>
      </w:pPr>
      <w:r>
        <w:rPr>
          <w:rFonts w:hint="eastAsia" w:ascii="宋体" w:hAnsi="宋体" w:eastAsia="宋体" w:cs="宋体"/>
          <w:szCs w:val="21"/>
        </w:rPr>
        <w:t>日期：   年   月  日</w:t>
      </w:r>
    </w:p>
    <w:p w14:paraId="55E79F68">
      <w:pPr>
        <w:pStyle w:val="214"/>
        <w:widowControl/>
        <w:kinsoku/>
        <w:overflowPunct/>
        <w:bidi w:val="0"/>
        <w:spacing w:line="360" w:lineRule="auto"/>
        <w:ind w:firstLine="0"/>
        <w:jc w:val="center"/>
        <w:rPr>
          <w:rFonts w:hint="eastAsia" w:ascii="宋体" w:hAnsi="宋体" w:eastAsia="宋体" w:cs="宋体"/>
          <w:b/>
          <w:sz w:val="28"/>
        </w:rPr>
      </w:pPr>
    </w:p>
    <w:p w14:paraId="2C97CCA9">
      <w:pPr>
        <w:widowControl w:val="0"/>
        <w:kinsoku/>
        <w:overflowPunct/>
        <w:autoSpaceDE w:val="0"/>
        <w:autoSpaceDN w:val="0"/>
        <w:bidi w:val="0"/>
        <w:spacing w:line="360" w:lineRule="auto"/>
        <w:jc w:val="center"/>
        <w:rPr>
          <w:rFonts w:hint="eastAsia" w:ascii="宋体" w:hAnsi="宋体" w:eastAsia="宋体" w:cs="宋体"/>
          <w:b/>
          <w:szCs w:val="21"/>
        </w:rPr>
      </w:pPr>
      <w:r>
        <w:rPr>
          <w:rFonts w:hint="eastAsia" w:ascii="宋体" w:hAnsi="宋体" w:eastAsia="宋体" w:cs="宋体"/>
          <w:b/>
          <w:szCs w:val="21"/>
        </w:rPr>
        <w:t>质疑函格式</w:t>
      </w:r>
    </w:p>
    <w:p w14:paraId="7740AD81">
      <w:pPr>
        <w:widowControl w:val="0"/>
        <w:tabs>
          <w:tab w:val="left" w:pos="567"/>
          <w:tab w:val="left" w:pos="993"/>
        </w:tabs>
        <w:kinsoku/>
        <w:overflowPunct/>
        <w:bidi w:val="0"/>
        <w:spacing w:line="360" w:lineRule="auto"/>
        <w:jc w:val="both"/>
        <w:rPr>
          <w:rFonts w:hint="eastAsia" w:ascii="宋体" w:hAnsi="宋体" w:eastAsia="宋体" w:cs="宋体"/>
          <w:b/>
          <w:szCs w:val="21"/>
        </w:rPr>
      </w:pPr>
      <w:r>
        <w:rPr>
          <w:rFonts w:hint="eastAsia" w:ascii="宋体" w:hAnsi="宋体" w:eastAsia="宋体" w:cs="宋体"/>
          <w:b/>
          <w:szCs w:val="21"/>
        </w:rPr>
        <w:t>说明：本部分格式文件为投标人提交质疑函时使用，不属于投标文件格式的组成部分。</w:t>
      </w:r>
    </w:p>
    <w:p w14:paraId="6379327E">
      <w:pPr>
        <w:widowControl w:val="0"/>
        <w:kinsoku/>
        <w:overflowPunct/>
        <w:bidi w:val="0"/>
        <w:spacing w:line="360" w:lineRule="auto"/>
        <w:ind w:right="840"/>
        <w:jc w:val="left"/>
        <w:rPr>
          <w:rFonts w:hint="eastAsia" w:ascii="宋体" w:hAnsi="宋体" w:eastAsia="宋体" w:cs="宋体"/>
          <w:szCs w:val="21"/>
        </w:rPr>
      </w:pPr>
    </w:p>
    <w:p w14:paraId="104F8172">
      <w:pPr>
        <w:widowControl w:val="0"/>
        <w:kinsoku/>
        <w:overflowPunct/>
        <w:bidi w:val="0"/>
        <w:spacing w:line="360" w:lineRule="auto"/>
        <w:jc w:val="center"/>
        <w:rPr>
          <w:rFonts w:hint="eastAsia" w:ascii="宋体" w:hAnsi="宋体" w:eastAsia="宋体" w:cs="宋体"/>
          <w:b/>
          <w:bCs/>
          <w:szCs w:val="21"/>
        </w:rPr>
      </w:pPr>
      <w:r>
        <w:rPr>
          <w:rFonts w:hint="eastAsia" w:ascii="宋体" w:hAnsi="宋体" w:eastAsia="宋体" w:cs="宋体"/>
          <w:b/>
          <w:bCs/>
          <w:szCs w:val="21"/>
        </w:rPr>
        <w:t>质疑函</w:t>
      </w:r>
    </w:p>
    <w:p w14:paraId="79CF11E5">
      <w:pPr>
        <w:widowControl w:val="0"/>
        <w:kinsoku/>
        <w:overflowPunct/>
        <w:bidi w:val="0"/>
        <w:adjustRightInd w:val="0"/>
        <w:snapToGrid w:val="0"/>
        <w:spacing w:line="360" w:lineRule="auto"/>
        <w:jc w:val="both"/>
        <w:rPr>
          <w:rFonts w:hint="eastAsia" w:ascii="宋体" w:hAnsi="宋体" w:eastAsia="宋体" w:cs="宋体"/>
          <w:bCs/>
          <w:szCs w:val="21"/>
        </w:rPr>
      </w:pPr>
      <w:r>
        <w:rPr>
          <w:rFonts w:hint="eastAsia" w:ascii="宋体" w:hAnsi="宋体" w:eastAsia="宋体" w:cs="宋体"/>
          <w:bCs/>
          <w:szCs w:val="21"/>
        </w:rPr>
        <w:t>一、质疑投标人基本信息</w:t>
      </w:r>
    </w:p>
    <w:p w14:paraId="19B17AEC">
      <w:pPr>
        <w:widowControl w:val="0"/>
        <w:kinsoku/>
        <w:overflowPunct/>
        <w:bidi w:val="0"/>
        <w:adjustRightInd w:val="0"/>
        <w:snapToGrid w:val="0"/>
        <w:spacing w:line="360" w:lineRule="auto"/>
        <w:jc w:val="both"/>
        <w:rPr>
          <w:rFonts w:hint="eastAsia" w:ascii="宋体" w:hAnsi="宋体" w:eastAsia="宋体" w:cs="宋体"/>
          <w:szCs w:val="21"/>
          <w:u w:val="dotted"/>
        </w:rPr>
      </w:pPr>
      <w:r>
        <w:rPr>
          <w:rFonts w:hint="eastAsia" w:ascii="宋体" w:hAnsi="宋体" w:eastAsia="宋体" w:cs="宋体"/>
          <w:szCs w:val="21"/>
        </w:rPr>
        <w:t>质疑投标人：</w:t>
      </w:r>
    </w:p>
    <w:p w14:paraId="7FF63F71">
      <w:pPr>
        <w:widowControl w:val="0"/>
        <w:kinsoku/>
        <w:overflowPunct/>
        <w:bidi w:val="0"/>
        <w:adjustRightInd w:val="0"/>
        <w:snapToGrid w:val="0"/>
        <w:spacing w:line="360" w:lineRule="auto"/>
        <w:jc w:val="both"/>
        <w:rPr>
          <w:rFonts w:hint="eastAsia" w:ascii="宋体" w:hAnsi="宋体" w:eastAsia="宋体" w:cs="宋体"/>
          <w:szCs w:val="21"/>
          <w:u w:val="dotted"/>
        </w:rPr>
      </w:pPr>
      <w:r>
        <w:rPr>
          <w:rFonts w:hint="eastAsia" w:ascii="宋体" w:hAnsi="宋体" w:eastAsia="宋体" w:cs="宋体"/>
          <w:szCs w:val="21"/>
        </w:rPr>
        <w:t>是否参与所质疑项目的采购活动： □是    □否</w:t>
      </w:r>
    </w:p>
    <w:p w14:paraId="515FC45A">
      <w:pPr>
        <w:widowControl w:val="0"/>
        <w:kinsoku/>
        <w:overflowPunct/>
        <w:bidi w:val="0"/>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地址：邮编：</w:t>
      </w:r>
    </w:p>
    <w:p w14:paraId="18CC4D96">
      <w:pPr>
        <w:widowControl w:val="0"/>
        <w:kinsoku/>
        <w:overflowPunct/>
        <w:bidi w:val="0"/>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联系人：联系电话：</w:t>
      </w:r>
    </w:p>
    <w:p w14:paraId="47D846B0">
      <w:pPr>
        <w:widowControl w:val="0"/>
        <w:kinsoku/>
        <w:overflowPunct/>
        <w:bidi w:val="0"/>
        <w:adjustRightInd w:val="0"/>
        <w:snapToGrid w:val="0"/>
        <w:spacing w:line="360" w:lineRule="auto"/>
        <w:jc w:val="both"/>
        <w:rPr>
          <w:rFonts w:hint="eastAsia" w:ascii="宋体" w:hAnsi="宋体" w:eastAsia="宋体" w:cs="宋体"/>
          <w:szCs w:val="21"/>
          <w:u w:val="dotted"/>
        </w:rPr>
      </w:pPr>
      <w:r>
        <w:rPr>
          <w:rFonts w:hint="eastAsia" w:ascii="宋体" w:hAnsi="宋体" w:eastAsia="宋体" w:cs="宋体"/>
          <w:szCs w:val="21"/>
        </w:rPr>
        <w:t>授权代表：</w:t>
      </w:r>
    </w:p>
    <w:p w14:paraId="4DD67C77">
      <w:pPr>
        <w:widowControl w:val="0"/>
        <w:kinsoku/>
        <w:overflowPunct/>
        <w:bidi w:val="0"/>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联系电话：</w:t>
      </w:r>
    </w:p>
    <w:p w14:paraId="7852F264">
      <w:pPr>
        <w:widowControl w:val="0"/>
        <w:kinsoku/>
        <w:overflowPunct/>
        <w:bidi w:val="0"/>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地址：邮编：</w:t>
      </w:r>
    </w:p>
    <w:p w14:paraId="51D00577">
      <w:pPr>
        <w:widowControl w:val="0"/>
        <w:kinsoku/>
        <w:overflowPunct/>
        <w:bidi w:val="0"/>
        <w:adjustRightInd w:val="0"/>
        <w:snapToGrid w:val="0"/>
        <w:spacing w:line="360" w:lineRule="auto"/>
        <w:jc w:val="both"/>
        <w:rPr>
          <w:rFonts w:hint="eastAsia" w:ascii="宋体" w:hAnsi="宋体" w:eastAsia="宋体" w:cs="宋体"/>
          <w:bCs/>
          <w:szCs w:val="21"/>
        </w:rPr>
      </w:pPr>
      <w:r>
        <w:rPr>
          <w:rFonts w:hint="eastAsia" w:ascii="宋体" w:hAnsi="宋体" w:eastAsia="宋体" w:cs="宋体"/>
          <w:bCs/>
          <w:szCs w:val="21"/>
        </w:rPr>
        <w:t>二、质疑项目基本情况</w:t>
      </w:r>
    </w:p>
    <w:p w14:paraId="208F639E">
      <w:pPr>
        <w:widowControl w:val="0"/>
        <w:kinsoku/>
        <w:overflowPunct/>
        <w:bidi w:val="0"/>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质疑项目的名称：    包号：</w:t>
      </w:r>
    </w:p>
    <w:p w14:paraId="75582153">
      <w:pPr>
        <w:widowControl w:val="0"/>
        <w:kinsoku/>
        <w:overflowPunct/>
        <w:bidi w:val="0"/>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质疑项目的编号：</w:t>
      </w:r>
    </w:p>
    <w:p w14:paraId="0D6F6CF3">
      <w:pPr>
        <w:widowControl w:val="0"/>
        <w:kinsoku/>
        <w:overflowPunct/>
        <w:bidi w:val="0"/>
        <w:adjustRightInd w:val="0"/>
        <w:snapToGrid w:val="0"/>
        <w:spacing w:line="360" w:lineRule="auto"/>
        <w:jc w:val="both"/>
        <w:rPr>
          <w:rFonts w:hint="eastAsia" w:ascii="宋体" w:hAnsi="宋体" w:eastAsia="宋体" w:cs="宋体"/>
          <w:szCs w:val="21"/>
          <w:u w:val="dotted"/>
        </w:rPr>
      </w:pPr>
      <w:r>
        <w:rPr>
          <w:rFonts w:hint="eastAsia" w:ascii="宋体" w:hAnsi="宋体" w:eastAsia="宋体" w:cs="宋体"/>
          <w:szCs w:val="21"/>
        </w:rPr>
        <w:t>采购人名称：</w:t>
      </w:r>
    </w:p>
    <w:p w14:paraId="72654ECA">
      <w:pPr>
        <w:widowControl w:val="0"/>
        <w:kinsoku/>
        <w:overflowPunct/>
        <w:bidi w:val="0"/>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采购文件获取日期：</w:t>
      </w:r>
    </w:p>
    <w:p w14:paraId="405CA807">
      <w:pPr>
        <w:widowControl w:val="0"/>
        <w:kinsoku/>
        <w:overflowPunct/>
        <w:bidi w:val="0"/>
        <w:adjustRightInd w:val="0"/>
        <w:snapToGrid w:val="0"/>
        <w:spacing w:line="360" w:lineRule="auto"/>
        <w:jc w:val="both"/>
        <w:rPr>
          <w:rFonts w:hint="eastAsia" w:ascii="宋体" w:hAnsi="宋体" w:eastAsia="宋体" w:cs="宋体"/>
          <w:bCs/>
          <w:szCs w:val="21"/>
        </w:rPr>
      </w:pPr>
      <w:r>
        <w:rPr>
          <w:rFonts w:hint="eastAsia" w:ascii="宋体" w:hAnsi="宋体" w:eastAsia="宋体" w:cs="宋体"/>
          <w:bCs/>
          <w:szCs w:val="21"/>
        </w:rPr>
        <w:t>三、质疑事项具体内容</w:t>
      </w:r>
    </w:p>
    <w:p w14:paraId="0A78DB35">
      <w:pPr>
        <w:widowControl w:val="0"/>
        <w:kinsoku/>
        <w:overflowPunct/>
        <w:bidi w:val="0"/>
        <w:adjustRightInd w:val="0"/>
        <w:snapToGrid w:val="0"/>
        <w:spacing w:line="360" w:lineRule="auto"/>
        <w:jc w:val="both"/>
        <w:rPr>
          <w:rFonts w:hint="eastAsia" w:ascii="宋体" w:hAnsi="宋体" w:eastAsia="宋体" w:cs="宋体"/>
          <w:szCs w:val="21"/>
          <w:u w:val="dotted"/>
        </w:rPr>
      </w:pPr>
      <w:r>
        <w:rPr>
          <w:rFonts w:hint="eastAsia" w:ascii="宋体" w:hAnsi="宋体" w:eastAsia="宋体" w:cs="宋体"/>
          <w:szCs w:val="21"/>
        </w:rPr>
        <w:t>质疑事项1：</w:t>
      </w:r>
    </w:p>
    <w:p w14:paraId="7930B40C">
      <w:pPr>
        <w:widowControl w:val="0"/>
        <w:kinsoku/>
        <w:overflowPunct/>
        <w:bidi w:val="0"/>
        <w:adjustRightInd w:val="0"/>
        <w:snapToGrid w:val="0"/>
        <w:spacing w:line="360" w:lineRule="auto"/>
        <w:jc w:val="both"/>
        <w:rPr>
          <w:rFonts w:hint="eastAsia" w:ascii="宋体" w:hAnsi="宋体" w:eastAsia="宋体" w:cs="宋体"/>
          <w:szCs w:val="21"/>
          <w:u w:val="dotted"/>
        </w:rPr>
      </w:pPr>
      <w:r>
        <w:rPr>
          <w:rFonts w:hint="eastAsia" w:ascii="宋体" w:hAnsi="宋体" w:eastAsia="宋体" w:cs="宋体"/>
          <w:szCs w:val="21"/>
        </w:rPr>
        <w:t>事实依据：</w:t>
      </w:r>
    </w:p>
    <w:p w14:paraId="37A54B82">
      <w:pPr>
        <w:widowControl w:val="0"/>
        <w:kinsoku/>
        <w:overflowPunct/>
        <w:bidi w:val="0"/>
        <w:adjustRightInd w:val="0"/>
        <w:snapToGrid w:val="0"/>
        <w:spacing w:line="360" w:lineRule="auto"/>
        <w:jc w:val="both"/>
        <w:rPr>
          <w:rFonts w:hint="eastAsia" w:ascii="宋体" w:hAnsi="宋体" w:eastAsia="宋体" w:cs="宋体"/>
          <w:szCs w:val="21"/>
        </w:rPr>
      </w:pPr>
    </w:p>
    <w:p w14:paraId="7C370F2E">
      <w:pPr>
        <w:widowControl w:val="0"/>
        <w:kinsoku/>
        <w:overflowPunct/>
        <w:bidi w:val="0"/>
        <w:adjustRightInd w:val="0"/>
        <w:snapToGrid w:val="0"/>
        <w:spacing w:line="360" w:lineRule="auto"/>
        <w:jc w:val="both"/>
        <w:rPr>
          <w:rFonts w:hint="eastAsia" w:ascii="宋体" w:hAnsi="宋体" w:eastAsia="宋体" w:cs="宋体"/>
          <w:szCs w:val="21"/>
          <w:u w:val="dotted"/>
        </w:rPr>
      </w:pPr>
      <w:r>
        <w:rPr>
          <w:rFonts w:hint="eastAsia" w:ascii="宋体" w:hAnsi="宋体" w:eastAsia="宋体" w:cs="宋体"/>
          <w:szCs w:val="21"/>
        </w:rPr>
        <w:t>法律依据：</w:t>
      </w:r>
    </w:p>
    <w:p w14:paraId="38B2C94E">
      <w:pPr>
        <w:widowControl w:val="0"/>
        <w:kinsoku/>
        <w:overflowPunct/>
        <w:bidi w:val="0"/>
        <w:adjustRightInd w:val="0"/>
        <w:snapToGrid w:val="0"/>
        <w:spacing w:line="360" w:lineRule="auto"/>
        <w:jc w:val="both"/>
        <w:rPr>
          <w:rFonts w:hint="eastAsia" w:ascii="宋体" w:hAnsi="宋体" w:eastAsia="宋体" w:cs="宋体"/>
          <w:szCs w:val="21"/>
          <w:u w:val="dotted"/>
        </w:rPr>
      </w:pPr>
    </w:p>
    <w:p w14:paraId="27E01DD6">
      <w:pPr>
        <w:widowControl w:val="0"/>
        <w:kinsoku/>
        <w:overflowPunct/>
        <w:bidi w:val="0"/>
        <w:adjustRightInd w:val="0"/>
        <w:snapToGrid w:val="0"/>
        <w:spacing w:line="360" w:lineRule="auto"/>
        <w:jc w:val="both"/>
        <w:rPr>
          <w:rFonts w:hint="eastAsia" w:ascii="宋体" w:hAnsi="宋体" w:eastAsia="宋体" w:cs="宋体"/>
          <w:szCs w:val="21"/>
          <w:u w:val="dotted"/>
        </w:rPr>
      </w:pPr>
      <w:r>
        <w:rPr>
          <w:rFonts w:hint="eastAsia" w:ascii="宋体" w:hAnsi="宋体" w:eastAsia="宋体" w:cs="宋体"/>
          <w:szCs w:val="21"/>
        </w:rPr>
        <w:t>质疑事项2</w:t>
      </w:r>
    </w:p>
    <w:p w14:paraId="23BBDB9F">
      <w:pPr>
        <w:widowControl w:val="0"/>
        <w:kinsoku/>
        <w:overflowPunct/>
        <w:bidi w:val="0"/>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w:t>
      </w:r>
    </w:p>
    <w:p w14:paraId="342A6684">
      <w:pPr>
        <w:widowControl w:val="0"/>
        <w:kinsoku/>
        <w:overflowPunct/>
        <w:bidi w:val="0"/>
        <w:adjustRightInd w:val="0"/>
        <w:snapToGrid w:val="0"/>
        <w:spacing w:line="360" w:lineRule="auto"/>
        <w:jc w:val="both"/>
        <w:rPr>
          <w:rFonts w:hint="eastAsia" w:ascii="宋体" w:hAnsi="宋体" w:eastAsia="宋体" w:cs="宋体"/>
          <w:bCs/>
          <w:szCs w:val="21"/>
        </w:rPr>
      </w:pPr>
      <w:r>
        <w:rPr>
          <w:rFonts w:hint="eastAsia" w:ascii="宋体" w:hAnsi="宋体" w:eastAsia="宋体" w:cs="宋体"/>
          <w:bCs/>
          <w:szCs w:val="21"/>
        </w:rPr>
        <w:t>四、与质疑事项相关的质疑请求</w:t>
      </w:r>
    </w:p>
    <w:p w14:paraId="236B8946">
      <w:pPr>
        <w:widowControl w:val="0"/>
        <w:kinsoku/>
        <w:overflowPunct/>
        <w:bidi w:val="0"/>
        <w:adjustRightInd w:val="0"/>
        <w:snapToGrid w:val="0"/>
        <w:spacing w:line="360" w:lineRule="auto"/>
        <w:jc w:val="both"/>
        <w:rPr>
          <w:rFonts w:hint="eastAsia" w:ascii="宋体" w:hAnsi="宋体" w:eastAsia="宋体" w:cs="宋体"/>
          <w:szCs w:val="21"/>
          <w:u w:val="dotted"/>
        </w:rPr>
      </w:pPr>
      <w:r>
        <w:rPr>
          <w:rFonts w:hint="eastAsia" w:ascii="宋体" w:hAnsi="宋体" w:eastAsia="宋体" w:cs="宋体"/>
          <w:szCs w:val="21"/>
        </w:rPr>
        <w:t>请求：</w:t>
      </w:r>
    </w:p>
    <w:p w14:paraId="34BA660D">
      <w:pPr>
        <w:widowControl w:val="0"/>
        <w:kinsoku/>
        <w:overflowPunct/>
        <w:bidi w:val="0"/>
        <w:spacing w:line="360" w:lineRule="auto"/>
        <w:jc w:val="both"/>
        <w:rPr>
          <w:rFonts w:hint="eastAsia" w:ascii="宋体" w:hAnsi="宋体" w:eastAsia="宋体" w:cs="宋体"/>
          <w:szCs w:val="21"/>
        </w:rPr>
      </w:pPr>
      <w:r>
        <w:rPr>
          <w:rFonts w:hint="eastAsia" w:ascii="宋体" w:hAnsi="宋体" w:eastAsia="宋体" w:cs="宋体"/>
          <w:szCs w:val="21"/>
        </w:rPr>
        <w:t xml:space="preserve">签字(签章)：                   公章：                      </w:t>
      </w:r>
    </w:p>
    <w:p w14:paraId="12C133FF">
      <w:pPr>
        <w:widowControl w:val="0"/>
        <w:kinsoku/>
        <w:overflowPunct/>
        <w:bidi w:val="0"/>
        <w:spacing w:line="360" w:lineRule="auto"/>
        <w:jc w:val="both"/>
        <w:rPr>
          <w:rFonts w:hint="eastAsia" w:ascii="宋体" w:hAnsi="宋体" w:eastAsia="宋体" w:cs="宋体"/>
          <w:szCs w:val="21"/>
        </w:rPr>
      </w:pPr>
      <w:r>
        <w:rPr>
          <w:rFonts w:hint="eastAsia" w:ascii="宋体" w:hAnsi="宋体" w:eastAsia="宋体" w:cs="宋体"/>
          <w:szCs w:val="21"/>
        </w:rPr>
        <w:t xml:space="preserve">日期：    </w:t>
      </w:r>
    </w:p>
    <w:p w14:paraId="7827229A">
      <w:pPr>
        <w:widowControl w:val="0"/>
        <w:kinsoku/>
        <w:overflowPunct/>
        <w:bidi w:val="0"/>
        <w:spacing w:line="360" w:lineRule="auto"/>
        <w:jc w:val="both"/>
        <w:rPr>
          <w:rFonts w:hint="eastAsia" w:ascii="宋体" w:hAnsi="宋体" w:eastAsia="宋体" w:cs="宋体"/>
          <w:b/>
          <w:szCs w:val="21"/>
        </w:rPr>
      </w:pPr>
      <w:r>
        <w:rPr>
          <w:rFonts w:hint="eastAsia" w:ascii="宋体" w:hAnsi="宋体" w:eastAsia="宋体" w:cs="宋体"/>
          <w:b/>
          <w:szCs w:val="21"/>
        </w:rPr>
        <w:t>说明：</w:t>
      </w:r>
    </w:p>
    <w:p w14:paraId="55CA3B18">
      <w:pPr>
        <w:widowControl/>
        <w:kinsoku/>
        <w:overflowPunct/>
        <w:bidi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1.投标人提出质疑时，应提交质疑函和必要的证明材料，投标人在法定质疑期内应一次性提出针对同一采购程序环节的质疑。</w:t>
      </w:r>
    </w:p>
    <w:p w14:paraId="392A0FB5">
      <w:pPr>
        <w:widowControl/>
        <w:kinsoku/>
        <w:overflowPunct/>
        <w:bidi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2.质疑投标人若委托代理人进行质疑的，质疑函应按要求列明“授权代表”的有关内容，并在附件中提交由质疑</w:t>
      </w:r>
      <w:r>
        <w:rPr>
          <w:rFonts w:hint="eastAsia" w:ascii="宋体" w:hAnsi="宋体" w:eastAsia="宋体" w:cs="宋体"/>
          <w:kern w:val="0"/>
          <w:szCs w:val="21"/>
        </w:rPr>
        <w:t>投标人签署的授权委托书。授权委托书应载明代理人的姓名或者名称、代理事项、具体权限、期限和相关事项。</w:t>
      </w:r>
    </w:p>
    <w:p w14:paraId="1B0478A8">
      <w:pPr>
        <w:widowControl/>
        <w:kinsoku/>
        <w:overflowPunct/>
        <w:bidi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3.质疑投标人若对项目的某一分包进行质疑，质疑函中应列明具体分包号。</w:t>
      </w:r>
    </w:p>
    <w:p w14:paraId="069442B0">
      <w:pPr>
        <w:widowControl/>
        <w:kinsoku/>
        <w:overflowPunct/>
        <w:bidi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4.质疑函的质疑事项应具体、明确，并有必要的事实依据和法律依据。</w:t>
      </w:r>
    </w:p>
    <w:p w14:paraId="2F9E3A17">
      <w:pPr>
        <w:widowControl/>
        <w:kinsoku/>
        <w:overflowPunct/>
        <w:bidi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5.质疑函的质疑请求应与质疑事项相关。</w:t>
      </w:r>
    </w:p>
    <w:p w14:paraId="72A582CC">
      <w:pPr>
        <w:widowControl/>
        <w:kinsoku/>
        <w:overflowPunct/>
        <w:bidi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6.质疑投标人为自然人的，质疑函应由本人签字；质疑投标人为法人或者其他组织的，质疑函应由法定代表人、主要负责人，或者其授权代表签字或者盖章，并加盖公章。</w:t>
      </w:r>
    </w:p>
    <w:p w14:paraId="3C3437DC">
      <w:pPr>
        <w:widowControl w:val="0"/>
        <w:kinsoku/>
        <w:overflowPunct/>
        <w:bidi w:val="0"/>
        <w:adjustRightInd w:val="0"/>
        <w:snapToGrid w:val="0"/>
        <w:spacing w:line="360" w:lineRule="auto"/>
        <w:jc w:val="both"/>
        <w:rPr>
          <w:rFonts w:hint="eastAsia" w:ascii="宋体" w:hAnsi="宋体" w:eastAsia="宋体" w:cs="宋体"/>
          <w:szCs w:val="21"/>
        </w:rPr>
      </w:pPr>
    </w:p>
    <w:p w14:paraId="713AFB6B">
      <w:pPr>
        <w:widowControl w:val="0"/>
        <w:kinsoku/>
        <w:overflowPunct/>
        <w:bidi w:val="0"/>
        <w:spacing w:line="360" w:lineRule="auto"/>
        <w:jc w:val="both"/>
        <w:rPr>
          <w:rFonts w:hint="eastAsia" w:ascii="宋体" w:hAnsi="宋体" w:eastAsia="宋体" w:cs="宋体"/>
          <w:sz w:val="28"/>
          <w:szCs w:val="28"/>
        </w:rPr>
      </w:pPr>
    </w:p>
    <w:p w14:paraId="7B1F966E">
      <w:pPr>
        <w:spacing w:line="360" w:lineRule="auto"/>
        <w:ind w:firstLine="480" w:firstLineChars="200"/>
        <w:rPr>
          <w:rFonts w:hint="eastAsia" w:ascii="宋体" w:hAnsi="宋体" w:eastAsiaTheme="minorEastAsia"/>
          <w:sz w:val="24"/>
          <w:szCs w:val="24"/>
          <w:lang w:eastAsia="zh-CN"/>
        </w:rPr>
      </w:pPr>
    </w:p>
    <w:p w14:paraId="3353BF41">
      <w:pPr>
        <w:widowControl/>
        <w:spacing w:line="360" w:lineRule="auto"/>
        <w:jc w:val="left"/>
        <w:rPr>
          <w:rFonts w:ascii="宋体"/>
          <w:sz w:val="24"/>
          <w:szCs w:val="24"/>
        </w:rPr>
      </w:pPr>
      <w:r>
        <w:rPr>
          <w:rFonts w:ascii="宋体"/>
          <w:sz w:val="24"/>
          <w:szCs w:val="24"/>
        </w:rPr>
        <w:br w:type="page"/>
      </w:r>
    </w:p>
    <w:p w14:paraId="174B7FB0">
      <w:pPr>
        <w:spacing w:line="360" w:lineRule="auto"/>
        <w:rPr>
          <w:rFonts w:ascii="宋体"/>
          <w:sz w:val="24"/>
          <w:szCs w:val="24"/>
        </w:rPr>
      </w:pPr>
    </w:p>
    <w:p w14:paraId="6C885576">
      <w:pPr>
        <w:spacing w:line="360" w:lineRule="auto"/>
        <w:jc w:val="center"/>
        <w:outlineLvl w:val="0"/>
        <w:rPr>
          <w:rFonts w:ascii="宋体" w:hAnsi="宋体" w:eastAsia="宋体" w:cs="宋体"/>
          <w:b/>
          <w:sz w:val="24"/>
          <w:szCs w:val="24"/>
        </w:rPr>
      </w:pPr>
      <w:bookmarkStart w:id="120" w:name="_Toc28182"/>
      <w:r>
        <w:rPr>
          <w:rFonts w:hint="eastAsia" w:ascii="宋体" w:hAnsi="宋体" w:eastAsia="宋体" w:cs="宋体"/>
          <w:b/>
          <w:sz w:val="24"/>
          <w:szCs w:val="24"/>
        </w:rPr>
        <w:t>第</w:t>
      </w:r>
      <w:r>
        <w:rPr>
          <w:rFonts w:hint="eastAsia" w:ascii="宋体" w:hAnsi="宋体" w:eastAsia="宋体" w:cs="宋体"/>
          <w:b/>
          <w:sz w:val="24"/>
          <w:szCs w:val="24"/>
          <w:lang w:val="en-US" w:eastAsia="zh-CN"/>
        </w:rPr>
        <w:t>六</w:t>
      </w:r>
      <w:r>
        <w:rPr>
          <w:rFonts w:hint="eastAsia" w:ascii="宋体" w:hAnsi="宋体" w:eastAsia="宋体" w:cs="宋体"/>
          <w:b/>
          <w:sz w:val="24"/>
          <w:szCs w:val="24"/>
        </w:rPr>
        <w:t>章 补充条款</w:t>
      </w:r>
      <w:bookmarkEnd w:id="120"/>
    </w:p>
    <w:p w14:paraId="4E1AF179">
      <w:pPr>
        <w:spacing w:line="360" w:lineRule="auto"/>
        <w:ind w:firstLine="480" w:firstLineChars="200"/>
        <w:rPr>
          <w:rFonts w:ascii="宋体" w:hAnsi="宋体" w:eastAsia="宋体" w:cs="Times New Roman"/>
          <w:sz w:val="24"/>
          <w:szCs w:val="24"/>
        </w:rPr>
      </w:pPr>
    </w:p>
    <w:sectPr>
      <w:headerReference r:id="rId8" w:type="default"/>
      <w:footerReference r:id="rId9"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方正仿宋简体">
    <w:panose1 w:val="02000000000000000000"/>
    <w:charset w:val="86"/>
    <w:family w:val="auto"/>
    <w:pitch w:val="default"/>
    <w:sig w:usb0="A00002BF" w:usb1="184F6CFA" w:usb2="00000012"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SimSun">
    <w:altName w:val="宋体"/>
    <w:panose1 w:val="00000000000000000000"/>
    <w:charset w:val="86"/>
    <w:family w:val="roma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96149">
    <w:pPr>
      <w:pStyle w:val="21"/>
      <w:jc w:val="center"/>
    </w:pPr>
  </w:p>
  <w:p w14:paraId="2E95E129">
    <w:pPr>
      <w:pStyle w:val="21"/>
      <w:tabs>
        <w:tab w:val="left" w:pos="4200"/>
        <w:tab w:val="left" w:pos="4620"/>
        <w:tab w:val="clear" w:pos="8306"/>
      </w:tabs>
      <w:ind w:right="360"/>
      <w:rPr>
        <w:rFonts w:asciiTheme="minorEastAsia" w:hAnsiTheme="minorEastAsia" w:eastAsiaTheme="minorEastAsia"/>
        <w:sz w:val="30"/>
        <w:szCs w:val="30"/>
      </w:rPr>
    </w:pPr>
    <w:r>
      <w:rPr>
        <w:rFonts w:asciiTheme="minorEastAsia" w:hAnsiTheme="minorEastAsia" w:eastAsiaTheme="minorEastAsia"/>
        <w:sz w:val="30"/>
        <w:szCs w:val="30"/>
      </w:rPr>
      <w:tab/>
    </w:r>
    <w:r>
      <w:rPr>
        <w:rFonts w:asciiTheme="minorEastAsia" w:hAnsiTheme="minorEastAsia" w:eastAsiaTheme="minorEastAsia"/>
        <w:sz w:val="30"/>
        <w:szCs w:val="30"/>
      </w:rPr>
      <w:tab/>
    </w:r>
    <w:r>
      <w:rPr>
        <w:rFonts w:asciiTheme="minorEastAsia" w:hAnsiTheme="minorEastAsia" w:eastAsiaTheme="minorEastAsia"/>
        <w:sz w:val="30"/>
        <w:szCs w:val="30"/>
      </w:rPr>
      <w:tab/>
    </w:r>
    <w:r>
      <w:rPr>
        <w:rFonts w:asciiTheme="minorEastAsia" w:hAnsiTheme="minorEastAsia" w:eastAsiaTheme="minorEastAsia"/>
        <w:sz w:val="30"/>
        <w:szCs w:val="3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369A3">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459A7">
    <w:pPr>
      <w:pStyle w:val="21"/>
      <w:jc w:val="center"/>
    </w:pPr>
  </w:p>
  <w:p w14:paraId="16DEF90E">
    <w:pPr>
      <w:pStyle w:val="21"/>
      <w:tabs>
        <w:tab w:val="left" w:pos="4200"/>
        <w:tab w:val="left" w:pos="4620"/>
        <w:tab w:val="clear" w:pos="8306"/>
      </w:tabs>
      <w:ind w:right="360"/>
      <w:rPr>
        <w:rFonts w:asciiTheme="minorEastAsia" w:hAnsiTheme="minorEastAsia" w:eastAsiaTheme="minorEastAsia"/>
        <w:sz w:val="30"/>
        <w:szCs w:val="30"/>
      </w:rPr>
    </w:pPr>
    <w:r>
      <w:rPr>
        <w:rFonts w:asciiTheme="minorEastAsia" w:hAnsiTheme="minorEastAsia" w:eastAsiaTheme="minorEastAsia"/>
        <w:sz w:val="30"/>
        <w:szCs w:val="30"/>
      </w:rPr>
      <w:tab/>
    </w:r>
    <w:r>
      <w:rPr>
        <w:rFonts w:asciiTheme="minorEastAsia" w:hAnsiTheme="minorEastAsia" w:eastAsiaTheme="minorEastAsia"/>
        <w:sz w:val="30"/>
        <w:szCs w:val="30"/>
      </w:rPr>
      <w:tab/>
    </w:r>
    <w:r>
      <w:rPr>
        <w:rFonts w:asciiTheme="minorEastAsia" w:hAnsiTheme="minorEastAsia" w:eastAsiaTheme="minorEastAsia"/>
        <w:sz w:val="30"/>
        <w:szCs w:val="30"/>
      </w:rPr>
      <w:tab/>
    </w:r>
    <w:r>
      <w:rPr>
        <w:rFonts w:asciiTheme="minorEastAsia" w:hAnsiTheme="minorEastAsia" w:eastAsiaTheme="minorEastAsia"/>
        <w:sz w:val="30"/>
        <w:szCs w:val="3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79972">
    <w:pPr>
      <w:pStyle w:val="2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2EA81C">
                          <w:pPr>
                            <w:pStyle w:val="2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12EA81C">
                    <w:pPr>
                      <w:pStyle w:val="21"/>
                    </w:pPr>
                    <w:r>
                      <w:fldChar w:fldCharType="begin"/>
                    </w:r>
                    <w:r>
                      <w:instrText xml:space="preserve"> PAGE  \* MERGEFORMAT </w:instrText>
                    </w:r>
                    <w:r>
                      <w:fldChar w:fldCharType="separate"/>
                    </w:r>
                    <w:r>
                      <w:t>2</w:t>
                    </w:r>
                    <w:r>
                      <w:fldChar w:fldCharType="end"/>
                    </w:r>
                  </w:p>
                </w:txbxContent>
              </v:textbox>
            </v:shape>
          </w:pict>
        </mc:Fallback>
      </mc:AlternateContent>
    </w:r>
  </w:p>
  <w:p w14:paraId="45092A3A">
    <w:pPr>
      <w:pStyle w:val="21"/>
      <w:tabs>
        <w:tab w:val="left" w:pos="4200"/>
        <w:tab w:val="left" w:pos="4620"/>
        <w:tab w:val="clear" w:pos="8306"/>
      </w:tabs>
      <w:ind w:right="360"/>
      <w:rPr>
        <w:rFonts w:asciiTheme="minorEastAsia" w:hAnsiTheme="minorEastAsia" w:eastAsiaTheme="minorEastAsia"/>
        <w:sz w:val="30"/>
        <w:szCs w:val="30"/>
      </w:rPr>
    </w:pPr>
    <w:r>
      <w:rPr>
        <w:rFonts w:asciiTheme="minorEastAsia" w:hAnsiTheme="minorEastAsia" w:eastAsiaTheme="minorEastAsia"/>
        <w:sz w:val="30"/>
        <w:szCs w:val="30"/>
      </w:rPr>
      <w:tab/>
    </w:r>
    <w:r>
      <w:rPr>
        <w:rFonts w:asciiTheme="minorEastAsia" w:hAnsiTheme="minorEastAsia" w:eastAsiaTheme="minorEastAsia"/>
        <w:sz w:val="30"/>
        <w:szCs w:val="30"/>
      </w:rPr>
      <w:tab/>
    </w:r>
    <w:r>
      <w:rPr>
        <w:rFonts w:asciiTheme="minorEastAsia" w:hAnsiTheme="minorEastAsia" w:eastAsiaTheme="minorEastAsia"/>
        <w:sz w:val="30"/>
        <w:szCs w:val="30"/>
      </w:rPr>
      <w:tab/>
    </w:r>
    <w:r>
      <w:rPr>
        <w:rFonts w:asciiTheme="minorEastAsia" w:hAnsiTheme="minorEastAsia" w:eastAsiaTheme="minorEastAsia"/>
        <w:sz w:val="30"/>
        <w:szCs w:val="30"/>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C0442">
    <w:pPr>
      <w:pStyle w:val="2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560551">
                          <w:pPr>
                            <w:pStyle w:val="21"/>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9560551">
                    <w:pPr>
                      <w:pStyle w:val="21"/>
                    </w:pPr>
                    <w:r>
                      <w:fldChar w:fldCharType="begin"/>
                    </w:r>
                    <w:r>
                      <w:instrText xml:space="preserve"> PAGE  \* MERGEFORMAT </w:instrText>
                    </w:r>
                    <w:r>
                      <w:fldChar w:fldCharType="separate"/>
                    </w:r>
                    <w:r>
                      <w:t>80</w:t>
                    </w:r>
                    <w:r>
                      <w:fldChar w:fldCharType="end"/>
                    </w:r>
                  </w:p>
                </w:txbxContent>
              </v:textbox>
            </v:shape>
          </w:pict>
        </mc:Fallback>
      </mc:AlternateContent>
    </w:r>
  </w:p>
  <w:p w14:paraId="57699DDC">
    <w:pPr>
      <w:pStyle w:val="21"/>
      <w:tabs>
        <w:tab w:val="left" w:pos="4200"/>
        <w:tab w:val="left" w:pos="4620"/>
        <w:tab w:val="clear" w:pos="8306"/>
      </w:tabs>
      <w:ind w:right="360"/>
      <w:rPr>
        <w:rFonts w:asciiTheme="minorEastAsia" w:hAnsiTheme="minorEastAsia" w:eastAsiaTheme="minorEastAsia"/>
        <w:sz w:val="30"/>
        <w:szCs w:val="30"/>
      </w:rPr>
    </w:pPr>
    <w:r>
      <w:rPr>
        <w:rFonts w:asciiTheme="minorEastAsia" w:hAnsiTheme="minorEastAsia" w:eastAsiaTheme="minorEastAsia"/>
        <w:sz w:val="30"/>
        <w:szCs w:val="30"/>
      </w:rPr>
      <w:tab/>
    </w:r>
    <w:r>
      <w:rPr>
        <w:rFonts w:asciiTheme="minorEastAsia" w:hAnsiTheme="minorEastAsia" w:eastAsiaTheme="minorEastAsia"/>
        <w:sz w:val="30"/>
        <w:szCs w:val="30"/>
      </w:rPr>
      <w:tab/>
    </w:r>
    <w:r>
      <w:rPr>
        <w:rFonts w:asciiTheme="minorEastAsia" w:hAnsiTheme="minorEastAsia" w:eastAsiaTheme="minorEastAsia"/>
        <w:sz w:val="30"/>
        <w:szCs w:val="30"/>
      </w:rPr>
      <w:tab/>
    </w:r>
    <w:r>
      <w:rPr>
        <w:rFonts w:asciiTheme="minorEastAsia" w:hAnsiTheme="minorEastAsia" w:eastAsiaTheme="minorEastAsia"/>
        <w:sz w:val="30"/>
        <w:szCs w:val="30"/>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B28CB">
    <w:pPr>
      <w:pBdr>
        <w:bottom w:val="none" w:color="auto" w:sz="0" w:space="0"/>
      </w:pBdr>
      <w:snapToGrid w:val="0"/>
      <w:jc w:val="center"/>
      <w:rPr>
        <w:rFonts w:ascii="Times New Roman" w:hAnsi="Times New Roman" w:eastAsia="宋体" w:cs="Times New Roman"/>
        <w:kern w:val="2"/>
        <w:sz w:val="18"/>
        <w:szCs w:val="20"/>
        <w:lang w:val="en-US" w:eastAsia="zh-CN" w:bidi="ar-SA"/>
      </w:rPr>
    </w:pPr>
    <w:ins w:id="0" w:author="乐由" w:date="2025-03-18T11:42:00Z">
      <w:r>
        <w:rPr>
          <w:rFonts w:ascii="Times New Roman" w:hAnsi="Times New Roman" w:eastAsia="宋体" w:cs="Times New Roman"/>
          <w:kern w:val="2"/>
          <w:sz w:val="18"/>
          <w:szCs w:val="20"/>
          <w:lang w:val="en-US" w:eastAsia="zh-CN" w:bidi="ar-SA"/>
        </w:rPr>
        <w:drawing>
          <wp:anchor distT="0" distB="0" distL="114300" distR="114300" simplePos="0" relativeHeight="251660288" behindDoc="0" locked="0" layoutInCell="1" allowOverlap="1">
            <wp:simplePos x="0" y="0"/>
            <wp:positionH relativeFrom="column">
              <wp:posOffset>-240030</wp:posOffset>
            </wp:positionH>
            <wp:positionV relativeFrom="paragraph">
              <wp:posOffset>-326390</wp:posOffset>
            </wp:positionV>
            <wp:extent cx="6629400" cy="868680"/>
            <wp:effectExtent l="0" t="0" r="0" b="0"/>
            <wp:wrapNone/>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
                      <a:clrChange>
                        <a:clrFrom>
                          <a:srgbClr val="FFFFFF"/>
                        </a:clrFrom>
                        <a:clrTo>
                          <a:srgbClr val="FFFFFF">
                            <a:alpha val="0"/>
                          </a:srgbClr>
                        </a:clrTo>
                      </a:clrChange>
                    </a:blip>
                    <a:srcRect l="645" t="3677" r="861" b="6235"/>
                    <a:stretch>
                      <a:fillRect/>
                    </a:stretch>
                  </pic:blipFill>
                  <pic:spPr>
                    <a:xfrm>
                      <a:off x="0" y="0"/>
                      <a:ext cx="6629400" cy="868680"/>
                    </a:xfrm>
                    <a:prstGeom prst="rect">
                      <a:avLst/>
                    </a:prstGeom>
                    <a:noFill/>
                    <a:ln>
                      <a:noFill/>
                    </a:ln>
                  </pic:spPr>
                </pic:pic>
              </a:graphicData>
            </a:graphic>
          </wp:anchor>
        </w:drawing>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22745">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167BD3"/>
    <w:multiLevelType w:val="singleLevel"/>
    <w:tmpl w:val="E7167BD3"/>
    <w:lvl w:ilvl="0" w:tentative="0">
      <w:start w:val="2"/>
      <w:numFmt w:val="chineseCounting"/>
      <w:suff w:val="nothing"/>
      <w:lvlText w:val="（%1）"/>
      <w:lvlJc w:val="left"/>
      <w:rPr>
        <w:rFonts w:hint="eastAsia"/>
      </w:rPr>
    </w:lvl>
  </w:abstractNum>
  <w:abstractNum w:abstractNumId="1">
    <w:nsid w:val="3E3FFB4A"/>
    <w:multiLevelType w:val="singleLevel"/>
    <w:tmpl w:val="3E3FFB4A"/>
    <w:lvl w:ilvl="0" w:tentative="0">
      <w:start w:val="4"/>
      <w:numFmt w:val="chineseCounting"/>
      <w:suff w:val="nothing"/>
      <w:lvlText w:val="%1、"/>
      <w:lvlJc w:val="left"/>
      <w:rPr>
        <w:rFonts w:hint="eastAsia"/>
      </w:rPr>
    </w:lvl>
  </w:abstractNum>
  <w:abstractNum w:abstractNumId="2">
    <w:nsid w:val="58A56851"/>
    <w:multiLevelType w:val="multilevel"/>
    <w:tmpl w:val="58A56851"/>
    <w:lvl w:ilvl="0" w:tentative="0">
      <w:start w:val="3"/>
      <w:numFmt w:val="decimal"/>
      <w:lvlText w:val="%1"/>
      <w:lvlJc w:val="left"/>
      <w:pPr>
        <w:ind w:left="360" w:hanging="360"/>
      </w:pPr>
      <w:rPr>
        <w:rFonts w:hint="default" w:hAnsi="宋体"/>
      </w:rPr>
    </w:lvl>
    <w:lvl w:ilvl="1" w:tentative="0">
      <w:start w:val="1"/>
      <w:numFmt w:val="decimal"/>
      <w:lvlText w:val="%1.%2"/>
      <w:lvlJc w:val="left"/>
      <w:pPr>
        <w:ind w:left="1069" w:hanging="360"/>
      </w:pPr>
      <w:rPr>
        <w:rFonts w:hint="default" w:hAnsi="宋体"/>
      </w:rPr>
    </w:lvl>
    <w:lvl w:ilvl="2" w:tentative="0">
      <w:start w:val="1"/>
      <w:numFmt w:val="decimal"/>
      <w:lvlText w:val="%1.%2.%3"/>
      <w:lvlJc w:val="left"/>
      <w:pPr>
        <w:ind w:left="1680" w:hanging="720"/>
      </w:pPr>
      <w:rPr>
        <w:rFonts w:hint="default" w:hAnsi="宋体"/>
      </w:rPr>
    </w:lvl>
    <w:lvl w:ilvl="3" w:tentative="0">
      <w:start w:val="1"/>
      <w:numFmt w:val="decimal"/>
      <w:lvlText w:val="%1.%2.%3.%4"/>
      <w:lvlJc w:val="left"/>
      <w:pPr>
        <w:ind w:left="2520" w:hanging="1080"/>
      </w:pPr>
      <w:rPr>
        <w:rFonts w:hint="default" w:hAnsi="宋体"/>
      </w:rPr>
    </w:lvl>
    <w:lvl w:ilvl="4" w:tentative="0">
      <w:start w:val="1"/>
      <w:numFmt w:val="decimal"/>
      <w:lvlText w:val="%1.%2.%3.%4.%5"/>
      <w:lvlJc w:val="left"/>
      <w:pPr>
        <w:ind w:left="3000" w:hanging="1080"/>
      </w:pPr>
      <w:rPr>
        <w:rFonts w:hint="default" w:hAnsi="宋体"/>
      </w:rPr>
    </w:lvl>
    <w:lvl w:ilvl="5" w:tentative="0">
      <w:start w:val="1"/>
      <w:numFmt w:val="decimal"/>
      <w:lvlText w:val="%1.%2.%3.%4.%5.%6"/>
      <w:lvlJc w:val="left"/>
      <w:pPr>
        <w:ind w:left="3840" w:hanging="1440"/>
      </w:pPr>
      <w:rPr>
        <w:rFonts w:hint="default" w:hAnsi="宋体"/>
      </w:rPr>
    </w:lvl>
    <w:lvl w:ilvl="6" w:tentative="0">
      <w:start w:val="1"/>
      <w:numFmt w:val="decimal"/>
      <w:lvlText w:val="%1.%2.%3.%4.%5.%6.%7"/>
      <w:lvlJc w:val="left"/>
      <w:pPr>
        <w:ind w:left="4680" w:hanging="1800"/>
      </w:pPr>
      <w:rPr>
        <w:rFonts w:hint="default" w:hAnsi="宋体"/>
      </w:rPr>
    </w:lvl>
    <w:lvl w:ilvl="7" w:tentative="0">
      <w:start w:val="1"/>
      <w:numFmt w:val="decimal"/>
      <w:lvlText w:val="%1.%2.%3.%4.%5.%6.%7.%8"/>
      <w:lvlJc w:val="left"/>
      <w:pPr>
        <w:ind w:left="5160" w:hanging="1800"/>
      </w:pPr>
      <w:rPr>
        <w:rFonts w:hint="default" w:hAnsi="宋体"/>
      </w:rPr>
    </w:lvl>
    <w:lvl w:ilvl="8" w:tentative="0">
      <w:start w:val="1"/>
      <w:numFmt w:val="decimal"/>
      <w:lvlText w:val="%1.%2.%3.%4.%5.%6.%7.%8.%9"/>
      <w:lvlJc w:val="left"/>
      <w:pPr>
        <w:ind w:left="6000" w:hanging="2160"/>
      </w:pPr>
      <w:rPr>
        <w:rFonts w:hint="default" w:hAnsi="宋体"/>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乐由">
    <w15:presenceInfo w15:providerId="None" w15:userId="乐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hOTBmZWY0NWMzNzcxNmZjNTIzMjgxZDVjYTBlZmEifQ=="/>
  </w:docVars>
  <w:rsids>
    <w:rsidRoot w:val="00101AA4"/>
    <w:rsid w:val="000012BE"/>
    <w:rsid w:val="00001340"/>
    <w:rsid w:val="00004DAA"/>
    <w:rsid w:val="000050EE"/>
    <w:rsid w:val="00005347"/>
    <w:rsid w:val="0000561D"/>
    <w:rsid w:val="00006BD9"/>
    <w:rsid w:val="00007BA8"/>
    <w:rsid w:val="00014F7D"/>
    <w:rsid w:val="000162FE"/>
    <w:rsid w:val="00017053"/>
    <w:rsid w:val="000170BC"/>
    <w:rsid w:val="00017129"/>
    <w:rsid w:val="00021248"/>
    <w:rsid w:val="00021650"/>
    <w:rsid w:val="00022C49"/>
    <w:rsid w:val="000244CA"/>
    <w:rsid w:val="000257AD"/>
    <w:rsid w:val="0002777E"/>
    <w:rsid w:val="00030171"/>
    <w:rsid w:val="00030818"/>
    <w:rsid w:val="00033566"/>
    <w:rsid w:val="000365E9"/>
    <w:rsid w:val="000367BC"/>
    <w:rsid w:val="00036B12"/>
    <w:rsid w:val="000400E8"/>
    <w:rsid w:val="000401AA"/>
    <w:rsid w:val="00044B32"/>
    <w:rsid w:val="00044B5E"/>
    <w:rsid w:val="00046152"/>
    <w:rsid w:val="000463C4"/>
    <w:rsid w:val="00046679"/>
    <w:rsid w:val="00047E9D"/>
    <w:rsid w:val="0005003E"/>
    <w:rsid w:val="000535B9"/>
    <w:rsid w:val="000558A8"/>
    <w:rsid w:val="00056F12"/>
    <w:rsid w:val="000604DE"/>
    <w:rsid w:val="00062D03"/>
    <w:rsid w:val="000641A9"/>
    <w:rsid w:val="000661C0"/>
    <w:rsid w:val="00070AF5"/>
    <w:rsid w:val="0007128D"/>
    <w:rsid w:val="00073D96"/>
    <w:rsid w:val="00074153"/>
    <w:rsid w:val="000747C1"/>
    <w:rsid w:val="000762D4"/>
    <w:rsid w:val="00077DB3"/>
    <w:rsid w:val="0008025F"/>
    <w:rsid w:val="00080E16"/>
    <w:rsid w:val="0008110D"/>
    <w:rsid w:val="0008112D"/>
    <w:rsid w:val="000828DB"/>
    <w:rsid w:val="00082FC4"/>
    <w:rsid w:val="00084414"/>
    <w:rsid w:val="000904A3"/>
    <w:rsid w:val="00090F37"/>
    <w:rsid w:val="000916AB"/>
    <w:rsid w:val="000923E8"/>
    <w:rsid w:val="00094989"/>
    <w:rsid w:val="00096C82"/>
    <w:rsid w:val="000A02F9"/>
    <w:rsid w:val="000A05D3"/>
    <w:rsid w:val="000A32B9"/>
    <w:rsid w:val="000A3552"/>
    <w:rsid w:val="000A452A"/>
    <w:rsid w:val="000B210F"/>
    <w:rsid w:val="000B318F"/>
    <w:rsid w:val="000B331B"/>
    <w:rsid w:val="000B4C6A"/>
    <w:rsid w:val="000B4CF1"/>
    <w:rsid w:val="000B6B84"/>
    <w:rsid w:val="000B6D8A"/>
    <w:rsid w:val="000B7323"/>
    <w:rsid w:val="000D140E"/>
    <w:rsid w:val="000D171A"/>
    <w:rsid w:val="000D4549"/>
    <w:rsid w:val="000D7CE7"/>
    <w:rsid w:val="000E4BDE"/>
    <w:rsid w:val="000E5B9C"/>
    <w:rsid w:val="000E7461"/>
    <w:rsid w:val="000F4779"/>
    <w:rsid w:val="000F616C"/>
    <w:rsid w:val="00101AA4"/>
    <w:rsid w:val="001063D0"/>
    <w:rsid w:val="0010650C"/>
    <w:rsid w:val="00110B0A"/>
    <w:rsid w:val="00112637"/>
    <w:rsid w:val="00113108"/>
    <w:rsid w:val="00115A04"/>
    <w:rsid w:val="00115A4B"/>
    <w:rsid w:val="0011725D"/>
    <w:rsid w:val="00120CC5"/>
    <w:rsid w:val="001226ED"/>
    <w:rsid w:val="00127B38"/>
    <w:rsid w:val="00127C9A"/>
    <w:rsid w:val="0013312B"/>
    <w:rsid w:val="00134F82"/>
    <w:rsid w:val="001356D1"/>
    <w:rsid w:val="00136693"/>
    <w:rsid w:val="00141AFD"/>
    <w:rsid w:val="00142BB8"/>
    <w:rsid w:val="00144251"/>
    <w:rsid w:val="0014554F"/>
    <w:rsid w:val="00146E26"/>
    <w:rsid w:val="001550E0"/>
    <w:rsid w:val="00156E9C"/>
    <w:rsid w:val="00157673"/>
    <w:rsid w:val="0015794E"/>
    <w:rsid w:val="001608BD"/>
    <w:rsid w:val="00161961"/>
    <w:rsid w:val="001619D8"/>
    <w:rsid w:val="0016644B"/>
    <w:rsid w:val="00170A17"/>
    <w:rsid w:val="00172AA0"/>
    <w:rsid w:val="001733AF"/>
    <w:rsid w:val="00176FAD"/>
    <w:rsid w:val="00177CFE"/>
    <w:rsid w:val="0018064B"/>
    <w:rsid w:val="00181200"/>
    <w:rsid w:val="00185DB4"/>
    <w:rsid w:val="001868D6"/>
    <w:rsid w:val="00187070"/>
    <w:rsid w:val="001977A1"/>
    <w:rsid w:val="001A1D16"/>
    <w:rsid w:val="001A2117"/>
    <w:rsid w:val="001A3281"/>
    <w:rsid w:val="001A45DD"/>
    <w:rsid w:val="001A4A03"/>
    <w:rsid w:val="001A4E5A"/>
    <w:rsid w:val="001A63BC"/>
    <w:rsid w:val="001B09A1"/>
    <w:rsid w:val="001B1748"/>
    <w:rsid w:val="001B3548"/>
    <w:rsid w:val="001B5A4C"/>
    <w:rsid w:val="001B6795"/>
    <w:rsid w:val="001C1B5F"/>
    <w:rsid w:val="001C1E4D"/>
    <w:rsid w:val="001C35C6"/>
    <w:rsid w:val="001C44CD"/>
    <w:rsid w:val="001D0514"/>
    <w:rsid w:val="001D0953"/>
    <w:rsid w:val="001D44C2"/>
    <w:rsid w:val="001D4B73"/>
    <w:rsid w:val="001D50A5"/>
    <w:rsid w:val="001E2949"/>
    <w:rsid w:val="001E3090"/>
    <w:rsid w:val="001E33A7"/>
    <w:rsid w:val="001E3D69"/>
    <w:rsid w:val="001E4755"/>
    <w:rsid w:val="001E6E8F"/>
    <w:rsid w:val="001E794E"/>
    <w:rsid w:val="001F1397"/>
    <w:rsid w:val="001F3A08"/>
    <w:rsid w:val="001F3B3F"/>
    <w:rsid w:val="001F610A"/>
    <w:rsid w:val="002008C9"/>
    <w:rsid w:val="00200BA8"/>
    <w:rsid w:val="00201A5E"/>
    <w:rsid w:val="0020240F"/>
    <w:rsid w:val="00203922"/>
    <w:rsid w:val="00204236"/>
    <w:rsid w:val="002055DD"/>
    <w:rsid w:val="00205CB7"/>
    <w:rsid w:val="00205DF6"/>
    <w:rsid w:val="00205F22"/>
    <w:rsid w:val="00212925"/>
    <w:rsid w:val="00213725"/>
    <w:rsid w:val="00214257"/>
    <w:rsid w:val="00215F58"/>
    <w:rsid w:val="00216081"/>
    <w:rsid w:val="00216A82"/>
    <w:rsid w:val="0022177D"/>
    <w:rsid w:val="00223931"/>
    <w:rsid w:val="00225071"/>
    <w:rsid w:val="00226DEC"/>
    <w:rsid w:val="002271BB"/>
    <w:rsid w:val="00235D98"/>
    <w:rsid w:val="00236D43"/>
    <w:rsid w:val="00240CBC"/>
    <w:rsid w:val="002472C0"/>
    <w:rsid w:val="002506FA"/>
    <w:rsid w:val="002508FA"/>
    <w:rsid w:val="00253DC3"/>
    <w:rsid w:val="002541CE"/>
    <w:rsid w:val="00255007"/>
    <w:rsid w:val="00257F22"/>
    <w:rsid w:val="002604A7"/>
    <w:rsid w:val="00260910"/>
    <w:rsid w:val="00260CAA"/>
    <w:rsid w:val="00262A31"/>
    <w:rsid w:val="002635F4"/>
    <w:rsid w:val="0026515E"/>
    <w:rsid w:val="002652AB"/>
    <w:rsid w:val="00266F04"/>
    <w:rsid w:val="002723F1"/>
    <w:rsid w:val="00275662"/>
    <w:rsid w:val="00281F5B"/>
    <w:rsid w:val="00285885"/>
    <w:rsid w:val="002967DA"/>
    <w:rsid w:val="002A1F2B"/>
    <w:rsid w:val="002A24A7"/>
    <w:rsid w:val="002A2AF4"/>
    <w:rsid w:val="002A62F8"/>
    <w:rsid w:val="002A7CE2"/>
    <w:rsid w:val="002B0041"/>
    <w:rsid w:val="002B01D0"/>
    <w:rsid w:val="002B0D5C"/>
    <w:rsid w:val="002B77E1"/>
    <w:rsid w:val="002C08ED"/>
    <w:rsid w:val="002C2DD2"/>
    <w:rsid w:val="002D0F6D"/>
    <w:rsid w:val="002D14CF"/>
    <w:rsid w:val="002D280B"/>
    <w:rsid w:val="002D3439"/>
    <w:rsid w:val="002D3D7E"/>
    <w:rsid w:val="002D635D"/>
    <w:rsid w:val="002D6CF2"/>
    <w:rsid w:val="002D748B"/>
    <w:rsid w:val="002E1B8A"/>
    <w:rsid w:val="002E25BC"/>
    <w:rsid w:val="002E5AAD"/>
    <w:rsid w:val="002E76D7"/>
    <w:rsid w:val="002E7EA1"/>
    <w:rsid w:val="002F10F5"/>
    <w:rsid w:val="002F218A"/>
    <w:rsid w:val="002F2283"/>
    <w:rsid w:val="002F2651"/>
    <w:rsid w:val="002F3DC5"/>
    <w:rsid w:val="002F7348"/>
    <w:rsid w:val="00300C92"/>
    <w:rsid w:val="003038CF"/>
    <w:rsid w:val="00304A1A"/>
    <w:rsid w:val="00304D2D"/>
    <w:rsid w:val="0030565D"/>
    <w:rsid w:val="00305963"/>
    <w:rsid w:val="00305EE3"/>
    <w:rsid w:val="0030747A"/>
    <w:rsid w:val="003074CE"/>
    <w:rsid w:val="00310798"/>
    <w:rsid w:val="00313F13"/>
    <w:rsid w:val="00315623"/>
    <w:rsid w:val="00315D4B"/>
    <w:rsid w:val="00315D59"/>
    <w:rsid w:val="00316840"/>
    <w:rsid w:val="00316DBA"/>
    <w:rsid w:val="00317AFA"/>
    <w:rsid w:val="00317D34"/>
    <w:rsid w:val="00320C00"/>
    <w:rsid w:val="00326152"/>
    <w:rsid w:val="00327612"/>
    <w:rsid w:val="00327853"/>
    <w:rsid w:val="00331C14"/>
    <w:rsid w:val="00334394"/>
    <w:rsid w:val="00336098"/>
    <w:rsid w:val="00336995"/>
    <w:rsid w:val="00336EED"/>
    <w:rsid w:val="00346C4E"/>
    <w:rsid w:val="00347E66"/>
    <w:rsid w:val="00350B64"/>
    <w:rsid w:val="003516F5"/>
    <w:rsid w:val="0035581F"/>
    <w:rsid w:val="003568F1"/>
    <w:rsid w:val="00360D30"/>
    <w:rsid w:val="00361C9D"/>
    <w:rsid w:val="003624AF"/>
    <w:rsid w:val="00362B92"/>
    <w:rsid w:val="0036346C"/>
    <w:rsid w:val="00363991"/>
    <w:rsid w:val="00363C10"/>
    <w:rsid w:val="00364473"/>
    <w:rsid w:val="00364DB8"/>
    <w:rsid w:val="00367068"/>
    <w:rsid w:val="00370F25"/>
    <w:rsid w:val="0037292A"/>
    <w:rsid w:val="00373826"/>
    <w:rsid w:val="00373AD1"/>
    <w:rsid w:val="003766E0"/>
    <w:rsid w:val="00376E83"/>
    <w:rsid w:val="00376EA7"/>
    <w:rsid w:val="00382247"/>
    <w:rsid w:val="003875D1"/>
    <w:rsid w:val="00390943"/>
    <w:rsid w:val="00391958"/>
    <w:rsid w:val="003938D1"/>
    <w:rsid w:val="00397833"/>
    <w:rsid w:val="003A174F"/>
    <w:rsid w:val="003A4D10"/>
    <w:rsid w:val="003A5B50"/>
    <w:rsid w:val="003A6EF1"/>
    <w:rsid w:val="003A7C65"/>
    <w:rsid w:val="003A7F5E"/>
    <w:rsid w:val="003B27D8"/>
    <w:rsid w:val="003B2F22"/>
    <w:rsid w:val="003B43E9"/>
    <w:rsid w:val="003B70AD"/>
    <w:rsid w:val="003B7226"/>
    <w:rsid w:val="003C0B9E"/>
    <w:rsid w:val="003C0FB0"/>
    <w:rsid w:val="003C0FE1"/>
    <w:rsid w:val="003C32C7"/>
    <w:rsid w:val="003C3CA8"/>
    <w:rsid w:val="003D01BB"/>
    <w:rsid w:val="003D05EA"/>
    <w:rsid w:val="003D387E"/>
    <w:rsid w:val="003D4211"/>
    <w:rsid w:val="003E3EB3"/>
    <w:rsid w:val="003E4A7A"/>
    <w:rsid w:val="003E5719"/>
    <w:rsid w:val="003E72ED"/>
    <w:rsid w:val="003E763D"/>
    <w:rsid w:val="003F25F9"/>
    <w:rsid w:val="003F59D7"/>
    <w:rsid w:val="003F6052"/>
    <w:rsid w:val="00400BBD"/>
    <w:rsid w:val="0040310D"/>
    <w:rsid w:val="004070BF"/>
    <w:rsid w:val="004079CE"/>
    <w:rsid w:val="004155F7"/>
    <w:rsid w:val="004162F8"/>
    <w:rsid w:val="004176DE"/>
    <w:rsid w:val="00417FDB"/>
    <w:rsid w:val="004220B6"/>
    <w:rsid w:val="00422EAA"/>
    <w:rsid w:val="00423980"/>
    <w:rsid w:val="004254EC"/>
    <w:rsid w:val="0042662D"/>
    <w:rsid w:val="00430673"/>
    <w:rsid w:val="00432C0C"/>
    <w:rsid w:val="00433EED"/>
    <w:rsid w:val="00436B15"/>
    <w:rsid w:val="00436E8A"/>
    <w:rsid w:val="0044259E"/>
    <w:rsid w:val="00442B4E"/>
    <w:rsid w:val="00443217"/>
    <w:rsid w:val="00444EE1"/>
    <w:rsid w:val="0044799D"/>
    <w:rsid w:val="00450013"/>
    <w:rsid w:val="0045091A"/>
    <w:rsid w:val="00452BB8"/>
    <w:rsid w:val="0045419A"/>
    <w:rsid w:val="00455196"/>
    <w:rsid w:val="004552D2"/>
    <w:rsid w:val="004611FC"/>
    <w:rsid w:val="00461ACB"/>
    <w:rsid w:val="00462346"/>
    <w:rsid w:val="004639BC"/>
    <w:rsid w:val="004640C1"/>
    <w:rsid w:val="004704FB"/>
    <w:rsid w:val="004708E8"/>
    <w:rsid w:val="00473A44"/>
    <w:rsid w:val="00474EC2"/>
    <w:rsid w:val="00482385"/>
    <w:rsid w:val="00483E1D"/>
    <w:rsid w:val="0048512D"/>
    <w:rsid w:val="004858DC"/>
    <w:rsid w:val="0049386D"/>
    <w:rsid w:val="004A010F"/>
    <w:rsid w:val="004A1AC8"/>
    <w:rsid w:val="004A1B1E"/>
    <w:rsid w:val="004A24DC"/>
    <w:rsid w:val="004A3DE7"/>
    <w:rsid w:val="004A4877"/>
    <w:rsid w:val="004A4981"/>
    <w:rsid w:val="004A5376"/>
    <w:rsid w:val="004A6517"/>
    <w:rsid w:val="004A68AF"/>
    <w:rsid w:val="004A74C1"/>
    <w:rsid w:val="004A7686"/>
    <w:rsid w:val="004A7D7E"/>
    <w:rsid w:val="004B0537"/>
    <w:rsid w:val="004B316E"/>
    <w:rsid w:val="004B695E"/>
    <w:rsid w:val="004B6EE8"/>
    <w:rsid w:val="004C165C"/>
    <w:rsid w:val="004C2532"/>
    <w:rsid w:val="004C37CE"/>
    <w:rsid w:val="004C3DDB"/>
    <w:rsid w:val="004C43CC"/>
    <w:rsid w:val="004C4F39"/>
    <w:rsid w:val="004C6AA6"/>
    <w:rsid w:val="004C6BAD"/>
    <w:rsid w:val="004D04CC"/>
    <w:rsid w:val="004D11B3"/>
    <w:rsid w:val="004D3C30"/>
    <w:rsid w:val="004D3C90"/>
    <w:rsid w:val="004D4AEB"/>
    <w:rsid w:val="004D5C23"/>
    <w:rsid w:val="004D75D5"/>
    <w:rsid w:val="004D789E"/>
    <w:rsid w:val="004E1232"/>
    <w:rsid w:val="004E2088"/>
    <w:rsid w:val="004E419C"/>
    <w:rsid w:val="004E6D03"/>
    <w:rsid w:val="004E76F6"/>
    <w:rsid w:val="004E7786"/>
    <w:rsid w:val="004F04DE"/>
    <w:rsid w:val="004F0D23"/>
    <w:rsid w:val="004F1362"/>
    <w:rsid w:val="004F23DF"/>
    <w:rsid w:val="004F587A"/>
    <w:rsid w:val="00501303"/>
    <w:rsid w:val="005068B6"/>
    <w:rsid w:val="00507DCF"/>
    <w:rsid w:val="00513E84"/>
    <w:rsid w:val="00513F2D"/>
    <w:rsid w:val="00520FE8"/>
    <w:rsid w:val="00521726"/>
    <w:rsid w:val="00521F46"/>
    <w:rsid w:val="005228F4"/>
    <w:rsid w:val="0052394D"/>
    <w:rsid w:val="00523BBC"/>
    <w:rsid w:val="00524F86"/>
    <w:rsid w:val="005268AD"/>
    <w:rsid w:val="00526F0E"/>
    <w:rsid w:val="00527F7F"/>
    <w:rsid w:val="005304C9"/>
    <w:rsid w:val="005307A5"/>
    <w:rsid w:val="0053132A"/>
    <w:rsid w:val="0054181E"/>
    <w:rsid w:val="00541FB5"/>
    <w:rsid w:val="00546096"/>
    <w:rsid w:val="005466BB"/>
    <w:rsid w:val="005514C2"/>
    <w:rsid w:val="005523D5"/>
    <w:rsid w:val="0055435D"/>
    <w:rsid w:val="00556841"/>
    <w:rsid w:val="00560408"/>
    <w:rsid w:val="005627EE"/>
    <w:rsid w:val="00562B2E"/>
    <w:rsid w:val="00564E89"/>
    <w:rsid w:val="00566F28"/>
    <w:rsid w:val="00573EAA"/>
    <w:rsid w:val="00576081"/>
    <w:rsid w:val="0057746D"/>
    <w:rsid w:val="00577ECB"/>
    <w:rsid w:val="00577FFA"/>
    <w:rsid w:val="00582F95"/>
    <w:rsid w:val="00583461"/>
    <w:rsid w:val="00585224"/>
    <w:rsid w:val="0058538A"/>
    <w:rsid w:val="00586658"/>
    <w:rsid w:val="005879D1"/>
    <w:rsid w:val="00587E62"/>
    <w:rsid w:val="00590539"/>
    <w:rsid w:val="0059215B"/>
    <w:rsid w:val="00595E50"/>
    <w:rsid w:val="00595EF5"/>
    <w:rsid w:val="005A0616"/>
    <w:rsid w:val="005A1B39"/>
    <w:rsid w:val="005A215C"/>
    <w:rsid w:val="005A6326"/>
    <w:rsid w:val="005A69CA"/>
    <w:rsid w:val="005B329B"/>
    <w:rsid w:val="005B3D51"/>
    <w:rsid w:val="005B699E"/>
    <w:rsid w:val="005C10D0"/>
    <w:rsid w:val="005C18C1"/>
    <w:rsid w:val="005C2076"/>
    <w:rsid w:val="005C235F"/>
    <w:rsid w:val="005C40D6"/>
    <w:rsid w:val="005C53A8"/>
    <w:rsid w:val="005C7B6B"/>
    <w:rsid w:val="005D06A1"/>
    <w:rsid w:val="005D07EB"/>
    <w:rsid w:val="005D1584"/>
    <w:rsid w:val="005D3662"/>
    <w:rsid w:val="005D3846"/>
    <w:rsid w:val="005D5695"/>
    <w:rsid w:val="005D5C06"/>
    <w:rsid w:val="005D6255"/>
    <w:rsid w:val="005D651D"/>
    <w:rsid w:val="005E2D24"/>
    <w:rsid w:val="005E3C18"/>
    <w:rsid w:val="005E5526"/>
    <w:rsid w:val="005E617A"/>
    <w:rsid w:val="005F2421"/>
    <w:rsid w:val="005F3159"/>
    <w:rsid w:val="005F437E"/>
    <w:rsid w:val="005F5A68"/>
    <w:rsid w:val="005F6E37"/>
    <w:rsid w:val="005F7213"/>
    <w:rsid w:val="005F790F"/>
    <w:rsid w:val="0060072E"/>
    <w:rsid w:val="0060078D"/>
    <w:rsid w:val="0060086F"/>
    <w:rsid w:val="00600C9C"/>
    <w:rsid w:val="00601D7C"/>
    <w:rsid w:val="00601DDF"/>
    <w:rsid w:val="006048B2"/>
    <w:rsid w:val="00606000"/>
    <w:rsid w:val="00606716"/>
    <w:rsid w:val="00607BD4"/>
    <w:rsid w:val="00615058"/>
    <w:rsid w:val="00617A3F"/>
    <w:rsid w:val="00620934"/>
    <w:rsid w:val="00622699"/>
    <w:rsid w:val="00624303"/>
    <w:rsid w:val="00625A0B"/>
    <w:rsid w:val="00630784"/>
    <w:rsid w:val="00630AAC"/>
    <w:rsid w:val="006314C2"/>
    <w:rsid w:val="00631C5A"/>
    <w:rsid w:val="006333C7"/>
    <w:rsid w:val="00633BFF"/>
    <w:rsid w:val="006351CF"/>
    <w:rsid w:val="0063610A"/>
    <w:rsid w:val="006367D4"/>
    <w:rsid w:val="00641839"/>
    <w:rsid w:val="00644CAA"/>
    <w:rsid w:val="00646E28"/>
    <w:rsid w:val="0064722F"/>
    <w:rsid w:val="00647D58"/>
    <w:rsid w:val="00651977"/>
    <w:rsid w:val="00652A1B"/>
    <w:rsid w:val="00652A7E"/>
    <w:rsid w:val="00654463"/>
    <w:rsid w:val="006546EA"/>
    <w:rsid w:val="00655E9B"/>
    <w:rsid w:val="00656C08"/>
    <w:rsid w:val="00657AD0"/>
    <w:rsid w:val="0066102E"/>
    <w:rsid w:val="00661E10"/>
    <w:rsid w:val="0066681E"/>
    <w:rsid w:val="006677F8"/>
    <w:rsid w:val="00670008"/>
    <w:rsid w:val="0067282E"/>
    <w:rsid w:val="006728AB"/>
    <w:rsid w:val="00673256"/>
    <w:rsid w:val="00673798"/>
    <w:rsid w:val="00674559"/>
    <w:rsid w:val="00674A1B"/>
    <w:rsid w:val="006804BB"/>
    <w:rsid w:val="0068248D"/>
    <w:rsid w:val="00686E3B"/>
    <w:rsid w:val="0069277A"/>
    <w:rsid w:val="006932B7"/>
    <w:rsid w:val="00694538"/>
    <w:rsid w:val="006A32E3"/>
    <w:rsid w:val="006A4AC4"/>
    <w:rsid w:val="006A545A"/>
    <w:rsid w:val="006B014A"/>
    <w:rsid w:val="006B014D"/>
    <w:rsid w:val="006B1B52"/>
    <w:rsid w:val="006B2DDD"/>
    <w:rsid w:val="006B66E9"/>
    <w:rsid w:val="006B6739"/>
    <w:rsid w:val="006B72B0"/>
    <w:rsid w:val="006B72D9"/>
    <w:rsid w:val="006C06C9"/>
    <w:rsid w:val="006C08F0"/>
    <w:rsid w:val="006C214D"/>
    <w:rsid w:val="006C2771"/>
    <w:rsid w:val="006C279D"/>
    <w:rsid w:val="006C551A"/>
    <w:rsid w:val="006C614C"/>
    <w:rsid w:val="006C7EA0"/>
    <w:rsid w:val="006D1DE7"/>
    <w:rsid w:val="006D5419"/>
    <w:rsid w:val="006D541A"/>
    <w:rsid w:val="006D741D"/>
    <w:rsid w:val="006D747B"/>
    <w:rsid w:val="006D77B6"/>
    <w:rsid w:val="006D7D5F"/>
    <w:rsid w:val="006E249F"/>
    <w:rsid w:val="006E344D"/>
    <w:rsid w:val="006E51CF"/>
    <w:rsid w:val="006E6810"/>
    <w:rsid w:val="006E763B"/>
    <w:rsid w:val="006E7C85"/>
    <w:rsid w:val="006F07AB"/>
    <w:rsid w:val="006F2A4E"/>
    <w:rsid w:val="006F5A05"/>
    <w:rsid w:val="006F6DB0"/>
    <w:rsid w:val="006F7029"/>
    <w:rsid w:val="006F7BBE"/>
    <w:rsid w:val="00702775"/>
    <w:rsid w:val="00704336"/>
    <w:rsid w:val="00704AEC"/>
    <w:rsid w:val="00711806"/>
    <w:rsid w:val="00711DFE"/>
    <w:rsid w:val="007132BF"/>
    <w:rsid w:val="007137F1"/>
    <w:rsid w:val="007156D2"/>
    <w:rsid w:val="007171AB"/>
    <w:rsid w:val="00717650"/>
    <w:rsid w:val="0072037A"/>
    <w:rsid w:val="00721024"/>
    <w:rsid w:val="00724D8C"/>
    <w:rsid w:val="007265D0"/>
    <w:rsid w:val="00732C95"/>
    <w:rsid w:val="00735D99"/>
    <w:rsid w:val="007364B8"/>
    <w:rsid w:val="00736AB5"/>
    <w:rsid w:val="007370DC"/>
    <w:rsid w:val="007428D2"/>
    <w:rsid w:val="00743600"/>
    <w:rsid w:val="00743700"/>
    <w:rsid w:val="00744145"/>
    <w:rsid w:val="007503AD"/>
    <w:rsid w:val="0075151D"/>
    <w:rsid w:val="00751831"/>
    <w:rsid w:val="007534A3"/>
    <w:rsid w:val="00754AF4"/>
    <w:rsid w:val="00755495"/>
    <w:rsid w:val="00755A40"/>
    <w:rsid w:val="007605FB"/>
    <w:rsid w:val="007635D0"/>
    <w:rsid w:val="00767044"/>
    <w:rsid w:val="00767A9C"/>
    <w:rsid w:val="00773559"/>
    <w:rsid w:val="00775586"/>
    <w:rsid w:val="00777B6C"/>
    <w:rsid w:val="00782584"/>
    <w:rsid w:val="00784173"/>
    <w:rsid w:val="00787D19"/>
    <w:rsid w:val="007952C7"/>
    <w:rsid w:val="007953E2"/>
    <w:rsid w:val="00796034"/>
    <w:rsid w:val="00796401"/>
    <w:rsid w:val="007A0E43"/>
    <w:rsid w:val="007A5319"/>
    <w:rsid w:val="007A569A"/>
    <w:rsid w:val="007A7EF1"/>
    <w:rsid w:val="007B2A84"/>
    <w:rsid w:val="007B5141"/>
    <w:rsid w:val="007B6251"/>
    <w:rsid w:val="007C2758"/>
    <w:rsid w:val="007C6339"/>
    <w:rsid w:val="007C66D2"/>
    <w:rsid w:val="007D3DC6"/>
    <w:rsid w:val="007D5B47"/>
    <w:rsid w:val="007D68A5"/>
    <w:rsid w:val="007E313A"/>
    <w:rsid w:val="007E3586"/>
    <w:rsid w:val="007E42B7"/>
    <w:rsid w:val="007E77C3"/>
    <w:rsid w:val="007F4DCB"/>
    <w:rsid w:val="007F68EE"/>
    <w:rsid w:val="007F6C55"/>
    <w:rsid w:val="008042DD"/>
    <w:rsid w:val="00805073"/>
    <w:rsid w:val="0080672E"/>
    <w:rsid w:val="008068DA"/>
    <w:rsid w:val="008068EC"/>
    <w:rsid w:val="008109F6"/>
    <w:rsid w:val="008120EC"/>
    <w:rsid w:val="00813D04"/>
    <w:rsid w:val="0081414C"/>
    <w:rsid w:val="00816B76"/>
    <w:rsid w:val="0082027D"/>
    <w:rsid w:val="00820914"/>
    <w:rsid w:val="008210B2"/>
    <w:rsid w:val="008247D9"/>
    <w:rsid w:val="00825F9D"/>
    <w:rsid w:val="008262B4"/>
    <w:rsid w:val="00826C3A"/>
    <w:rsid w:val="00840117"/>
    <w:rsid w:val="008422D2"/>
    <w:rsid w:val="00843C8F"/>
    <w:rsid w:val="00843D06"/>
    <w:rsid w:val="00844290"/>
    <w:rsid w:val="00844507"/>
    <w:rsid w:val="0084490D"/>
    <w:rsid w:val="00846873"/>
    <w:rsid w:val="00846F1B"/>
    <w:rsid w:val="00847053"/>
    <w:rsid w:val="00847D5C"/>
    <w:rsid w:val="008525FA"/>
    <w:rsid w:val="00852AEA"/>
    <w:rsid w:val="00857654"/>
    <w:rsid w:val="00857A16"/>
    <w:rsid w:val="00857B62"/>
    <w:rsid w:val="00862EBB"/>
    <w:rsid w:val="008631DD"/>
    <w:rsid w:val="008703DB"/>
    <w:rsid w:val="00870D06"/>
    <w:rsid w:val="0087135E"/>
    <w:rsid w:val="00871E04"/>
    <w:rsid w:val="00872CE4"/>
    <w:rsid w:val="00873397"/>
    <w:rsid w:val="0087459C"/>
    <w:rsid w:val="00874F46"/>
    <w:rsid w:val="0087577E"/>
    <w:rsid w:val="00877E4D"/>
    <w:rsid w:val="00880D74"/>
    <w:rsid w:val="00881BAB"/>
    <w:rsid w:val="00881D84"/>
    <w:rsid w:val="008844F3"/>
    <w:rsid w:val="00884BA6"/>
    <w:rsid w:val="008857A5"/>
    <w:rsid w:val="008858F6"/>
    <w:rsid w:val="0089027B"/>
    <w:rsid w:val="008912DD"/>
    <w:rsid w:val="00892DE8"/>
    <w:rsid w:val="00893374"/>
    <w:rsid w:val="00893E94"/>
    <w:rsid w:val="00895982"/>
    <w:rsid w:val="00897F07"/>
    <w:rsid w:val="008A05B3"/>
    <w:rsid w:val="008A3360"/>
    <w:rsid w:val="008A3F53"/>
    <w:rsid w:val="008A4B8E"/>
    <w:rsid w:val="008A53DE"/>
    <w:rsid w:val="008A6628"/>
    <w:rsid w:val="008B1D39"/>
    <w:rsid w:val="008B395D"/>
    <w:rsid w:val="008B5573"/>
    <w:rsid w:val="008B77FC"/>
    <w:rsid w:val="008C24AF"/>
    <w:rsid w:val="008C274E"/>
    <w:rsid w:val="008C6135"/>
    <w:rsid w:val="008C7BCE"/>
    <w:rsid w:val="008D242F"/>
    <w:rsid w:val="008D5387"/>
    <w:rsid w:val="008E0360"/>
    <w:rsid w:val="008E06B0"/>
    <w:rsid w:val="008E0B3A"/>
    <w:rsid w:val="008E3428"/>
    <w:rsid w:val="008E411B"/>
    <w:rsid w:val="008E47C0"/>
    <w:rsid w:val="008F0272"/>
    <w:rsid w:val="008F1D6D"/>
    <w:rsid w:val="008F2E0C"/>
    <w:rsid w:val="008F3B0A"/>
    <w:rsid w:val="008F6AA2"/>
    <w:rsid w:val="008F749F"/>
    <w:rsid w:val="008F783D"/>
    <w:rsid w:val="00900116"/>
    <w:rsid w:val="009008D7"/>
    <w:rsid w:val="0091075C"/>
    <w:rsid w:val="00910B36"/>
    <w:rsid w:val="00913858"/>
    <w:rsid w:val="00914288"/>
    <w:rsid w:val="00914C8C"/>
    <w:rsid w:val="0091776B"/>
    <w:rsid w:val="00917C51"/>
    <w:rsid w:val="009209E8"/>
    <w:rsid w:val="00921D09"/>
    <w:rsid w:val="00922373"/>
    <w:rsid w:val="00922592"/>
    <w:rsid w:val="00922F9B"/>
    <w:rsid w:val="00923206"/>
    <w:rsid w:val="0092335D"/>
    <w:rsid w:val="009250E2"/>
    <w:rsid w:val="00925B9C"/>
    <w:rsid w:val="0092630E"/>
    <w:rsid w:val="00926CDD"/>
    <w:rsid w:val="00926EE7"/>
    <w:rsid w:val="00927D56"/>
    <w:rsid w:val="0093075A"/>
    <w:rsid w:val="00931B4A"/>
    <w:rsid w:val="009324FE"/>
    <w:rsid w:val="00933150"/>
    <w:rsid w:val="0093334D"/>
    <w:rsid w:val="00934370"/>
    <w:rsid w:val="00934B57"/>
    <w:rsid w:val="0093551F"/>
    <w:rsid w:val="0094041C"/>
    <w:rsid w:val="0094055B"/>
    <w:rsid w:val="00940665"/>
    <w:rsid w:val="00941545"/>
    <w:rsid w:val="00941E6F"/>
    <w:rsid w:val="009437A7"/>
    <w:rsid w:val="00946789"/>
    <w:rsid w:val="009468EB"/>
    <w:rsid w:val="00947D69"/>
    <w:rsid w:val="009546B7"/>
    <w:rsid w:val="00955047"/>
    <w:rsid w:val="00955238"/>
    <w:rsid w:val="00956358"/>
    <w:rsid w:val="009613A3"/>
    <w:rsid w:val="0096147D"/>
    <w:rsid w:val="00963B38"/>
    <w:rsid w:val="0096468A"/>
    <w:rsid w:val="00965552"/>
    <w:rsid w:val="0096574A"/>
    <w:rsid w:val="0096617A"/>
    <w:rsid w:val="009663B0"/>
    <w:rsid w:val="009700E7"/>
    <w:rsid w:val="009756BE"/>
    <w:rsid w:val="00975775"/>
    <w:rsid w:val="00981508"/>
    <w:rsid w:val="00981749"/>
    <w:rsid w:val="009840B0"/>
    <w:rsid w:val="00984531"/>
    <w:rsid w:val="009869E5"/>
    <w:rsid w:val="00991F92"/>
    <w:rsid w:val="00992293"/>
    <w:rsid w:val="009930AE"/>
    <w:rsid w:val="00993437"/>
    <w:rsid w:val="00994368"/>
    <w:rsid w:val="009960AD"/>
    <w:rsid w:val="009A089A"/>
    <w:rsid w:val="009A13B3"/>
    <w:rsid w:val="009A332E"/>
    <w:rsid w:val="009A456E"/>
    <w:rsid w:val="009A659D"/>
    <w:rsid w:val="009A6799"/>
    <w:rsid w:val="009A693B"/>
    <w:rsid w:val="009A7284"/>
    <w:rsid w:val="009B0301"/>
    <w:rsid w:val="009B074B"/>
    <w:rsid w:val="009B0998"/>
    <w:rsid w:val="009B0A3E"/>
    <w:rsid w:val="009B0CAF"/>
    <w:rsid w:val="009B7D3A"/>
    <w:rsid w:val="009C09E8"/>
    <w:rsid w:val="009C0D3D"/>
    <w:rsid w:val="009C16B1"/>
    <w:rsid w:val="009C19C9"/>
    <w:rsid w:val="009C784F"/>
    <w:rsid w:val="009C7FD8"/>
    <w:rsid w:val="009D05BF"/>
    <w:rsid w:val="009D0BE5"/>
    <w:rsid w:val="009D2432"/>
    <w:rsid w:val="009D6996"/>
    <w:rsid w:val="009E6AC7"/>
    <w:rsid w:val="009F064F"/>
    <w:rsid w:val="009F11C8"/>
    <w:rsid w:val="009F15EF"/>
    <w:rsid w:val="009F214C"/>
    <w:rsid w:val="009F24D1"/>
    <w:rsid w:val="009F2AD8"/>
    <w:rsid w:val="009F671C"/>
    <w:rsid w:val="00A01EFD"/>
    <w:rsid w:val="00A03606"/>
    <w:rsid w:val="00A040D1"/>
    <w:rsid w:val="00A042E1"/>
    <w:rsid w:val="00A0447A"/>
    <w:rsid w:val="00A04B51"/>
    <w:rsid w:val="00A068B7"/>
    <w:rsid w:val="00A07601"/>
    <w:rsid w:val="00A10EA9"/>
    <w:rsid w:val="00A134C9"/>
    <w:rsid w:val="00A13FEE"/>
    <w:rsid w:val="00A1574E"/>
    <w:rsid w:val="00A162C8"/>
    <w:rsid w:val="00A163C3"/>
    <w:rsid w:val="00A17158"/>
    <w:rsid w:val="00A20819"/>
    <w:rsid w:val="00A20856"/>
    <w:rsid w:val="00A21D4A"/>
    <w:rsid w:val="00A22EEC"/>
    <w:rsid w:val="00A248A5"/>
    <w:rsid w:val="00A277F6"/>
    <w:rsid w:val="00A30F00"/>
    <w:rsid w:val="00A319A4"/>
    <w:rsid w:val="00A320D2"/>
    <w:rsid w:val="00A32292"/>
    <w:rsid w:val="00A33EC9"/>
    <w:rsid w:val="00A377F1"/>
    <w:rsid w:val="00A40087"/>
    <w:rsid w:val="00A41CA5"/>
    <w:rsid w:val="00A41D13"/>
    <w:rsid w:val="00A42E39"/>
    <w:rsid w:val="00A42F2E"/>
    <w:rsid w:val="00A43A5D"/>
    <w:rsid w:val="00A44486"/>
    <w:rsid w:val="00A46BC3"/>
    <w:rsid w:val="00A54EF0"/>
    <w:rsid w:val="00A57C84"/>
    <w:rsid w:val="00A62538"/>
    <w:rsid w:val="00A648D2"/>
    <w:rsid w:val="00A648FB"/>
    <w:rsid w:val="00A665B8"/>
    <w:rsid w:val="00A66680"/>
    <w:rsid w:val="00A75220"/>
    <w:rsid w:val="00A841E3"/>
    <w:rsid w:val="00A84404"/>
    <w:rsid w:val="00A844FC"/>
    <w:rsid w:val="00A920ED"/>
    <w:rsid w:val="00A93E53"/>
    <w:rsid w:val="00A9540F"/>
    <w:rsid w:val="00A97447"/>
    <w:rsid w:val="00A97594"/>
    <w:rsid w:val="00A97871"/>
    <w:rsid w:val="00AA0C7F"/>
    <w:rsid w:val="00AA0FA7"/>
    <w:rsid w:val="00AA1368"/>
    <w:rsid w:val="00AA1E25"/>
    <w:rsid w:val="00AA4567"/>
    <w:rsid w:val="00AA5C53"/>
    <w:rsid w:val="00AA65EF"/>
    <w:rsid w:val="00AA769D"/>
    <w:rsid w:val="00AB054B"/>
    <w:rsid w:val="00AB07FC"/>
    <w:rsid w:val="00AB0BCB"/>
    <w:rsid w:val="00AB2A49"/>
    <w:rsid w:val="00AB39E0"/>
    <w:rsid w:val="00AB562D"/>
    <w:rsid w:val="00AB6614"/>
    <w:rsid w:val="00AB706C"/>
    <w:rsid w:val="00AB7635"/>
    <w:rsid w:val="00AB7D40"/>
    <w:rsid w:val="00AC0195"/>
    <w:rsid w:val="00AC09C7"/>
    <w:rsid w:val="00AC169A"/>
    <w:rsid w:val="00AC17BD"/>
    <w:rsid w:val="00AC3819"/>
    <w:rsid w:val="00AC4F31"/>
    <w:rsid w:val="00AC6035"/>
    <w:rsid w:val="00AC6F8A"/>
    <w:rsid w:val="00AC7076"/>
    <w:rsid w:val="00AD0858"/>
    <w:rsid w:val="00AD159E"/>
    <w:rsid w:val="00AD36CA"/>
    <w:rsid w:val="00AD38F1"/>
    <w:rsid w:val="00AD3D60"/>
    <w:rsid w:val="00AD3FA3"/>
    <w:rsid w:val="00AD5B00"/>
    <w:rsid w:val="00AE02C0"/>
    <w:rsid w:val="00AE0905"/>
    <w:rsid w:val="00AE25B8"/>
    <w:rsid w:val="00AE2F7F"/>
    <w:rsid w:val="00AE33A6"/>
    <w:rsid w:val="00AE6EB5"/>
    <w:rsid w:val="00AE77CD"/>
    <w:rsid w:val="00AF1302"/>
    <w:rsid w:val="00AF35AE"/>
    <w:rsid w:val="00AF394B"/>
    <w:rsid w:val="00AF6C87"/>
    <w:rsid w:val="00B0655A"/>
    <w:rsid w:val="00B07C50"/>
    <w:rsid w:val="00B1153A"/>
    <w:rsid w:val="00B12CAE"/>
    <w:rsid w:val="00B12DA9"/>
    <w:rsid w:val="00B135E2"/>
    <w:rsid w:val="00B14F8D"/>
    <w:rsid w:val="00B16195"/>
    <w:rsid w:val="00B1771E"/>
    <w:rsid w:val="00B20979"/>
    <w:rsid w:val="00B20B9D"/>
    <w:rsid w:val="00B20CA6"/>
    <w:rsid w:val="00B21EFF"/>
    <w:rsid w:val="00B2351F"/>
    <w:rsid w:val="00B24130"/>
    <w:rsid w:val="00B24DC5"/>
    <w:rsid w:val="00B3066F"/>
    <w:rsid w:val="00B31DD7"/>
    <w:rsid w:val="00B32FDE"/>
    <w:rsid w:val="00B3485C"/>
    <w:rsid w:val="00B348D8"/>
    <w:rsid w:val="00B3551C"/>
    <w:rsid w:val="00B42058"/>
    <w:rsid w:val="00B455A2"/>
    <w:rsid w:val="00B50335"/>
    <w:rsid w:val="00B533CC"/>
    <w:rsid w:val="00B55DD4"/>
    <w:rsid w:val="00B6173A"/>
    <w:rsid w:val="00B628A3"/>
    <w:rsid w:val="00B635C3"/>
    <w:rsid w:val="00B645D4"/>
    <w:rsid w:val="00B6509B"/>
    <w:rsid w:val="00B65524"/>
    <w:rsid w:val="00B65DD7"/>
    <w:rsid w:val="00B66487"/>
    <w:rsid w:val="00B66798"/>
    <w:rsid w:val="00B66B82"/>
    <w:rsid w:val="00B67348"/>
    <w:rsid w:val="00B70F61"/>
    <w:rsid w:val="00B72BF7"/>
    <w:rsid w:val="00B75BEF"/>
    <w:rsid w:val="00B76B5B"/>
    <w:rsid w:val="00B7765E"/>
    <w:rsid w:val="00B776B4"/>
    <w:rsid w:val="00B808CE"/>
    <w:rsid w:val="00B824F5"/>
    <w:rsid w:val="00B836E8"/>
    <w:rsid w:val="00B83FBC"/>
    <w:rsid w:val="00B84196"/>
    <w:rsid w:val="00B841A4"/>
    <w:rsid w:val="00B871DD"/>
    <w:rsid w:val="00B878AC"/>
    <w:rsid w:val="00B90A9B"/>
    <w:rsid w:val="00B91B3C"/>
    <w:rsid w:val="00B91D21"/>
    <w:rsid w:val="00B933E9"/>
    <w:rsid w:val="00B9747E"/>
    <w:rsid w:val="00BA1954"/>
    <w:rsid w:val="00BA40F1"/>
    <w:rsid w:val="00BA4AAA"/>
    <w:rsid w:val="00BA5758"/>
    <w:rsid w:val="00BA65FB"/>
    <w:rsid w:val="00BA6F85"/>
    <w:rsid w:val="00BB30EC"/>
    <w:rsid w:val="00BB33FE"/>
    <w:rsid w:val="00BB34BB"/>
    <w:rsid w:val="00BB367A"/>
    <w:rsid w:val="00BB5C5F"/>
    <w:rsid w:val="00BB612A"/>
    <w:rsid w:val="00BB70AC"/>
    <w:rsid w:val="00BB7820"/>
    <w:rsid w:val="00BB7FA1"/>
    <w:rsid w:val="00BC34C6"/>
    <w:rsid w:val="00BC4F1B"/>
    <w:rsid w:val="00BC6F1B"/>
    <w:rsid w:val="00BC7668"/>
    <w:rsid w:val="00BD1FA5"/>
    <w:rsid w:val="00BD2812"/>
    <w:rsid w:val="00BD4026"/>
    <w:rsid w:val="00BD6949"/>
    <w:rsid w:val="00BE1FBA"/>
    <w:rsid w:val="00BE3B48"/>
    <w:rsid w:val="00BE3FF2"/>
    <w:rsid w:val="00BE4B8D"/>
    <w:rsid w:val="00BE5E78"/>
    <w:rsid w:val="00BE5EB9"/>
    <w:rsid w:val="00BE7A21"/>
    <w:rsid w:val="00BF063D"/>
    <w:rsid w:val="00BF0B2C"/>
    <w:rsid w:val="00BF0C97"/>
    <w:rsid w:val="00BF28EC"/>
    <w:rsid w:val="00BF34D3"/>
    <w:rsid w:val="00BF51F6"/>
    <w:rsid w:val="00BF5E4D"/>
    <w:rsid w:val="00BF70E9"/>
    <w:rsid w:val="00BF744D"/>
    <w:rsid w:val="00C0126E"/>
    <w:rsid w:val="00C02D9A"/>
    <w:rsid w:val="00C041A4"/>
    <w:rsid w:val="00C073C8"/>
    <w:rsid w:val="00C1116D"/>
    <w:rsid w:val="00C12240"/>
    <w:rsid w:val="00C138B2"/>
    <w:rsid w:val="00C13F57"/>
    <w:rsid w:val="00C17074"/>
    <w:rsid w:val="00C1758E"/>
    <w:rsid w:val="00C21672"/>
    <w:rsid w:val="00C22755"/>
    <w:rsid w:val="00C22BE4"/>
    <w:rsid w:val="00C2514E"/>
    <w:rsid w:val="00C25C65"/>
    <w:rsid w:val="00C272C3"/>
    <w:rsid w:val="00C30E66"/>
    <w:rsid w:val="00C31F14"/>
    <w:rsid w:val="00C34DAD"/>
    <w:rsid w:val="00C34FE2"/>
    <w:rsid w:val="00C357BE"/>
    <w:rsid w:val="00C36041"/>
    <w:rsid w:val="00C361CF"/>
    <w:rsid w:val="00C367D2"/>
    <w:rsid w:val="00C36B8D"/>
    <w:rsid w:val="00C37919"/>
    <w:rsid w:val="00C40220"/>
    <w:rsid w:val="00C402C9"/>
    <w:rsid w:val="00C406A0"/>
    <w:rsid w:val="00C417FA"/>
    <w:rsid w:val="00C439B2"/>
    <w:rsid w:val="00C4537E"/>
    <w:rsid w:val="00C45F5C"/>
    <w:rsid w:val="00C466A2"/>
    <w:rsid w:val="00C46AF0"/>
    <w:rsid w:val="00C4770D"/>
    <w:rsid w:val="00C479FE"/>
    <w:rsid w:val="00C47EB3"/>
    <w:rsid w:val="00C50B1D"/>
    <w:rsid w:val="00C53ADD"/>
    <w:rsid w:val="00C53E09"/>
    <w:rsid w:val="00C56178"/>
    <w:rsid w:val="00C603C1"/>
    <w:rsid w:val="00C60493"/>
    <w:rsid w:val="00C60A21"/>
    <w:rsid w:val="00C62E07"/>
    <w:rsid w:val="00C63C53"/>
    <w:rsid w:val="00C65136"/>
    <w:rsid w:val="00C6681D"/>
    <w:rsid w:val="00C678A4"/>
    <w:rsid w:val="00C708DE"/>
    <w:rsid w:val="00C70F4F"/>
    <w:rsid w:val="00C761C7"/>
    <w:rsid w:val="00C76CD6"/>
    <w:rsid w:val="00C80334"/>
    <w:rsid w:val="00C819A5"/>
    <w:rsid w:val="00C83FE3"/>
    <w:rsid w:val="00C840F2"/>
    <w:rsid w:val="00C84C04"/>
    <w:rsid w:val="00C9026C"/>
    <w:rsid w:val="00C9122B"/>
    <w:rsid w:val="00C95A29"/>
    <w:rsid w:val="00C9683B"/>
    <w:rsid w:val="00CA0EF6"/>
    <w:rsid w:val="00CA31DB"/>
    <w:rsid w:val="00CA5C87"/>
    <w:rsid w:val="00CB1D71"/>
    <w:rsid w:val="00CB2008"/>
    <w:rsid w:val="00CB26B0"/>
    <w:rsid w:val="00CB3534"/>
    <w:rsid w:val="00CC2C06"/>
    <w:rsid w:val="00CC5E64"/>
    <w:rsid w:val="00CD2724"/>
    <w:rsid w:val="00CD317E"/>
    <w:rsid w:val="00CD33AB"/>
    <w:rsid w:val="00CD3478"/>
    <w:rsid w:val="00CD5E71"/>
    <w:rsid w:val="00CE1C40"/>
    <w:rsid w:val="00CE5256"/>
    <w:rsid w:val="00CE63F3"/>
    <w:rsid w:val="00CE655C"/>
    <w:rsid w:val="00CE7AA9"/>
    <w:rsid w:val="00CF1C70"/>
    <w:rsid w:val="00CF291C"/>
    <w:rsid w:val="00CF3F2C"/>
    <w:rsid w:val="00CF4B54"/>
    <w:rsid w:val="00CF7053"/>
    <w:rsid w:val="00D01912"/>
    <w:rsid w:val="00D03026"/>
    <w:rsid w:val="00D0515C"/>
    <w:rsid w:val="00D052E2"/>
    <w:rsid w:val="00D060F5"/>
    <w:rsid w:val="00D06613"/>
    <w:rsid w:val="00D06F1D"/>
    <w:rsid w:val="00D119E0"/>
    <w:rsid w:val="00D1210A"/>
    <w:rsid w:val="00D12679"/>
    <w:rsid w:val="00D13FCC"/>
    <w:rsid w:val="00D149B3"/>
    <w:rsid w:val="00D14C42"/>
    <w:rsid w:val="00D15B9A"/>
    <w:rsid w:val="00D15D80"/>
    <w:rsid w:val="00D17D8C"/>
    <w:rsid w:val="00D235B6"/>
    <w:rsid w:val="00D26793"/>
    <w:rsid w:val="00D26A44"/>
    <w:rsid w:val="00D27953"/>
    <w:rsid w:val="00D32BAA"/>
    <w:rsid w:val="00D334C0"/>
    <w:rsid w:val="00D34F17"/>
    <w:rsid w:val="00D36619"/>
    <w:rsid w:val="00D42F4B"/>
    <w:rsid w:val="00D43FB3"/>
    <w:rsid w:val="00D442C2"/>
    <w:rsid w:val="00D450F4"/>
    <w:rsid w:val="00D45431"/>
    <w:rsid w:val="00D47336"/>
    <w:rsid w:val="00D50730"/>
    <w:rsid w:val="00D50E97"/>
    <w:rsid w:val="00D5127D"/>
    <w:rsid w:val="00D560A5"/>
    <w:rsid w:val="00D57F1B"/>
    <w:rsid w:val="00D65F39"/>
    <w:rsid w:val="00D664CF"/>
    <w:rsid w:val="00D703AA"/>
    <w:rsid w:val="00D70647"/>
    <w:rsid w:val="00D74AF9"/>
    <w:rsid w:val="00D75FCC"/>
    <w:rsid w:val="00D7654E"/>
    <w:rsid w:val="00D83166"/>
    <w:rsid w:val="00D85475"/>
    <w:rsid w:val="00D8700A"/>
    <w:rsid w:val="00D87DC8"/>
    <w:rsid w:val="00D9044D"/>
    <w:rsid w:val="00D90F3B"/>
    <w:rsid w:val="00D93096"/>
    <w:rsid w:val="00D930E7"/>
    <w:rsid w:val="00D94EB2"/>
    <w:rsid w:val="00D95F9B"/>
    <w:rsid w:val="00D96E4D"/>
    <w:rsid w:val="00DA18D9"/>
    <w:rsid w:val="00DA2563"/>
    <w:rsid w:val="00DA380B"/>
    <w:rsid w:val="00DA447B"/>
    <w:rsid w:val="00DB0C8F"/>
    <w:rsid w:val="00DB34C5"/>
    <w:rsid w:val="00DB50E6"/>
    <w:rsid w:val="00DB571C"/>
    <w:rsid w:val="00DB68AE"/>
    <w:rsid w:val="00DB7459"/>
    <w:rsid w:val="00DC3C54"/>
    <w:rsid w:val="00DC449D"/>
    <w:rsid w:val="00DC499D"/>
    <w:rsid w:val="00DC5880"/>
    <w:rsid w:val="00DC7034"/>
    <w:rsid w:val="00DD3685"/>
    <w:rsid w:val="00DD44A8"/>
    <w:rsid w:val="00DD48CB"/>
    <w:rsid w:val="00DD5A57"/>
    <w:rsid w:val="00DE07F6"/>
    <w:rsid w:val="00DF0B86"/>
    <w:rsid w:val="00DF1D36"/>
    <w:rsid w:val="00DF29E0"/>
    <w:rsid w:val="00E0297A"/>
    <w:rsid w:val="00E04195"/>
    <w:rsid w:val="00E04567"/>
    <w:rsid w:val="00E05CD7"/>
    <w:rsid w:val="00E07409"/>
    <w:rsid w:val="00E076FC"/>
    <w:rsid w:val="00E07AA8"/>
    <w:rsid w:val="00E10AB8"/>
    <w:rsid w:val="00E121FC"/>
    <w:rsid w:val="00E14149"/>
    <w:rsid w:val="00E14732"/>
    <w:rsid w:val="00E2448D"/>
    <w:rsid w:val="00E26D17"/>
    <w:rsid w:val="00E27F9E"/>
    <w:rsid w:val="00E311A1"/>
    <w:rsid w:val="00E34496"/>
    <w:rsid w:val="00E3478D"/>
    <w:rsid w:val="00E34833"/>
    <w:rsid w:val="00E34FF9"/>
    <w:rsid w:val="00E40272"/>
    <w:rsid w:val="00E41690"/>
    <w:rsid w:val="00E4182E"/>
    <w:rsid w:val="00E4229F"/>
    <w:rsid w:val="00E42627"/>
    <w:rsid w:val="00E4570B"/>
    <w:rsid w:val="00E45AB6"/>
    <w:rsid w:val="00E47EA1"/>
    <w:rsid w:val="00E50150"/>
    <w:rsid w:val="00E51368"/>
    <w:rsid w:val="00E53FDA"/>
    <w:rsid w:val="00E55C2F"/>
    <w:rsid w:val="00E56EAE"/>
    <w:rsid w:val="00E622A1"/>
    <w:rsid w:val="00E6291E"/>
    <w:rsid w:val="00E62EE1"/>
    <w:rsid w:val="00E656AA"/>
    <w:rsid w:val="00E6709A"/>
    <w:rsid w:val="00E6785B"/>
    <w:rsid w:val="00E67BB4"/>
    <w:rsid w:val="00E705A5"/>
    <w:rsid w:val="00E71356"/>
    <w:rsid w:val="00E715AA"/>
    <w:rsid w:val="00E718FA"/>
    <w:rsid w:val="00E72D9D"/>
    <w:rsid w:val="00E73E96"/>
    <w:rsid w:val="00E74098"/>
    <w:rsid w:val="00E761CC"/>
    <w:rsid w:val="00E76A25"/>
    <w:rsid w:val="00E76E2D"/>
    <w:rsid w:val="00E7720D"/>
    <w:rsid w:val="00E81D75"/>
    <w:rsid w:val="00E8351B"/>
    <w:rsid w:val="00E847F7"/>
    <w:rsid w:val="00E84BDF"/>
    <w:rsid w:val="00E87230"/>
    <w:rsid w:val="00E872AD"/>
    <w:rsid w:val="00E875AD"/>
    <w:rsid w:val="00E87666"/>
    <w:rsid w:val="00E9078D"/>
    <w:rsid w:val="00E912E2"/>
    <w:rsid w:val="00E91921"/>
    <w:rsid w:val="00E92045"/>
    <w:rsid w:val="00E92B97"/>
    <w:rsid w:val="00E96811"/>
    <w:rsid w:val="00E96D5C"/>
    <w:rsid w:val="00EA2273"/>
    <w:rsid w:val="00EA2E24"/>
    <w:rsid w:val="00EA45A2"/>
    <w:rsid w:val="00EA75E3"/>
    <w:rsid w:val="00EA79B0"/>
    <w:rsid w:val="00EA7AB5"/>
    <w:rsid w:val="00EA7B44"/>
    <w:rsid w:val="00EB794A"/>
    <w:rsid w:val="00EC22AB"/>
    <w:rsid w:val="00EC6692"/>
    <w:rsid w:val="00EC767D"/>
    <w:rsid w:val="00ED51FD"/>
    <w:rsid w:val="00ED5986"/>
    <w:rsid w:val="00ED5EDB"/>
    <w:rsid w:val="00ED7DB6"/>
    <w:rsid w:val="00EE1040"/>
    <w:rsid w:val="00EE2F7B"/>
    <w:rsid w:val="00EE4240"/>
    <w:rsid w:val="00EF0629"/>
    <w:rsid w:val="00EF0DD2"/>
    <w:rsid w:val="00EF2401"/>
    <w:rsid w:val="00EF2B7A"/>
    <w:rsid w:val="00EF3ACA"/>
    <w:rsid w:val="00F00303"/>
    <w:rsid w:val="00F00A1D"/>
    <w:rsid w:val="00F0479A"/>
    <w:rsid w:val="00F05467"/>
    <w:rsid w:val="00F07668"/>
    <w:rsid w:val="00F077F5"/>
    <w:rsid w:val="00F10359"/>
    <w:rsid w:val="00F141A0"/>
    <w:rsid w:val="00F1438C"/>
    <w:rsid w:val="00F17CA1"/>
    <w:rsid w:val="00F21F0C"/>
    <w:rsid w:val="00F22150"/>
    <w:rsid w:val="00F2452B"/>
    <w:rsid w:val="00F246C5"/>
    <w:rsid w:val="00F31749"/>
    <w:rsid w:val="00F31831"/>
    <w:rsid w:val="00F3403B"/>
    <w:rsid w:val="00F360D6"/>
    <w:rsid w:val="00F3767B"/>
    <w:rsid w:val="00F37DC2"/>
    <w:rsid w:val="00F41097"/>
    <w:rsid w:val="00F4197F"/>
    <w:rsid w:val="00F42754"/>
    <w:rsid w:val="00F42B8A"/>
    <w:rsid w:val="00F438A2"/>
    <w:rsid w:val="00F44A59"/>
    <w:rsid w:val="00F44D8C"/>
    <w:rsid w:val="00F4619E"/>
    <w:rsid w:val="00F4659B"/>
    <w:rsid w:val="00F51B9E"/>
    <w:rsid w:val="00F5283D"/>
    <w:rsid w:val="00F52D03"/>
    <w:rsid w:val="00F53D9F"/>
    <w:rsid w:val="00F60016"/>
    <w:rsid w:val="00F61283"/>
    <w:rsid w:val="00F61AF7"/>
    <w:rsid w:val="00F62A9F"/>
    <w:rsid w:val="00F65CFD"/>
    <w:rsid w:val="00F6738F"/>
    <w:rsid w:val="00F71181"/>
    <w:rsid w:val="00F75C11"/>
    <w:rsid w:val="00F77831"/>
    <w:rsid w:val="00F77A14"/>
    <w:rsid w:val="00F83EA5"/>
    <w:rsid w:val="00F85A84"/>
    <w:rsid w:val="00F90EFB"/>
    <w:rsid w:val="00F91884"/>
    <w:rsid w:val="00F91DA1"/>
    <w:rsid w:val="00F94DA0"/>
    <w:rsid w:val="00F95580"/>
    <w:rsid w:val="00F96CAB"/>
    <w:rsid w:val="00FA1468"/>
    <w:rsid w:val="00FA6BE0"/>
    <w:rsid w:val="00FA72A6"/>
    <w:rsid w:val="00FB001D"/>
    <w:rsid w:val="00FB0846"/>
    <w:rsid w:val="00FB0FBA"/>
    <w:rsid w:val="00FB1EB5"/>
    <w:rsid w:val="00FB2024"/>
    <w:rsid w:val="00FB5939"/>
    <w:rsid w:val="00FB5EA4"/>
    <w:rsid w:val="00FC2F41"/>
    <w:rsid w:val="00FC35B1"/>
    <w:rsid w:val="00FC3E48"/>
    <w:rsid w:val="00FC42A7"/>
    <w:rsid w:val="00FC5C46"/>
    <w:rsid w:val="00FC5E07"/>
    <w:rsid w:val="00FC69D1"/>
    <w:rsid w:val="00FC6F7D"/>
    <w:rsid w:val="00FD0E95"/>
    <w:rsid w:val="00FD1831"/>
    <w:rsid w:val="00FD2E94"/>
    <w:rsid w:val="00FE0076"/>
    <w:rsid w:val="00FE1B50"/>
    <w:rsid w:val="00FE2F34"/>
    <w:rsid w:val="00FE3D42"/>
    <w:rsid w:val="00FE6D47"/>
    <w:rsid w:val="00FE758B"/>
    <w:rsid w:val="00FF2520"/>
    <w:rsid w:val="00FF2E08"/>
    <w:rsid w:val="00FF4215"/>
    <w:rsid w:val="00FF4C85"/>
    <w:rsid w:val="00FF639E"/>
    <w:rsid w:val="00FF63F7"/>
    <w:rsid w:val="00FF6803"/>
    <w:rsid w:val="00FF6E9C"/>
    <w:rsid w:val="00FF7323"/>
    <w:rsid w:val="00FF7BA0"/>
    <w:rsid w:val="013701DC"/>
    <w:rsid w:val="018A7679"/>
    <w:rsid w:val="019404F8"/>
    <w:rsid w:val="019B1886"/>
    <w:rsid w:val="01A71FD9"/>
    <w:rsid w:val="01A85D51"/>
    <w:rsid w:val="01FF7191"/>
    <w:rsid w:val="021557FB"/>
    <w:rsid w:val="021B6523"/>
    <w:rsid w:val="0261487E"/>
    <w:rsid w:val="029307AF"/>
    <w:rsid w:val="02AB3D4B"/>
    <w:rsid w:val="02AD5394"/>
    <w:rsid w:val="02BD0FEE"/>
    <w:rsid w:val="02BF3353"/>
    <w:rsid w:val="02C1531D"/>
    <w:rsid w:val="02C646E1"/>
    <w:rsid w:val="02D95D75"/>
    <w:rsid w:val="02F10A2C"/>
    <w:rsid w:val="03483348"/>
    <w:rsid w:val="03630182"/>
    <w:rsid w:val="036A7762"/>
    <w:rsid w:val="037D56E7"/>
    <w:rsid w:val="038A570F"/>
    <w:rsid w:val="040C0819"/>
    <w:rsid w:val="042F54C2"/>
    <w:rsid w:val="0432329F"/>
    <w:rsid w:val="049849B6"/>
    <w:rsid w:val="04D31337"/>
    <w:rsid w:val="051E0804"/>
    <w:rsid w:val="05544226"/>
    <w:rsid w:val="05656433"/>
    <w:rsid w:val="059565ED"/>
    <w:rsid w:val="05BB6053"/>
    <w:rsid w:val="05F11A75"/>
    <w:rsid w:val="06C13B3D"/>
    <w:rsid w:val="06EB39CE"/>
    <w:rsid w:val="0721638A"/>
    <w:rsid w:val="07C37441"/>
    <w:rsid w:val="07F67816"/>
    <w:rsid w:val="08002443"/>
    <w:rsid w:val="08053EFD"/>
    <w:rsid w:val="080D4B60"/>
    <w:rsid w:val="08144141"/>
    <w:rsid w:val="085D1644"/>
    <w:rsid w:val="089B216C"/>
    <w:rsid w:val="097906FF"/>
    <w:rsid w:val="09EB0ED1"/>
    <w:rsid w:val="0A067AB9"/>
    <w:rsid w:val="0A64315D"/>
    <w:rsid w:val="0AA23B8D"/>
    <w:rsid w:val="0AB67731"/>
    <w:rsid w:val="0AEC3153"/>
    <w:rsid w:val="0AF41CF4"/>
    <w:rsid w:val="0B2A4141"/>
    <w:rsid w:val="0B2B3533"/>
    <w:rsid w:val="0B6D6042"/>
    <w:rsid w:val="0B732F2C"/>
    <w:rsid w:val="0B7C0033"/>
    <w:rsid w:val="0B7F2E6D"/>
    <w:rsid w:val="0BA31A63"/>
    <w:rsid w:val="0BAA1044"/>
    <w:rsid w:val="0BE67BA2"/>
    <w:rsid w:val="0C161A76"/>
    <w:rsid w:val="0C1C1B6C"/>
    <w:rsid w:val="0C436DA2"/>
    <w:rsid w:val="0C6C62F9"/>
    <w:rsid w:val="0C844E03"/>
    <w:rsid w:val="0C917B0E"/>
    <w:rsid w:val="0C946488"/>
    <w:rsid w:val="0C98254F"/>
    <w:rsid w:val="0CAF61E6"/>
    <w:rsid w:val="0CB97065"/>
    <w:rsid w:val="0CC27BBA"/>
    <w:rsid w:val="0CF34297"/>
    <w:rsid w:val="0D1A3FA7"/>
    <w:rsid w:val="0D1A5D55"/>
    <w:rsid w:val="0D3229EB"/>
    <w:rsid w:val="0D4508F8"/>
    <w:rsid w:val="0D692839"/>
    <w:rsid w:val="0D7116ED"/>
    <w:rsid w:val="0D814026"/>
    <w:rsid w:val="0D8B27AF"/>
    <w:rsid w:val="0D9553DC"/>
    <w:rsid w:val="0DC91529"/>
    <w:rsid w:val="0E100F06"/>
    <w:rsid w:val="0E250E55"/>
    <w:rsid w:val="0E4D215A"/>
    <w:rsid w:val="0E847B97"/>
    <w:rsid w:val="0E883192"/>
    <w:rsid w:val="0F492922"/>
    <w:rsid w:val="0F7B4AA5"/>
    <w:rsid w:val="0F8751F8"/>
    <w:rsid w:val="0FAE35ED"/>
    <w:rsid w:val="0FDC101C"/>
    <w:rsid w:val="0FF858C6"/>
    <w:rsid w:val="100920B1"/>
    <w:rsid w:val="10594DE6"/>
    <w:rsid w:val="10685029"/>
    <w:rsid w:val="108341D3"/>
    <w:rsid w:val="112F5B47"/>
    <w:rsid w:val="1152785D"/>
    <w:rsid w:val="118F277F"/>
    <w:rsid w:val="119A7465"/>
    <w:rsid w:val="11A007F3"/>
    <w:rsid w:val="11B36778"/>
    <w:rsid w:val="11D23A33"/>
    <w:rsid w:val="11E65A2D"/>
    <w:rsid w:val="11FF19BD"/>
    <w:rsid w:val="12042B30"/>
    <w:rsid w:val="12103BCB"/>
    <w:rsid w:val="12135469"/>
    <w:rsid w:val="121A67F7"/>
    <w:rsid w:val="1232681B"/>
    <w:rsid w:val="127C6B6A"/>
    <w:rsid w:val="127F1F91"/>
    <w:rsid w:val="12900868"/>
    <w:rsid w:val="12A52565"/>
    <w:rsid w:val="12AE6A9D"/>
    <w:rsid w:val="12CE7AD4"/>
    <w:rsid w:val="12F6691D"/>
    <w:rsid w:val="13733A6E"/>
    <w:rsid w:val="13AF1235"/>
    <w:rsid w:val="13E94E98"/>
    <w:rsid w:val="14553B17"/>
    <w:rsid w:val="148D1BB2"/>
    <w:rsid w:val="149617D4"/>
    <w:rsid w:val="1548367B"/>
    <w:rsid w:val="155B33AF"/>
    <w:rsid w:val="1573515B"/>
    <w:rsid w:val="15806971"/>
    <w:rsid w:val="159863B1"/>
    <w:rsid w:val="15C70A44"/>
    <w:rsid w:val="15FF1477"/>
    <w:rsid w:val="161672D6"/>
    <w:rsid w:val="167C538B"/>
    <w:rsid w:val="16A50D85"/>
    <w:rsid w:val="16F07B27"/>
    <w:rsid w:val="172B6DB1"/>
    <w:rsid w:val="176C18A3"/>
    <w:rsid w:val="17716EB9"/>
    <w:rsid w:val="17B2302E"/>
    <w:rsid w:val="17CF3BE0"/>
    <w:rsid w:val="17D15BAA"/>
    <w:rsid w:val="17DB4333"/>
    <w:rsid w:val="18025D64"/>
    <w:rsid w:val="18475E6C"/>
    <w:rsid w:val="185F4F64"/>
    <w:rsid w:val="1876405C"/>
    <w:rsid w:val="18B70A02"/>
    <w:rsid w:val="18E37943"/>
    <w:rsid w:val="19030534"/>
    <w:rsid w:val="190A75D6"/>
    <w:rsid w:val="19153875"/>
    <w:rsid w:val="191C2E55"/>
    <w:rsid w:val="192561AE"/>
    <w:rsid w:val="1927785E"/>
    <w:rsid w:val="195C14A3"/>
    <w:rsid w:val="19A05834"/>
    <w:rsid w:val="1A002777"/>
    <w:rsid w:val="1A1B310D"/>
    <w:rsid w:val="1A2975D8"/>
    <w:rsid w:val="1A332204"/>
    <w:rsid w:val="1AAB623F"/>
    <w:rsid w:val="1AC80305"/>
    <w:rsid w:val="1AF04599"/>
    <w:rsid w:val="1B2E0C1E"/>
    <w:rsid w:val="1B99253B"/>
    <w:rsid w:val="1B9C5306"/>
    <w:rsid w:val="1BD712B5"/>
    <w:rsid w:val="1C07679F"/>
    <w:rsid w:val="1C0C0F5F"/>
    <w:rsid w:val="1C295FB5"/>
    <w:rsid w:val="1C622770"/>
    <w:rsid w:val="1CA05134"/>
    <w:rsid w:val="1CA078F9"/>
    <w:rsid w:val="1CAC6131"/>
    <w:rsid w:val="1CB33AD0"/>
    <w:rsid w:val="1CBF5FD1"/>
    <w:rsid w:val="1CD556E0"/>
    <w:rsid w:val="1CFA34AD"/>
    <w:rsid w:val="1D3D339A"/>
    <w:rsid w:val="1D4910C9"/>
    <w:rsid w:val="1D762D4C"/>
    <w:rsid w:val="1D7E5E8C"/>
    <w:rsid w:val="1DA315D4"/>
    <w:rsid w:val="1DA5166B"/>
    <w:rsid w:val="1DB07DFC"/>
    <w:rsid w:val="1E110AAE"/>
    <w:rsid w:val="1E526174"/>
    <w:rsid w:val="1E764DB5"/>
    <w:rsid w:val="1E7B061E"/>
    <w:rsid w:val="1EE12B77"/>
    <w:rsid w:val="1EF230ED"/>
    <w:rsid w:val="1F470500"/>
    <w:rsid w:val="1F7E7BC0"/>
    <w:rsid w:val="1FE00DAE"/>
    <w:rsid w:val="201605FE"/>
    <w:rsid w:val="201B38E5"/>
    <w:rsid w:val="20915ED7"/>
    <w:rsid w:val="20D83B05"/>
    <w:rsid w:val="212925B3"/>
    <w:rsid w:val="213A656E"/>
    <w:rsid w:val="214747E7"/>
    <w:rsid w:val="21D564D2"/>
    <w:rsid w:val="224F6049"/>
    <w:rsid w:val="225B5F4B"/>
    <w:rsid w:val="226E2973"/>
    <w:rsid w:val="227635D6"/>
    <w:rsid w:val="22D9079A"/>
    <w:rsid w:val="22F10EAE"/>
    <w:rsid w:val="23111551"/>
    <w:rsid w:val="234C4318"/>
    <w:rsid w:val="23503466"/>
    <w:rsid w:val="237F2191"/>
    <w:rsid w:val="239A32F4"/>
    <w:rsid w:val="23B720F8"/>
    <w:rsid w:val="23E32EED"/>
    <w:rsid w:val="24155071"/>
    <w:rsid w:val="243454F7"/>
    <w:rsid w:val="24637B8A"/>
    <w:rsid w:val="2479115B"/>
    <w:rsid w:val="24A26904"/>
    <w:rsid w:val="24DC16EA"/>
    <w:rsid w:val="24DD793C"/>
    <w:rsid w:val="25257535"/>
    <w:rsid w:val="25445C0D"/>
    <w:rsid w:val="25AB17E9"/>
    <w:rsid w:val="26263565"/>
    <w:rsid w:val="263C68E5"/>
    <w:rsid w:val="26681488"/>
    <w:rsid w:val="26A5092E"/>
    <w:rsid w:val="26A526DC"/>
    <w:rsid w:val="26AA1AA0"/>
    <w:rsid w:val="26D703BB"/>
    <w:rsid w:val="26EB3E67"/>
    <w:rsid w:val="27386B1B"/>
    <w:rsid w:val="27427F2B"/>
    <w:rsid w:val="27B05B28"/>
    <w:rsid w:val="27D84E00"/>
    <w:rsid w:val="27F54F9D"/>
    <w:rsid w:val="280E605F"/>
    <w:rsid w:val="2816750C"/>
    <w:rsid w:val="28373807"/>
    <w:rsid w:val="285A5748"/>
    <w:rsid w:val="285E6FE6"/>
    <w:rsid w:val="28D9041B"/>
    <w:rsid w:val="28DB23E5"/>
    <w:rsid w:val="28EB24A4"/>
    <w:rsid w:val="28F17E5A"/>
    <w:rsid w:val="290C6A42"/>
    <w:rsid w:val="29437F8A"/>
    <w:rsid w:val="2964687E"/>
    <w:rsid w:val="296F0D7F"/>
    <w:rsid w:val="29CB06AB"/>
    <w:rsid w:val="2B0100FD"/>
    <w:rsid w:val="2B3C2EE3"/>
    <w:rsid w:val="2B6C71BC"/>
    <w:rsid w:val="2B82123D"/>
    <w:rsid w:val="2BA06D5C"/>
    <w:rsid w:val="2BA666A3"/>
    <w:rsid w:val="2BD82C0B"/>
    <w:rsid w:val="2C25135A"/>
    <w:rsid w:val="2C7566AC"/>
    <w:rsid w:val="2CA64AB8"/>
    <w:rsid w:val="2CE20BAA"/>
    <w:rsid w:val="2D0363AE"/>
    <w:rsid w:val="2D045C82"/>
    <w:rsid w:val="2D177764"/>
    <w:rsid w:val="2D507924"/>
    <w:rsid w:val="2D800808"/>
    <w:rsid w:val="2D8867FD"/>
    <w:rsid w:val="2D92328E"/>
    <w:rsid w:val="2DA309EF"/>
    <w:rsid w:val="2DED6716"/>
    <w:rsid w:val="2E1331B4"/>
    <w:rsid w:val="2E1B46D1"/>
    <w:rsid w:val="2E690493"/>
    <w:rsid w:val="2E7B3D22"/>
    <w:rsid w:val="2E8157DC"/>
    <w:rsid w:val="2EB931C8"/>
    <w:rsid w:val="2EBE07DF"/>
    <w:rsid w:val="2EE93382"/>
    <w:rsid w:val="2EF22236"/>
    <w:rsid w:val="2F350375"/>
    <w:rsid w:val="2F452CAE"/>
    <w:rsid w:val="2F4862FA"/>
    <w:rsid w:val="2F7610B9"/>
    <w:rsid w:val="2F996B56"/>
    <w:rsid w:val="30093CDB"/>
    <w:rsid w:val="302F3016"/>
    <w:rsid w:val="303643A5"/>
    <w:rsid w:val="305A1716"/>
    <w:rsid w:val="30E262DA"/>
    <w:rsid w:val="30F85AFE"/>
    <w:rsid w:val="31455663"/>
    <w:rsid w:val="315E0057"/>
    <w:rsid w:val="31644F41"/>
    <w:rsid w:val="318F1FBE"/>
    <w:rsid w:val="31916A3A"/>
    <w:rsid w:val="31D245A1"/>
    <w:rsid w:val="31EC7411"/>
    <w:rsid w:val="32330FAA"/>
    <w:rsid w:val="329478AB"/>
    <w:rsid w:val="32C71C2C"/>
    <w:rsid w:val="32D83E39"/>
    <w:rsid w:val="33095DA0"/>
    <w:rsid w:val="3316226B"/>
    <w:rsid w:val="331663BC"/>
    <w:rsid w:val="34504847"/>
    <w:rsid w:val="349A13A6"/>
    <w:rsid w:val="34A16C46"/>
    <w:rsid w:val="34A43FD3"/>
    <w:rsid w:val="34D10C3C"/>
    <w:rsid w:val="34F8770E"/>
    <w:rsid w:val="35696FCA"/>
    <w:rsid w:val="35C12962"/>
    <w:rsid w:val="35C83CF1"/>
    <w:rsid w:val="35CC0677"/>
    <w:rsid w:val="35D72186"/>
    <w:rsid w:val="361A0621"/>
    <w:rsid w:val="36280C33"/>
    <w:rsid w:val="363475D8"/>
    <w:rsid w:val="36A71B58"/>
    <w:rsid w:val="36B64491"/>
    <w:rsid w:val="36D668E1"/>
    <w:rsid w:val="36DD557A"/>
    <w:rsid w:val="36F01751"/>
    <w:rsid w:val="36F04CBD"/>
    <w:rsid w:val="37082F44"/>
    <w:rsid w:val="37152F66"/>
    <w:rsid w:val="3768203C"/>
    <w:rsid w:val="37BC7885"/>
    <w:rsid w:val="38033706"/>
    <w:rsid w:val="38170F5F"/>
    <w:rsid w:val="38341A0A"/>
    <w:rsid w:val="3851621F"/>
    <w:rsid w:val="38A345A1"/>
    <w:rsid w:val="38E507FA"/>
    <w:rsid w:val="38F2782D"/>
    <w:rsid w:val="38FA68B7"/>
    <w:rsid w:val="38FF65E9"/>
    <w:rsid w:val="39D72754"/>
    <w:rsid w:val="39D80976"/>
    <w:rsid w:val="39E41315"/>
    <w:rsid w:val="3A1E65D5"/>
    <w:rsid w:val="3A2D05C6"/>
    <w:rsid w:val="3A9E7716"/>
    <w:rsid w:val="3AA0523C"/>
    <w:rsid w:val="3B021F36"/>
    <w:rsid w:val="3B2C6AD0"/>
    <w:rsid w:val="3B2E0A9A"/>
    <w:rsid w:val="3B31058A"/>
    <w:rsid w:val="3B3B4F65"/>
    <w:rsid w:val="3B443E1A"/>
    <w:rsid w:val="3B5D137F"/>
    <w:rsid w:val="3B5D2B7A"/>
    <w:rsid w:val="3B7A5A8D"/>
    <w:rsid w:val="3B892174"/>
    <w:rsid w:val="3C0F2264"/>
    <w:rsid w:val="3C5F2ED5"/>
    <w:rsid w:val="3C6B187A"/>
    <w:rsid w:val="3CBB635D"/>
    <w:rsid w:val="3D127F47"/>
    <w:rsid w:val="3D31661F"/>
    <w:rsid w:val="3D37175C"/>
    <w:rsid w:val="3D483969"/>
    <w:rsid w:val="3D5B544A"/>
    <w:rsid w:val="3D762284"/>
    <w:rsid w:val="3DB1150E"/>
    <w:rsid w:val="3DB122E7"/>
    <w:rsid w:val="3DF31B27"/>
    <w:rsid w:val="3E067AAC"/>
    <w:rsid w:val="3E1A3557"/>
    <w:rsid w:val="3E1D0952"/>
    <w:rsid w:val="3E52684D"/>
    <w:rsid w:val="3E9641AD"/>
    <w:rsid w:val="3E9E7CE5"/>
    <w:rsid w:val="3EF5367D"/>
    <w:rsid w:val="3F4A39C9"/>
    <w:rsid w:val="3F536256"/>
    <w:rsid w:val="3F9335C1"/>
    <w:rsid w:val="3F9E5AC2"/>
    <w:rsid w:val="402E533E"/>
    <w:rsid w:val="404E1296"/>
    <w:rsid w:val="40552625"/>
    <w:rsid w:val="40721429"/>
    <w:rsid w:val="40923879"/>
    <w:rsid w:val="40FC6F44"/>
    <w:rsid w:val="412C782A"/>
    <w:rsid w:val="41526A99"/>
    <w:rsid w:val="41636FC4"/>
    <w:rsid w:val="416F7716"/>
    <w:rsid w:val="41874A60"/>
    <w:rsid w:val="4188488D"/>
    <w:rsid w:val="418F1B67"/>
    <w:rsid w:val="41E37013"/>
    <w:rsid w:val="41E727C6"/>
    <w:rsid w:val="41EE0F83"/>
    <w:rsid w:val="420F4A55"/>
    <w:rsid w:val="42383FAC"/>
    <w:rsid w:val="423D15C3"/>
    <w:rsid w:val="42672AE3"/>
    <w:rsid w:val="426C3C56"/>
    <w:rsid w:val="42862F6A"/>
    <w:rsid w:val="42A41642"/>
    <w:rsid w:val="42A96C58"/>
    <w:rsid w:val="42AE24C0"/>
    <w:rsid w:val="431A7B56"/>
    <w:rsid w:val="4370480A"/>
    <w:rsid w:val="43C743B1"/>
    <w:rsid w:val="43C755E8"/>
    <w:rsid w:val="43D84B60"/>
    <w:rsid w:val="43DB20E4"/>
    <w:rsid w:val="43DD305D"/>
    <w:rsid w:val="43F14D5A"/>
    <w:rsid w:val="440C749E"/>
    <w:rsid w:val="44265EDD"/>
    <w:rsid w:val="44906321"/>
    <w:rsid w:val="44FD328B"/>
    <w:rsid w:val="4504461A"/>
    <w:rsid w:val="450B770B"/>
    <w:rsid w:val="45132AAF"/>
    <w:rsid w:val="4541586E"/>
    <w:rsid w:val="45561319"/>
    <w:rsid w:val="456450B8"/>
    <w:rsid w:val="45AA6F6F"/>
    <w:rsid w:val="45BB117C"/>
    <w:rsid w:val="4665558C"/>
    <w:rsid w:val="467D0B27"/>
    <w:rsid w:val="4691012F"/>
    <w:rsid w:val="46AE0CE1"/>
    <w:rsid w:val="46B51D70"/>
    <w:rsid w:val="46C6602A"/>
    <w:rsid w:val="46D70238"/>
    <w:rsid w:val="46E93AC7"/>
    <w:rsid w:val="477517FF"/>
    <w:rsid w:val="47E50732"/>
    <w:rsid w:val="47FF6295"/>
    <w:rsid w:val="481E59F2"/>
    <w:rsid w:val="484E298E"/>
    <w:rsid w:val="48AC33AA"/>
    <w:rsid w:val="48CB5B7A"/>
    <w:rsid w:val="49766DE5"/>
    <w:rsid w:val="49886629"/>
    <w:rsid w:val="49CB3958"/>
    <w:rsid w:val="49E15386"/>
    <w:rsid w:val="49ED4B92"/>
    <w:rsid w:val="4A5D6CA6"/>
    <w:rsid w:val="4A9220C8"/>
    <w:rsid w:val="4B2772B4"/>
    <w:rsid w:val="4B3A29F0"/>
    <w:rsid w:val="4B773D97"/>
    <w:rsid w:val="4BC36D42"/>
    <w:rsid w:val="4BEB208F"/>
    <w:rsid w:val="4BED5E07"/>
    <w:rsid w:val="4C0A0767"/>
    <w:rsid w:val="4C341C88"/>
    <w:rsid w:val="4C365A00"/>
    <w:rsid w:val="4D144D0B"/>
    <w:rsid w:val="4D291079"/>
    <w:rsid w:val="4DB27309"/>
    <w:rsid w:val="4DE1374A"/>
    <w:rsid w:val="4E1A37F5"/>
    <w:rsid w:val="4E2D4BE1"/>
    <w:rsid w:val="4E345F70"/>
    <w:rsid w:val="4E46281C"/>
    <w:rsid w:val="4EAC01FC"/>
    <w:rsid w:val="4EF676C9"/>
    <w:rsid w:val="4F7978D6"/>
    <w:rsid w:val="4FD23C92"/>
    <w:rsid w:val="501A63B7"/>
    <w:rsid w:val="504601DC"/>
    <w:rsid w:val="50836D3A"/>
    <w:rsid w:val="50970A38"/>
    <w:rsid w:val="51071719"/>
    <w:rsid w:val="512B156E"/>
    <w:rsid w:val="51656440"/>
    <w:rsid w:val="5167665C"/>
    <w:rsid w:val="519B42AD"/>
    <w:rsid w:val="51AE6039"/>
    <w:rsid w:val="520F496B"/>
    <w:rsid w:val="527F1783"/>
    <w:rsid w:val="52CC6B7E"/>
    <w:rsid w:val="52D65847"/>
    <w:rsid w:val="52E53CDC"/>
    <w:rsid w:val="52FB47CD"/>
    <w:rsid w:val="531620E8"/>
    <w:rsid w:val="5331108B"/>
    <w:rsid w:val="533B7DA0"/>
    <w:rsid w:val="533E33EC"/>
    <w:rsid w:val="534C78B7"/>
    <w:rsid w:val="53B813F1"/>
    <w:rsid w:val="53EE6BC1"/>
    <w:rsid w:val="54095049"/>
    <w:rsid w:val="540D34EB"/>
    <w:rsid w:val="54442C85"/>
    <w:rsid w:val="54493DF7"/>
    <w:rsid w:val="544E7B7F"/>
    <w:rsid w:val="545E3D46"/>
    <w:rsid w:val="551B1C37"/>
    <w:rsid w:val="551D6CB2"/>
    <w:rsid w:val="552306CD"/>
    <w:rsid w:val="5523289A"/>
    <w:rsid w:val="552F1ED1"/>
    <w:rsid w:val="55425416"/>
    <w:rsid w:val="55A90FF1"/>
    <w:rsid w:val="561F12B3"/>
    <w:rsid w:val="562E2A2C"/>
    <w:rsid w:val="563F3703"/>
    <w:rsid w:val="567943AF"/>
    <w:rsid w:val="56B23ED5"/>
    <w:rsid w:val="56B45E9F"/>
    <w:rsid w:val="570C319C"/>
    <w:rsid w:val="578F06BB"/>
    <w:rsid w:val="57961A49"/>
    <w:rsid w:val="579E2AA8"/>
    <w:rsid w:val="57D63BF4"/>
    <w:rsid w:val="57E44562"/>
    <w:rsid w:val="57E722A5"/>
    <w:rsid w:val="57F12784"/>
    <w:rsid w:val="57F56770"/>
    <w:rsid w:val="57F8095F"/>
    <w:rsid w:val="57FD73D2"/>
    <w:rsid w:val="58247055"/>
    <w:rsid w:val="583059FA"/>
    <w:rsid w:val="58357612"/>
    <w:rsid w:val="585E7C8F"/>
    <w:rsid w:val="58BA3515"/>
    <w:rsid w:val="58CD7612"/>
    <w:rsid w:val="59237AE5"/>
    <w:rsid w:val="594B23BF"/>
    <w:rsid w:val="597162CA"/>
    <w:rsid w:val="59835FFD"/>
    <w:rsid w:val="59967ADE"/>
    <w:rsid w:val="59AD76DB"/>
    <w:rsid w:val="59B32927"/>
    <w:rsid w:val="5A00764E"/>
    <w:rsid w:val="5A040EEC"/>
    <w:rsid w:val="5A2F1CE1"/>
    <w:rsid w:val="5A332E58"/>
    <w:rsid w:val="5A3F0176"/>
    <w:rsid w:val="5A557999"/>
    <w:rsid w:val="5ABE5720"/>
    <w:rsid w:val="5AE26D53"/>
    <w:rsid w:val="5B1F3B03"/>
    <w:rsid w:val="5B4219B2"/>
    <w:rsid w:val="5B540F34"/>
    <w:rsid w:val="5BC14BBB"/>
    <w:rsid w:val="5BFE196B"/>
    <w:rsid w:val="5C0F3B78"/>
    <w:rsid w:val="5C3E7FB9"/>
    <w:rsid w:val="5C702869"/>
    <w:rsid w:val="5CB70498"/>
    <w:rsid w:val="5CC42BB4"/>
    <w:rsid w:val="5CD821BC"/>
    <w:rsid w:val="5D3970FE"/>
    <w:rsid w:val="5D584EB1"/>
    <w:rsid w:val="5D775E79"/>
    <w:rsid w:val="5D811E11"/>
    <w:rsid w:val="5DB46785"/>
    <w:rsid w:val="5DE52DE2"/>
    <w:rsid w:val="5DE80B25"/>
    <w:rsid w:val="5DEE3610"/>
    <w:rsid w:val="5DFE5C52"/>
    <w:rsid w:val="5E1B4A56"/>
    <w:rsid w:val="5E5B12F6"/>
    <w:rsid w:val="5E766130"/>
    <w:rsid w:val="5EB85900"/>
    <w:rsid w:val="5F164E84"/>
    <w:rsid w:val="5F5E475F"/>
    <w:rsid w:val="5F5F6BC4"/>
    <w:rsid w:val="5F70492E"/>
    <w:rsid w:val="5F7A5F2F"/>
    <w:rsid w:val="60597AB8"/>
    <w:rsid w:val="606745F8"/>
    <w:rsid w:val="606C00AE"/>
    <w:rsid w:val="60914033"/>
    <w:rsid w:val="60EE7EEF"/>
    <w:rsid w:val="60F872D1"/>
    <w:rsid w:val="61243C22"/>
    <w:rsid w:val="612E2CF2"/>
    <w:rsid w:val="61477910"/>
    <w:rsid w:val="61BE5E24"/>
    <w:rsid w:val="61D83B1C"/>
    <w:rsid w:val="61F14216"/>
    <w:rsid w:val="622A34BA"/>
    <w:rsid w:val="6287090C"/>
    <w:rsid w:val="628F77C1"/>
    <w:rsid w:val="62AA45FB"/>
    <w:rsid w:val="62C456BC"/>
    <w:rsid w:val="62CB09BA"/>
    <w:rsid w:val="62D33B51"/>
    <w:rsid w:val="630E4B89"/>
    <w:rsid w:val="631A1780"/>
    <w:rsid w:val="633839B4"/>
    <w:rsid w:val="63984453"/>
    <w:rsid w:val="63A66B70"/>
    <w:rsid w:val="64FD3107"/>
    <w:rsid w:val="65273CE0"/>
    <w:rsid w:val="65424019"/>
    <w:rsid w:val="65CB0B10"/>
    <w:rsid w:val="65E16A5E"/>
    <w:rsid w:val="66010CF2"/>
    <w:rsid w:val="660758C0"/>
    <w:rsid w:val="660F66C6"/>
    <w:rsid w:val="66252916"/>
    <w:rsid w:val="665723A3"/>
    <w:rsid w:val="667A79BB"/>
    <w:rsid w:val="66E16111"/>
    <w:rsid w:val="671E1113"/>
    <w:rsid w:val="6723497B"/>
    <w:rsid w:val="672C7CD4"/>
    <w:rsid w:val="674E19F8"/>
    <w:rsid w:val="67717495"/>
    <w:rsid w:val="67936F40"/>
    <w:rsid w:val="683F3A37"/>
    <w:rsid w:val="687516CF"/>
    <w:rsid w:val="68817BAC"/>
    <w:rsid w:val="68923B67"/>
    <w:rsid w:val="68BA4E6C"/>
    <w:rsid w:val="69132EFA"/>
    <w:rsid w:val="693966D8"/>
    <w:rsid w:val="69F10D61"/>
    <w:rsid w:val="6A2B4273"/>
    <w:rsid w:val="6A4D2591"/>
    <w:rsid w:val="6B2F38EF"/>
    <w:rsid w:val="6C4E249B"/>
    <w:rsid w:val="6C663340"/>
    <w:rsid w:val="6CD56718"/>
    <w:rsid w:val="6CE626D3"/>
    <w:rsid w:val="6D3B47CD"/>
    <w:rsid w:val="6D597A48"/>
    <w:rsid w:val="6DCD1231"/>
    <w:rsid w:val="6DCF4F15"/>
    <w:rsid w:val="6DE45D16"/>
    <w:rsid w:val="6DF57072"/>
    <w:rsid w:val="6E331948"/>
    <w:rsid w:val="6EF54E4F"/>
    <w:rsid w:val="6F3B4F58"/>
    <w:rsid w:val="6FA57895"/>
    <w:rsid w:val="6FF43359"/>
    <w:rsid w:val="70003AAC"/>
    <w:rsid w:val="705B2397"/>
    <w:rsid w:val="70853FB1"/>
    <w:rsid w:val="708B5A6B"/>
    <w:rsid w:val="708C3591"/>
    <w:rsid w:val="711F256C"/>
    <w:rsid w:val="71357785"/>
    <w:rsid w:val="71630796"/>
    <w:rsid w:val="71CD5C10"/>
    <w:rsid w:val="71EA0185"/>
    <w:rsid w:val="72017B06"/>
    <w:rsid w:val="7281106D"/>
    <w:rsid w:val="728E1843"/>
    <w:rsid w:val="72A93F87"/>
    <w:rsid w:val="72BB3CBA"/>
    <w:rsid w:val="72CC236B"/>
    <w:rsid w:val="72DA05E4"/>
    <w:rsid w:val="73357F10"/>
    <w:rsid w:val="73465C7A"/>
    <w:rsid w:val="734B14E2"/>
    <w:rsid w:val="73520AC2"/>
    <w:rsid w:val="73682846"/>
    <w:rsid w:val="736B313E"/>
    <w:rsid w:val="73816CB2"/>
    <w:rsid w:val="738D38A8"/>
    <w:rsid w:val="73CB43D1"/>
    <w:rsid w:val="73CD6C4F"/>
    <w:rsid w:val="73DE5E35"/>
    <w:rsid w:val="74237D69"/>
    <w:rsid w:val="74BB4445"/>
    <w:rsid w:val="74ED5CF6"/>
    <w:rsid w:val="753331DA"/>
    <w:rsid w:val="75644ADD"/>
    <w:rsid w:val="75703482"/>
    <w:rsid w:val="75C26ABE"/>
    <w:rsid w:val="75CA11B6"/>
    <w:rsid w:val="75DC4D0C"/>
    <w:rsid w:val="763E0E8A"/>
    <w:rsid w:val="766C4A6F"/>
    <w:rsid w:val="76B64EC4"/>
    <w:rsid w:val="76DB2B7D"/>
    <w:rsid w:val="77106CCA"/>
    <w:rsid w:val="77147E3D"/>
    <w:rsid w:val="77BC650A"/>
    <w:rsid w:val="77C41863"/>
    <w:rsid w:val="78160310"/>
    <w:rsid w:val="785D5F3F"/>
    <w:rsid w:val="787E76C0"/>
    <w:rsid w:val="78882890"/>
    <w:rsid w:val="788E5A74"/>
    <w:rsid w:val="78EB7D6C"/>
    <w:rsid w:val="797D43BF"/>
    <w:rsid w:val="79954710"/>
    <w:rsid w:val="79F3642F"/>
    <w:rsid w:val="7A1A1C0E"/>
    <w:rsid w:val="7A556639"/>
    <w:rsid w:val="7B3A4316"/>
    <w:rsid w:val="7B8C2698"/>
    <w:rsid w:val="7BFA1CF7"/>
    <w:rsid w:val="7BFE10B1"/>
    <w:rsid w:val="7C3C5E6C"/>
    <w:rsid w:val="7C3F770A"/>
    <w:rsid w:val="7C541407"/>
    <w:rsid w:val="7CE87DA1"/>
    <w:rsid w:val="7CEC1640"/>
    <w:rsid w:val="7D450D50"/>
    <w:rsid w:val="7D6F2271"/>
    <w:rsid w:val="7D853842"/>
    <w:rsid w:val="7DED4F1E"/>
    <w:rsid w:val="7E14406C"/>
    <w:rsid w:val="7E3F39F1"/>
    <w:rsid w:val="7E3F60E7"/>
    <w:rsid w:val="7EAD4DFF"/>
    <w:rsid w:val="7F565496"/>
    <w:rsid w:val="7F73429A"/>
    <w:rsid w:val="7F875650"/>
    <w:rsid w:val="7F995383"/>
    <w:rsid w:val="7FBA07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5"/>
    <w:qFormat/>
    <w:uiPriority w:val="0"/>
    <w:pPr>
      <w:keepNext/>
      <w:widowControl/>
      <w:spacing w:before="340" w:after="330" w:line="576" w:lineRule="auto"/>
      <w:jc w:val="center"/>
      <w:outlineLvl w:val="0"/>
    </w:pPr>
    <w:rPr>
      <w:rFonts w:ascii="???" w:hAnsi="???" w:eastAsia="宋体" w:cs="Arial"/>
      <w:b/>
      <w:bCs/>
      <w:color w:val="020000"/>
      <w:kern w:val="36"/>
      <w:sz w:val="44"/>
      <w:szCs w:val="44"/>
    </w:rPr>
  </w:style>
  <w:style w:type="paragraph" w:styleId="4">
    <w:name w:val="heading 2"/>
    <w:basedOn w:val="1"/>
    <w:next w:val="1"/>
    <w:link w:val="56"/>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5">
    <w:name w:val="heading 3"/>
    <w:basedOn w:val="1"/>
    <w:next w:val="1"/>
    <w:link w:val="57"/>
    <w:qFormat/>
    <w:uiPriority w:val="0"/>
    <w:pPr>
      <w:keepNext/>
      <w:widowControl/>
      <w:spacing w:before="260" w:after="260" w:line="412" w:lineRule="auto"/>
      <w:outlineLvl w:val="2"/>
    </w:pPr>
    <w:rPr>
      <w:rFonts w:ascii="??" w:hAnsi="??" w:eastAsia="宋体" w:cs="Arial"/>
      <w:b/>
      <w:bCs/>
      <w:color w:val="000000"/>
      <w:kern w:val="0"/>
      <w:sz w:val="32"/>
      <w:szCs w:val="32"/>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qFormat/>
    <w:uiPriority w:val="99"/>
    <w:rPr>
      <w:rFonts w:ascii="Courier New" w:hAnsi="Courier New"/>
      <w:sz w:val="20"/>
    </w:rPr>
  </w:style>
  <w:style w:type="paragraph" w:styleId="6">
    <w:name w:val="toc 7"/>
    <w:basedOn w:val="1"/>
    <w:next w:val="1"/>
    <w:qFormat/>
    <w:uiPriority w:val="39"/>
    <w:pPr>
      <w:ind w:left="2520" w:leftChars="1200"/>
    </w:pPr>
    <w:rPr>
      <w:rFonts w:ascii="Times New Roman" w:hAnsi="Times New Roman" w:eastAsia="宋体" w:cs="Times New Roman"/>
      <w:szCs w:val="24"/>
    </w:rPr>
  </w:style>
  <w:style w:type="paragraph" w:styleId="7">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Normal Indent"/>
    <w:basedOn w:val="1"/>
    <w:link w:val="54"/>
    <w:qFormat/>
    <w:uiPriority w:val="0"/>
    <w:pPr>
      <w:ind w:firstLine="420" w:firstLineChars="200"/>
    </w:pPr>
    <w:rPr>
      <w:rFonts w:ascii="Times New Roman" w:hAnsi="Times New Roman" w:eastAsia="宋体" w:cs="Times New Roman"/>
      <w:kern w:val="0"/>
      <w:sz w:val="24"/>
      <w:szCs w:val="20"/>
    </w:rPr>
  </w:style>
  <w:style w:type="paragraph" w:styleId="9">
    <w:name w:val="Document Map"/>
    <w:basedOn w:val="1"/>
    <w:link w:val="58"/>
    <w:qFormat/>
    <w:uiPriority w:val="0"/>
    <w:rPr>
      <w:rFonts w:ascii="宋体" w:hAnsi="Calibri" w:eastAsia="宋体" w:cs="Times New Roman"/>
      <w:kern w:val="0"/>
      <w:sz w:val="18"/>
      <w:szCs w:val="20"/>
    </w:rPr>
  </w:style>
  <w:style w:type="paragraph" w:styleId="10">
    <w:name w:val="toa heading"/>
    <w:basedOn w:val="1"/>
    <w:next w:val="1"/>
    <w:unhideWhenUsed/>
    <w:qFormat/>
    <w:uiPriority w:val="99"/>
    <w:pPr>
      <w:spacing w:before="120"/>
    </w:pPr>
    <w:rPr>
      <w:rFonts w:ascii="Cambria" w:hAnsi="Cambria" w:eastAsia="宋体" w:cs="Times New Roman"/>
      <w:sz w:val="24"/>
    </w:rPr>
  </w:style>
  <w:style w:type="paragraph" w:styleId="11">
    <w:name w:val="annotation text"/>
    <w:basedOn w:val="1"/>
    <w:link w:val="59"/>
    <w:qFormat/>
    <w:uiPriority w:val="0"/>
    <w:pPr>
      <w:jc w:val="left"/>
    </w:pPr>
  </w:style>
  <w:style w:type="paragraph" w:styleId="12">
    <w:name w:val="Body Text"/>
    <w:basedOn w:val="1"/>
    <w:link w:val="60"/>
    <w:qFormat/>
    <w:uiPriority w:val="0"/>
    <w:pPr>
      <w:spacing w:after="120"/>
    </w:pPr>
    <w:rPr>
      <w:rFonts w:ascii="Calibri" w:hAnsi="Calibri" w:eastAsia="宋体" w:cs="Times New Roman"/>
      <w:kern w:val="0"/>
      <w:sz w:val="24"/>
      <w:szCs w:val="20"/>
    </w:rPr>
  </w:style>
  <w:style w:type="paragraph" w:styleId="13">
    <w:name w:val="Body Text Indent"/>
    <w:basedOn w:val="1"/>
    <w:link w:val="61"/>
    <w:qFormat/>
    <w:uiPriority w:val="0"/>
    <w:pPr>
      <w:widowControl/>
      <w:spacing w:after="120"/>
      <w:ind w:left="420"/>
    </w:pPr>
    <w:rPr>
      <w:rFonts w:ascii="??" w:hAnsi="??" w:eastAsia="宋体" w:cs="Arial"/>
      <w:kern w:val="0"/>
      <w:sz w:val="24"/>
      <w:szCs w:val="24"/>
    </w:rPr>
  </w:style>
  <w:style w:type="paragraph" w:styleId="14">
    <w:name w:val="toc 5"/>
    <w:basedOn w:val="1"/>
    <w:next w:val="1"/>
    <w:qFormat/>
    <w:uiPriority w:val="39"/>
    <w:pPr>
      <w:ind w:left="1680" w:leftChars="800"/>
    </w:pPr>
    <w:rPr>
      <w:rFonts w:ascii="Times New Roman" w:hAnsi="Times New Roman" w:eastAsia="宋体" w:cs="Times New Roman"/>
      <w:szCs w:val="24"/>
    </w:rPr>
  </w:style>
  <w:style w:type="paragraph" w:styleId="15">
    <w:name w:val="toc 3"/>
    <w:basedOn w:val="1"/>
    <w:next w:val="1"/>
    <w:qFormat/>
    <w:uiPriority w:val="39"/>
    <w:pPr>
      <w:ind w:left="840" w:leftChars="400"/>
    </w:pPr>
    <w:rPr>
      <w:rFonts w:ascii="Times New Roman" w:hAnsi="Times New Roman" w:eastAsia="宋体" w:cs="Times New Roman"/>
      <w:szCs w:val="24"/>
    </w:rPr>
  </w:style>
  <w:style w:type="paragraph" w:styleId="16">
    <w:name w:val="Plain Text"/>
    <w:basedOn w:val="1"/>
    <w:link w:val="62"/>
    <w:qFormat/>
    <w:uiPriority w:val="0"/>
    <w:rPr>
      <w:rFonts w:ascii="宋体" w:hAnsi="Courier New" w:eastAsia="宋体"/>
      <w:szCs w:val="21"/>
    </w:rPr>
  </w:style>
  <w:style w:type="paragraph" w:styleId="17">
    <w:name w:val="toc 8"/>
    <w:basedOn w:val="1"/>
    <w:next w:val="1"/>
    <w:qFormat/>
    <w:uiPriority w:val="39"/>
    <w:pPr>
      <w:ind w:left="2940" w:leftChars="1400"/>
    </w:pPr>
    <w:rPr>
      <w:rFonts w:ascii="Times New Roman" w:hAnsi="Times New Roman" w:eastAsia="宋体" w:cs="Times New Roman"/>
      <w:szCs w:val="24"/>
    </w:rPr>
  </w:style>
  <w:style w:type="paragraph" w:styleId="18">
    <w:name w:val="Date"/>
    <w:basedOn w:val="1"/>
    <w:next w:val="1"/>
    <w:link w:val="63"/>
    <w:qFormat/>
    <w:uiPriority w:val="0"/>
    <w:rPr>
      <w:szCs w:val="21"/>
    </w:rPr>
  </w:style>
  <w:style w:type="paragraph" w:styleId="19">
    <w:name w:val="Body Text Indent 2"/>
    <w:basedOn w:val="1"/>
    <w:link w:val="64"/>
    <w:qFormat/>
    <w:uiPriority w:val="0"/>
    <w:pPr>
      <w:spacing w:before="100" w:beforeAutospacing="1" w:after="100" w:afterAutospacing="1" w:line="360" w:lineRule="auto"/>
      <w:ind w:firstLine="420"/>
    </w:pPr>
    <w:rPr>
      <w:rFonts w:ascii="宋体" w:hAnsi="Calibri" w:eastAsia="宋体" w:cs="Times New Roman"/>
      <w:kern w:val="0"/>
      <w:sz w:val="24"/>
      <w:szCs w:val="20"/>
    </w:rPr>
  </w:style>
  <w:style w:type="paragraph" w:styleId="20">
    <w:name w:val="Balloon Text"/>
    <w:basedOn w:val="1"/>
    <w:link w:val="65"/>
    <w:qFormat/>
    <w:uiPriority w:val="0"/>
    <w:rPr>
      <w:rFonts w:ascii="Calibri" w:hAnsi="Calibri" w:eastAsia="宋体" w:cs="Times New Roman"/>
      <w:sz w:val="18"/>
      <w:szCs w:val="18"/>
    </w:rPr>
  </w:style>
  <w:style w:type="paragraph" w:styleId="21">
    <w:name w:val="footer"/>
    <w:basedOn w:val="1"/>
    <w:link w:val="66"/>
    <w:qFormat/>
    <w:uiPriority w:val="99"/>
    <w:pPr>
      <w:tabs>
        <w:tab w:val="center" w:pos="4153"/>
        <w:tab w:val="right" w:pos="8306"/>
      </w:tabs>
      <w:snapToGrid w:val="0"/>
      <w:jc w:val="left"/>
    </w:pPr>
    <w:rPr>
      <w:rFonts w:ascii="Calibri" w:hAnsi="Calibri" w:eastAsia="宋体" w:cs="Times New Roman"/>
      <w:sz w:val="18"/>
      <w:szCs w:val="18"/>
    </w:rPr>
  </w:style>
  <w:style w:type="paragraph" w:styleId="22">
    <w:name w:val="header"/>
    <w:basedOn w:val="1"/>
    <w:link w:val="67"/>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3">
    <w:name w:val="toc 1"/>
    <w:basedOn w:val="1"/>
    <w:next w:val="1"/>
    <w:qFormat/>
    <w:uiPriority w:val="39"/>
    <w:rPr>
      <w:rFonts w:ascii="Times New Roman" w:hAnsi="Times New Roman" w:eastAsia="宋体" w:cs="Times New Roman"/>
      <w:szCs w:val="24"/>
    </w:rPr>
  </w:style>
  <w:style w:type="paragraph" w:styleId="24">
    <w:name w:val="toc 4"/>
    <w:basedOn w:val="1"/>
    <w:next w:val="1"/>
    <w:qFormat/>
    <w:uiPriority w:val="39"/>
    <w:pPr>
      <w:ind w:left="1260" w:leftChars="600"/>
    </w:pPr>
    <w:rPr>
      <w:rFonts w:ascii="Times New Roman" w:hAnsi="Times New Roman" w:eastAsia="宋体" w:cs="Times New Roman"/>
      <w:szCs w:val="24"/>
    </w:rPr>
  </w:style>
  <w:style w:type="paragraph" w:styleId="25">
    <w:name w:val="Subtitle"/>
    <w:basedOn w:val="1"/>
    <w:next w:val="1"/>
    <w:link w:val="68"/>
    <w:qFormat/>
    <w:uiPriority w:val="11"/>
    <w:pPr>
      <w:widowControl/>
      <w:spacing w:before="240" w:after="60" w:line="312" w:lineRule="auto"/>
      <w:jc w:val="center"/>
      <w:outlineLvl w:val="1"/>
    </w:pPr>
    <w:rPr>
      <w:rFonts w:ascii="Calibri Light" w:hAnsi="Calibri Light"/>
      <w:b/>
      <w:bCs/>
      <w:kern w:val="28"/>
      <w:sz w:val="32"/>
      <w:szCs w:val="32"/>
    </w:rPr>
  </w:style>
  <w:style w:type="paragraph" w:styleId="26">
    <w:name w:val="footnote text"/>
    <w:basedOn w:val="1"/>
    <w:link w:val="69"/>
    <w:semiHidden/>
    <w:qFormat/>
    <w:uiPriority w:val="0"/>
    <w:pPr>
      <w:snapToGrid w:val="0"/>
      <w:jc w:val="left"/>
    </w:pPr>
    <w:rPr>
      <w:rFonts w:ascii="Times New Roman" w:hAnsi="Times New Roman" w:eastAsia="宋体" w:cs="Times New Roman"/>
      <w:sz w:val="18"/>
      <w:szCs w:val="18"/>
    </w:rPr>
  </w:style>
  <w:style w:type="paragraph" w:styleId="27">
    <w:name w:val="toc 6"/>
    <w:basedOn w:val="1"/>
    <w:next w:val="1"/>
    <w:qFormat/>
    <w:uiPriority w:val="39"/>
    <w:pPr>
      <w:ind w:left="2100" w:leftChars="1000"/>
    </w:pPr>
    <w:rPr>
      <w:rFonts w:ascii="Times New Roman" w:hAnsi="Times New Roman" w:eastAsia="宋体" w:cs="Times New Roman"/>
      <w:szCs w:val="24"/>
    </w:rPr>
  </w:style>
  <w:style w:type="paragraph" w:styleId="28">
    <w:name w:val="Body Text Indent 3"/>
    <w:basedOn w:val="1"/>
    <w:link w:val="70"/>
    <w:qFormat/>
    <w:uiPriority w:val="0"/>
    <w:pPr>
      <w:spacing w:line="440" w:lineRule="exact"/>
      <w:ind w:firstLine="412" w:firstLineChars="200"/>
    </w:pPr>
    <w:rPr>
      <w:rFonts w:ascii="宋体" w:hAnsi="Calibri" w:eastAsia="宋体" w:cs="Times New Roman"/>
      <w:kern w:val="0"/>
      <w:sz w:val="20"/>
      <w:szCs w:val="20"/>
    </w:rPr>
  </w:style>
  <w:style w:type="paragraph" w:styleId="29">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30">
    <w:name w:val="toc 2"/>
    <w:basedOn w:val="1"/>
    <w:next w:val="1"/>
    <w:qFormat/>
    <w:uiPriority w:val="39"/>
    <w:pPr>
      <w:ind w:left="420" w:leftChars="200"/>
    </w:pPr>
    <w:rPr>
      <w:rFonts w:ascii="Times New Roman" w:hAnsi="Times New Roman" w:eastAsia="宋体" w:cs="Times New Roman"/>
      <w:szCs w:val="24"/>
    </w:rPr>
  </w:style>
  <w:style w:type="paragraph" w:styleId="31">
    <w:name w:val="toc 9"/>
    <w:basedOn w:val="1"/>
    <w:next w:val="1"/>
    <w:qFormat/>
    <w:uiPriority w:val="39"/>
    <w:pPr>
      <w:ind w:left="3360" w:leftChars="1600"/>
    </w:pPr>
    <w:rPr>
      <w:rFonts w:ascii="Times New Roman" w:hAnsi="Times New Roman" w:eastAsia="宋体" w:cs="Times New Roman"/>
      <w:szCs w:val="24"/>
    </w:rPr>
  </w:style>
  <w:style w:type="paragraph" w:styleId="32">
    <w:name w:val="List Continue 2"/>
    <w:basedOn w:val="1"/>
    <w:qFormat/>
    <w:uiPriority w:val="0"/>
    <w:pPr>
      <w:spacing w:after="120"/>
      <w:ind w:left="840" w:leftChars="400"/>
    </w:pPr>
    <w:rPr>
      <w:rFonts w:ascii="Times New Roman" w:hAnsi="Times New Roman" w:eastAsia="宋体" w:cs="Times New Roman"/>
      <w:szCs w:val="24"/>
    </w:rPr>
  </w:style>
  <w:style w:type="paragraph" w:styleId="3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34">
    <w:name w:val="index 1"/>
    <w:basedOn w:val="1"/>
    <w:next w:val="1"/>
    <w:semiHidden/>
    <w:qFormat/>
    <w:uiPriority w:val="0"/>
    <w:pPr>
      <w:adjustRightInd w:val="0"/>
      <w:snapToGrid w:val="0"/>
      <w:spacing w:line="300" w:lineRule="exact"/>
    </w:pPr>
    <w:rPr>
      <w:rFonts w:ascii="宋体" w:hAnsi="宋体" w:eastAsia="宋体" w:cs="Times New Roman"/>
      <w:bCs/>
      <w:sz w:val="20"/>
      <w:szCs w:val="21"/>
    </w:rPr>
  </w:style>
  <w:style w:type="paragraph" w:styleId="35">
    <w:name w:val="Title"/>
    <w:basedOn w:val="1"/>
    <w:next w:val="1"/>
    <w:link w:val="71"/>
    <w:qFormat/>
    <w:uiPriority w:val="10"/>
    <w:pPr>
      <w:spacing w:before="240" w:after="60"/>
      <w:jc w:val="center"/>
      <w:outlineLvl w:val="0"/>
    </w:pPr>
    <w:rPr>
      <w:rFonts w:ascii="Cambria" w:hAnsi="Cambria" w:cs="Times New Roman"/>
      <w:b/>
      <w:bCs/>
      <w:sz w:val="32"/>
      <w:szCs w:val="32"/>
    </w:rPr>
  </w:style>
  <w:style w:type="paragraph" w:styleId="36">
    <w:name w:val="annotation subject"/>
    <w:basedOn w:val="11"/>
    <w:next w:val="11"/>
    <w:link w:val="72"/>
    <w:qFormat/>
    <w:uiPriority w:val="0"/>
    <w:rPr>
      <w:b/>
      <w:bCs/>
    </w:rPr>
  </w:style>
  <w:style w:type="table" w:styleId="38">
    <w:name w:val="Table Grid"/>
    <w:basedOn w:val="37"/>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Strong"/>
    <w:basedOn w:val="39"/>
    <w:qFormat/>
    <w:uiPriority w:val="22"/>
    <w:rPr>
      <w:rFonts w:cs="Times New Roman"/>
      <w:b/>
    </w:rPr>
  </w:style>
  <w:style w:type="character" w:styleId="41">
    <w:name w:val="page number"/>
    <w:basedOn w:val="39"/>
    <w:qFormat/>
    <w:uiPriority w:val="0"/>
    <w:rPr>
      <w:rFonts w:cs="Times New Roman"/>
    </w:rPr>
  </w:style>
  <w:style w:type="character" w:styleId="42">
    <w:name w:val="FollowedHyperlink"/>
    <w:basedOn w:val="39"/>
    <w:qFormat/>
    <w:uiPriority w:val="0"/>
    <w:rPr>
      <w:rFonts w:cs="Times New Roman"/>
      <w:color w:val="555555"/>
      <w:u w:val="none"/>
    </w:rPr>
  </w:style>
  <w:style w:type="character" w:styleId="43">
    <w:name w:val="Emphasis"/>
    <w:basedOn w:val="39"/>
    <w:qFormat/>
    <w:uiPriority w:val="0"/>
    <w:rPr>
      <w:rFonts w:cs="Times New Roman"/>
      <w:i/>
    </w:rPr>
  </w:style>
  <w:style w:type="character" w:styleId="44">
    <w:name w:val="HTML Definition"/>
    <w:basedOn w:val="39"/>
    <w:qFormat/>
    <w:uiPriority w:val="0"/>
    <w:rPr>
      <w:rFonts w:cs="Times New Roman"/>
    </w:rPr>
  </w:style>
  <w:style w:type="character" w:styleId="45">
    <w:name w:val="HTML Acronym"/>
    <w:basedOn w:val="39"/>
    <w:qFormat/>
    <w:uiPriority w:val="0"/>
    <w:rPr>
      <w:rFonts w:cs="Times New Roman"/>
    </w:rPr>
  </w:style>
  <w:style w:type="character" w:styleId="46">
    <w:name w:val="HTML Variable"/>
    <w:basedOn w:val="39"/>
    <w:qFormat/>
    <w:uiPriority w:val="0"/>
    <w:rPr>
      <w:rFonts w:cs="Times New Roman"/>
    </w:rPr>
  </w:style>
  <w:style w:type="character" w:styleId="47">
    <w:name w:val="Hyperlink"/>
    <w:basedOn w:val="39"/>
    <w:qFormat/>
    <w:uiPriority w:val="99"/>
    <w:rPr>
      <w:rFonts w:cs="Times New Roman"/>
      <w:color w:val="555555"/>
      <w:u w:val="none"/>
    </w:rPr>
  </w:style>
  <w:style w:type="character" w:styleId="48">
    <w:name w:val="HTML Code"/>
    <w:basedOn w:val="39"/>
    <w:qFormat/>
    <w:uiPriority w:val="0"/>
    <w:rPr>
      <w:rFonts w:ascii="monospace" w:hAnsi="monospace" w:cs="Times New Roman"/>
      <w:sz w:val="24"/>
    </w:rPr>
  </w:style>
  <w:style w:type="character" w:styleId="49">
    <w:name w:val="annotation reference"/>
    <w:qFormat/>
    <w:uiPriority w:val="0"/>
    <w:rPr>
      <w:sz w:val="21"/>
      <w:szCs w:val="21"/>
    </w:rPr>
  </w:style>
  <w:style w:type="character" w:styleId="50">
    <w:name w:val="HTML Cite"/>
    <w:basedOn w:val="39"/>
    <w:qFormat/>
    <w:uiPriority w:val="0"/>
    <w:rPr>
      <w:rFonts w:cs="Times New Roman"/>
    </w:rPr>
  </w:style>
  <w:style w:type="character" w:styleId="51">
    <w:name w:val="footnote reference"/>
    <w:semiHidden/>
    <w:qFormat/>
    <w:uiPriority w:val="0"/>
    <w:rPr>
      <w:vertAlign w:val="superscript"/>
    </w:rPr>
  </w:style>
  <w:style w:type="character" w:styleId="52">
    <w:name w:val="HTML Keyboard"/>
    <w:basedOn w:val="39"/>
    <w:qFormat/>
    <w:uiPriority w:val="0"/>
    <w:rPr>
      <w:rFonts w:ascii="monospace" w:hAnsi="monospace" w:cs="Times New Roman"/>
      <w:sz w:val="24"/>
    </w:rPr>
  </w:style>
  <w:style w:type="character" w:styleId="53">
    <w:name w:val="HTML Sample"/>
    <w:basedOn w:val="39"/>
    <w:qFormat/>
    <w:uiPriority w:val="0"/>
    <w:rPr>
      <w:rFonts w:ascii="monospace" w:hAnsi="monospace" w:cs="Times New Roman"/>
      <w:sz w:val="24"/>
    </w:rPr>
  </w:style>
  <w:style w:type="character" w:customStyle="1" w:styleId="54">
    <w:name w:val="正文缩进 Char"/>
    <w:link w:val="8"/>
    <w:qFormat/>
    <w:locked/>
    <w:uiPriority w:val="0"/>
    <w:rPr>
      <w:rFonts w:ascii="Times New Roman" w:hAnsi="Times New Roman" w:eastAsia="宋体" w:cs="Times New Roman"/>
      <w:kern w:val="0"/>
      <w:sz w:val="24"/>
      <w:szCs w:val="20"/>
    </w:rPr>
  </w:style>
  <w:style w:type="character" w:customStyle="1" w:styleId="55">
    <w:name w:val="标题 1 Char"/>
    <w:basedOn w:val="39"/>
    <w:link w:val="3"/>
    <w:qFormat/>
    <w:uiPriority w:val="0"/>
    <w:rPr>
      <w:rFonts w:ascii="???" w:hAnsi="???" w:eastAsia="宋体" w:cs="Arial"/>
      <w:b/>
      <w:bCs/>
      <w:color w:val="020000"/>
      <w:kern w:val="36"/>
      <w:sz w:val="44"/>
      <w:szCs w:val="44"/>
    </w:rPr>
  </w:style>
  <w:style w:type="character" w:customStyle="1" w:styleId="56">
    <w:name w:val="标题 2 Char"/>
    <w:basedOn w:val="39"/>
    <w:link w:val="4"/>
    <w:qFormat/>
    <w:uiPriority w:val="0"/>
    <w:rPr>
      <w:rFonts w:ascii="???" w:hAnsi="???" w:eastAsia="宋体" w:cs="Arial"/>
      <w:b/>
      <w:bCs/>
      <w:color w:val="020000"/>
      <w:kern w:val="0"/>
      <w:sz w:val="32"/>
      <w:szCs w:val="32"/>
    </w:rPr>
  </w:style>
  <w:style w:type="character" w:customStyle="1" w:styleId="57">
    <w:name w:val="标题 3 Char"/>
    <w:basedOn w:val="39"/>
    <w:link w:val="5"/>
    <w:qFormat/>
    <w:uiPriority w:val="0"/>
    <w:rPr>
      <w:rFonts w:ascii="??" w:hAnsi="??" w:eastAsia="宋体" w:cs="Arial"/>
      <w:b/>
      <w:bCs/>
      <w:color w:val="000000"/>
      <w:kern w:val="0"/>
      <w:sz w:val="32"/>
      <w:szCs w:val="32"/>
    </w:rPr>
  </w:style>
  <w:style w:type="character" w:customStyle="1" w:styleId="58">
    <w:name w:val="文档结构图 Char"/>
    <w:basedOn w:val="39"/>
    <w:link w:val="9"/>
    <w:qFormat/>
    <w:uiPriority w:val="0"/>
    <w:rPr>
      <w:rFonts w:ascii="宋体" w:hAnsi="Calibri" w:eastAsia="宋体" w:cs="Times New Roman"/>
      <w:kern w:val="0"/>
      <w:sz w:val="18"/>
      <w:szCs w:val="20"/>
    </w:rPr>
  </w:style>
  <w:style w:type="character" w:customStyle="1" w:styleId="59">
    <w:name w:val="批注文字 Char"/>
    <w:link w:val="11"/>
    <w:qFormat/>
    <w:uiPriority w:val="0"/>
  </w:style>
  <w:style w:type="character" w:customStyle="1" w:styleId="60">
    <w:name w:val="正文文本 Char"/>
    <w:basedOn w:val="39"/>
    <w:link w:val="12"/>
    <w:qFormat/>
    <w:uiPriority w:val="0"/>
    <w:rPr>
      <w:rFonts w:ascii="Calibri" w:hAnsi="Calibri" w:eastAsia="宋体" w:cs="Times New Roman"/>
      <w:kern w:val="0"/>
      <w:sz w:val="24"/>
      <w:szCs w:val="20"/>
    </w:rPr>
  </w:style>
  <w:style w:type="character" w:customStyle="1" w:styleId="61">
    <w:name w:val="正文文本缩进 Char"/>
    <w:basedOn w:val="39"/>
    <w:link w:val="13"/>
    <w:qFormat/>
    <w:uiPriority w:val="0"/>
    <w:rPr>
      <w:rFonts w:ascii="??" w:hAnsi="??" w:eastAsia="宋体" w:cs="Arial"/>
      <w:kern w:val="0"/>
      <w:sz w:val="24"/>
      <w:szCs w:val="24"/>
    </w:rPr>
  </w:style>
  <w:style w:type="character" w:customStyle="1" w:styleId="62">
    <w:name w:val="纯文本 Char"/>
    <w:link w:val="16"/>
    <w:qFormat/>
    <w:uiPriority w:val="0"/>
    <w:rPr>
      <w:rFonts w:ascii="宋体" w:hAnsi="Courier New" w:eastAsia="宋体"/>
      <w:szCs w:val="21"/>
    </w:rPr>
  </w:style>
  <w:style w:type="character" w:customStyle="1" w:styleId="63">
    <w:name w:val="日期 Char"/>
    <w:link w:val="18"/>
    <w:qFormat/>
    <w:uiPriority w:val="0"/>
    <w:rPr>
      <w:szCs w:val="21"/>
    </w:rPr>
  </w:style>
  <w:style w:type="character" w:customStyle="1" w:styleId="64">
    <w:name w:val="正文文本缩进 2 Char"/>
    <w:basedOn w:val="39"/>
    <w:link w:val="19"/>
    <w:qFormat/>
    <w:uiPriority w:val="0"/>
    <w:rPr>
      <w:rFonts w:ascii="宋体" w:hAnsi="Calibri" w:eastAsia="宋体" w:cs="Times New Roman"/>
      <w:kern w:val="0"/>
      <w:sz w:val="24"/>
      <w:szCs w:val="20"/>
    </w:rPr>
  </w:style>
  <w:style w:type="character" w:customStyle="1" w:styleId="65">
    <w:name w:val="批注框文本 Char"/>
    <w:basedOn w:val="39"/>
    <w:link w:val="20"/>
    <w:qFormat/>
    <w:uiPriority w:val="0"/>
    <w:rPr>
      <w:rFonts w:ascii="Calibri" w:hAnsi="Calibri" w:eastAsia="宋体" w:cs="Times New Roman"/>
      <w:sz w:val="18"/>
      <w:szCs w:val="18"/>
    </w:rPr>
  </w:style>
  <w:style w:type="character" w:customStyle="1" w:styleId="66">
    <w:name w:val="页脚 Char"/>
    <w:basedOn w:val="39"/>
    <w:link w:val="21"/>
    <w:qFormat/>
    <w:uiPriority w:val="99"/>
    <w:rPr>
      <w:rFonts w:ascii="Calibri" w:hAnsi="Calibri" w:eastAsia="宋体" w:cs="Times New Roman"/>
      <w:sz w:val="18"/>
      <w:szCs w:val="18"/>
    </w:rPr>
  </w:style>
  <w:style w:type="character" w:customStyle="1" w:styleId="67">
    <w:name w:val="页眉 Char"/>
    <w:basedOn w:val="39"/>
    <w:link w:val="22"/>
    <w:qFormat/>
    <w:uiPriority w:val="0"/>
    <w:rPr>
      <w:rFonts w:ascii="Calibri" w:hAnsi="Calibri" w:eastAsia="宋体" w:cs="Times New Roman"/>
      <w:sz w:val="18"/>
      <w:szCs w:val="18"/>
    </w:rPr>
  </w:style>
  <w:style w:type="character" w:customStyle="1" w:styleId="68">
    <w:name w:val="副标题 Char"/>
    <w:link w:val="25"/>
    <w:qFormat/>
    <w:uiPriority w:val="11"/>
    <w:rPr>
      <w:rFonts w:ascii="Calibri Light" w:hAnsi="Calibri Light"/>
      <w:b/>
      <w:bCs/>
      <w:kern w:val="28"/>
      <w:sz w:val="32"/>
      <w:szCs w:val="32"/>
    </w:rPr>
  </w:style>
  <w:style w:type="character" w:customStyle="1" w:styleId="69">
    <w:name w:val="脚注文本 Char"/>
    <w:basedOn w:val="39"/>
    <w:link w:val="26"/>
    <w:semiHidden/>
    <w:qFormat/>
    <w:uiPriority w:val="0"/>
    <w:rPr>
      <w:rFonts w:ascii="Times New Roman" w:hAnsi="Times New Roman" w:eastAsia="宋体" w:cs="Times New Roman"/>
      <w:sz w:val="18"/>
      <w:szCs w:val="18"/>
    </w:rPr>
  </w:style>
  <w:style w:type="character" w:customStyle="1" w:styleId="70">
    <w:name w:val="正文文本缩进 3 Char"/>
    <w:basedOn w:val="39"/>
    <w:link w:val="28"/>
    <w:qFormat/>
    <w:uiPriority w:val="0"/>
    <w:rPr>
      <w:rFonts w:ascii="宋体" w:hAnsi="Calibri" w:eastAsia="宋体" w:cs="Times New Roman"/>
      <w:kern w:val="0"/>
      <w:sz w:val="20"/>
      <w:szCs w:val="20"/>
    </w:rPr>
  </w:style>
  <w:style w:type="character" w:customStyle="1" w:styleId="71">
    <w:name w:val="标题 Char"/>
    <w:link w:val="35"/>
    <w:qFormat/>
    <w:uiPriority w:val="10"/>
    <w:rPr>
      <w:rFonts w:ascii="Cambria" w:hAnsi="Cambria" w:cs="Times New Roman"/>
      <w:b/>
      <w:bCs/>
      <w:sz w:val="32"/>
      <w:szCs w:val="32"/>
    </w:rPr>
  </w:style>
  <w:style w:type="character" w:customStyle="1" w:styleId="72">
    <w:name w:val="批注主题 Char"/>
    <w:link w:val="36"/>
    <w:qFormat/>
    <w:uiPriority w:val="0"/>
    <w:rPr>
      <w:b/>
      <w:bCs/>
    </w:rPr>
  </w:style>
  <w:style w:type="paragraph" w:styleId="73">
    <w:name w:val="List Paragraph"/>
    <w:basedOn w:val="1"/>
    <w:qFormat/>
    <w:uiPriority w:val="34"/>
    <w:pPr>
      <w:ind w:firstLine="420" w:firstLineChars="200"/>
    </w:pPr>
    <w:rPr>
      <w:rFonts w:ascii="Calibri" w:hAnsi="Calibri" w:eastAsia="宋体" w:cs="Times New Roman"/>
    </w:rPr>
  </w:style>
  <w:style w:type="character" w:customStyle="1" w:styleId="74">
    <w:name w:val="标题 2 Char Char"/>
    <w:qFormat/>
    <w:uiPriority w:val="0"/>
    <w:rPr>
      <w:rFonts w:ascii="Arial" w:hAnsi="Arial" w:eastAsia="黑体"/>
      <w:b/>
      <w:kern w:val="2"/>
      <w:sz w:val="32"/>
      <w:lang w:val="en-US" w:eastAsia="zh-CN"/>
    </w:rPr>
  </w:style>
  <w:style w:type="character" w:customStyle="1" w:styleId="75">
    <w:name w:val="2charchar"/>
    <w:basedOn w:val="39"/>
    <w:qFormat/>
    <w:uiPriority w:val="0"/>
    <w:rPr>
      <w:rFonts w:cs="Times New Roman"/>
    </w:rPr>
  </w:style>
  <w:style w:type="paragraph" w:customStyle="1" w:styleId="76">
    <w:name w:val="表格文字"/>
    <w:basedOn w:val="1"/>
    <w:qFormat/>
    <w:uiPriority w:val="0"/>
    <w:pPr>
      <w:adjustRightInd w:val="0"/>
      <w:spacing w:line="420" w:lineRule="atLeast"/>
      <w:jc w:val="left"/>
    </w:pPr>
    <w:rPr>
      <w:rFonts w:ascii="Times New Roman" w:hAnsi="Times New Roman" w:eastAsia="宋体" w:cs="Times New Roman"/>
      <w:kern w:val="0"/>
      <w:szCs w:val="20"/>
    </w:rPr>
  </w:style>
  <w:style w:type="paragraph" w:customStyle="1" w:styleId="77">
    <w:name w:val="z-窗体顶端1"/>
    <w:basedOn w:val="1"/>
    <w:next w:val="1"/>
    <w:link w:val="78"/>
    <w:semiHidden/>
    <w:qFormat/>
    <w:uiPriority w:val="0"/>
    <w:pPr>
      <w:widowControl/>
      <w:pBdr>
        <w:bottom w:val="single" w:color="auto" w:sz="6" w:space="1"/>
      </w:pBdr>
      <w:jc w:val="center"/>
    </w:pPr>
    <w:rPr>
      <w:rFonts w:ascii="Arial" w:hAnsi="Arial" w:eastAsia="宋体" w:cs="Arial"/>
      <w:vanish/>
      <w:kern w:val="0"/>
      <w:sz w:val="16"/>
      <w:szCs w:val="16"/>
    </w:rPr>
  </w:style>
  <w:style w:type="character" w:customStyle="1" w:styleId="78">
    <w:name w:val="z-窗体顶端 Char"/>
    <w:basedOn w:val="39"/>
    <w:link w:val="77"/>
    <w:semiHidden/>
    <w:qFormat/>
    <w:uiPriority w:val="0"/>
    <w:rPr>
      <w:rFonts w:ascii="Arial" w:hAnsi="Arial" w:eastAsia="宋体" w:cs="Arial"/>
      <w:vanish/>
      <w:kern w:val="0"/>
      <w:sz w:val="16"/>
      <w:szCs w:val="16"/>
    </w:rPr>
  </w:style>
  <w:style w:type="paragraph" w:customStyle="1" w:styleId="79">
    <w:name w:val="z-窗体底端1"/>
    <w:basedOn w:val="1"/>
    <w:next w:val="1"/>
    <w:link w:val="80"/>
    <w:semiHidden/>
    <w:qFormat/>
    <w:uiPriority w:val="0"/>
    <w:pPr>
      <w:widowControl/>
      <w:pBdr>
        <w:top w:val="single" w:color="auto" w:sz="6" w:space="1"/>
      </w:pBdr>
      <w:jc w:val="center"/>
    </w:pPr>
    <w:rPr>
      <w:rFonts w:ascii="Arial" w:hAnsi="Arial" w:eastAsia="宋体" w:cs="Arial"/>
      <w:vanish/>
      <w:kern w:val="0"/>
      <w:sz w:val="16"/>
      <w:szCs w:val="16"/>
    </w:rPr>
  </w:style>
  <w:style w:type="character" w:customStyle="1" w:styleId="80">
    <w:name w:val="z-窗体底端 Char"/>
    <w:basedOn w:val="39"/>
    <w:link w:val="79"/>
    <w:semiHidden/>
    <w:qFormat/>
    <w:uiPriority w:val="0"/>
    <w:rPr>
      <w:rFonts w:ascii="Arial" w:hAnsi="Arial" w:eastAsia="宋体" w:cs="Arial"/>
      <w:vanish/>
      <w:kern w:val="0"/>
      <w:sz w:val="16"/>
      <w:szCs w:val="16"/>
    </w:rPr>
  </w:style>
  <w:style w:type="paragraph" w:customStyle="1" w:styleId="81">
    <w:name w:val="hu正文"/>
    <w:basedOn w:val="1"/>
    <w:link w:val="82"/>
    <w:qFormat/>
    <w:uiPriority w:val="0"/>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82">
    <w:name w:val="hu正文 Char"/>
    <w:link w:val="81"/>
    <w:qFormat/>
    <w:locked/>
    <w:uiPriority w:val="0"/>
    <w:rPr>
      <w:rFonts w:ascii="Times New Roman" w:hAnsi="Times New Roman" w:eastAsia="宋体" w:cs="Times New Roman"/>
      <w:kern w:val="0"/>
      <w:sz w:val="24"/>
      <w:szCs w:val="20"/>
    </w:rPr>
  </w:style>
  <w:style w:type="paragraph" w:styleId="83">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84">
    <w:name w:val="ui-bz-bg-hover1"/>
    <w:basedOn w:val="39"/>
    <w:qFormat/>
    <w:uiPriority w:val="0"/>
    <w:rPr>
      <w:rFonts w:cs="Times New Roman"/>
    </w:rPr>
  </w:style>
  <w:style w:type="character" w:customStyle="1" w:styleId="85">
    <w:name w:val="批注框文本 Char1"/>
    <w:qFormat/>
    <w:uiPriority w:val="0"/>
    <w:rPr>
      <w:rFonts w:ascii="Times New Roman" w:hAnsi="Times New Roman" w:eastAsia="宋体"/>
      <w:sz w:val="18"/>
    </w:rPr>
  </w:style>
  <w:style w:type="character" w:customStyle="1" w:styleId="86">
    <w:name w:val="bds_nopic"/>
    <w:basedOn w:val="39"/>
    <w:qFormat/>
    <w:uiPriority w:val="0"/>
    <w:rPr>
      <w:rFonts w:cs="Times New Roman"/>
    </w:rPr>
  </w:style>
  <w:style w:type="character" w:customStyle="1" w:styleId="87">
    <w:name w:val="tip12"/>
    <w:qFormat/>
    <w:uiPriority w:val="0"/>
    <w:rPr>
      <w:vanish/>
      <w:color w:val="FF0000"/>
      <w:sz w:val="18"/>
    </w:rPr>
  </w:style>
  <w:style w:type="character" w:customStyle="1" w:styleId="88">
    <w:name w:val="Body Text Indent 3 Char"/>
    <w:qFormat/>
    <w:locked/>
    <w:uiPriority w:val="99"/>
    <w:rPr>
      <w:rFonts w:ascii="宋体" w:eastAsia="宋体"/>
    </w:rPr>
  </w:style>
  <w:style w:type="character" w:customStyle="1" w:styleId="89">
    <w:name w:val="HTML Markup"/>
    <w:qFormat/>
    <w:uiPriority w:val="0"/>
    <w:rPr>
      <w:vanish/>
      <w:color w:val="FF0000"/>
    </w:rPr>
  </w:style>
  <w:style w:type="character" w:customStyle="1" w:styleId="90">
    <w:name w:val="tip7"/>
    <w:qFormat/>
    <w:uiPriority w:val="0"/>
    <w:rPr>
      <w:vanish/>
      <w:color w:val="FF0000"/>
      <w:sz w:val="18"/>
    </w:rPr>
  </w:style>
  <w:style w:type="character" w:customStyle="1" w:styleId="91">
    <w:name w:val="f-star"/>
    <w:qFormat/>
    <w:uiPriority w:val="0"/>
    <w:rPr>
      <w:color w:val="999999"/>
      <w:sz w:val="21"/>
    </w:rPr>
  </w:style>
  <w:style w:type="character" w:customStyle="1" w:styleId="92">
    <w:name w:val="Document Map Char1"/>
    <w:qFormat/>
    <w:uiPriority w:val="0"/>
    <w:rPr>
      <w:rFonts w:ascii="Times New Roman" w:hAnsi="Times New Roman"/>
      <w:kern w:val="2"/>
      <w:sz w:val="2"/>
    </w:rPr>
  </w:style>
  <w:style w:type="character" w:customStyle="1" w:styleId="93">
    <w:name w:val="my-class2"/>
    <w:basedOn w:val="39"/>
    <w:qFormat/>
    <w:uiPriority w:val="0"/>
    <w:rPr>
      <w:rFonts w:cs="Times New Roman"/>
    </w:rPr>
  </w:style>
  <w:style w:type="character" w:customStyle="1" w:styleId="94">
    <w:name w:val="no52"/>
    <w:basedOn w:val="39"/>
    <w:qFormat/>
    <w:uiPriority w:val="0"/>
    <w:rPr>
      <w:rFonts w:cs="Times New Roman"/>
    </w:rPr>
  </w:style>
  <w:style w:type="character" w:customStyle="1" w:styleId="95">
    <w:name w:val="no4"/>
    <w:basedOn w:val="39"/>
    <w:qFormat/>
    <w:uiPriority w:val="0"/>
    <w:rPr>
      <w:rFonts w:cs="Times New Roman"/>
    </w:rPr>
  </w:style>
  <w:style w:type="character" w:customStyle="1" w:styleId="96">
    <w:name w:val="my-notice"/>
    <w:basedOn w:val="39"/>
    <w:qFormat/>
    <w:uiPriority w:val="0"/>
    <w:rPr>
      <w:rFonts w:cs="Times New Roman"/>
    </w:rPr>
  </w:style>
  <w:style w:type="character" w:customStyle="1" w:styleId="97">
    <w:name w:val="ico-jiang"/>
    <w:basedOn w:val="39"/>
    <w:qFormat/>
    <w:uiPriority w:val="0"/>
    <w:rPr>
      <w:rFonts w:cs="Times New Roman"/>
    </w:rPr>
  </w:style>
  <w:style w:type="character" w:customStyle="1" w:styleId="98">
    <w:name w:val="ico-jiang2"/>
    <w:basedOn w:val="39"/>
    <w:qFormat/>
    <w:uiPriority w:val="0"/>
    <w:rPr>
      <w:rFonts w:cs="Times New Roman"/>
    </w:rPr>
  </w:style>
  <w:style w:type="character" w:customStyle="1" w:styleId="99">
    <w:name w:val="bds_more1"/>
    <w:qFormat/>
    <w:uiPriority w:val="0"/>
    <w:rPr>
      <w:rFonts w:ascii="宋体" w:hAnsi="宋体" w:eastAsia="宋体"/>
    </w:rPr>
  </w:style>
  <w:style w:type="character" w:customStyle="1" w:styleId="100">
    <w:name w:val="Body Text Indent 2 Char"/>
    <w:qFormat/>
    <w:locked/>
    <w:uiPriority w:val="99"/>
    <w:rPr>
      <w:rFonts w:ascii="宋体" w:eastAsia="宋体"/>
      <w:sz w:val="24"/>
    </w:rPr>
  </w:style>
  <w:style w:type="character" w:customStyle="1" w:styleId="101">
    <w:name w:val="org_name"/>
    <w:basedOn w:val="39"/>
    <w:qFormat/>
    <w:uiPriority w:val="0"/>
    <w:rPr>
      <w:rFonts w:cs="Times New Roman"/>
    </w:rPr>
  </w:style>
  <w:style w:type="character" w:customStyle="1" w:styleId="102">
    <w:name w:val="org_name2"/>
    <w:basedOn w:val="39"/>
    <w:qFormat/>
    <w:uiPriority w:val="0"/>
    <w:rPr>
      <w:rFonts w:cs="Times New Roman"/>
    </w:rPr>
  </w:style>
  <w:style w:type="character" w:customStyle="1" w:styleId="103">
    <w:name w:val="tip10"/>
    <w:qFormat/>
    <w:uiPriority w:val="0"/>
    <w:rPr>
      <w:vanish/>
      <w:color w:val="FF0000"/>
      <w:sz w:val="18"/>
    </w:rPr>
  </w:style>
  <w:style w:type="character" w:customStyle="1" w:styleId="104">
    <w:name w:val="orange"/>
    <w:qFormat/>
    <w:uiPriority w:val="0"/>
    <w:rPr>
      <w:color w:val="3FB58F"/>
    </w:rPr>
  </w:style>
  <w:style w:type="character" w:customStyle="1" w:styleId="105">
    <w:name w:val="bds_more"/>
    <w:basedOn w:val="39"/>
    <w:qFormat/>
    <w:uiPriority w:val="0"/>
    <w:rPr>
      <w:rFonts w:cs="Times New Roman"/>
    </w:rPr>
  </w:style>
  <w:style w:type="character" w:customStyle="1" w:styleId="106">
    <w:name w:val="t-tag"/>
    <w:qFormat/>
    <w:uiPriority w:val="0"/>
    <w:rPr>
      <w:color w:val="FFFFFF"/>
      <w:sz w:val="18"/>
      <w:shd w:val="clear" w:color="auto" w:fill="FE8833"/>
    </w:rPr>
  </w:style>
  <w:style w:type="character" w:customStyle="1" w:styleId="107">
    <w:name w:val="top-icon"/>
    <w:basedOn w:val="39"/>
    <w:qFormat/>
    <w:uiPriority w:val="0"/>
    <w:rPr>
      <w:rFonts w:cs="Times New Roman"/>
    </w:rPr>
  </w:style>
  <w:style w:type="character" w:customStyle="1" w:styleId="108">
    <w:name w:val="Body Text Char"/>
    <w:qFormat/>
    <w:locked/>
    <w:uiPriority w:val="99"/>
    <w:rPr>
      <w:sz w:val="24"/>
    </w:rPr>
  </w:style>
  <w:style w:type="character" w:customStyle="1" w:styleId="109">
    <w:name w:val="no72"/>
    <w:basedOn w:val="39"/>
    <w:qFormat/>
    <w:uiPriority w:val="0"/>
    <w:rPr>
      <w:rFonts w:cs="Times New Roman"/>
    </w:rPr>
  </w:style>
  <w:style w:type="character" w:customStyle="1" w:styleId="110">
    <w:name w:val="bds_nopic2"/>
    <w:basedOn w:val="39"/>
    <w:qFormat/>
    <w:uiPriority w:val="0"/>
    <w:rPr>
      <w:rFonts w:cs="Times New Roman"/>
    </w:rPr>
  </w:style>
  <w:style w:type="character" w:customStyle="1" w:styleId="111">
    <w:name w:val="Document Map Char"/>
    <w:qFormat/>
    <w:uiPriority w:val="0"/>
    <w:rPr>
      <w:rFonts w:ascii="宋体"/>
      <w:sz w:val="18"/>
    </w:rPr>
  </w:style>
  <w:style w:type="character" w:customStyle="1" w:styleId="112">
    <w:name w:val="no6"/>
    <w:basedOn w:val="39"/>
    <w:qFormat/>
    <w:uiPriority w:val="0"/>
    <w:rPr>
      <w:rFonts w:cs="Times New Roman"/>
    </w:rPr>
  </w:style>
  <w:style w:type="character" w:customStyle="1" w:styleId="113">
    <w:name w:val="tip"/>
    <w:qFormat/>
    <w:uiPriority w:val="0"/>
    <w:rPr>
      <w:vanish/>
      <w:color w:val="FF0000"/>
      <w:sz w:val="18"/>
    </w:rPr>
  </w:style>
  <w:style w:type="character" w:customStyle="1" w:styleId="114">
    <w:name w:val="apple-converted-space"/>
    <w:basedOn w:val="39"/>
    <w:qFormat/>
    <w:uiPriority w:val="0"/>
    <w:rPr>
      <w:rFonts w:cs="Times New Roman"/>
    </w:rPr>
  </w:style>
  <w:style w:type="character" w:customStyle="1" w:styleId="115">
    <w:name w:val="bds_more2"/>
    <w:basedOn w:val="39"/>
    <w:qFormat/>
    <w:uiPriority w:val="0"/>
    <w:rPr>
      <w:rFonts w:cs="Times New Roman"/>
    </w:rPr>
  </w:style>
  <w:style w:type="character" w:customStyle="1" w:styleId="116">
    <w:name w:val="my-class"/>
    <w:basedOn w:val="39"/>
    <w:qFormat/>
    <w:uiPriority w:val="0"/>
    <w:rPr>
      <w:rFonts w:cs="Times New Roman"/>
    </w:rPr>
  </w:style>
  <w:style w:type="character" w:customStyle="1" w:styleId="117">
    <w:name w:val="ui-bz-bg-hover"/>
    <w:qFormat/>
    <w:uiPriority w:val="0"/>
    <w:rPr>
      <w:shd w:val="clear" w:color="auto" w:fill="000000"/>
    </w:rPr>
  </w:style>
  <w:style w:type="character" w:customStyle="1" w:styleId="118">
    <w:name w:val="no7"/>
    <w:basedOn w:val="39"/>
    <w:qFormat/>
    <w:uiPriority w:val="0"/>
    <w:rPr>
      <w:rFonts w:cs="Times New Roman"/>
    </w:rPr>
  </w:style>
  <w:style w:type="character" w:customStyle="1" w:styleId="119">
    <w:name w:val="ico-jiang1"/>
    <w:basedOn w:val="39"/>
    <w:qFormat/>
    <w:uiPriority w:val="0"/>
    <w:rPr>
      <w:rFonts w:cs="Times New Roman"/>
    </w:rPr>
  </w:style>
  <w:style w:type="character" w:customStyle="1" w:styleId="120">
    <w:name w:val="no62"/>
    <w:basedOn w:val="39"/>
    <w:qFormat/>
    <w:uiPriority w:val="0"/>
    <w:rPr>
      <w:rFonts w:cs="Times New Roman"/>
    </w:rPr>
  </w:style>
  <w:style w:type="character" w:customStyle="1" w:styleId="121">
    <w:name w:val="orange5"/>
    <w:qFormat/>
    <w:uiPriority w:val="0"/>
    <w:rPr>
      <w:color w:val="3FB58F"/>
    </w:rPr>
  </w:style>
  <w:style w:type="character" w:customStyle="1" w:styleId="122">
    <w:name w:val="bds_more4"/>
    <w:basedOn w:val="39"/>
    <w:qFormat/>
    <w:uiPriority w:val="0"/>
    <w:rPr>
      <w:rFonts w:cs="Times New Roman"/>
    </w:rPr>
  </w:style>
  <w:style w:type="character" w:customStyle="1" w:styleId="123">
    <w:name w:val="no5"/>
    <w:basedOn w:val="39"/>
    <w:qFormat/>
    <w:uiPriority w:val="0"/>
    <w:rPr>
      <w:rFonts w:cs="Times New Roman"/>
    </w:rPr>
  </w:style>
  <w:style w:type="character" w:customStyle="1" w:styleId="124">
    <w:name w:val="bds_more3"/>
    <w:basedOn w:val="39"/>
    <w:qFormat/>
    <w:uiPriority w:val="0"/>
    <w:rPr>
      <w:rFonts w:cs="Times New Roman"/>
    </w:rPr>
  </w:style>
  <w:style w:type="character" w:customStyle="1" w:styleId="125">
    <w:name w:val="no42"/>
    <w:basedOn w:val="39"/>
    <w:qFormat/>
    <w:uiPriority w:val="0"/>
    <w:rPr>
      <w:rFonts w:cs="Times New Roman"/>
    </w:rPr>
  </w:style>
  <w:style w:type="character" w:customStyle="1" w:styleId="126">
    <w:name w:val="bds_nopic1"/>
    <w:basedOn w:val="39"/>
    <w:qFormat/>
    <w:uiPriority w:val="0"/>
    <w:rPr>
      <w:rFonts w:cs="Times New Roman"/>
    </w:rPr>
  </w:style>
  <w:style w:type="character" w:customStyle="1" w:styleId="127">
    <w:name w:val="my-notice1"/>
    <w:basedOn w:val="39"/>
    <w:qFormat/>
    <w:uiPriority w:val="0"/>
    <w:rPr>
      <w:rFonts w:cs="Times New Roman"/>
    </w:rPr>
  </w:style>
  <w:style w:type="character" w:customStyle="1" w:styleId="128">
    <w:name w:val="orange6"/>
    <w:qFormat/>
    <w:uiPriority w:val="0"/>
    <w:rPr>
      <w:color w:val="3FB58F"/>
    </w:rPr>
  </w:style>
  <w:style w:type="character" w:customStyle="1" w:styleId="129">
    <w:name w:val="Document Map Char2"/>
    <w:qFormat/>
    <w:locked/>
    <w:uiPriority w:val="99"/>
    <w:rPr>
      <w:rFonts w:ascii="宋体"/>
      <w:sz w:val="18"/>
    </w:rPr>
  </w:style>
  <w:style w:type="character" w:customStyle="1" w:styleId="130">
    <w:name w:val="ico-jiang3"/>
    <w:basedOn w:val="39"/>
    <w:qFormat/>
    <w:uiPriority w:val="0"/>
    <w:rPr>
      <w:rFonts w:cs="Times New Roman"/>
    </w:rPr>
  </w:style>
  <w:style w:type="character" w:customStyle="1" w:styleId="131">
    <w:name w:val="tip13"/>
    <w:qFormat/>
    <w:uiPriority w:val="0"/>
    <w:rPr>
      <w:vanish/>
      <w:color w:val="FF0000"/>
      <w:sz w:val="18"/>
    </w:rPr>
  </w:style>
  <w:style w:type="character" w:customStyle="1" w:styleId="132">
    <w:name w:val="Body Text Indent 2 Char1"/>
    <w:basedOn w:val="39"/>
    <w:semiHidden/>
    <w:qFormat/>
    <w:locked/>
    <w:uiPriority w:val="99"/>
    <w:rPr>
      <w:rFonts w:cs="Times New Roman"/>
    </w:rPr>
  </w:style>
  <w:style w:type="character" w:customStyle="1" w:styleId="133">
    <w:name w:val="Body Text Indent 3 Char1"/>
    <w:basedOn w:val="39"/>
    <w:semiHidden/>
    <w:qFormat/>
    <w:locked/>
    <w:uiPriority w:val="99"/>
    <w:rPr>
      <w:rFonts w:cs="Times New Roman"/>
      <w:sz w:val="16"/>
      <w:szCs w:val="16"/>
    </w:rPr>
  </w:style>
  <w:style w:type="character" w:customStyle="1" w:styleId="134">
    <w:name w:val="Document Map Char3"/>
    <w:basedOn w:val="39"/>
    <w:semiHidden/>
    <w:qFormat/>
    <w:locked/>
    <w:uiPriority w:val="99"/>
    <w:rPr>
      <w:rFonts w:ascii="Times New Roman" w:hAnsi="Times New Roman" w:cs="Times New Roman"/>
      <w:sz w:val="2"/>
    </w:rPr>
  </w:style>
  <w:style w:type="paragraph" w:customStyle="1" w:styleId="135">
    <w:name w:val="_Style 1"/>
    <w:basedOn w:val="1"/>
    <w:qFormat/>
    <w:uiPriority w:val="0"/>
    <w:pPr>
      <w:ind w:firstLine="420" w:firstLineChars="200"/>
    </w:pPr>
    <w:rPr>
      <w:rFonts w:ascii="Times New Roman" w:hAnsi="Times New Roman" w:eastAsia="宋体" w:cs="Times New Roman"/>
      <w:szCs w:val="24"/>
    </w:rPr>
  </w:style>
  <w:style w:type="character" w:customStyle="1" w:styleId="136">
    <w:name w:val="Body Text Char1"/>
    <w:basedOn w:val="39"/>
    <w:semiHidden/>
    <w:qFormat/>
    <w:locked/>
    <w:uiPriority w:val="99"/>
    <w:rPr>
      <w:rFonts w:cs="Times New Roman"/>
    </w:rPr>
  </w:style>
  <w:style w:type="paragraph" w:customStyle="1" w:styleId="137">
    <w:name w:val="_Style 21"/>
    <w:basedOn w:val="1"/>
    <w:qFormat/>
    <w:uiPriority w:val="0"/>
    <w:rPr>
      <w:rFonts w:ascii="Times New Roman" w:hAnsi="Times New Roman" w:eastAsia="宋体" w:cs="Times New Roman"/>
      <w:szCs w:val="20"/>
    </w:rPr>
  </w:style>
  <w:style w:type="paragraph" w:customStyle="1" w:styleId="138">
    <w:name w:val="p0"/>
    <w:basedOn w:val="1"/>
    <w:qFormat/>
    <w:uiPriority w:val="0"/>
    <w:pPr>
      <w:widowControl/>
    </w:pPr>
    <w:rPr>
      <w:rFonts w:ascii="Times New Roman" w:hAnsi="Times New Roman" w:eastAsia="宋体" w:cs="Times New Roman"/>
      <w:kern w:val="0"/>
      <w:szCs w:val="21"/>
    </w:rPr>
  </w:style>
  <w:style w:type="paragraph" w:customStyle="1" w:styleId="139">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40">
    <w:name w:val="xl25"/>
    <w:basedOn w:val="1"/>
    <w:qFormat/>
    <w:uiPriority w:val="0"/>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41">
    <w:name w:val="样式 样式 样式 样式 内容 + 首行缩进:  2 字符18 + 首行缩进:  5.71 厘米 + 首行缩进:  8.04 厘米..."/>
    <w:basedOn w:val="1"/>
    <w:qFormat/>
    <w:uiPriority w:val="0"/>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42">
    <w:name w:val="无间隔1"/>
    <w:qFormat/>
    <w:uiPriority w:val="0"/>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43">
    <w:name w:val="列出段落11"/>
    <w:basedOn w:val="1"/>
    <w:qFormat/>
    <w:uiPriority w:val="0"/>
    <w:pPr>
      <w:ind w:firstLine="420" w:firstLineChars="200"/>
    </w:pPr>
    <w:rPr>
      <w:rFonts w:ascii="Times New Roman" w:hAnsi="Times New Roman" w:eastAsia="宋体" w:cs="Times New Roman"/>
      <w:szCs w:val="24"/>
    </w:rPr>
  </w:style>
  <w:style w:type="paragraph" w:customStyle="1" w:styleId="144">
    <w:name w:val="_Style 2"/>
    <w:basedOn w:val="1"/>
    <w:qFormat/>
    <w:uiPriority w:val="0"/>
    <w:pPr>
      <w:ind w:firstLine="420" w:firstLineChars="200"/>
    </w:pPr>
    <w:rPr>
      <w:rFonts w:ascii="Calibri" w:hAnsi="Calibri" w:eastAsia="宋体" w:cs="Times New Roman"/>
    </w:rPr>
  </w:style>
  <w:style w:type="paragraph" w:customStyle="1" w:styleId="145">
    <w:name w:val="txt14"/>
    <w:basedOn w:val="1"/>
    <w:qFormat/>
    <w:uiPriority w:val="0"/>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6">
    <w:name w:val="_Style 11"/>
    <w:basedOn w:val="1"/>
    <w:qFormat/>
    <w:uiPriority w:val="0"/>
    <w:rPr>
      <w:rFonts w:ascii="Times New Roman" w:hAnsi="Times New Roman" w:eastAsia="宋体" w:cs="Times New Roman"/>
      <w:szCs w:val="24"/>
    </w:rPr>
  </w:style>
  <w:style w:type="paragraph" w:customStyle="1" w:styleId="147">
    <w:name w:val="Char"/>
    <w:basedOn w:val="1"/>
    <w:qFormat/>
    <w:uiPriority w:val="0"/>
    <w:rPr>
      <w:rFonts w:ascii="Times New Roman" w:hAnsi="Times New Roman" w:eastAsia="宋体" w:cs="Times New Roman"/>
      <w:szCs w:val="21"/>
    </w:rPr>
  </w:style>
  <w:style w:type="paragraph" w:customStyle="1" w:styleId="148">
    <w:name w:val="列出段落1"/>
    <w:basedOn w:val="1"/>
    <w:qFormat/>
    <w:uiPriority w:val="0"/>
    <w:pPr>
      <w:ind w:firstLine="420" w:firstLineChars="200"/>
    </w:pPr>
    <w:rPr>
      <w:rFonts w:ascii="Times New Roman" w:hAnsi="Times New Roman" w:eastAsia="宋体" w:cs="Times New Roman"/>
      <w:szCs w:val="24"/>
    </w:rPr>
  </w:style>
  <w:style w:type="paragraph" w:customStyle="1" w:styleId="149">
    <w:name w:val="列出段落2"/>
    <w:basedOn w:val="1"/>
    <w:qFormat/>
    <w:uiPriority w:val="0"/>
    <w:pPr>
      <w:ind w:firstLine="420" w:firstLineChars="200"/>
    </w:pPr>
    <w:rPr>
      <w:rFonts w:ascii="Times New Roman" w:hAnsi="Times New Roman" w:eastAsia="宋体" w:cs="Times New Roman"/>
      <w:szCs w:val="24"/>
    </w:rPr>
  </w:style>
  <w:style w:type="paragraph" w:customStyle="1" w:styleId="150">
    <w:name w:val="TOC 标题1"/>
    <w:basedOn w:val="3"/>
    <w:next w:val="1"/>
    <w:qFormat/>
    <w:uiPriority w:val="0"/>
    <w:pPr>
      <w:keepLines/>
      <w:spacing w:before="480" w:after="0" w:line="276" w:lineRule="auto"/>
      <w:jc w:val="left"/>
      <w:outlineLvl w:val="9"/>
    </w:pPr>
    <w:rPr>
      <w:rFonts w:ascii="Cambria" w:hAnsi="Cambria" w:cs="Times New Roman"/>
      <w:color w:val="365F91"/>
      <w:kern w:val="0"/>
      <w:sz w:val="28"/>
      <w:szCs w:val="28"/>
    </w:rPr>
  </w:style>
  <w:style w:type="paragraph" w:customStyle="1" w:styleId="151">
    <w:name w:val="正文文本缩进 31"/>
    <w:basedOn w:val="1"/>
    <w:qFormat/>
    <w:uiPriority w:val="0"/>
    <w:pPr>
      <w:spacing w:line="440" w:lineRule="exact"/>
      <w:ind w:firstLine="412" w:firstLineChars="200"/>
    </w:pPr>
    <w:rPr>
      <w:rFonts w:ascii="宋体" w:hAnsi="宋体" w:eastAsia="宋体" w:cs="Times New Roman"/>
      <w:kern w:val="0"/>
      <w:sz w:val="20"/>
      <w:szCs w:val="20"/>
    </w:rPr>
  </w:style>
  <w:style w:type="character" w:customStyle="1" w:styleId="152">
    <w:name w:val="font41"/>
    <w:qFormat/>
    <w:uiPriority w:val="99"/>
    <w:rPr>
      <w:rFonts w:hint="eastAsia" w:ascii="宋体" w:hAnsi="宋体" w:eastAsia="宋体" w:cs="宋体"/>
      <w:b/>
      <w:color w:val="000000"/>
      <w:sz w:val="22"/>
      <w:szCs w:val="22"/>
      <w:u w:val="none"/>
    </w:rPr>
  </w:style>
  <w:style w:type="character" w:customStyle="1" w:styleId="153">
    <w:name w:val="font81"/>
    <w:qFormat/>
    <w:uiPriority w:val="99"/>
    <w:rPr>
      <w:rFonts w:hint="eastAsia" w:ascii="宋体" w:hAnsi="宋体" w:eastAsia="宋体" w:cs="宋体"/>
      <w:b/>
      <w:color w:val="000000"/>
      <w:sz w:val="22"/>
      <w:szCs w:val="22"/>
      <w:u w:val="none"/>
    </w:rPr>
  </w:style>
  <w:style w:type="character" w:customStyle="1" w:styleId="154">
    <w:name w:val="font21"/>
    <w:qFormat/>
    <w:uiPriority w:val="0"/>
    <w:rPr>
      <w:rFonts w:hint="eastAsia" w:ascii="宋体" w:hAnsi="宋体" w:eastAsia="宋体" w:cs="宋体"/>
      <w:color w:val="000000"/>
      <w:sz w:val="18"/>
      <w:szCs w:val="18"/>
      <w:u w:val="none"/>
    </w:rPr>
  </w:style>
  <w:style w:type="character" w:customStyle="1" w:styleId="155">
    <w:name w:val="font01"/>
    <w:qFormat/>
    <w:uiPriority w:val="99"/>
    <w:rPr>
      <w:rFonts w:hint="eastAsia" w:ascii="宋体" w:hAnsi="宋体" w:eastAsia="宋体" w:cs="宋体"/>
      <w:color w:val="000000"/>
      <w:sz w:val="22"/>
      <w:szCs w:val="22"/>
      <w:u w:val="none"/>
    </w:rPr>
  </w:style>
  <w:style w:type="character" w:customStyle="1" w:styleId="156">
    <w:name w:val="Char Char1"/>
    <w:qFormat/>
    <w:uiPriority w:val="0"/>
    <w:rPr>
      <w:rFonts w:eastAsia="宋体"/>
      <w:kern w:val="2"/>
      <w:sz w:val="18"/>
      <w:szCs w:val="18"/>
      <w:lang w:val="en-US" w:eastAsia="zh-CN" w:bidi="ar-SA"/>
    </w:rPr>
  </w:style>
  <w:style w:type="character" w:customStyle="1" w:styleId="157">
    <w:name w:val="hei141"/>
    <w:qFormat/>
    <w:uiPriority w:val="0"/>
    <w:rPr>
      <w:rFonts w:hint="eastAsia" w:ascii="宋体" w:hAnsi="宋体" w:eastAsia="宋体"/>
      <w:color w:val="000000"/>
      <w:sz w:val="19"/>
      <w:szCs w:val="19"/>
      <w:u w:val="none"/>
    </w:rPr>
  </w:style>
  <w:style w:type="character" w:customStyle="1" w:styleId="158">
    <w:name w:val="apple-style-span"/>
    <w:basedOn w:val="39"/>
    <w:qFormat/>
    <w:uiPriority w:val="0"/>
  </w:style>
  <w:style w:type="character" w:customStyle="1" w:styleId="159">
    <w:name w:val="param-value"/>
    <w:qFormat/>
    <w:uiPriority w:val="99"/>
    <w:rPr>
      <w:rFonts w:cs="Times New Roman"/>
    </w:rPr>
  </w:style>
  <w:style w:type="character" w:customStyle="1" w:styleId="160">
    <w:name w:val="font61"/>
    <w:qFormat/>
    <w:uiPriority w:val="0"/>
    <w:rPr>
      <w:rFonts w:hint="eastAsia" w:ascii="宋体" w:hAnsi="宋体" w:eastAsia="宋体" w:cs="宋体"/>
      <w:color w:val="000000"/>
      <w:sz w:val="22"/>
      <w:szCs w:val="22"/>
      <w:u w:val="none"/>
    </w:rPr>
  </w:style>
  <w:style w:type="character" w:customStyle="1" w:styleId="161">
    <w:name w:val="font11"/>
    <w:qFormat/>
    <w:uiPriority w:val="0"/>
    <w:rPr>
      <w:rFonts w:hint="eastAsia" w:ascii="宋体" w:hAnsi="宋体" w:eastAsia="宋体" w:cs="宋体"/>
      <w:color w:val="FF0000"/>
      <w:sz w:val="22"/>
      <w:szCs w:val="22"/>
      <w:u w:val="none"/>
    </w:rPr>
  </w:style>
  <w:style w:type="character" w:customStyle="1" w:styleId="162">
    <w:name w:val="批注文字 Char1"/>
    <w:basedOn w:val="39"/>
    <w:semiHidden/>
    <w:qFormat/>
    <w:uiPriority w:val="99"/>
  </w:style>
  <w:style w:type="paragraph" w:customStyle="1" w:styleId="163">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4">
    <w:name w:val="批注主题 Char1"/>
    <w:basedOn w:val="162"/>
    <w:semiHidden/>
    <w:qFormat/>
    <w:uiPriority w:val="99"/>
    <w:rPr>
      <w:b/>
      <w:bCs/>
    </w:rPr>
  </w:style>
  <w:style w:type="paragraph" w:customStyle="1" w:styleId="165">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6">
    <w:name w:val="日期 Char1"/>
    <w:basedOn w:val="39"/>
    <w:semiHidden/>
    <w:qFormat/>
    <w:uiPriority w:val="99"/>
  </w:style>
  <w:style w:type="paragraph" w:customStyle="1" w:styleId="167">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8">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9">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0">
    <w:name w:val="标题 Char1"/>
    <w:basedOn w:val="39"/>
    <w:qFormat/>
    <w:uiPriority w:val="0"/>
    <w:rPr>
      <w:rFonts w:eastAsia="宋体" w:asciiTheme="majorHAnsi" w:hAnsiTheme="majorHAnsi" w:cstheme="majorBidi"/>
      <w:b/>
      <w:bCs/>
      <w:sz w:val="32"/>
      <w:szCs w:val="32"/>
    </w:rPr>
  </w:style>
  <w:style w:type="paragraph" w:customStyle="1" w:styleId="171">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2">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3">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74">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customStyle="1" w:styleId="17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76">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7">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9">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1">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2">
    <w:name w:val="列出段落3"/>
    <w:basedOn w:val="1"/>
    <w:qFormat/>
    <w:uiPriority w:val="0"/>
    <w:pPr>
      <w:ind w:firstLine="420" w:firstLineChars="200"/>
    </w:pPr>
    <w:rPr>
      <w:rFonts w:ascii="Times New Roman" w:hAnsi="Times New Roman" w:eastAsia="宋体" w:cs="Times New Roman"/>
      <w:szCs w:val="24"/>
    </w:rPr>
  </w:style>
  <w:style w:type="character" w:customStyle="1" w:styleId="183">
    <w:name w:val="Char Char12"/>
    <w:qFormat/>
    <w:uiPriority w:val="0"/>
    <w:rPr>
      <w:rFonts w:eastAsia="宋体"/>
      <w:kern w:val="2"/>
      <w:sz w:val="18"/>
      <w:szCs w:val="18"/>
      <w:lang w:val="en-US" w:eastAsia="zh-CN" w:bidi="ar-SA"/>
    </w:rPr>
  </w:style>
  <w:style w:type="paragraph" w:customStyle="1" w:styleId="184">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5">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6">
    <w:name w:val="列出段落4"/>
    <w:basedOn w:val="1"/>
    <w:qFormat/>
    <w:uiPriority w:val="0"/>
    <w:pPr>
      <w:ind w:firstLine="420" w:firstLineChars="200"/>
    </w:pPr>
    <w:rPr>
      <w:rFonts w:ascii="Times New Roman" w:hAnsi="Times New Roman" w:eastAsia="宋体" w:cs="Times New Roman"/>
      <w:szCs w:val="24"/>
    </w:rPr>
  </w:style>
  <w:style w:type="character" w:customStyle="1" w:styleId="187">
    <w:name w:val="Char Char11"/>
    <w:qFormat/>
    <w:uiPriority w:val="0"/>
    <w:rPr>
      <w:rFonts w:eastAsia="宋体"/>
      <w:kern w:val="2"/>
      <w:sz w:val="18"/>
      <w:szCs w:val="18"/>
      <w:lang w:val="en-US" w:eastAsia="zh-CN" w:bidi="ar-SA"/>
    </w:rPr>
  </w:style>
  <w:style w:type="paragraph" w:customStyle="1" w:styleId="188">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0">
    <w:name w:val="列出段落5"/>
    <w:basedOn w:val="1"/>
    <w:qFormat/>
    <w:uiPriority w:val="0"/>
    <w:pPr>
      <w:ind w:firstLine="420" w:firstLineChars="200"/>
    </w:pPr>
    <w:rPr>
      <w:rFonts w:ascii="Times New Roman" w:hAnsi="Times New Roman" w:eastAsia="宋体" w:cs="Times New Roman"/>
      <w:szCs w:val="24"/>
    </w:rPr>
  </w:style>
  <w:style w:type="character" w:customStyle="1" w:styleId="191">
    <w:name w:val="纯文本 Char1"/>
    <w:basedOn w:val="39"/>
    <w:semiHidden/>
    <w:qFormat/>
    <w:uiPriority w:val="99"/>
    <w:rPr>
      <w:rFonts w:ascii="宋体" w:hAnsi="Courier New" w:eastAsia="宋体" w:cs="Courier New"/>
      <w:szCs w:val="21"/>
    </w:rPr>
  </w:style>
  <w:style w:type="paragraph" w:customStyle="1" w:styleId="192">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3">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4">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character" w:customStyle="1" w:styleId="195">
    <w:name w:val="正文文本缩进 2 Char1"/>
    <w:semiHidden/>
    <w:qFormat/>
    <w:locked/>
    <w:uiPriority w:val="0"/>
    <w:rPr>
      <w:rFonts w:cs="Times New Roman"/>
    </w:rPr>
  </w:style>
  <w:style w:type="character" w:customStyle="1" w:styleId="196">
    <w:name w:val="正文文本缩进 3 Char1"/>
    <w:semiHidden/>
    <w:qFormat/>
    <w:locked/>
    <w:uiPriority w:val="0"/>
    <w:rPr>
      <w:rFonts w:cs="Times New Roman"/>
      <w:sz w:val="16"/>
      <w:szCs w:val="16"/>
    </w:rPr>
  </w:style>
  <w:style w:type="character" w:customStyle="1" w:styleId="197">
    <w:name w:val="文档结构图 Char1"/>
    <w:semiHidden/>
    <w:qFormat/>
    <w:locked/>
    <w:uiPriority w:val="0"/>
    <w:rPr>
      <w:rFonts w:ascii="宋体" w:eastAsia="宋体" w:cs="Times New Roman"/>
      <w:sz w:val="18"/>
      <w:szCs w:val="18"/>
    </w:rPr>
  </w:style>
  <w:style w:type="character" w:customStyle="1" w:styleId="198">
    <w:name w:val="正文文本 Char1"/>
    <w:qFormat/>
    <w:locked/>
    <w:uiPriority w:val="0"/>
    <w:rPr>
      <w:rFonts w:cs="Times New Roman"/>
    </w:rPr>
  </w:style>
  <w:style w:type="paragraph" w:customStyle="1" w:styleId="199">
    <w:name w:val="TOC 标题11"/>
    <w:basedOn w:val="3"/>
    <w:next w:val="1"/>
    <w:qFormat/>
    <w:uiPriority w:val="0"/>
    <w:pPr>
      <w:keepLines/>
      <w:spacing w:before="480" w:after="0" w:line="276" w:lineRule="auto"/>
      <w:jc w:val="left"/>
      <w:outlineLvl w:val="9"/>
    </w:pPr>
    <w:rPr>
      <w:rFonts w:ascii="Cambria" w:hAnsi="Cambria" w:cs="Times New Roman"/>
      <w:color w:val="365F91"/>
      <w:kern w:val="0"/>
      <w:sz w:val="28"/>
      <w:szCs w:val="28"/>
    </w:rPr>
  </w:style>
  <w:style w:type="character" w:customStyle="1" w:styleId="200">
    <w:name w:val="15"/>
    <w:qFormat/>
    <w:uiPriority w:val="0"/>
    <w:rPr>
      <w:rFonts w:hint="default" w:ascii="Times New Roman" w:hAnsi="Times New Roman" w:cs="Times New Roman"/>
      <w:color w:val="464445"/>
      <w:u w:val="none"/>
    </w:rPr>
  </w:style>
  <w:style w:type="character" w:customStyle="1" w:styleId="201">
    <w:name w:val="副标题 Char1"/>
    <w:basedOn w:val="39"/>
    <w:qFormat/>
    <w:uiPriority w:val="0"/>
    <w:rPr>
      <w:rFonts w:eastAsia="宋体" w:asciiTheme="majorHAnsi" w:hAnsiTheme="majorHAnsi" w:cstheme="majorBidi"/>
      <w:b/>
      <w:bCs/>
      <w:kern w:val="28"/>
      <w:sz w:val="32"/>
      <w:szCs w:val="32"/>
    </w:rPr>
  </w:style>
  <w:style w:type="character" w:customStyle="1" w:styleId="202">
    <w:name w:val="z-窗体顶端 Char1"/>
    <w:basedOn w:val="39"/>
    <w:semiHidden/>
    <w:qFormat/>
    <w:uiPriority w:val="99"/>
    <w:rPr>
      <w:rFonts w:ascii="Arial" w:hAnsi="Arial" w:cs="Arial"/>
      <w:vanish/>
      <w:kern w:val="2"/>
      <w:sz w:val="16"/>
      <w:szCs w:val="16"/>
    </w:rPr>
  </w:style>
  <w:style w:type="character" w:customStyle="1" w:styleId="203">
    <w:name w:val="z-窗体底端 Char1"/>
    <w:basedOn w:val="39"/>
    <w:semiHidden/>
    <w:qFormat/>
    <w:uiPriority w:val="99"/>
    <w:rPr>
      <w:rFonts w:ascii="Arial" w:hAnsi="Arial" w:cs="Arial"/>
      <w:vanish/>
      <w:kern w:val="2"/>
      <w:sz w:val="16"/>
      <w:szCs w:val="16"/>
    </w:rPr>
  </w:style>
  <w:style w:type="character" w:customStyle="1" w:styleId="204">
    <w:name w:val="bookmark-item"/>
    <w:qFormat/>
    <w:uiPriority w:val="0"/>
  </w:style>
  <w:style w:type="paragraph" w:customStyle="1" w:styleId="205">
    <w:name w:val="Table Paragraph"/>
    <w:basedOn w:val="1"/>
    <w:qFormat/>
    <w:uiPriority w:val="1"/>
    <w:rPr>
      <w:rFonts w:ascii="Times New Roman" w:hAnsi="Times New Roman" w:eastAsia="宋体" w:cs="Times New Roman"/>
    </w:rPr>
  </w:style>
  <w:style w:type="character" w:customStyle="1" w:styleId="206">
    <w:name w:val="NormalCharacter"/>
    <w:qFormat/>
    <w:uiPriority w:val="0"/>
    <w:rPr>
      <w:sz w:val="21"/>
    </w:rPr>
  </w:style>
  <w:style w:type="paragraph" w:customStyle="1" w:styleId="207">
    <w:name w:val="179"/>
    <w:basedOn w:val="1"/>
    <w:qFormat/>
    <w:uiPriority w:val="0"/>
    <w:pPr>
      <w:ind w:firstLine="200" w:firstLineChars="200"/>
      <w:jc w:val="left"/>
    </w:pPr>
    <w:rPr>
      <w:rFonts w:ascii="Calibri" w:hAnsi="Calibri" w:eastAsia="宋体" w:cs="Times New Roman"/>
    </w:rPr>
  </w:style>
  <w:style w:type="paragraph" w:customStyle="1" w:styleId="208">
    <w:name w:val="表格文字2"/>
    <w:basedOn w:val="1"/>
    <w:qFormat/>
    <w:uiPriority w:val="99"/>
    <w:pPr>
      <w:widowControl/>
      <w:spacing w:before="25" w:after="25"/>
      <w:jc w:val="left"/>
    </w:pPr>
    <w:rPr>
      <w:rFonts w:ascii="Times New Roman" w:hAnsi="Times New Roman" w:eastAsia="宋体" w:cs="Times New Roman"/>
      <w:bCs/>
      <w:spacing w:val="10"/>
      <w:kern w:val="0"/>
      <w:szCs w:val="21"/>
    </w:rPr>
  </w:style>
  <w:style w:type="character" w:customStyle="1" w:styleId="209">
    <w:name w:val="正文文本 字符"/>
    <w:qFormat/>
    <w:uiPriority w:val="0"/>
    <w:rPr>
      <w:kern w:val="2"/>
      <w:sz w:val="24"/>
      <w:szCs w:val="24"/>
    </w:rPr>
  </w:style>
  <w:style w:type="character" w:customStyle="1" w:styleId="210">
    <w:name w:val="纯文本 字符"/>
    <w:qFormat/>
    <w:uiPriority w:val="0"/>
    <w:rPr>
      <w:rFonts w:ascii="宋体" w:hAnsi="Courier New" w:eastAsia="宋体"/>
      <w:kern w:val="2"/>
      <w:sz w:val="21"/>
      <w:lang w:val="en-US" w:eastAsia="zh-CN" w:bidi="ar-SA"/>
    </w:rPr>
  </w:style>
  <w:style w:type="paragraph" w:customStyle="1" w:styleId="211">
    <w:name w:val="标书正文"/>
    <w:qFormat/>
    <w:uiPriority w:val="0"/>
    <w:pPr>
      <w:widowControl w:val="0"/>
      <w:spacing w:line="560" w:lineRule="exact"/>
      <w:ind w:firstLine="723"/>
      <w:jc w:val="center"/>
    </w:pPr>
    <w:rPr>
      <w:rFonts w:ascii="仿宋_GB2312" w:hAnsi="仿宋_GB2312" w:eastAsia="仿宋_GB2312" w:cs="仿宋_GB2312"/>
      <w:b/>
      <w:bCs/>
      <w:kern w:val="2"/>
      <w:sz w:val="36"/>
      <w:szCs w:val="36"/>
      <w:lang w:val="en-US" w:eastAsia="zh-CN" w:bidi="ar-SA"/>
    </w:rPr>
  </w:style>
  <w:style w:type="paragraph" w:customStyle="1" w:styleId="212">
    <w:name w:val="TOAHeading"/>
    <w:next w:val="1"/>
    <w:qFormat/>
    <w:uiPriority w:val="0"/>
    <w:pPr>
      <w:widowControl w:val="0"/>
      <w:spacing w:before="120"/>
      <w:jc w:val="both"/>
      <w:textAlignment w:val="baseline"/>
    </w:pPr>
    <w:rPr>
      <w:rFonts w:ascii="Arial" w:hAnsi="Arial" w:eastAsia="宋体" w:cs="Times New Roman"/>
      <w:kern w:val="2"/>
      <w:sz w:val="24"/>
      <w:szCs w:val="22"/>
      <w:lang w:val="en-US" w:eastAsia="zh-CN" w:bidi="ar-SA"/>
    </w:rPr>
  </w:style>
  <w:style w:type="paragraph" w:customStyle="1" w:styleId="213">
    <w:name w:val="Table Text"/>
    <w:semiHidden/>
    <w:qFormat/>
    <w:uiPriority w:val="0"/>
    <w:pPr>
      <w:widowControl w:val="0"/>
      <w:jc w:val="both"/>
    </w:pPr>
    <w:rPr>
      <w:rFonts w:ascii="宋体" w:hAnsi="宋体" w:eastAsia="宋体" w:cs="宋体"/>
      <w:kern w:val="2"/>
      <w:sz w:val="18"/>
      <w:szCs w:val="18"/>
      <w:lang w:val="en-US" w:eastAsia="en-US" w:bidi="ar-SA"/>
    </w:rPr>
  </w:style>
  <w:style w:type="paragraph" w:customStyle="1" w:styleId="214">
    <w:name w:val="正文缩进1"/>
    <w:qFormat/>
    <w:uiPriority w:val="0"/>
    <w:pPr>
      <w:ind w:firstLine="420"/>
    </w:pPr>
    <w:rPr>
      <w:rFonts w:ascii="Times New Roman" w:hAnsi="Times New Roman" w:eastAsia="宋体" w:cs="Times New Roman"/>
      <w:kern w:val="2"/>
      <w:sz w:val="21"/>
      <w:szCs w:val="20"/>
      <w:lang w:val="en-US" w:eastAsia="zh-CN" w:bidi="ar-SA"/>
    </w:rPr>
  </w:style>
  <w:style w:type="paragraph" w:customStyle="1" w:styleId="215">
    <w:name w:val="正"/>
    <w:qFormat/>
    <w:uiPriority w:val="0"/>
    <w:pPr>
      <w:widowControl w:val="0"/>
      <w:suppressAutoHyphens/>
      <w:ind w:firstLine="525"/>
      <w:jc w:val="both"/>
    </w:pPr>
    <w:rPr>
      <w:rFonts w:ascii="Calibri" w:hAnsi="Calibri" w:eastAsia="宋体;SimSun" w:cs="Calibri"/>
      <w:spacing w:val="20"/>
      <w:kern w:val="2"/>
      <w:sz w:val="21"/>
      <w:szCs w:val="20"/>
      <w:lang w:val="en-US" w:eastAsia="zh-CN" w:bidi="ar-SA"/>
    </w:rPr>
  </w:style>
  <w:style w:type="paragraph" w:customStyle="1" w:styleId="216">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7">
    <w:name w:val="正文文本缩进_3"/>
    <w:qFormat/>
    <w:uiPriority w:val="0"/>
    <w:pPr>
      <w:widowControl w:val="0"/>
      <w:spacing w:line="500" w:lineRule="exact"/>
      <w:ind w:left="1588" w:firstLine="433"/>
      <w:jc w:val="both"/>
    </w:pPr>
    <w:rPr>
      <w:rFonts w:ascii="Calibri" w:hAnsi="Calibri" w:eastAsia="宋体" w:cs="Calibri"/>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B166D9-01A2-4ECA-9B52-74320082078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84</Pages>
  <Words>1936</Words>
  <Characters>2326</Characters>
  <Lines>350</Lines>
  <Paragraphs>98</Paragraphs>
  <TotalTime>105</TotalTime>
  <ScaleCrop>false</ScaleCrop>
  <LinksUpToDate>false</LinksUpToDate>
  <CharactersWithSpaces>2396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2024-06-27T17:49:00Z</dcterms:created>
  <dc:creator>WHB</dc:creator>
  <cp:lastModifiedBy>Administrator</cp:lastModifiedBy>
  <cp:lastPrinted>2024-07-08T11:28:00Z</cp:lastPrinted>
  <dcterms:modified xsi:type="dcterms:W3CDTF">2025-04-28T11:09:30Z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F3C61D22730749828FB3553607B10D85_13</vt:lpwstr>
  </property>
  <property fmtid="{D5CDD505-2E9C-101B-9397-08002B2CF9AE}" pid="4" name="KSOTemplateDocerSaveRecord">
    <vt:lpwstr>eyJoZGlkIjoiYjJiMGQ1ZWM3MjVjMWY5YmE5ZjdmNjllZmJiZjM5Y2UiLCJ1c2VySWQiOiIzMTU2NjQ3MzkifQ==</vt:lpwstr>
  </property>
</Properties>
</file>