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3CA780">
      <w:pPr>
        <w:adjustRightInd w:val="0"/>
        <w:snapToGrid w:val="0"/>
        <w:spacing w:line="240" w:lineRule="auto"/>
        <w:ind w:right="-734" w:rightChars="0"/>
        <w:jc w:val="both"/>
        <w:rPr>
          <w:rFonts w:hint="eastAsia" w:ascii="宋体" w:hAnsi="宋体" w:eastAsia="宋体" w:cs="宋体"/>
          <w:b/>
          <w:bCs/>
          <w:color w:val="auto"/>
          <w:sz w:val="52"/>
          <w:szCs w:val="52"/>
          <w:highlight w:val="none"/>
          <w:lang w:eastAsia="zh-CN"/>
        </w:rPr>
      </w:pPr>
    </w:p>
    <w:p w14:paraId="67BA5469">
      <w:pPr>
        <w:adjustRightInd w:val="0"/>
        <w:snapToGrid w:val="0"/>
        <w:spacing w:line="360" w:lineRule="auto"/>
        <w:ind w:right="-734" w:rightChars="0"/>
        <w:jc w:val="center"/>
        <w:rPr>
          <w:rFonts w:hint="eastAsia" w:ascii="宋体" w:hAnsi="宋体" w:eastAsia="宋体" w:cs="宋体"/>
          <w:b/>
          <w:bCs/>
          <w:color w:val="auto"/>
          <w:sz w:val="48"/>
          <w:szCs w:val="48"/>
          <w:highlight w:val="none"/>
          <w:lang w:eastAsia="zh-CN"/>
        </w:rPr>
      </w:pPr>
    </w:p>
    <w:p w14:paraId="23C9E782">
      <w:pPr>
        <w:keepNext w:val="0"/>
        <w:keepLines w:val="0"/>
        <w:pageBreakBefore w:val="0"/>
        <w:widowControl w:val="0"/>
        <w:kinsoku/>
        <w:wordWrap/>
        <w:overflowPunct/>
        <w:topLinePunct w:val="0"/>
        <w:autoSpaceDE/>
        <w:autoSpaceDN/>
        <w:bidi w:val="0"/>
        <w:adjustRightInd w:val="0"/>
        <w:snapToGrid w:val="0"/>
        <w:spacing w:line="360" w:lineRule="auto"/>
        <w:ind w:right="0" w:rightChars="0"/>
        <w:jc w:val="center"/>
        <w:textAlignment w:val="auto"/>
        <w:outlineLvl w:val="0"/>
        <w:rPr>
          <w:rFonts w:hint="eastAsia" w:ascii="宋体" w:hAnsi="宋体" w:eastAsia="宋体" w:cs="宋体"/>
          <w:b/>
          <w:bCs/>
          <w:color w:val="auto"/>
          <w:sz w:val="48"/>
          <w:szCs w:val="48"/>
          <w:highlight w:val="none"/>
          <w:lang w:eastAsia="zh-CN"/>
        </w:rPr>
      </w:pPr>
      <w:bookmarkStart w:id="0" w:name="_Toc14697"/>
      <w:r>
        <w:rPr>
          <w:rFonts w:hint="eastAsia" w:ascii="宋体" w:hAnsi="宋体" w:cs="宋体"/>
          <w:b/>
          <w:bCs/>
          <w:color w:val="auto"/>
          <w:sz w:val="48"/>
          <w:szCs w:val="48"/>
          <w:highlight w:val="none"/>
          <w:lang w:eastAsia="zh-CN"/>
        </w:rPr>
        <w:t>吉林省重点排放单位2024年度碳排放第三方核查及复查项目</w:t>
      </w:r>
      <w:bookmarkEnd w:id="0"/>
    </w:p>
    <w:p w14:paraId="6F226CBA">
      <w:pPr>
        <w:pStyle w:val="4"/>
        <w:outlineLvl w:val="9"/>
        <w:rPr>
          <w:rFonts w:hint="eastAsia"/>
          <w:color w:val="auto"/>
          <w:highlight w:val="none"/>
          <w:lang w:eastAsia="zh-CN"/>
        </w:rPr>
      </w:pPr>
    </w:p>
    <w:p w14:paraId="872E334A">
      <w:pPr>
        <w:rPr>
          <w:rFonts w:hint="eastAsia"/>
          <w:color w:val="auto"/>
          <w:highlight w:val="none"/>
          <w:lang w:eastAsia="zh-CN"/>
        </w:rPr>
      </w:pPr>
    </w:p>
    <w:p w14:paraId="289F6A7D">
      <w:pPr>
        <w:spacing w:line="240" w:lineRule="auto"/>
        <w:jc w:val="center"/>
        <w:rPr>
          <w:rFonts w:hint="eastAsia" w:ascii="宋体" w:hAnsi="宋体" w:eastAsia="宋体" w:cs="宋体"/>
          <w:b/>
          <w:color w:val="auto"/>
          <w:sz w:val="84"/>
          <w:szCs w:val="84"/>
          <w:highlight w:val="none"/>
        </w:rPr>
      </w:pPr>
      <w:r>
        <w:rPr>
          <w:rFonts w:hint="eastAsia" w:ascii="宋体" w:hAnsi="宋体" w:eastAsia="宋体" w:cs="宋体"/>
          <w:b/>
          <w:color w:val="auto"/>
          <w:sz w:val="84"/>
          <w:szCs w:val="84"/>
          <w:highlight w:val="none"/>
        </w:rPr>
        <w:t>招 标 文 件</w:t>
      </w:r>
    </w:p>
    <w:p w14:paraId="F4D6A27F">
      <w:pPr>
        <w:spacing w:line="240" w:lineRule="auto"/>
        <w:jc w:val="both"/>
        <w:rPr>
          <w:rFonts w:hint="eastAsia" w:ascii="宋体" w:hAnsi="宋体" w:eastAsia="宋体" w:cs="宋体"/>
          <w:b/>
          <w:color w:val="auto"/>
          <w:sz w:val="36"/>
          <w:szCs w:val="36"/>
          <w:highlight w:val="none"/>
        </w:rPr>
      </w:pPr>
    </w:p>
    <w:p w14:paraId="7877054B">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rightChars="0"/>
        <w:jc w:val="center"/>
        <w:textAlignment w:val="auto"/>
        <w:rPr>
          <w:rFonts w:hint="eastAsia" w:ascii="宋体" w:hAnsi="宋体" w:eastAsia="宋体" w:cs="宋体"/>
          <w:b/>
          <w:bCs/>
          <w:color w:val="auto"/>
          <w:sz w:val="28"/>
          <w:szCs w:val="28"/>
          <w:highlight w:val="none"/>
        </w:rPr>
      </w:pPr>
    </w:p>
    <w:p w14:paraId="3F36923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rightChars="0"/>
        <w:jc w:val="center"/>
        <w:textAlignment w:val="auto"/>
        <w:outlineLvl w:val="0"/>
        <w:rPr>
          <w:rFonts w:hint="default" w:ascii="宋体" w:hAnsi="宋体" w:eastAsia="宋体" w:cs="宋体"/>
          <w:b/>
          <w:bCs/>
          <w:color w:val="auto"/>
          <w:sz w:val="28"/>
          <w:szCs w:val="28"/>
          <w:highlight w:val="none"/>
          <w:lang w:val="en-US" w:eastAsia="zh-CN"/>
        </w:rPr>
      </w:pPr>
      <w:bookmarkStart w:id="1" w:name="_Toc13944"/>
      <w:r>
        <w:rPr>
          <w:rFonts w:hint="eastAsia" w:ascii="宋体" w:hAnsi="宋体" w:eastAsia="宋体" w:cs="宋体"/>
          <w:b/>
          <w:bCs/>
          <w:color w:val="auto"/>
          <w:sz w:val="28"/>
          <w:szCs w:val="28"/>
          <w:highlight w:val="none"/>
        </w:rPr>
        <w:t>项目编号：</w:t>
      </w:r>
      <w:r>
        <w:rPr>
          <w:rFonts w:hint="eastAsia" w:ascii="宋体" w:hAnsi="宋体" w:cs="宋体"/>
          <w:b/>
          <w:bCs/>
          <w:color w:val="auto"/>
          <w:sz w:val="28"/>
          <w:szCs w:val="28"/>
          <w:highlight w:val="none"/>
          <w:lang w:eastAsia="zh-CN"/>
        </w:rPr>
        <w:t>HC-JLZB-2025-364</w:t>
      </w:r>
      <w:bookmarkEnd w:id="1"/>
    </w:p>
    <w:p w14:paraId="2DAC38E4">
      <w:pPr>
        <w:rPr>
          <w:rFonts w:hint="eastAsia" w:ascii="宋体" w:hAnsi="宋体" w:eastAsia="宋体" w:cs="宋体"/>
          <w:b/>
          <w:color w:val="auto"/>
          <w:sz w:val="28"/>
          <w:szCs w:val="28"/>
          <w:highlight w:val="none"/>
        </w:rPr>
      </w:pPr>
    </w:p>
    <w:p w14:paraId="0EC9125C">
      <w:pPr>
        <w:pStyle w:val="4"/>
        <w:outlineLvl w:val="9"/>
        <w:rPr>
          <w:rFonts w:hint="eastAsia"/>
          <w:color w:val="auto"/>
          <w:highlight w:val="none"/>
        </w:rPr>
      </w:pPr>
    </w:p>
    <w:p w14:paraId="042323BB">
      <w:pPr>
        <w:rPr>
          <w:rFonts w:hint="eastAsia" w:ascii="宋体" w:hAnsi="宋体" w:eastAsia="宋体" w:cs="宋体"/>
          <w:b/>
          <w:color w:val="auto"/>
          <w:sz w:val="28"/>
          <w:szCs w:val="28"/>
          <w:highlight w:val="none"/>
        </w:rPr>
      </w:pPr>
    </w:p>
    <w:p w14:paraId="8BEC2132">
      <w:pPr>
        <w:rPr>
          <w:rFonts w:hint="eastAsia" w:ascii="宋体" w:hAnsi="宋体" w:eastAsia="宋体" w:cs="宋体"/>
          <w:b/>
          <w:color w:val="auto"/>
          <w:sz w:val="28"/>
          <w:szCs w:val="28"/>
          <w:highlight w:val="none"/>
        </w:rPr>
      </w:pPr>
    </w:p>
    <w:p w14:paraId="F29E6470">
      <w:pPr>
        <w:spacing w:line="360" w:lineRule="auto"/>
        <w:outlineLvl w:val="0"/>
        <w:rPr>
          <w:rFonts w:hint="eastAsia" w:ascii="宋体" w:hAnsi="宋体" w:eastAsia="宋体" w:cs="宋体"/>
          <w:b/>
          <w:color w:val="auto"/>
          <w:sz w:val="28"/>
          <w:szCs w:val="28"/>
          <w:highlight w:val="none"/>
          <w:lang w:eastAsia="zh-CN"/>
        </w:rPr>
      </w:pPr>
      <w:bookmarkStart w:id="2" w:name="_Toc4282"/>
      <w:r>
        <w:rPr>
          <w:rFonts w:hint="eastAsia" w:ascii="宋体" w:hAnsi="宋体" w:eastAsia="宋体" w:cs="宋体"/>
          <w:b/>
          <w:color w:val="auto"/>
          <w:sz w:val="28"/>
          <w:szCs w:val="28"/>
          <w:highlight w:val="none"/>
          <w:lang w:eastAsia="zh-CN"/>
        </w:rPr>
        <w:t>采购</w:t>
      </w:r>
      <w:r>
        <w:rPr>
          <w:rFonts w:hint="eastAsia" w:ascii="宋体" w:hAnsi="宋体" w:eastAsia="宋体" w:cs="宋体"/>
          <w:b/>
          <w:color w:val="auto"/>
          <w:sz w:val="28"/>
          <w:szCs w:val="28"/>
          <w:highlight w:val="none"/>
        </w:rPr>
        <w:t>人：</w:t>
      </w:r>
      <w:r>
        <w:rPr>
          <w:rFonts w:hint="eastAsia" w:ascii="宋体" w:hAnsi="宋体" w:cs="宋体"/>
          <w:b/>
          <w:color w:val="auto"/>
          <w:sz w:val="28"/>
          <w:szCs w:val="28"/>
          <w:highlight w:val="none"/>
          <w:lang w:eastAsia="zh-CN"/>
        </w:rPr>
        <w:t>吉林省生态环境厅（本级）</w:t>
      </w:r>
      <w:bookmarkEnd w:id="2"/>
    </w:p>
    <w:p w14:paraId="CECCE47C">
      <w:pPr>
        <w:spacing w:line="360" w:lineRule="auto"/>
        <w:rPr>
          <w:rFonts w:hint="eastAsia" w:ascii="宋体" w:hAnsi="宋体" w:eastAsia="宋体" w:cs="宋体"/>
          <w:b/>
          <w:bCs/>
          <w:color w:val="auto"/>
          <w:sz w:val="28"/>
          <w:szCs w:val="28"/>
          <w:highlight w:val="none"/>
        </w:rPr>
      </w:pPr>
      <w:r>
        <w:rPr>
          <w:rFonts w:hint="eastAsia" w:ascii="宋体" w:hAnsi="宋体" w:eastAsia="宋体" w:cs="宋体"/>
          <w:b/>
          <w:color w:val="auto"/>
          <w:sz w:val="28"/>
          <w:szCs w:val="28"/>
          <w:highlight w:val="none"/>
        </w:rPr>
        <w:t>代理机构：</w:t>
      </w:r>
      <w:r>
        <w:rPr>
          <w:rFonts w:hint="eastAsia" w:ascii="宋体" w:hAnsi="宋体" w:eastAsia="宋体" w:cs="宋体"/>
          <w:b/>
          <w:bCs/>
          <w:color w:val="auto"/>
          <w:sz w:val="28"/>
          <w:szCs w:val="28"/>
          <w:highlight w:val="none"/>
        </w:rPr>
        <w:t>华春建设工程项目管理有限责任公司</w:t>
      </w:r>
    </w:p>
    <w:p w14:paraId="D850763D">
      <w:pPr>
        <w:spacing w:line="360" w:lineRule="auto"/>
        <w:rPr>
          <w:rFonts w:hint="eastAsia" w:ascii="宋体" w:hAnsi="宋体" w:eastAsia="宋体" w:cs="宋体"/>
          <w:b/>
          <w:bCs/>
          <w:color w:val="auto"/>
          <w:sz w:val="28"/>
          <w:szCs w:val="28"/>
          <w:highlight w:val="none"/>
        </w:rPr>
      </w:pPr>
    </w:p>
    <w:p w14:paraId="32C36602">
      <w:pPr>
        <w:autoSpaceDE w:val="0"/>
        <w:autoSpaceDN w:val="0"/>
        <w:adjustRightInd w:val="0"/>
        <w:spacing w:line="520" w:lineRule="exact"/>
        <w:jc w:val="center"/>
        <w:rPr>
          <w:rFonts w:hint="eastAsia" w:ascii="宋体" w:hAnsi="宋体" w:eastAsia="宋体" w:cs="宋体"/>
          <w:b/>
          <w:color w:val="auto"/>
          <w:sz w:val="28"/>
          <w:szCs w:val="13"/>
          <w:highlight w:val="none"/>
          <w:lang w:val="zh-CN" w:eastAsia="zh-CN"/>
        </w:rPr>
      </w:pPr>
      <w:r>
        <w:rPr>
          <w:rFonts w:hint="eastAsia" w:ascii="宋体" w:hAnsi="宋体" w:eastAsia="宋体" w:cs="宋体"/>
          <w:b/>
          <w:color w:val="auto"/>
          <w:sz w:val="28"/>
          <w:szCs w:val="13"/>
          <w:highlight w:val="none"/>
          <w:lang w:val="zh-CN" w:eastAsia="zh-CN"/>
        </w:rPr>
        <w:t>二〇二</w:t>
      </w:r>
      <w:r>
        <w:rPr>
          <w:rFonts w:hint="eastAsia" w:ascii="宋体" w:hAnsi="宋体" w:cs="宋体"/>
          <w:b/>
          <w:color w:val="auto"/>
          <w:sz w:val="28"/>
          <w:szCs w:val="13"/>
          <w:highlight w:val="none"/>
          <w:lang w:val="zh-CN" w:eastAsia="zh-CN"/>
        </w:rPr>
        <w:t>五</w:t>
      </w:r>
      <w:r>
        <w:rPr>
          <w:rFonts w:hint="eastAsia" w:ascii="宋体" w:hAnsi="宋体" w:eastAsia="宋体" w:cs="宋体"/>
          <w:b/>
          <w:color w:val="auto"/>
          <w:sz w:val="28"/>
          <w:szCs w:val="13"/>
          <w:highlight w:val="none"/>
          <w:lang w:val="zh-CN" w:eastAsia="zh-CN"/>
        </w:rPr>
        <w:t>年</w:t>
      </w:r>
      <w:r>
        <w:rPr>
          <w:rFonts w:hint="eastAsia" w:ascii="宋体" w:hAnsi="宋体" w:cs="宋体"/>
          <w:b/>
          <w:color w:val="auto"/>
          <w:sz w:val="28"/>
          <w:szCs w:val="13"/>
          <w:highlight w:val="none"/>
          <w:lang w:val="zh-CN" w:eastAsia="zh-CN"/>
        </w:rPr>
        <w:t>三</w:t>
      </w:r>
      <w:r>
        <w:rPr>
          <w:rFonts w:hint="eastAsia" w:ascii="宋体" w:hAnsi="宋体" w:eastAsia="宋体" w:cs="宋体"/>
          <w:b/>
          <w:color w:val="auto"/>
          <w:sz w:val="28"/>
          <w:szCs w:val="13"/>
          <w:highlight w:val="none"/>
          <w:lang w:val="zh-CN" w:eastAsia="zh-CN"/>
        </w:rPr>
        <w:t>月</w:t>
      </w:r>
    </w:p>
    <w:p w14:paraId="8FBC7484">
      <w:pPr>
        <w:spacing w:before="0" w:after="0" w:line="240" w:lineRule="auto"/>
        <w:ind w:left="0" w:leftChars="0" w:right="0" w:rightChars="0" w:firstLine="0" w:firstLineChars="0"/>
        <w:jc w:val="center"/>
        <w:rPr>
          <w:sz w:val="28"/>
          <w:szCs w:val="28"/>
        </w:rPr>
      </w:pPr>
      <w:r>
        <w:rPr>
          <w:rFonts w:ascii="宋体" w:hAnsi="宋体" w:eastAsia="宋体"/>
          <w:sz w:val="28"/>
          <w:szCs w:val="28"/>
        </w:rPr>
        <w:t>目录</w:t>
      </w:r>
    </w:p>
    <w:p w14:paraId="A5733C50">
      <w:pPr>
        <w:pStyle w:val="33"/>
        <w:tabs>
          <w:tab w:val="right" w:leader="dot" w:pos="9071"/>
        </w:tabs>
      </w:pPr>
      <w:r>
        <w:fldChar w:fldCharType="begin"/>
      </w:r>
      <w:r>
        <w:instrText xml:space="preserve">TOC \o "1-1" \h \u </w:instrText>
      </w:r>
      <w:r>
        <w:fldChar w:fldCharType="separate"/>
      </w:r>
    </w:p>
    <w:p w14:paraId="869A3D91">
      <w:pPr>
        <w:pStyle w:val="33"/>
        <w:tabs>
          <w:tab w:val="right" w:leader="dot" w:pos="9071"/>
        </w:tabs>
        <w:spacing w:line="360" w:lineRule="auto"/>
        <w:rPr>
          <w:sz w:val="24"/>
          <w:szCs w:val="24"/>
        </w:rPr>
      </w:pPr>
      <w:r>
        <w:rPr>
          <w:sz w:val="24"/>
          <w:szCs w:val="24"/>
        </w:rPr>
        <w:fldChar w:fldCharType="begin"/>
      </w:r>
      <w:r>
        <w:rPr>
          <w:sz w:val="24"/>
          <w:szCs w:val="24"/>
        </w:rPr>
        <w:instrText xml:space="preserve"> HYPERLINK \l _Toc17176 </w:instrText>
      </w:r>
      <w:r>
        <w:rPr>
          <w:sz w:val="24"/>
          <w:szCs w:val="24"/>
        </w:rPr>
        <w:fldChar w:fldCharType="separate"/>
      </w:r>
      <w:r>
        <w:rPr>
          <w:rFonts w:hint="eastAsia" w:ascii="宋体" w:hAnsi="宋体" w:cs="宋体"/>
          <w:sz w:val="24"/>
          <w:szCs w:val="24"/>
          <w:lang w:eastAsia="zh-CN"/>
        </w:rPr>
        <w:t>第一章</w:t>
      </w:r>
      <w:r>
        <w:rPr>
          <w:rFonts w:hint="eastAsia" w:ascii="宋体" w:hAnsi="宋体" w:cs="宋体"/>
          <w:sz w:val="24"/>
          <w:szCs w:val="24"/>
          <w:lang w:val="en-US" w:eastAsia="zh-CN"/>
        </w:rPr>
        <w:t xml:space="preserve"> </w:t>
      </w:r>
      <w:r>
        <w:rPr>
          <w:rFonts w:hint="eastAsia" w:ascii="宋体" w:hAnsi="宋体" w:cs="宋体"/>
          <w:sz w:val="24"/>
          <w:szCs w:val="24"/>
        </w:rPr>
        <w:t>招标公告</w:t>
      </w:r>
      <w:r>
        <w:rPr>
          <w:sz w:val="24"/>
          <w:szCs w:val="24"/>
        </w:rPr>
        <w:tab/>
      </w:r>
      <w:r>
        <w:rPr>
          <w:sz w:val="24"/>
          <w:szCs w:val="24"/>
        </w:rPr>
        <w:fldChar w:fldCharType="begin"/>
      </w:r>
      <w:r>
        <w:rPr>
          <w:sz w:val="24"/>
          <w:szCs w:val="24"/>
        </w:rPr>
        <w:instrText xml:space="preserve"> PAGEREF _Toc17176 \h </w:instrText>
      </w:r>
      <w:r>
        <w:rPr>
          <w:sz w:val="24"/>
          <w:szCs w:val="24"/>
        </w:rPr>
        <w:fldChar w:fldCharType="separate"/>
      </w:r>
      <w:r>
        <w:rPr>
          <w:sz w:val="24"/>
          <w:szCs w:val="24"/>
        </w:rPr>
        <w:t>3</w:t>
      </w:r>
      <w:r>
        <w:rPr>
          <w:sz w:val="24"/>
          <w:szCs w:val="24"/>
        </w:rPr>
        <w:fldChar w:fldCharType="end"/>
      </w:r>
      <w:r>
        <w:rPr>
          <w:sz w:val="24"/>
          <w:szCs w:val="24"/>
        </w:rPr>
        <w:fldChar w:fldCharType="end"/>
      </w:r>
    </w:p>
    <w:p w14:paraId="11901551">
      <w:pPr>
        <w:pStyle w:val="33"/>
        <w:tabs>
          <w:tab w:val="right" w:leader="dot" w:pos="9071"/>
        </w:tabs>
        <w:spacing w:line="360" w:lineRule="auto"/>
        <w:rPr>
          <w:sz w:val="24"/>
          <w:szCs w:val="24"/>
        </w:rPr>
      </w:pPr>
      <w:r>
        <w:rPr>
          <w:sz w:val="24"/>
          <w:szCs w:val="24"/>
        </w:rPr>
        <w:fldChar w:fldCharType="begin"/>
      </w:r>
      <w:r>
        <w:rPr>
          <w:sz w:val="24"/>
          <w:szCs w:val="24"/>
        </w:rPr>
        <w:instrText xml:space="preserve"> HYPERLINK \l _Toc2111 </w:instrText>
      </w:r>
      <w:r>
        <w:rPr>
          <w:sz w:val="24"/>
          <w:szCs w:val="24"/>
        </w:rPr>
        <w:fldChar w:fldCharType="separate"/>
      </w:r>
      <w:r>
        <w:rPr>
          <w:rFonts w:hint="eastAsia" w:ascii="宋体" w:hAnsi="宋体" w:eastAsia="宋体" w:cs="宋体"/>
          <w:sz w:val="24"/>
          <w:szCs w:val="24"/>
          <w:highlight w:val="none"/>
          <w:lang w:val="zh-CN"/>
        </w:rPr>
        <w:t>第二章 投标人须知及前附表</w:t>
      </w:r>
      <w:r>
        <w:rPr>
          <w:sz w:val="24"/>
          <w:szCs w:val="24"/>
        </w:rPr>
        <w:tab/>
      </w:r>
      <w:r>
        <w:rPr>
          <w:sz w:val="24"/>
          <w:szCs w:val="24"/>
        </w:rPr>
        <w:fldChar w:fldCharType="begin"/>
      </w:r>
      <w:r>
        <w:rPr>
          <w:sz w:val="24"/>
          <w:szCs w:val="24"/>
        </w:rPr>
        <w:instrText xml:space="preserve"> PAGEREF _Toc2111 \h </w:instrText>
      </w:r>
      <w:r>
        <w:rPr>
          <w:sz w:val="24"/>
          <w:szCs w:val="24"/>
        </w:rPr>
        <w:fldChar w:fldCharType="separate"/>
      </w:r>
      <w:r>
        <w:rPr>
          <w:sz w:val="24"/>
          <w:szCs w:val="24"/>
        </w:rPr>
        <w:t>8</w:t>
      </w:r>
      <w:r>
        <w:rPr>
          <w:sz w:val="24"/>
          <w:szCs w:val="24"/>
        </w:rPr>
        <w:fldChar w:fldCharType="end"/>
      </w:r>
      <w:r>
        <w:rPr>
          <w:sz w:val="24"/>
          <w:szCs w:val="24"/>
        </w:rPr>
        <w:fldChar w:fldCharType="end"/>
      </w:r>
    </w:p>
    <w:p w14:paraId="69C3540D">
      <w:pPr>
        <w:pStyle w:val="33"/>
        <w:tabs>
          <w:tab w:val="right" w:leader="dot" w:pos="9071"/>
        </w:tabs>
        <w:spacing w:line="360" w:lineRule="auto"/>
        <w:rPr>
          <w:sz w:val="24"/>
          <w:szCs w:val="24"/>
        </w:rPr>
      </w:pPr>
      <w:r>
        <w:rPr>
          <w:sz w:val="24"/>
          <w:szCs w:val="24"/>
        </w:rPr>
        <w:fldChar w:fldCharType="begin"/>
      </w:r>
      <w:r>
        <w:rPr>
          <w:sz w:val="24"/>
          <w:szCs w:val="24"/>
        </w:rPr>
        <w:instrText xml:space="preserve"> HYPERLINK \l _Toc1264 </w:instrText>
      </w:r>
      <w:r>
        <w:rPr>
          <w:sz w:val="24"/>
          <w:szCs w:val="24"/>
        </w:rPr>
        <w:fldChar w:fldCharType="separate"/>
      </w:r>
      <w:r>
        <w:rPr>
          <w:rFonts w:hint="eastAsia" w:ascii="宋体" w:hAnsi="宋体" w:eastAsia="宋体" w:cs="宋体"/>
          <w:sz w:val="24"/>
          <w:szCs w:val="24"/>
          <w:highlight w:val="none"/>
        </w:rPr>
        <w:t>第三章 合同条款</w:t>
      </w:r>
      <w:r>
        <w:rPr>
          <w:sz w:val="24"/>
          <w:szCs w:val="24"/>
        </w:rPr>
        <w:tab/>
      </w:r>
      <w:r>
        <w:rPr>
          <w:sz w:val="24"/>
          <w:szCs w:val="24"/>
        </w:rPr>
        <w:fldChar w:fldCharType="begin"/>
      </w:r>
      <w:r>
        <w:rPr>
          <w:sz w:val="24"/>
          <w:szCs w:val="24"/>
        </w:rPr>
        <w:instrText xml:space="preserve"> PAGEREF _Toc1264 \h </w:instrText>
      </w:r>
      <w:r>
        <w:rPr>
          <w:sz w:val="24"/>
          <w:szCs w:val="24"/>
        </w:rPr>
        <w:fldChar w:fldCharType="separate"/>
      </w:r>
      <w:r>
        <w:rPr>
          <w:sz w:val="24"/>
          <w:szCs w:val="24"/>
        </w:rPr>
        <w:t>23</w:t>
      </w:r>
      <w:r>
        <w:rPr>
          <w:sz w:val="24"/>
          <w:szCs w:val="24"/>
        </w:rPr>
        <w:fldChar w:fldCharType="end"/>
      </w:r>
      <w:r>
        <w:rPr>
          <w:sz w:val="24"/>
          <w:szCs w:val="24"/>
        </w:rPr>
        <w:fldChar w:fldCharType="end"/>
      </w:r>
    </w:p>
    <w:p w14:paraId="400F29FF">
      <w:pPr>
        <w:pStyle w:val="33"/>
        <w:tabs>
          <w:tab w:val="right" w:leader="dot" w:pos="9071"/>
        </w:tabs>
        <w:spacing w:line="360" w:lineRule="auto"/>
        <w:rPr>
          <w:sz w:val="24"/>
          <w:szCs w:val="24"/>
        </w:rPr>
      </w:pPr>
      <w:r>
        <w:rPr>
          <w:sz w:val="24"/>
          <w:szCs w:val="24"/>
        </w:rPr>
        <w:fldChar w:fldCharType="begin"/>
      </w:r>
      <w:r>
        <w:rPr>
          <w:sz w:val="24"/>
          <w:szCs w:val="24"/>
        </w:rPr>
        <w:instrText xml:space="preserve"> HYPERLINK \l _Toc18332 </w:instrText>
      </w:r>
      <w:r>
        <w:rPr>
          <w:sz w:val="24"/>
          <w:szCs w:val="24"/>
        </w:rPr>
        <w:fldChar w:fldCharType="separate"/>
      </w:r>
      <w:r>
        <w:rPr>
          <w:rFonts w:hint="eastAsia" w:ascii="宋体" w:hAnsi="宋体" w:eastAsia="宋体" w:cs="宋体"/>
          <w:bCs/>
          <w:sz w:val="24"/>
          <w:szCs w:val="24"/>
        </w:rPr>
        <w:t xml:space="preserve">第四章 </w:t>
      </w:r>
      <w:r>
        <w:rPr>
          <w:rFonts w:hint="eastAsia" w:ascii="宋体" w:hAnsi="宋体" w:eastAsia="宋体" w:cs="宋体"/>
          <w:bCs/>
          <w:sz w:val="24"/>
          <w:szCs w:val="24"/>
          <w:highlight w:val="none"/>
        </w:rPr>
        <w:t>采购合同书格式</w:t>
      </w:r>
      <w:r>
        <w:rPr>
          <w:sz w:val="24"/>
          <w:szCs w:val="24"/>
        </w:rPr>
        <w:tab/>
      </w:r>
      <w:r>
        <w:rPr>
          <w:sz w:val="24"/>
          <w:szCs w:val="24"/>
        </w:rPr>
        <w:fldChar w:fldCharType="begin"/>
      </w:r>
      <w:r>
        <w:rPr>
          <w:sz w:val="24"/>
          <w:szCs w:val="24"/>
        </w:rPr>
        <w:instrText xml:space="preserve"> PAGEREF _Toc18332 \h </w:instrText>
      </w:r>
      <w:r>
        <w:rPr>
          <w:sz w:val="24"/>
          <w:szCs w:val="24"/>
        </w:rPr>
        <w:fldChar w:fldCharType="separate"/>
      </w:r>
      <w:r>
        <w:rPr>
          <w:sz w:val="24"/>
          <w:szCs w:val="24"/>
        </w:rPr>
        <w:t>29</w:t>
      </w:r>
      <w:r>
        <w:rPr>
          <w:sz w:val="24"/>
          <w:szCs w:val="24"/>
        </w:rPr>
        <w:fldChar w:fldCharType="end"/>
      </w:r>
      <w:r>
        <w:rPr>
          <w:sz w:val="24"/>
          <w:szCs w:val="24"/>
        </w:rPr>
        <w:fldChar w:fldCharType="end"/>
      </w:r>
    </w:p>
    <w:p w14:paraId="EDB95D85">
      <w:pPr>
        <w:pStyle w:val="33"/>
        <w:tabs>
          <w:tab w:val="right" w:leader="dot" w:pos="9071"/>
        </w:tabs>
        <w:spacing w:line="360" w:lineRule="auto"/>
        <w:rPr>
          <w:sz w:val="24"/>
          <w:szCs w:val="24"/>
        </w:rPr>
      </w:pPr>
      <w:r>
        <w:rPr>
          <w:sz w:val="24"/>
          <w:szCs w:val="24"/>
        </w:rPr>
        <w:fldChar w:fldCharType="begin"/>
      </w:r>
      <w:r>
        <w:rPr>
          <w:sz w:val="24"/>
          <w:szCs w:val="24"/>
        </w:rPr>
        <w:instrText xml:space="preserve"> HYPERLINK \l _Toc10076 </w:instrText>
      </w:r>
      <w:r>
        <w:rPr>
          <w:sz w:val="24"/>
          <w:szCs w:val="24"/>
        </w:rPr>
        <w:fldChar w:fldCharType="separate"/>
      </w:r>
      <w:r>
        <w:rPr>
          <w:rFonts w:hint="eastAsia" w:ascii="宋体" w:hAnsi="宋体" w:eastAsia="宋体" w:cs="宋体"/>
          <w:bCs/>
          <w:sz w:val="24"/>
          <w:szCs w:val="24"/>
          <w:lang w:eastAsia="zh-CN"/>
        </w:rPr>
        <w:t xml:space="preserve">第五章 </w:t>
      </w:r>
      <w:r>
        <w:rPr>
          <w:rFonts w:hint="eastAsia" w:ascii="宋体" w:hAnsi="宋体" w:cs="宋体"/>
          <w:bCs/>
          <w:sz w:val="24"/>
          <w:szCs w:val="24"/>
          <w:highlight w:val="none"/>
          <w:lang w:val="en-US" w:eastAsia="zh-CN"/>
        </w:rPr>
        <w:t>服务要</w:t>
      </w:r>
      <w:r>
        <w:rPr>
          <w:rFonts w:hint="eastAsia" w:ascii="宋体" w:hAnsi="宋体" w:eastAsia="宋体" w:cs="宋体"/>
          <w:bCs/>
          <w:sz w:val="24"/>
          <w:szCs w:val="24"/>
          <w:highlight w:val="none"/>
          <w:lang w:val="en-US" w:eastAsia="zh-CN"/>
        </w:rPr>
        <w:t>求</w:t>
      </w:r>
      <w:r>
        <w:rPr>
          <w:sz w:val="24"/>
          <w:szCs w:val="24"/>
        </w:rPr>
        <w:tab/>
      </w:r>
      <w:r>
        <w:rPr>
          <w:sz w:val="24"/>
          <w:szCs w:val="24"/>
        </w:rPr>
        <w:fldChar w:fldCharType="begin"/>
      </w:r>
      <w:r>
        <w:rPr>
          <w:sz w:val="24"/>
          <w:szCs w:val="24"/>
        </w:rPr>
        <w:instrText xml:space="preserve"> PAGEREF _Toc10076 \h </w:instrText>
      </w:r>
      <w:r>
        <w:rPr>
          <w:sz w:val="24"/>
          <w:szCs w:val="24"/>
        </w:rPr>
        <w:fldChar w:fldCharType="separate"/>
      </w:r>
      <w:r>
        <w:rPr>
          <w:sz w:val="24"/>
          <w:szCs w:val="24"/>
        </w:rPr>
        <w:t>31</w:t>
      </w:r>
      <w:r>
        <w:rPr>
          <w:sz w:val="24"/>
          <w:szCs w:val="24"/>
        </w:rPr>
        <w:fldChar w:fldCharType="end"/>
      </w:r>
      <w:r>
        <w:rPr>
          <w:sz w:val="24"/>
          <w:szCs w:val="24"/>
        </w:rPr>
        <w:fldChar w:fldCharType="end"/>
      </w:r>
    </w:p>
    <w:p w14:paraId="5EE1E486">
      <w:pPr>
        <w:pStyle w:val="33"/>
        <w:tabs>
          <w:tab w:val="right" w:leader="dot" w:pos="9071"/>
        </w:tabs>
        <w:spacing w:line="360" w:lineRule="auto"/>
        <w:rPr>
          <w:sz w:val="24"/>
          <w:szCs w:val="24"/>
        </w:rPr>
      </w:pPr>
      <w:r>
        <w:rPr>
          <w:sz w:val="24"/>
          <w:szCs w:val="24"/>
        </w:rPr>
        <w:fldChar w:fldCharType="begin"/>
      </w:r>
      <w:r>
        <w:rPr>
          <w:sz w:val="24"/>
          <w:szCs w:val="24"/>
        </w:rPr>
        <w:instrText xml:space="preserve"> HYPERLINK \l _Toc12871 </w:instrText>
      </w:r>
      <w:r>
        <w:rPr>
          <w:sz w:val="24"/>
          <w:szCs w:val="24"/>
        </w:rPr>
        <w:fldChar w:fldCharType="separate"/>
      </w:r>
      <w:r>
        <w:rPr>
          <w:rFonts w:hint="eastAsia" w:ascii="宋体" w:hAnsi="宋体" w:eastAsia="宋体" w:cs="宋体"/>
          <w:bCs w:val="0"/>
          <w:sz w:val="24"/>
          <w:szCs w:val="24"/>
          <w:highlight w:val="none"/>
        </w:rPr>
        <w:t>第六章 投标文件构成、要求及格式</w:t>
      </w:r>
      <w:r>
        <w:rPr>
          <w:sz w:val="24"/>
          <w:szCs w:val="24"/>
        </w:rPr>
        <w:tab/>
      </w:r>
      <w:r>
        <w:rPr>
          <w:sz w:val="24"/>
          <w:szCs w:val="24"/>
        </w:rPr>
        <w:fldChar w:fldCharType="begin"/>
      </w:r>
      <w:r>
        <w:rPr>
          <w:sz w:val="24"/>
          <w:szCs w:val="24"/>
        </w:rPr>
        <w:instrText xml:space="preserve"> PAGEREF _Toc12871 \h </w:instrText>
      </w:r>
      <w:r>
        <w:rPr>
          <w:sz w:val="24"/>
          <w:szCs w:val="24"/>
        </w:rPr>
        <w:fldChar w:fldCharType="separate"/>
      </w:r>
      <w:r>
        <w:rPr>
          <w:sz w:val="24"/>
          <w:szCs w:val="24"/>
        </w:rPr>
        <w:t>33</w:t>
      </w:r>
      <w:r>
        <w:rPr>
          <w:sz w:val="24"/>
          <w:szCs w:val="24"/>
        </w:rPr>
        <w:fldChar w:fldCharType="end"/>
      </w:r>
      <w:r>
        <w:rPr>
          <w:sz w:val="24"/>
          <w:szCs w:val="24"/>
        </w:rPr>
        <w:fldChar w:fldCharType="end"/>
      </w:r>
    </w:p>
    <w:p w14:paraId="9AF0F43E">
      <w:pPr>
        <w:pStyle w:val="33"/>
        <w:tabs>
          <w:tab w:val="right" w:leader="dot" w:pos="9071"/>
        </w:tabs>
        <w:spacing w:line="360" w:lineRule="auto"/>
        <w:rPr>
          <w:sz w:val="24"/>
          <w:szCs w:val="24"/>
        </w:rPr>
      </w:pPr>
      <w:r>
        <w:rPr>
          <w:sz w:val="24"/>
          <w:szCs w:val="24"/>
        </w:rPr>
        <w:fldChar w:fldCharType="begin"/>
      </w:r>
      <w:r>
        <w:rPr>
          <w:sz w:val="24"/>
          <w:szCs w:val="24"/>
        </w:rPr>
        <w:instrText xml:space="preserve"> HYPERLINK \l _Toc30417 </w:instrText>
      </w:r>
      <w:r>
        <w:rPr>
          <w:sz w:val="24"/>
          <w:szCs w:val="24"/>
        </w:rPr>
        <w:fldChar w:fldCharType="separate"/>
      </w:r>
      <w:r>
        <w:rPr>
          <w:rFonts w:hint="eastAsia"/>
          <w:sz w:val="24"/>
          <w:szCs w:val="24"/>
          <w:highlight w:val="none"/>
        </w:rPr>
        <w:t>第</w:t>
      </w:r>
      <w:r>
        <w:rPr>
          <w:rFonts w:hint="eastAsia"/>
          <w:sz w:val="24"/>
          <w:szCs w:val="24"/>
          <w:highlight w:val="none"/>
          <w:lang w:eastAsia="zh-CN"/>
        </w:rPr>
        <w:t>七章</w:t>
      </w:r>
      <w:r>
        <w:rPr>
          <w:rFonts w:hint="eastAsia"/>
          <w:sz w:val="24"/>
          <w:szCs w:val="24"/>
          <w:highlight w:val="none"/>
          <w:lang w:val="en-US" w:eastAsia="zh-CN"/>
        </w:rPr>
        <w:t xml:space="preserve"> </w:t>
      </w:r>
      <w:r>
        <w:rPr>
          <w:rFonts w:hint="eastAsia"/>
          <w:sz w:val="24"/>
          <w:szCs w:val="24"/>
          <w:highlight w:val="none"/>
          <w:lang w:eastAsia="zh-CN"/>
        </w:rPr>
        <w:t>评标办法</w:t>
      </w:r>
      <w:r>
        <w:rPr>
          <w:sz w:val="24"/>
          <w:szCs w:val="24"/>
        </w:rPr>
        <w:tab/>
      </w:r>
      <w:r>
        <w:rPr>
          <w:sz w:val="24"/>
          <w:szCs w:val="24"/>
        </w:rPr>
        <w:fldChar w:fldCharType="begin"/>
      </w:r>
      <w:r>
        <w:rPr>
          <w:sz w:val="24"/>
          <w:szCs w:val="24"/>
        </w:rPr>
        <w:instrText xml:space="preserve"> PAGEREF _Toc30417 \h </w:instrText>
      </w:r>
      <w:r>
        <w:rPr>
          <w:sz w:val="24"/>
          <w:szCs w:val="24"/>
        </w:rPr>
        <w:fldChar w:fldCharType="separate"/>
      </w:r>
      <w:r>
        <w:rPr>
          <w:sz w:val="24"/>
          <w:szCs w:val="24"/>
        </w:rPr>
        <w:t>55</w:t>
      </w:r>
      <w:r>
        <w:rPr>
          <w:sz w:val="24"/>
          <w:szCs w:val="24"/>
        </w:rPr>
        <w:fldChar w:fldCharType="end"/>
      </w:r>
      <w:r>
        <w:rPr>
          <w:sz w:val="24"/>
          <w:szCs w:val="24"/>
        </w:rPr>
        <w:fldChar w:fldCharType="end"/>
      </w:r>
    </w:p>
    <w:p w14:paraId="1FA0B831">
      <w:pPr>
        <w:pStyle w:val="33"/>
        <w:tabs>
          <w:tab w:val="right" w:leader="dot" w:pos="9071"/>
        </w:tabs>
        <w:spacing w:line="360" w:lineRule="auto"/>
        <w:rPr>
          <w:sz w:val="24"/>
          <w:szCs w:val="24"/>
        </w:rPr>
      </w:pPr>
      <w:r>
        <w:rPr>
          <w:sz w:val="24"/>
          <w:szCs w:val="24"/>
        </w:rPr>
        <w:fldChar w:fldCharType="begin"/>
      </w:r>
      <w:r>
        <w:rPr>
          <w:sz w:val="24"/>
          <w:szCs w:val="24"/>
        </w:rPr>
        <w:instrText xml:space="preserve"> HYPERLINK \l _Toc1214 </w:instrText>
      </w:r>
      <w:r>
        <w:rPr>
          <w:sz w:val="24"/>
          <w:szCs w:val="24"/>
        </w:rPr>
        <w:fldChar w:fldCharType="separate"/>
      </w:r>
      <w:r>
        <w:rPr>
          <w:rFonts w:hint="eastAsia"/>
          <w:sz w:val="24"/>
          <w:szCs w:val="24"/>
          <w:highlight w:val="none"/>
        </w:rPr>
        <w:t>第</w:t>
      </w:r>
      <w:r>
        <w:rPr>
          <w:rFonts w:hint="eastAsia"/>
          <w:sz w:val="24"/>
          <w:szCs w:val="24"/>
          <w:highlight w:val="none"/>
          <w:lang w:eastAsia="zh-CN"/>
        </w:rPr>
        <w:t>八章</w:t>
      </w:r>
      <w:r>
        <w:rPr>
          <w:rFonts w:hint="eastAsia"/>
          <w:sz w:val="24"/>
          <w:szCs w:val="24"/>
          <w:highlight w:val="none"/>
          <w:lang w:val="en-US" w:eastAsia="zh-CN"/>
        </w:rPr>
        <w:t xml:space="preserve"> </w:t>
      </w:r>
      <w:r>
        <w:rPr>
          <w:rFonts w:hint="eastAsia"/>
          <w:sz w:val="24"/>
          <w:szCs w:val="24"/>
          <w:highlight w:val="none"/>
        </w:rPr>
        <w:t>附件</w:t>
      </w:r>
      <w:r>
        <w:rPr>
          <w:sz w:val="24"/>
          <w:szCs w:val="24"/>
        </w:rPr>
        <w:tab/>
      </w:r>
      <w:r>
        <w:rPr>
          <w:sz w:val="24"/>
          <w:szCs w:val="24"/>
        </w:rPr>
        <w:fldChar w:fldCharType="begin"/>
      </w:r>
      <w:r>
        <w:rPr>
          <w:sz w:val="24"/>
          <w:szCs w:val="24"/>
        </w:rPr>
        <w:instrText xml:space="preserve"> PAGEREF _Toc1214 \h </w:instrText>
      </w:r>
      <w:r>
        <w:rPr>
          <w:sz w:val="24"/>
          <w:szCs w:val="24"/>
        </w:rPr>
        <w:fldChar w:fldCharType="separate"/>
      </w:r>
      <w:r>
        <w:rPr>
          <w:sz w:val="24"/>
          <w:szCs w:val="24"/>
        </w:rPr>
        <w:t>60</w:t>
      </w:r>
      <w:r>
        <w:rPr>
          <w:sz w:val="24"/>
          <w:szCs w:val="24"/>
        </w:rPr>
        <w:fldChar w:fldCharType="end"/>
      </w:r>
      <w:r>
        <w:rPr>
          <w:sz w:val="24"/>
          <w:szCs w:val="24"/>
        </w:rPr>
        <w:fldChar w:fldCharType="end"/>
      </w:r>
    </w:p>
    <w:p w14:paraId="808BAC47">
      <w:pPr>
        <w:pStyle w:val="32"/>
        <w:rPr>
          <w:rFonts w:ascii="宋体" w:hAnsi="宋体" w:eastAsia="宋体" w:cs="宋体"/>
          <w:kern w:val="2"/>
          <w:sz w:val="21"/>
          <w:lang w:val="en-US" w:eastAsia="zh-CN" w:bidi="ar-SA"/>
        </w:rPr>
      </w:pPr>
      <w:r>
        <w:fldChar w:fldCharType="end"/>
      </w:r>
    </w:p>
    <w:p w14:paraId="3331CEA8">
      <w:pPr>
        <w:pStyle w:val="32"/>
        <w:rPr>
          <w:rFonts w:hint="eastAsia" w:ascii="宋体" w:hAnsi="宋体" w:eastAsia="宋体" w:cs="宋体"/>
          <w:kern w:val="2"/>
          <w:sz w:val="21"/>
          <w:lang w:val="zh-CN" w:eastAsia="zh-CN" w:bidi="ar-SA"/>
        </w:rPr>
      </w:pPr>
    </w:p>
    <w:p w14:paraId="A587A8CB">
      <w:pPr>
        <w:pStyle w:val="9"/>
        <w:rPr>
          <w:rFonts w:hint="eastAsia"/>
          <w:lang w:val="zh-CN" w:eastAsia="zh-CN"/>
        </w:rPr>
      </w:pPr>
    </w:p>
    <w:p w14:paraId="7102244C">
      <w:pPr>
        <w:pStyle w:val="33"/>
        <w:tabs>
          <w:tab w:val="right" w:leader="dot" w:pos="9072"/>
        </w:tabs>
        <w:spacing w:line="480" w:lineRule="auto"/>
        <w:rPr>
          <w:rFonts w:hint="eastAsia" w:ascii="宋体" w:hAnsi="宋体" w:eastAsia="宋体" w:cs="宋体"/>
          <w:color w:val="auto"/>
          <w:highlight w:val="none"/>
          <w:lang w:val="en-US" w:eastAsia="zh-CN"/>
        </w:rPr>
      </w:pPr>
    </w:p>
    <w:p w14:paraId="D9A5A14A">
      <w:pPr>
        <w:pStyle w:val="33"/>
        <w:tabs>
          <w:tab w:val="right" w:leader="dot" w:pos="9072"/>
        </w:tabs>
        <w:rPr>
          <w:rFonts w:hint="eastAsia" w:ascii="宋体" w:hAnsi="宋体" w:eastAsia="宋体" w:cs="宋体"/>
          <w:color w:val="auto"/>
          <w:highlight w:val="none"/>
          <w:lang w:val="zh-CN"/>
        </w:rPr>
      </w:pPr>
    </w:p>
    <w:p w14:paraId="33AE661F">
      <w:pPr>
        <w:autoSpaceDE w:val="0"/>
        <w:autoSpaceDN w:val="0"/>
        <w:adjustRightInd w:val="0"/>
        <w:spacing w:line="520" w:lineRule="exact"/>
        <w:jc w:val="center"/>
        <w:rPr>
          <w:rFonts w:hint="eastAsia" w:ascii="宋体" w:hAnsi="宋体" w:eastAsia="宋体" w:cs="宋体"/>
          <w:b/>
          <w:color w:val="auto"/>
          <w:highlight w:val="none"/>
          <w:lang w:val="zh-CN"/>
        </w:rPr>
      </w:pPr>
    </w:p>
    <w:p w14:paraId="931CC7C6">
      <w:pPr>
        <w:autoSpaceDE w:val="0"/>
        <w:autoSpaceDN w:val="0"/>
        <w:adjustRightInd w:val="0"/>
        <w:spacing w:line="520" w:lineRule="exact"/>
        <w:rPr>
          <w:rFonts w:hint="eastAsia" w:ascii="宋体" w:hAnsi="宋体" w:eastAsia="宋体" w:cs="宋体"/>
          <w:b/>
          <w:color w:val="auto"/>
          <w:highlight w:val="none"/>
          <w:lang w:val="zh-CN"/>
        </w:rPr>
      </w:pPr>
    </w:p>
    <w:p w14:paraId="23ACF09D">
      <w:pPr>
        <w:autoSpaceDE w:val="0"/>
        <w:autoSpaceDN w:val="0"/>
        <w:adjustRightInd w:val="0"/>
        <w:spacing w:line="520" w:lineRule="exact"/>
        <w:rPr>
          <w:rFonts w:hint="eastAsia" w:ascii="宋体" w:hAnsi="宋体" w:eastAsia="宋体" w:cs="宋体"/>
          <w:b/>
          <w:color w:val="auto"/>
          <w:highlight w:val="none"/>
          <w:lang w:val="zh-CN"/>
        </w:rPr>
      </w:pPr>
    </w:p>
    <w:p w14:paraId="35B688B2">
      <w:pPr>
        <w:autoSpaceDE w:val="0"/>
        <w:autoSpaceDN w:val="0"/>
        <w:adjustRightInd w:val="0"/>
        <w:spacing w:line="520" w:lineRule="exact"/>
        <w:rPr>
          <w:rFonts w:hint="eastAsia" w:ascii="宋体" w:hAnsi="宋体" w:eastAsia="宋体" w:cs="宋体"/>
          <w:b/>
          <w:color w:val="auto"/>
          <w:highlight w:val="none"/>
          <w:lang w:val="zh-CN"/>
        </w:rPr>
      </w:pPr>
    </w:p>
    <w:p w14:paraId="289925B3">
      <w:pPr>
        <w:pStyle w:val="3"/>
        <w:spacing w:line="240" w:lineRule="auto"/>
        <w:jc w:val="center"/>
        <w:outlineLvl w:val="9"/>
        <w:rPr>
          <w:rFonts w:hint="eastAsia" w:ascii="宋体" w:hAnsi="宋体" w:eastAsia="宋体" w:cs="宋体"/>
          <w:color w:val="auto"/>
          <w:highlight w:val="none"/>
          <w:lang w:val="zh-CN"/>
        </w:rPr>
        <w:sectPr>
          <w:headerReference r:id="rId3" w:type="default"/>
          <w:footerReference r:id="rId4" w:type="default"/>
          <w:pgSz w:w="11906" w:h="16838"/>
          <w:pgMar w:top="1417" w:right="1417" w:bottom="1417" w:left="1701" w:header="850" w:footer="737" w:gutter="0"/>
          <w:pgNumType w:fmt="decimal" w:start="1"/>
          <w:cols w:space="720" w:num="1"/>
          <w:rtlGutter w:val="0"/>
          <w:docGrid w:type="lines" w:linePitch="505" w:charSpace="0"/>
        </w:sectPr>
      </w:pPr>
      <w:bookmarkStart w:id="3" w:name="_Toc347014329"/>
      <w:bookmarkStart w:id="4" w:name="_Toc27848"/>
      <w:bookmarkStart w:id="5" w:name="_Toc238185761"/>
      <w:r>
        <w:rPr>
          <w:rFonts w:hint="eastAsia" w:ascii="宋体" w:hAnsi="宋体" w:eastAsia="宋体" w:cs="宋体"/>
          <w:color w:val="auto"/>
          <w:highlight w:val="none"/>
          <w:lang w:val="zh-CN"/>
        </w:rPr>
        <w:br w:type="page"/>
      </w:r>
    </w:p>
    <w:p w14:paraId="10596800">
      <w:pPr>
        <w:pStyle w:val="3"/>
        <w:spacing w:before="0" w:after="0" w:line="360" w:lineRule="auto"/>
        <w:jc w:val="center"/>
        <w:rPr>
          <w:rFonts w:ascii="宋体" w:hAnsi="宋体" w:cs="宋体"/>
          <w:sz w:val="36"/>
          <w:szCs w:val="36"/>
        </w:rPr>
      </w:pPr>
      <w:bookmarkStart w:id="6" w:name="_Toc17176"/>
      <w:r>
        <w:rPr>
          <w:rFonts w:hint="eastAsia" w:ascii="宋体" w:hAnsi="宋体" w:cs="宋体"/>
          <w:sz w:val="36"/>
          <w:szCs w:val="36"/>
          <w:lang w:eastAsia="zh-CN"/>
        </w:rPr>
        <w:t>第一章</w:t>
      </w:r>
      <w:r>
        <w:rPr>
          <w:rFonts w:hint="eastAsia" w:ascii="宋体" w:hAnsi="宋体" w:cs="宋体"/>
          <w:sz w:val="36"/>
          <w:szCs w:val="36"/>
          <w:lang w:val="en-US" w:eastAsia="zh-CN"/>
        </w:rPr>
        <w:t xml:space="preserve"> </w:t>
      </w:r>
      <w:r>
        <w:rPr>
          <w:rFonts w:hint="eastAsia" w:ascii="宋体" w:hAnsi="宋体" w:cs="宋体"/>
          <w:sz w:val="36"/>
          <w:szCs w:val="36"/>
        </w:rPr>
        <w:t>招标公告</w:t>
      </w:r>
      <w:bookmarkEnd w:id="6"/>
    </w:p>
    <w:p w14:paraId="F75F0382">
      <w:r>
        <w:rPr>
          <w:rFonts w:hint="eastAsia" w:ascii="宋体" w:hAnsi="宋体" w:cs="宋体"/>
          <w:sz w:val="24"/>
          <w:szCs w:val="24"/>
          <w:highlight w:val="none"/>
        </w:rPr>
        <w:t>项目概况</w:t>
      </w:r>
    </w:p>
    <w:tbl>
      <w:tblPr>
        <w:tblStyle w:val="1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7"/>
      </w:tblGrid>
      <w:tr w14:paraId="E2F22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tcPr>
          <w:p w14:paraId="29061E86">
            <w:pPr>
              <w:keepNext w:val="0"/>
              <w:keepLines w:val="0"/>
              <w:pageBreakBefore w:val="0"/>
              <w:widowControl w:val="0"/>
              <w:kinsoku/>
              <w:wordWrap/>
              <w:overflowPunct/>
              <w:topLinePunct w:val="0"/>
              <w:autoSpaceDE/>
              <w:autoSpaceDN/>
              <w:bidi w:val="0"/>
              <w:adjustRightInd/>
              <w:snapToGrid/>
              <w:spacing w:line="312" w:lineRule="auto"/>
              <w:jc w:val="both"/>
              <w:textAlignment w:val="auto"/>
              <w:rPr>
                <w:rFonts w:ascii="宋体" w:hAnsi="宋体" w:cs="宋体"/>
                <w:sz w:val="24"/>
                <w:szCs w:val="24"/>
              </w:rPr>
            </w:pPr>
            <w:r>
              <w:rPr>
                <w:rFonts w:hint="eastAsia" w:ascii="宋体" w:hAnsi="宋体" w:cs="宋体"/>
                <w:sz w:val="24"/>
                <w:szCs w:val="24"/>
                <w:lang w:eastAsia="zh-CN"/>
              </w:rPr>
              <w:t>吉林省重点排放单位2024年度碳排放第三方核查及复查项目</w:t>
            </w:r>
            <w:r>
              <w:rPr>
                <w:rFonts w:hint="eastAsia" w:ascii="宋体" w:hAnsi="宋体" w:cs="宋体"/>
                <w:sz w:val="24"/>
                <w:szCs w:val="24"/>
                <w:highlight w:val="none"/>
              </w:rPr>
              <w:t>的潜在供应商应</w:t>
            </w:r>
            <w:r>
              <w:rPr>
                <w:rFonts w:hint="eastAsia" w:ascii="宋体" w:hAnsi="宋体" w:cs="宋体"/>
                <w:sz w:val="24"/>
                <w:szCs w:val="24"/>
                <w:highlight w:val="none"/>
                <w:lang w:eastAsia="zh-CN"/>
              </w:rPr>
              <w:t>在“政采云”平台（网址：http://www.zcygov.cn）</w:t>
            </w:r>
            <w:r>
              <w:rPr>
                <w:rFonts w:hint="eastAsia" w:ascii="宋体" w:hAnsi="宋体" w:cs="宋体"/>
                <w:sz w:val="24"/>
                <w:szCs w:val="24"/>
                <w:highlight w:val="none"/>
              </w:rPr>
              <w:t>获取招标</w:t>
            </w:r>
            <w:r>
              <w:rPr>
                <w:rFonts w:hint="eastAsia" w:ascii="宋体" w:hAnsi="宋体" w:cs="宋体"/>
                <w:color w:val="auto"/>
                <w:sz w:val="24"/>
                <w:szCs w:val="24"/>
                <w:highlight w:val="none"/>
              </w:rPr>
              <w:t>文件，并于</w:t>
            </w:r>
            <w:r>
              <w:rPr>
                <w:rFonts w:hint="eastAsia" w:ascii="宋体" w:hAnsi="宋体" w:cs="宋体"/>
                <w:color w:val="auto"/>
                <w:sz w:val="24"/>
                <w:szCs w:val="24"/>
                <w:highlight w:val="none"/>
                <w:lang w:eastAsia="zh-CN"/>
              </w:rPr>
              <w:t>2025年</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lang w:eastAsia="zh-CN"/>
              </w:rPr>
              <w:t>月</w:t>
            </w:r>
            <w:r>
              <w:rPr>
                <w:rFonts w:hint="eastAsia" w:ascii="宋体" w:hAnsi="宋体" w:cs="宋体"/>
                <w:color w:val="auto"/>
                <w:sz w:val="24"/>
                <w:szCs w:val="24"/>
                <w:highlight w:val="none"/>
                <w:lang w:val="en-US" w:eastAsia="zh-CN"/>
              </w:rPr>
              <w:t>21</w:t>
            </w:r>
            <w:r>
              <w:rPr>
                <w:rFonts w:hint="eastAsia" w:ascii="宋体" w:hAnsi="宋体" w:cs="宋体"/>
                <w:color w:val="auto"/>
                <w:sz w:val="24"/>
                <w:szCs w:val="24"/>
                <w:highlight w:val="none"/>
                <w:lang w:eastAsia="zh-CN"/>
              </w:rPr>
              <w:t>日</w:t>
            </w: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lang w:eastAsia="zh-CN"/>
              </w:rPr>
              <w:t>时</w:t>
            </w:r>
            <w:r>
              <w:rPr>
                <w:rFonts w:hint="eastAsia" w:ascii="宋体" w:hAnsi="宋体" w:cs="宋体"/>
                <w:color w:val="auto"/>
                <w:sz w:val="24"/>
                <w:szCs w:val="24"/>
                <w:highlight w:val="none"/>
                <w:lang w:val="en-US" w:eastAsia="zh-CN"/>
              </w:rPr>
              <w:t>00</w:t>
            </w:r>
            <w:r>
              <w:rPr>
                <w:rFonts w:hint="eastAsia" w:ascii="宋体" w:hAnsi="宋体" w:cs="宋体"/>
                <w:color w:val="auto"/>
                <w:sz w:val="24"/>
                <w:szCs w:val="24"/>
                <w:highlight w:val="none"/>
                <w:lang w:eastAsia="zh-CN"/>
              </w:rPr>
              <w:t>分</w:t>
            </w:r>
            <w:r>
              <w:rPr>
                <w:rFonts w:hint="eastAsia" w:ascii="宋体" w:hAnsi="宋体" w:cs="宋体"/>
                <w:color w:val="auto"/>
                <w:sz w:val="24"/>
                <w:szCs w:val="24"/>
                <w:highlight w:val="none"/>
              </w:rPr>
              <w:t>（北京时间）前提交投标文件。</w:t>
            </w:r>
          </w:p>
        </w:tc>
      </w:tr>
    </w:tbl>
    <w:p w14:paraId="0EDBE839">
      <w:pPr>
        <w:keepNext w:val="0"/>
        <w:keepLines w:val="0"/>
        <w:pageBreakBefore w:val="0"/>
        <w:kinsoku/>
        <w:wordWrap/>
        <w:overflowPunct/>
        <w:topLinePunct w:val="0"/>
        <w:autoSpaceDE/>
        <w:autoSpaceDN/>
        <w:bidi w:val="0"/>
        <w:adjustRightInd/>
        <w:snapToGrid/>
        <w:spacing w:line="312" w:lineRule="auto"/>
        <w:textAlignment w:val="auto"/>
        <w:rPr>
          <w:rFonts w:ascii="宋体" w:hAnsi="宋体" w:cs="宋体"/>
          <w:b/>
          <w:sz w:val="24"/>
          <w:szCs w:val="24"/>
        </w:rPr>
      </w:pPr>
      <w:r>
        <w:rPr>
          <w:rFonts w:hint="eastAsia" w:ascii="宋体" w:hAnsi="宋体" w:cs="宋体"/>
          <w:b/>
          <w:sz w:val="24"/>
          <w:szCs w:val="24"/>
        </w:rPr>
        <w:t>一、项目基本情况</w:t>
      </w:r>
    </w:p>
    <w:p w14:paraId="DA02B0C3">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ascii="宋体" w:hAnsi="宋体" w:cs="宋体"/>
          <w:color w:val="auto"/>
          <w:sz w:val="24"/>
          <w:szCs w:val="24"/>
        </w:rPr>
      </w:pPr>
      <w:r>
        <w:rPr>
          <w:rFonts w:hint="eastAsia" w:ascii="宋体" w:hAnsi="宋体" w:cs="宋体"/>
          <w:sz w:val="24"/>
          <w:szCs w:val="24"/>
        </w:rPr>
        <w:t>项目编号：</w:t>
      </w:r>
      <w:r>
        <w:rPr>
          <w:rFonts w:hint="eastAsia" w:ascii="宋体" w:hAnsi="宋体" w:cs="宋体"/>
          <w:sz w:val="24"/>
          <w:szCs w:val="24"/>
          <w:lang w:eastAsia="zh-CN"/>
        </w:rPr>
        <w:t>HC-JLZB-2025-364</w:t>
      </w:r>
      <w:r>
        <w:rPr>
          <w:rFonts w:hint="eastAsia" w:ascii="宋体" w:hAnsi="宋体" w:cs="宋体"/>
          <w:color w:val="auto"/>
          <w:sz w:val="24"/>
          <w:szCs w:val="24"/>
        </w:rPr>
        <w:t>；</w:t>
      </w:r>
    </w:p>
    <w:p w14:paraId="16C6C639">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采购计划编号：</w:t>
      </w:r>
      <w:r>
        <w:rPr>
          <w:rFonts w:hint="eastAsia" w:ascii="宋体" w:hAnsi="宋体" w:cs="宋体"/>
          <w:color w:val="auto"/>
          <w:sz w:val="24"/>
          <w:szCs w:val="24"/>
          <w:highlight w:val="none"/>
          <w:lang w:val="en-US" w:eastAsia="zh-CN"/>
        </w:rPr>
        <w:t>采购计划-[2025]-02631号</w:t>
      </w:r>
      <w:r>
        <w:rPr>
          <w:rFonts w:hint="eastAsia" w:ascii="宋体" w:hAnsi="宋体" w:cs="宋体"/>
          <w:color w:val="auto"/>
          <w:sz w:val="24"/>
          <w:szCs w:val="24"/>
          <w:highlight w:val="none"/>
        </w:rPr>
        <w:t>；</w:t>
      </w:r>
    </w:p>
    <w:p w14:paraId="EF94DB12">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ascii="宋体" w:hAnsi="宋体" w:cs="宋体"/>
          <w:sz w:val="24"/>
          <w:szCs w:val="24"/>
        </w:rPr>
      </w:pPr>
      <w:r>
        <w:rPr>
          <w:rFonts w:hint="eastAsia" w:ascii="宋体" w:hAnsi="宋体" w:cs="宋体"/>
          <w:sz w:val="24"/>
          <w:szCs w:val="24"/>
        </w:rPr>
        <w:t>项目名称：</w:t>
      </w:r>
      <w:r>
        <w:rPr>
          <w:rFonts w:hint="eastAsia" w:ascii="宋体" w:hAnsi="宋体" w:cs="宋体"/>
          <w:sz w:val="24"/>
          <w:szCs w:val="24"/>
          <w:lang w:eastAsia="zh-CN"/>
        </w:rPr>
        <w:t>吉林省重点排放单位2024年度碳排放第三方核查及复查项目</w:t>
      </w:r>
      <w:r>
        <w:rPr>
          <w:rFonts w:hint="eastAsia" w:ascii="宋体" w:hAnsi="宋体" w:cs="宋体"/>
          <w:sz w:val="24"/>
          <w:szCs w:val="24"/>
        </w:rPr>
        <w:t>；</w:t>
      </w:r>
    </w:p>
    <w:p w14:paraId="D9720E90">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default" w:ascii="宋体" w:hAnsi="宋体" w:cs="宋体"/>
          <w:sz w:val="24"/>
          <w:szCs w:val="24"/>
          <w:lang w:val="en-US" w:eastAsia="zh-CN"/>
        </w:rPr>
      </w:pPr>
      <w:r>
        <w:rPr>
          <w:rFonts w:hint="eastAsia" w:ascii="宋体" w:hAnsi="宋体" w:cs="宋体"/>
          <w:sz w:val="24"/>
          <w:szCs w:val="24"/>
          <w:lang w:eastAsia="zh-CN"/>
        </w:rPr>
        <w:t>标段划分：</w:t>
      </w:r>
      <w:r>
        <w:rPr>
          <w:rFonts w:hint="eastAsia" w:ascii="宋体" w:hAnsi="宋体" w:cs="宋体"/>
          <w:sz w:val="24"/>
          <w:szCs w:val="24"/>
          <w:lang w:val="en-US" w:eastAsia="zh-CN"/>
        </w:rPr>
        <w:t>5个标段；</w:t>
      </w:r>
    </w:p>
    <w:p w14:paraId="9F396186">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default" w:ascii="宋体" w:hAnsi="宋体" w:eastAsia="宋体" w:cs="宋体"/>
          <w:sz w:val="24"/>
          <w:szCs w:val="24"/>
          <w:lang w:val="en-US" w:eastAsia="zh-CN"/>
        </w:rPr>
      </w:pPr>
      <w:r>
        <w:rPr>
          <w:rFonts w:hint="eastAsia" w:ascii="宋体" w:hAnsi="宋体" w:cs="宋体"/>
          <w:sz w:val="24"/>
          <w:szCs w:val="24"/>
        </w:rPr>
        <w:t>预算金额（最高限价）：</w:t>
      </w:r>
      <w:r>
        <w:rPr>
          <w:rFonts w:hint="eastAsia" w:ascii="宋体" w:hAnsi="宋体" w:cs="宋体"/>
          <w:sz w:val="24"/>
          <w:szCs w:val="24"/>
          <w:lang w:val="en-US" w:eastAsia="zh-CN"/>
        </w:rPr>
        <w:t>367万元</w:t>
      </w:r>
      <w:r>
        <w:rPr>
          <w:rFonts w:hint="eastAsia" w:ascii="宋体" w:hAnsi="宋体" w:cs="宋体"/>
          <w:sz w:val="24"/>
          <w:szCs w:val="24"/>
        </w:rPr>
        <w:t>；</w:t>
      </w:r>
      <w:r>
        <w:rPr>
          <w:rFonts w:hint="eastAsia" w:ascii="宋体" w:hAnsi="宋体" w:cs="宋体"/>
          <w:sz w:val="24"/>
          <w:szCs w:val="24"/>
          <w:lang w:eastAsia="zh-CN"/>
        </w:rPr>
        <w:t>一标段</w:t>
      </w:r>
      <w:r>
        <w:rPr>
          <w:rFonts w:hint="eastAsia" w:ascii="宋体" w:hAnsi="宋体" w:cs="宋体"/>
          <w:sz w:val="24"/>
          <w:szCs w:val="24"/>
          <w:lang w:val="en-US" w:eastAsia="zh-CN"/>
        </w:rPr>
        <w:t>70万元，二标段70万元，三标段70万元，四标段110万元，五标段47万元；</w:t>
      </w:r>
    </w:p>
    <w:p w14:paraId="5C1A0920">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cs="宋体"/>
          <w:sz w:val="24"/>
          <w:szCs w:val="24"/>
          <w:lang w:val="en-US" w:eastAsia="zh-CN"/>
        </w:rPr>
      </w:pPr>
      <w:r>
        <w:rPr>
          <w:rFonts w:hint="eastAsia" w:ascii="宋体" w:hAnsi="宋体" w:cs="宋体"/>
          <w:sz w:val="24"/>
          <w:szCs w:val="24"/>
          <w:lang w:eastAsia="zh-CN"/>
        </w:rPr>
        <w:t>服务内容</w:t>
      </w:r>
      <w:r>
        <w:rPr>
          <w:rFonts w:hint="eastAsia" w:ascii="宋体" w:hAnsi="宋体" w:cs="宋体"/>
          <w:sz w:val="24"/>
          <w:szCs w:val="24"/>
        </w:rPr>
        <w:t>：一、二、三标段</w:t>
      </w:r>
      <w:r>
        <w:rPr>
          <w:rFonts w:hint="eastAsia" w:ascii="宋体" w:hAnsi="宋体" w:cs="宋体"/>
          <w:sz w:val="24"/>
          <w:szCs w:val="24"/>
          <w:lang w:eastAsia="zh-CN"/>
        </w:rPr>
        <w:t>为核查标段，</w:t>
      </w:r>
      <w:r>
        <w:rPr>
          <w:rFonts w:hint="eastAsia" w:ascii="宋体" w:hAnsi="宋体" w:cs="宋体"/>
          <w:sz w:val="24"/>
          <w:szCs w:val="24"/>
        </w:rPr>
        <w:t>分别核查</w:t>
      </w:r>
      <w:r>
        <w:rPr>
          <w:rFonts w:hint="eastAsia" w:ascii="宋体" w:hAnsi="宋体" w:cs="宋体"/>
          <w:sz w:val="24"/>
          <w:szCs w:val="24"/>
          <w:lang w:eastAsia="zh-CN"/>
        </w:rPr>
        <w:t>约</w:t>
      </w:r>
      <w:r>
        <w:rPr>
          <w:rFonts w:hint="eastAsia" w:ascii="宋体" w:hAnsi="宋体" w:cs="宋体"/>
          <w:sz w:val="24"/>
          <w:szCs w:val="24"/>
          <w:lang w:val="en-US" w:eastAsia="zh-CN"/>
        </w:rPr>
        <w:t>33</w:t>
      </w:r>
      <w:r>
        <w:rPr>
          <w:rFonts w:hint="eastAsia" w:ascii="宋体" w:hAnsi="宋体" w:cs="宋体"/>
          <w:sz w:val="24"/>
          <w:szCs w:val="24"/>
        </w:rPr>
        <w:t>家企业</w:t>
      </w:r>
      <w:r>
        <w:rPr>
          <w:rFonts w:hint="eastAsia" w:ascii="宋体" w:hAnsi="宋体" w:cs="宋体"/>
          <w:sz w:val="24"/>
          <w:szCs w:val="24"/>
          <w:lang w:eastAsia="zh-CN"/>
        </w:rPr>
        <w:t>。主要测算依据为任务量和完成时限，</w:t>
      </w:r>
      <w:r>
        <w:rPr>
          <w:rFonts w:hint="eastAsia" w:ascii="宋体" w:hAnsi="宋体" w:cs="宋体"/>
          <w:sz w:val="24"/>
          <w:szCs w:val="24"/>
        </w:rPr>
        <w:t>选定</w:t>
      </w:r>
      <w:r>
        <w:rPr>
          <w:rFonts w:hint="eastAsia" w:ascii="宋体" w:hAnsi="宋体" w:cs="宋体"/>
          <w:sz w:val="24"/>
          <w:szCs w:val="24"/>
          <w:lang w:val="en-US" w:eastAsia="zh-CN"/>
        </w:rPr>
        <w:t>3</w:t>
      </w:r>
      <w:r>
        <w:rPr>
          <w:rFonts w:hint="eastAsia" w:ascii="宋体" w:hAnsi="宋体" w:cs="宋体"/>
          <w:sz w:val="24"/>
          <w:szCs w:val="24"/>
        </w:rPr>
        <w:t>家核查机构、每家机构安排约</w:t>
      </w:r>
      <w:r>
        <w:rPr>
          <w:rFonts w:hint="eastAsia" w:ascii="宋体" w:hAnsi="宋体" w:cs="宋体"/>
          <w:sz w:val="24"/>
          <w:szCs w:val="24"/>
          <w:lang w:val="en-US" w:eastAsia="zh-CN"/>
        </w:rPr>
        <w:t>12-</w:t>
      </w:r>
      <w:r>
        <w:rPr>
          <w:rFonts w:hint="eastAsia" w:ascii="宋体" w:hAnsi="宋体" w:cs="宋体"/>
          <w:sz w:val="24"/>
          <w:szCs w:val="24"/>
        </w:rPr>
        <w:t>15名核查人员</w:t>
      </w:r>
      <w:r>
        <w:rPr>
          <w:rFonts w:hint="eastAsia" w:ascii="宋体" w:hAnsi="宋体" w:cs="宋体"/>
          <w:sz w:val="24"/>
          <w:szCs w:val="24"/>
          <w:lang w:eastAsia="zh-CN"/>
        </w:rPr>
        <w:t>，组成</w:t>
      </w:r>
      <w:r>
        <w:rPr>
          <w:rFonts w:hint="eastAsia" w:ascii="宋体" w:hAnsi="宋体" w:cs="宋体"/>
          <w:sz w:val="24"/>
          <w:szCs w:val="24"/>
          <w:lang w:val="en-US" w:eastAsia="zh-CN"/>
        </w:rPr>
        <w:t>4-</w:t>
      </w:r>
      <w:r>
        <w:rPr>
          <w:rFonts w:hint="eastAsia" w:ascii="宋体" w:hAnsi="宋体" w:cs="宋体"/>
          <w:sz w:val="24"/>
          <w:szCs w:val="24"/>
        </w:rPr>
        <w:t>5个现场核查小组，</w:t>
      </w:r>
      <w:r>
        <w:rPr>
          <w:rFonts w:hint="eastAsia" w:ascii="宋体" w:hAnsi="宋体" w:cs="宋体"/>
          <w:sz w:val="24"/>
          <w:szCs w:val="24"/>
          <w:lang w:eastAsia="zh-CN"/>
        </w:rPr>
        <w:t>可满足</w:t>
      </w:r>
      <w:r>
        <w:rPr>
          <w:rFonts w:hint="eastAsia" w:ascii="宋体" w:hAnsi="宋体" w:cs="宋体"/>
          <w:sz w:val="24"/>
          <w:szCs w:val="24"/>
          <w:lang w:val="en-US" w:eastAsia="zh-CN"/>
        </w:rPr>
        <w:t>每一</w:t>
      </w:r>
      <w:r>
        <w:rPr>
          <w:rFonts w:hint="eastAsia" w:ascii="宋体" w:hAnsi="宋体" w:cs="宋体"/>
          <w:sz w:val="24"/>
          <w:szCs w:val="24"/>
        </w:rPr>
        <w:t>阶段完成核查的</w:t>
      </w:r>
      <w:r>
        <w:rPr>
          <w:rFonts w:hint="eastAsia" w:ascii="宋体" w:hAnsi="宋体" w:cs="宋体"/>
          <w:sz w:val="24"/>
          <w:szCs w:val="24"/>
          <w:lang w:eastAsia="zh-CN"/>
        </w:rPr>
        <w:t>时限</w:t>
      </w:r>
      <w:r>
        <w:rPr>
          <w:rFonts w:hint="eastAsia" w:ascii="宋体" w:hAnsi="宋体" w:cs="宋体"/>
          <w:sz w:val="24"/>
          <w:szCs w:val="24"/>
        </w:rPr>
        <w:t>需求</w:t>
      </w:r>
      <w:r>
        <w:rPr>
          <w:rFonts w:hint="eastAsia" w:ascii="宋体" w:hAnsi="宋体" w:cs="宋体"/>
          <w:sz w:val="24"/>
          <w:szCs w:val="24"/>
          <w:lang w:eastAsia="zh-CN"/>
        </w:rPr>
        <w:t>。</w:t>
      </w:r>
      <w:r>
        <w:rPr>
          <w:rFonts w:hint="eastAsia" w:ascii="宋体" w:hAnsi="宋体" w:cs="宋体"/>
          <w:sz w:val="24"/>
          <w:szCs w:val="24"/>
        </w:rPr>
        <w:t>四标段</w:t>
      </w:r>
      <w:r>
        <w:rPr>
          <w:rFonts w:hint="eastAsia" w:ascii="宋体" w:hAnsi="宋体" w:cs="宋体"/>
          <w:sz w:val="24"/>
          <w:szCs w:val="24"/>
          <w:lang w:eastAsia="zh-CN"/>
        </w:rPr>
        <w:t>为</w:t>
      </w:r>
      <w:r>
        <w:rPr>
          <w:rFonts w:hint="eastAsia" w:ascii="宋体" w:hAnsi="宋体" w:cs="宋体"/>
          <w:sz w:val="24"/>
          <w:szCs w:val="24"/>
          <w:lang w:val="en-US" w:eastAsia="zh-CN"/>
        </w:rPr>
        <w:t>复查</w:t>
      </w:r>
      <w:r>
        <w:rPr>
          <w:rFonts w:hint="eastAsia" w:ascii="宋体" w:hAnsi="宋体" w:cs="宋体"/>
          <w:sz w:val="24"/>
          <w:szCs w:val="24"/>
          <w:lang w:eastAsia="zh-CN"/>
        </w:rPr>
        <w:t>标段，</w:t>
      </w:r>
      <w:r>
        <w:rPr>
          <w:rFonts w:hint="eastAsia" w:ascii="宋体" w:hAnsi="宋体" w:cs="宋体"/>
          <w:sz w:val="24"/>
          <w:szCs w:val="24"/>
          <w:lang w:val="en-US" w:eastAsia="zh-CN"/>
        </w:rPr>
        <w:t>对全部企业进行书面复查，同时按照不低于30%的比例进行现场复查。五标段月度存证审核标段，选定1家月度存证审核机构，按时对约50家重点排放单位每月的存证数据及支撑材料进行审核，另外按照国家有关工作安排，预计今年将对水泥、钢铁行业开展月度存证审核工作，届时约25家水泥、钢铁重点排放单位纳入月度存证审核范围。具体详见招标文件；</w:t>
      </w:r>
    </w:p>
    <w:p w14:paraId="E508D128">
      <w:pPr>
        <w:keepNext w:val="0"/>
        <w:keepLines w:val="0"/>
        <w:pageBreakBefore w:val="0"/>
        <w:kinsoku/>
        <w:wordWrap/>
        <w:overflowPunct/>
        <w:topLinePunct w:val="0"/>
        <w:autoSpaceDE/>
        <w:autoSpaceDN/>
        <w:bidi w:val="0"/>
        <w:adjustRightInd/>
        <w:snapToGrid/>
        <w:spacing w:line="312" w:lineRule="auto"/>
        <w:ind w:firstLine="482" w:firstLineChars="200"/>
        <w:textAlignment w:val="auto"/>
        <w:rPr>
          <w:rFonts w:hint="eastAsia" w:ascii="宋体" w:hAnsi="宋体" w:eastAsia="宋体" w:cs="宋体"/>
          <w:sz w:val="24"/>
          <w:szCs w:val="24"/>
          <w:highlight w:val="yellow"/>
          <w:lang w:eastAsia="zh-CN"/>
        </w:rPr>
      </w:pPr>
      <w:r>
        <w:rPr>
          <w:rFonts w:hint="eastAsia" w:ascii="宋体" w:hAnsi="宋体" w:cs="宋体"/>
          <w:b/>
          <w:bCs/>
          <w:sz w:val="24"/>
          <w:szCs w:val="24"/>
          <w:lang w:val="en-US" w:eastAsia="zh-CN"/>
        </w:rPr>
        <w:t>按照利益关系回避原则，四标段不可与一、二、三标段兼投兼中。</w:t>
      </w:r>
    </w:p>
    <w:p w14:paraId="85DAD3A3">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lang w:eastAsia="zh-CN"/>
        </w:rPr>
        <w:t>服务期限</w:t>
      </w:r>
      <w:r>
        <w:rPr>
          <w:rFonts w:hint="eastAsia" w:ascii="宋体" w:hAnsi="宋体" w:cs="宋体"/>
          <w:sz w:val="24"/>
          <w:szCs w:val="24"/>
          <w:highlight w:val="none"/>
        </w:rPr>
        <w:t>：</w:t>
      </w:r>
      <w:r>
        <w:rPr>
          <w:rFonts w:hint="eastAsia" w:ascii="宋体" w:hAnsi="宋体" w:cs="宋体"/>
          <w:sz w:val="24"/>
          <w:szCs w:val="24"/>
          <w:highlight w:val="none"/>
          <w:lang w:eastAsia="zh-CN"/>
        </w:rPr>
        <w:t>按采购人要求</w:t>
      </w:r>
      <w:r>
        <w:rPr>
          <w:rFonts w:hint="eastAsia" w:ascii="宋体" w:hAnsi="宋体" w:cs="宋体"/>
          <w:sz w:val="24"/>
          <w:szCs w:val="24"/>
          <w:highlight w:val="none"/>
        </w:rPr>
        <w:t>；</w:t>
      </w:r>
    </w:p>
    <w:p w14:paraId="4A7A4BB9">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cs="宋体"/>
          <w:sz w:val="24"/>
          <w:szCs w:val="24"/>
          <w:lang w:eastAsia="zh-CN"/>
        </w:rPr>
      </w:pPr>
      <w:r>
        <w:rPr>
          <w:rFonts w:hint="eastAsia" w:ascii="宋体" w:hAnsi="宋体" w:cs="宋体"/>
          <w:sz w:val="24"/>
          <w:szCs w:val="24"/>
          <w:lang w:eastAsia="zh-CN"/>
        </w:rPr>
        <w:t>服务地点：采购人指定地点；</w:t>
      </w:r>
    </w:p>
    <w:p w14:paraId="6ACCA907">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cs="宋体"/>
          <w:sz w:val="24"/>
          <w:szCs w:val="24"/>
          <w:lang w:eastAsia="zh-CN"/>
        </w:rPr>
      </w:pPr>
      <w:r>
        <w:rPr>
          <w:rFonts w:hint="eastAsia" w:ascii="宋体" w:hAnsi="宋体" w:cs="宋体"/>
          <w:sz w:val="24"/>
          <w:szCs w:val="24"/>
          <w:lang w:eastAsia="zh-CN"/>
        </w:rPr>
        <w:t>服务标准：符合国家及相关行业合格标准；</w:t>
      </w:r>
    </w:p>
    <w:p w14:paraId="E3A66946">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cs="宋体"/>
          <w:sz w:val="24"/>
          <w:szCs w:val="24"/>
          <w:lang w:eastAsia="zh-CN"/>
        </w:rPr>
      </w:pPr>
      <w:r>
        <w:rPr>
          <w:rFonts w:hint="eastAsia" w:ascii="宋体" w:hAnsi="宋体" w:cs="宋体"/>
          <w:sz w:val="24"/>
          <w:szCs w:val="24"/>
          <w:lang w:val="zh-CN" w:eastAsia="zh-CN"/>
        </w:rPr>
        <w:t>服务方式：</w:t>
      </w:r>
      <w:r>
        <w:rPr>
          <w:rFonts w:hint="eastAsia" w:ascii="宋体" w:hAnsi="宋体" w:cs="宋体"/>
          <w:sz w:val="24"/>
          <w:szCs w:val="24"/>
          <w:lang w:eastAsia="zh-CN"/>
        </w:rPr>
        <w:t>由</w:t>
      </w:r>
      <w:r>
        <w:rPr>
          <w:rFonts w:hint="eastAsia" w:ascii="宋体" w:hAnsi="宋体" w:cs="宋体"/>
          <w:sz w:val="24"/>
          <w:szCs w:val="24"/>
          <w:lang w:val="zh-CN" w:eastAsia="zh-CN"/>
        </w:rPr>
        <w:t>中标人负责将提供的所有服务保证验收合格。</w:t>
      </w:r>
    </w:p>
    <w:p w14:paraId="48AB1709">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cs="宋体"/>
          <w:sz w:val="24"/>
          <w:szCs w:val="24"/>
          <w:lang w:eastAsia="zh-CN"/>
        </w:rPr>
      </w:pPr>
      <w:r>
        <w:rPr>
          <w:rFonts w:hint="eastAsia" w:ascii="宋体" w:hAnsi="宋体" w:cs="宋体"/>
          <w:sz w:val="24"/>
          <w:szCs w:val="24"/>
          <w:lang w:eastAsia="zh-CN"/>
        </w:rPr>
        <w:t>本项目不接受联合体投标。</w:t>
      </w:r>
    </w:p>
    <w:p w14:paraId="ED96F203">
      <w:pPr>
        <w:keepNext w:val="0"/>
        <w:keepLines w:val="0"/>
        <w:pageBreakBefore w:val="0"/>
        <w:kinsoku/>
        <w:wordWrap/>
        <w:overflowPunct/>
        <w:topLinePunct w:val="0"/>
        <w:autoSpaceDE/>
        <w:autoSpaceDN/>
        <w:bidi w:val="0"/>
        <w:adjustRightInd/>
        <w:snapToGrid/>
        <w:spacing w:line="312" w:lineRule="auto"/>
        <w:textAlignment w:val="auto"/>
        <w:rPr>
          <w:rFonts w:ascii="宋体" w:hAnsi="宋体" w:cs="宋体"/>
          <w:b/>
          <w:sz w:val="24"/>
          <w:szCs w:val="24"/>
        </w:rPr>
      </w:pPr>
      <w:bookmarkStart w:id="7" w:name="_Toc35393622"/>
      <w:bookmarkStart w:id="8" w:name="_Toc35393791"/>
      <w:bookmarkStart w:id="9" w:name="_Toc28359080"/>
      <w:bookmarkStart w:id="10" w:name="_Toc28359003"/>
      <w:r>
        <w:rPr>
          <w:rFonts w:hint="eastAsia" w:ascii="宋体" w:hAnsi="宋体" w:cs="宋体"/>
          <w:b/>
          <w:sz w:val="24"/>
          <w:szCs w:val="24"/>
        </w:rPr>
        <w:t>二、申请人的资格要求：</w:t>
      </w:r>
      <w:bookmarkEnd w:id="7"/>
      <w:bookmarkEnd w:id="8"/>
      <w:bookmarkEnd w:id="9"/>
      <w:bookmarkEnd w:id="10"/>
    </w:p>
    <w:p w14:paraId="2D8A8C3C">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ascii="宋体" w:hAnsi="宋体" w:cs="宋体"/>
          <w:sz w:val="24"/>
          <w:szCs w:val="24"/>
        </w:rPr>
      </w:pPr>
      <w:r>
        <w:rPr>
          <w:rFonts w:hint="eastAsia" w:ascii="宋体" w:hAnsi="宋体" w:cs="宋体"/>
          <w:sz w:val="24"/>
          <w:szCs w:val="24"/>
        </w:rPr>
        <w:t>1.满足《中华人民共和国政府采购法》第二十二条规定；</w:t>
      </w:r>
    </w:p>
    <w:p w14:paraId="B4A10FB5">
      <w:pPr>
        <w:keepNext w:val="0"/>
        <w:keepLines w:val="0"/>
        <w:pageBreakBefore w:val="0"/>
        <w:kinsoku/>
        <w:wordWrap/>
        <w:overflowPunct/>
        <w:topLinePunct w:val="0"/>
        <w:autoSpaceDE/>
        <w:autoSpaceDN/>
        <w:bidi w:val="0"/>
        <w:adjustRightInd/>
        <w:snapToGrid/>
        <w:spacing w:line="312" w:lineRule="auto"/>
        <w:ind w:firstLine="480" w:firstLineChars="200"/>
        <w:textAlignment w:val="auto"/>
      </w:pPr>
      <w:bookmarkStart w:id="11" w:name="_Toc28359004"/>
      <w:bookmarkStart w:id="12" w:name="_Toc28359081"/>
      <w:r>
        <w:rPr>
          <w:rFonts w:hint="eastAsia" w:ascii="宋体" w:hAnsi="宋体" w:cs="宋体"/>
          <w:sz w:val="24"/>
          <w:szCs w:val="24"/>
        </w:rPr>
        <w:t>2.落实政府采购政策需满足的资格要求：</w:t>
      </w:r>
      <w:r>
        <w:rPr>
          <w:rFonts w:hint="eastAsia" w:ascii="宋体" w:hAnsi="宋体" w:cs="宋体"/>
          <w:b/>
          <w:bCs/>
          <w:sz w:val="24"/>
          <w:szCs w:val="24"/>
          <w:lang w:eastAsia="zh-CN"/>
        </w:rPr>
        <w:t>本项目</w:t>
      </w:r>
      <w:r>
        <w:rPr>
          <w:rFonts w:hint="eastAsia" w:ascii="宋体" w:hAnsi="宋体" w:cs="宋体"/>
          <w:b/>
          <w:bCs/>
          <w:sz w:val="24"/>
          <w:szCs w:val="24"/>
        </w:rPr>
        <w:t>一标段面向所有企业，二标段面向中小微企业，三、四</w:t>
      </w:r>
      <w:r>
        <w:rPr>
          <w:rFonts w:hint="eastAsia" w:ascii="宋体" w:hAnsi="宋体" w:cs="宋体"/>
          <w:b/>
          <w:bCs/>
          <w:sz w:val="24"/>
          <w:szCs w:val="24"/>
          <w:lang w:eastAsia="zh-CN"/>
        </w:rPr>
        <w:t>、</w:t>
      </w:r>
      <w:r>
        <w:rPr>
          <w:rFonts w:hint="eastAsia" w:ascii="宋体" w:hAnsi="宋体" w:cs="宋体"/>
          <w:b/>
          <w:bCs/>
          <w:sz w:val="24"/>
          <w:szCs w:val="24"/>
          <w:lang w:val="en-US" w:eastAsia="zh-CN"/>
        </w:rPr>
        <w:t>五</w:t>
      </w:r>
      <w:r>
        <w:rPr>
          <w:rFonts w:hint="eastAsia" w:ascii="宋体" w:hAnsi="宋体" w:cs="宋体"/>
          <w:b/>
          <w:bCs/>
          <w:sz w:val="24"/>
          <w:szCs w:val="24"/>
        </w:rPr>
        <w:t>标段面向小微企业</w:t>
      </w:r>
      <w:r>
        <w:rPr>
          <w:rFonts w:hint="eastAsia" w:ascii="宋体" w:hAnsi="宋体" w:cs="宋体"/>
          <w:sz w:val="24"/>
          <w:szCs w:val="24"/>
        </w:rPr>
        <w:t>；</w:t>
      </w:r>
    </w:p>
    <w:p w14:paraId="1CBFA092">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lang w:val="zh-CN"/>
        </w:rPr>
      </w:pPr>
      <w:r>
        <w:rPr>
          <w:rFonts w:hint="eastAsia" w:ascii="宋体" w:hAnsi="宋体" w:cs="宋体"/>
          <w:sz w:val="24"/>
          <w:szCs w:val="24"/>
        </w:rPr>
        <w:t>需要落实的政府采购政策：《政府采购促进中小企业发展管理办法》(财库[2020]46号) 、《关于进一步加大政府采购支持中小企业力度的通知》（财库[2022]19号）、《关于政府采购支持监狱企业发展有关问题的通知》(财库〔2014〕68 号)、《关于促进残疾人就业政府采购政策的通知》（财库〔2017〕141 号)、《关于调整优化节能产品、环境标志产品政府采购执行机制的通知》（财库〔2019〕9号）等。</w:t>
      </w:r>
      <w:r>
        <w:rPr>
          <w:rFonts w:hint="eastAsia" w:ascii="宋体" w:hAnsi="宋体" w:cs="宋体"/>
          <w:sz w:val="24"/>
          <w:szCs w:val="24"/>
          <w:lang w:val="zh-CN"/>
        </w:rPr>
        <w:t>专门面向中小企业采购的项目或者采购包，不再执行价格评审优惠的扶持政策。</w:t>
      </w:r>
    </w:p>
    <w:p w14:paraId="E12A4726">
      <w:pPr>
        <w:keepNext w:val="0"/>
        <w:keepLines w:val="0"/>
        <w:pageBreakBefore w:val="0"/>
        <w:kinsoku/>
        <w:wordWrap/>
        <w:overflowPunct/>
        <w:topLinePunct w:val="0"/>
        <w:autoSpaceDE/>
        <w:autoSpaceDN/>
        <w:bidi w:val="0"/>
        <w:adjustRightInd/>
        <w:snapToGrid/>
        <w:spacing w:line="312" w:lineRule="auto"/>
        <w:ind w:firstLine="482" w:firstLineChars="200"/>
        <w:textAlignment w:val="auto"/>
        <w:rPr>
          <w:rFonts w:ascii="宋体" w:hAnsi="宋体" w:cs="宋体"/>
          <w:sz w:val="24"/>
          <w:szCs w:val="24"/>
        </w:rPr>
      </w:pPr>
      <w:r>
        <w:rPr>
          <w:rFonts w:hint="eastAsia" w:ascii="宋体" w:hAnsi="宋体" w:cs="宋体"/>
          <w:b/>
          <w:bCs/>
          <w:sz w:val="24"/>
          <w:szCs w:val="24"/>
        </w:rPr>
        <w:t>3.本项目的特定资格要求：</w:t>
      </w:r>
    </w:p>
    <w:p w14:paraId="EC41A7C1">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cs="宋体"/>
          <w:b w:val="0"/>
          <w:bCs/>
          <w:sz w:val="24"/>
          <w:szCs w:val="24"/>
        </w:rPr>
      </w:pPr>
      <w:bookmarkStart w:id="13" w:name="_Toc35393623"/>
      <w:bookmarkStart w:id="14" w:name="_Toc35393792"/>
      <w:r>
        <w:rPr>
          <w:rFonts w:hint="eastAsia" w:ascii="宋体" w:hAnsi="宋体" w:cs="宋体"/>
          <w:b w:val="0"/>
          <w:bCs/>
          <w:sz w:val="24"/>
          <w:szCs w:val="24"/>
          <w:lang w:val="en-US" w:eastAsia="zh-CN"/>
        </w:rPr>
        <w:t>3.1</w:t>
      </w:r>
      <w:r>
        <w:rPr>
          <w:rFonts w:hint="eastAsia" w:ascii="宋体" w:hAnsi="宋体" w:cs="宋体"/>
          <w:b w:val="0"/>
          <w:bCs/>
          <w:sz w:val="24"/>
          <w:szCs w:val="24"/>
        </w:rPr>
        <w:t>投标人应在中华人民共和国注册具有独立法人资格或其他组织，具有有效的营业执照且具有独立承担民事责任和履行合同所必需的设备和专业技术能力。</w:t>
      </w:r>
    </w:p>
    <w:p w14:paraId="C6FF4E25">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cs="宋体"/>
          <w:b w:val="0"/>
          <w:bCs/>
          <w:sz w:val="24"/>
          <w:szCs w:val="24"/>
        </w:rPr>
      </w:pPr>
      <w:r>
        <w:rPr>
          <w:rFonts w:hint="eastAsia" w:ascii="宋体" w:hAnsi="宋体" w:cs="宋体"/>
          <w:b w:val="0"/>
          <w:bCs/>
          <w:sz w:val="24"/>
          <w:szCs w:val="24"/>
          <w:lang w:val="en-US" w:eastAsia="zh-CN"/>
        </w:rPr>
        <w:t>3.2</w:t>
      </w:r>
      <w:r>
        <w:rPr>
          <w:rFonts w:hint="eastAsia" w:ascii="宋体" w:hAnsi="宋体" w:cs="宋体"/>
          <w:b w:val="0"/>
          <w:bCs/>
          <w:sz w:val="24"/>
          <w:szCs w:val="24"/>
        </w:rPr>
        <w:t>具有良好的商业信誉和健全的财务会计制度，依法缴纳税收和社会保障资金的良好记录，根据[长财采购[2022]2066号文件]关于加强政府采购信用体系建设简化供应商资格条件有关事项的通知提供资格条件承诺函(长财采购[2022]2066号)文件要求执行，提供资格条件承诺函。</w:t>
      </w:r>
    </w:p>
    <w:p w14:paraId="560D1283">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cs="宋体"/>
          <w:b w:val="0"/>
          <w:bCs/>
          <w:sz w:val="24"/>
          <w:szCs w:val="24"/>
        </w:rPr>
      </w:pPr>
      <w:r>
        <w:rPr>
          <w:rFonts w:hint="eastAsia" w:ascii="宋体" w:hAnsi="宋体" w:cs="宋体"/>
          <w:b w:val="0"/>
          <w:bCs/>
          <w:sz w:val="24"/>
          <w:szCs w:val="24"/>
          <w:lang w:val="en-US" w:eastAsia="zh-CN"/>
        </w:rPr>
        <w:t>3.3</w:t>
      </w:r>
      <w:r>
        <w:rPr>
          <w:rFonts w:hint="eastAsia" w:ascii="宋体" w:hAnsi="宋体" w:cs="宋体"/>
          <w:b w:val="0"/>
          <w:bCs/>
          <w:sz w:val="24"/>
          <w:szCs w:val="24"/>
        </w:rPr>
        <w:t>信誉要求：2022年1月1日至今无行贿犯罪及不良行为记录；“中国裁判文书网”网站（https://wenshu.court.gov.cn/）上无行贿犯罪记录；“信用中国”网站（www.creditchina.gov.cn）未列入①失信被执行人及②重大税收违法失信主体名单；国家企业信用信息公示系统（http://www.gsxt.gov.cn/index.html）未列入严重违法失信企业名单及中国政府采购网（http://www.ccgp.gov.cn/search/cr/）未列入政府采购严重违法失信行为记录名单。以上均须提供截图。</w:t>
      </w:r>
    </w:p>
    <w:p w14:paraId="50071999">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cs="宋体"/>
          <w:b w:val="0"/>
          <w:bCs/>
          <w:sz w:val="24"/>
          <w:szCs w:val="24"/>
        </w:rPr>
      </w:pPr>
      <w:r>
        <w:rPr>
          <w:rFonts w:hint="eastAsia" w:ascii="宋体" w:hAnsi="宋体" w:cs="宋体"/>
          <w:b w:val="0"/>
          <w:bCs/>
          <w:sz w:val="24"/>
          <w:szCs w:val="24"/>
          <w:lang w:val="en-US" w:eastAsia="zh-CN"/>
        </w:rPr>
        <w:t>3.4</w:t>
      </w:r>
      <w:r>
        <w:rPr>
          <w:rFonts w:hint="eastAsia" w:ascii="宋体" w:hAnsi="宋体" w:cs="宋体"/>
          <w:b w:val="0"/>
          <w:bCs/>
          <w:sz w:val="24"/>
          <w:szCs w:val="24"/>
        </w:rPr>
        <w:t>与采购人存在利害关系可能影响招标公正性的法人、其他组织或者个人，不得参加投标；企业名称不同但法定代表人为同一个自然人的两个或者两个以上的供应商不得参加同一采购项目的投标；如果出现上述情况，相关供应商的投标均将被拒绝。提供企业承诺书。</w:t>
      </w:r>
    </w:p>
    <w:p w14:paraId="495EE4CC">
      <w:pPr>
        <w:keepNext w:val="0"/>
        <w:keepLines w:val="0"/>
        <w:pageBreakBefore w:val="0"/>
        <w:kinsoku/>
        <w:wordWrap/>
        <w:overflowPunct/>
        <w:topLinePunct w:val="0"/>
        <w:autoSpaceDE/>
        <w:autoSpaceDN/>
        <w:bidi w:val="0"/>
        <w:adjustRightInd/>
        <w:snapToGrid/>
        <w:spacing w:line="312" w:lineRule="auto"/>
        <w:textAlignment w:val="auto"/>
        <w:rPr>
          <w:rFonts w:ascii="宋体" w:hAnsi="宋体" w:cs="宋体"/>
          <w:b/>
          <w:sz w:val="24"/>
          <w:szCs w:val="24"/>
        </w:rPr>
      </w:pPr>
      <w:r>
        <w:rPr>
          <w:rFonts w:hint="eastAsia" w:ascii="宋体" w:hAnsi="宋体" w:cs="宋体"/>
          <w:b/>
          <w:sz w:val="24"/>
          <w:szCs w:val="24"/>
        </w:rPr>
        <w:t>三、获取招标文件</w:t>
      </w:r>
      <w:bookmarkEnd w:id="11"/>
      <w:bookmarkEnd w:id="12"/>
      <w:bookmarkEnd w:id="13"/>
      <w:bookmarkEnd w:id="14"/>
    </w:p>
    <w:p w14:paraId="81ED2963">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sz w:val="24"/>
          <w:szCs w:val="24"/>
        </w:rPr>
        <w:t>1.</w:t>
      </w:r>
      <w:r>
        <w:rPr>
          <w:rFonts w:hint="eastAsia" w:ascii="宋体" w:hAnsi="宋体" w:eastAsia="宋体" w:cs="宋体"/>
          <w:color w:val="auto"/>
          <w:sz w:val="24"/>
          <w:szCs w:val="24"/>
        </w:rPr>
        <w:t>时间：</w:t>
      </w:r>
      <w:r>
        <w:rPr>
          <w:rFonts w:hint="eastAsia" w:ascii="宋体" w:hAnsi="宋体" w:cs="宋体"/>
          <w:color w:val="auto"/>
          <w:kern w:val="0"/>
          <w:sz w:val="24"/>
          <w:szCs w:val="24"/>
          <w:highlight w:val="none"/>
        </w:rPr>
        <w:t>2025年</w:t>
      </w:r>
      <w:r>
        <w:rPr>
          <w:rFonts w:hint="eastAsia" w:ascii="宋体" w:hAnsi="宋体" w:cs="宋体"/>
          <w:color w:val="auto"/>
          <w:kern w:val="0"/>
          <w:sz w:val="24"/>
          <w:szCs w:val="24"/>
          <w:highlight w:val="none"/>
          <w:lang w:val="en-US" w:eastAsia="zh-CN"/>
        </w:rPr>
        <w:t>3</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lang w:val="en-US" w:eastAsia="zh-CN"/>
        </w:rPr>
        <w:t>31</w:t>
      </w:r>
      <w:r>
        <w:rPr>
          <w:rFonts w:hint="eastAsia" w:ascii="宋体" w:hAnsi="宋体" w:cs="宋体"/>
          <w:color w:val="auto"/>
          <w:kern w:val="0"/>
          <w:sz w:val="24"/>
          <w:szCs w:val="24"/>
          <w:highlight w:val="none"/>
        </w:rPr>
        <w:t>日</w:t>
      </w:r>
      <w:r>
        <w:rPr>
          <w:rFonts w:hint="eastAsia" w:ascii="宋体" w:hAnsi="宋体" w:cs="宋体"/>
          <w:color w:val="auto"/>
          <w:kern w:val="0"/>
          <w:sz w:val="24"/>
          <w:szCs w:val="24"/>
          <w:highlight w:val="none"/>
          <w:lang w:val="en-US" w:eastAsia="zh-CN"/>
        </w:rPr>
        <w:t>0</w:t>
      </w:r>
      <w:r>
        <w:rPr>
          <w:rFonts w:hint="eastAsia" w:ascii="宋体" w:hAnsi="宋体" w:cs="宋体"/>
          <w:color w:val="auto"/>
          <w:kern w:val="0"/>
          <w:sz w:val="24"/>
          <w:szCs w:val="24"/>
          <w:highlight w:val="none"/>
        </w:rPr>
        <w:t>时</w:t>
      </w:r>
      <w:r>
        <w:rPr>
          <w:rFonts w:hint="eastAsia" w:ascii="宋体" w:hAnsi="宋体" w:cs="宋体"/>
          <w:color w:val="auto"/>
          <w:kern w:val="0"/>
          <w:sz w:val="24"/>
          <w:szCs w:val="24"/>
          <w:highlight w:val="none"/>
          <w:lang w:val="en-US" w:eastAsia="zh-CN"/>
        </w:rPr>
        <w:t>00</w:t>
      </w:r>
      <w:r>
        <w:rPr>
          <w:rFonts w:hint="eastAsia" w:ascii="宋体" w:hAnsi="宋体" w:cs="宋体"/>
          <w:color w:val="auto"/>
          <w:kern w:val="0"/>
          <w:sz w:val="24"/>
          <w:szCs w:val="24"/>
          <w:highlight w:val="none"/>
        </w:rPr>
        <w:t>分至</w:t>
      </w:r>
      <w:r>
        <w:rPr>
          <w:rFonts w:hint="eastAsia" w:ascii="宋体" w:hAnsi="宋体" w:eastAsia="宋体" w:cs="宋体"/>
          <w:color w:val="auto"/>
          <w:kern w:val="0"/>
          <w:sz w:val="24"/>
          <w:szCs w:val="24"/>
          <w:highlight w:val="none"/>
        </w:rPr>
        <w:t>2025年</w:t>
      </w:r>
      <w:r>
        <w:rPr>
          <w:rFonts w:hint="eastAsia" w:ascii="宋体" w:hAnsi="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月</w:t>
      </w:r>
      <w:r>
        <w:rPr>
          <w:rFonts w:hint="eastAsia" w:ascii="宋体" w:hAnsi="宋体" w:cs="宋体"/>
          <w:color w:val="auto"/>
          <w:kern w:val="0"/>
          <w:sz w:val="24"/>
          <w:szCs w:val="24"/>
          <w:highlight w:val="none"/>
          <w:lang w:val="en-US" w:eastAsia="zh-CN"/>
        </w:rPr>
        <w:t>7</w:t>
      </w:r>
      <w:r>
        <w:rPr>
          <w:rFonts w:hint="eastAsia" w:ascii="宋体" w:hAnsi="宋体" w:eastAsia="宋体" w:cs="宋体"/>
          <w:color w:val="auto"/>
          <w:kern w:val="0"/>
          <w:sz w:val="24"/>
          <w:szCs w:val="24"/>
          <w:highlight w:val="none"/>
        </w:rPr>
        <w:t>日</w:t>
      </w:r>
      <w:r>
        <w:rPr>
          <w:rFonts w:hint="eastAsia" w:ascii="宋体" w:hAnsi="宋体" w:cs="宋体"/>
          <w:color w:val="auto"/>
          <w:kern w:val="0"/>
          <w:sz w:val="24"/>
          <w:szCs w:val="24"/>
          <w:highlight w:val="none"/>
          <w:lang w:val="en-US" w:eastAsia="zh-CN"/>
        </w:rPr>
        <w:t>23</w:t>
      </w:r>
      <w:r>
        <w:rPr>
          <w:rFonts w:hint="eastAsia" w:ascii="宋体" w:hAnsi="宋体" w:cs="宋体"/>
          <w:color w:val="auto"/>
          <w:kern w:val="0"/>
          <w:sz w:val="24"/>
          <w:szCs w:val="24"/>
          <w:highlight w:val="none"/>
        </w:rPr>
        <w:t>时</w:t>
      </w:r>
      <w:r>
        <w:rPr>
          <w:rFonts w:hint="eastAsia" w:ascii="宋体" w:hAnsi="宋体" w:cs="宋体"/>
          <w:color w:val="auto"/>
          <w:kern w:val="0"/>
          <w:sz w:val="24"/>
          <w:szCs w:val="24"/>
          <w:highlight w:val="none"/>
          <w:lang w:val="en-US" w:eastAsia="zh-CN"/>
        </w:rPr>
        <w:t>59</w:t>
      </w:r>
      <w:r>
        <w:rPr>
          <w:rFonts w:hint="eastAsia" w:ascii="宋体" w:hAnsi="宋体" w:cs="宋体"/>
          <w:color w:val="auto"/>
          <w:kern w:val="0"/>
          <w:sz w:val="24"/>
          <w:szCs w:val="24"/>
          <w:highlight w:val="none"/>
        </w:rPr>
        <w:t>分</w:t>
      </w:r>
      <w:r>
        <w:rPr>
          <w:rFonts w:hint="eastAsia" w:ascii="宋体" w:hAnsi="宋体" w:eastAsia="宋体" w:cs="宋体"/>
          <w:color w:val="auto"/>
          <w:sz w:val="24"/>
          <w:szCs w:val="24"/>
        </w:rPr>
        <w:t>；</w:t>
      </w:r>
    </w:p>
    <w:p w14:paraId="FBB5224D">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rPr>
      </w:pPr>
      <w:r>
        <w:rPr>
          <w:rFonts w:hint="eastAsia" w:ascii="宋体" w:hAnsi="宋体" w:eastAsia="宋体" w:cs="宋体"/>
          <w:color w:val="auto"/>
          <w:sz w:val="24"/>
          <w:szCs w:val="24"/>
        </w:rPr>
        <w:t>2.方式：潜在投标人自行登录</w:t>
      </w:r>
      <w:r>
        <w:rPr>
          <w:rFonts w:hint="eastAsia" w:ascii="宋体" w:hAnsi="宋体" w:cs="宋体"/>
          <w:color w:val="auto"/>
          <w:sz w:val="24"/>
          <w:szCs w:val="24"/>
          <w:lang w:eastAsia="zh-CN"/>
        </w:rPr>
        <w:t>“政采云”平台</w:t>
      </w:r>
      <w:r>
        <w:rPr>
          <w:rFonts w:hint="eastAsia" w:ascii="宋体" w:hAnsi="宋体" w:eastAsia="宋体" w:cs="宋体"/>
          <w:color w:val="auto"/>
          <w:sz w:val="24"/>
          <w:szCs w:val="24"/>
        </w:rPr>
        <w:t>（网址：http:// www.zcygov.cn）按要求下载采购文件（操作路径：登录“政采云”平台-项目采购-获取采购文件-找到本项</w:t>
      </w:r>
      <w:r>
        <w:rPr>
          <w:rFonts w:hint="eastAsia" w:ascii="宋体" w:hAnsi="宋体" w:eastAsia="宋体" w:cs="宋体"/>
          <w:sz w:val="24"/>
          <w:szCs w:val="24"/>
        </w:rPr>
        <w:t>目-点击“申请获取采购文件”），其他途径获取的采购文件开标时一律按无效投标处理；</w:t>
      </w:r>
    </w:p>
    <w:p w14:paraId="22C5420B">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ascii="宋体" w:hAnsi="宋体" w:cs="宋体"/>
          <w:color w:val="auto"/>
          <w:sz w:val="24"/>
          <w:szCs w:val="24"/>
        </w:rPr>
      </w:pPr>
      <w:r>
        <w:rPr>
          <w:rFonts w:hint="eastAsia" w:ascii="宋体" w:hAnsi="宋体" w:eastAsia="宋体" w:cs="宋体"/>
          <w:color w:val="auto"/>
          <w:sz w:val="24"/>
          <w:szCs w:val="24"/>
          <w:lang w:val="zh-CN"/>
        </w:rPr>
        <w:t>售价：0元。</w:t>
      </w:r>
    </w:p>
    <w:p w14:paraId="B3E53225">
      <w:pPr>
        <w:keepNext w:val="0"/>
        <w:keepLines w:val="0"/>
        <w:pageBreakBefore w:val="0"/>
        <w:kinsoku/>
        <w:wordWrap/>
        <w:overflowPunct/>
        <w:topLinePunct w:val="0"/>
        <w:autoSpaceDE/>
        <w:autoSpaceDN/>
        <w:bidi w:val="0"/>
        <w:adjustRightInd/>
        <w:snapToGrid/>
        <w:spacing w:line="312" w:lineRule="auto"/>
        <w:textAlignment w:val="auto"/>
        <w:rPr>
          <w:rFonts w:ascii="宋体" w:hAnsi="宋体" w:cs="宋体"/>
          <w:b/>
          <w:color w:val="auto"/>
          <w:sz w:val="24"/>
          <w:szCs w:val="24"/>
        </w:rPr>
      </w:pPr>
      <w:r>
        <w:rPr>
          <w:rFonts w:hint="eastAsia" w:ascii="宋体" w:hAnsi="宋体" w:cs="宋体"/>
          <w:b/>
          <w:color w:val="auto"/>
          <w:sz w:val="24"/>
          <w:szCs w:val="24"/>
        </w:rPr>
        <w:t>四、</w:t>
      </w:r>
      <w:r>
        <w:rPr>
          <w:rFonts w:hint="eastAsia" w:ascii="宋体" w:hAnsi="宋体" w:eastAsia="宋体" w:cs="宋体"/>
          <w:b/>
          <w:color w:val="auto"/>
          <w:sz w:val="24"/>
          <w:szCs w:val="24"/>
        </w:rPr>
        <w:t>提交投标文件截止时间、开标时间和地点</w:t>
      </w:r>
    </w:p>
    <w:p w14:paraId="0902DEC8">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rPr>
      </w:pPr>
      <w:bookmarkStart w:id="15" w:name="_Toc28359084"/>
      <w:bookmarkStart w:id="16" w:name="_Toc35393794"/>
      <w:bookmarkStart w:id="17" w:name="_Toc28359007"/>
      <w:bookmarkStart w:id="18" w:name="_Toc35393625"/>
      <w:r>
        <w:rPr>
          <w:rFonts w:hint="eastAsia" w:ascii="宋体" w:hAnsi="宋体" w:eastAsia="宋体" w:cs="宋体"/>
          <w:color w:val="auto"/>
          <w:sz w:val="24"/>
          <w:szCs w:val="24"/>
          <w:highlight w:val="none"/>
          <w:lang w:val="en-US" w:eastAsia="zh-CN"/>
        </w:rPr>
        <w:t>1.截止时间：</w:t>
      </w:r>
      <w:r>
        <w:rPr>
          <w:rFonts w:hint="eastAsia" w:ascii="宋体" w:hAnsi="宋体" w:cs="宋体"/>
          <w:color w:val="auto"/>
          <w:sz w:val="24"/>
          <w:szCs w:val="24"/>
          <w:highlight w:val="none"/>
          <w:lang w:val="en-US" w:eastAsia="zh-CN"/>
        </w:rPr>
        <w:t>2025年4月21日10时00分</w:t>
      </w:r>
      <w:r>
        <w:rPr>
          <w:rFonts w:hint="eastAsia" w:ascii="宋体" w:hAnsi="宋体" w:eastAsia="宋体" w:cs="宋体"/>
          <w:color w:val="auto"/>
          <w:sz w:val="24"/>
          <w:szCs w:val="24"/>
          <w:highlight w:val="none"/>
          <w:lang w:val="en-US" w:eastAsia="zh-CN"/>
        </w:rPr>
        <w:t>（北京时间）；</w:t>
      </w:r>
    </w:p>
    <w:p w14:paraId="10AF686E">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2.地点：长春市二道区洋浦大街凯利中心AB栋101室，开标</w:t>
      </w:r>
      <w:r>
        <w:rPr>
          <w:rFonts w:hint="eastAsia" w:ascii="宋体" w:hAnsi="宋体" w:cs="宋体"/>
          <w:color w:val="auto"/>
          <w:sz w:val="24"/>
          <w:szCs w:val="24"/>
          <w:highlight w:val="none"/>
          <w:lang w:val="en-US" w:eastAsia="zh-CN"/>
        </w:rPr>
        <w:t>四</w:t>
      </w:r>
      <w:r>
        <w:rPr>
          <w:rFonts w:hint="eastAsia" w:ascii="宋体" w:hAnsi="宋体" w:eastAsia="宋体" w:cs="宋体"/>
          <w:color w:val="auto"/>
          <w:sz w:val="24"/>
          <w:szCs w:val="24"/>
          <w:highlight w:val="none"/>
          <w:lang w:val="en-US" w:eastAsia="zh-CN"/>
        </w:rPr>
        <w:t>室；</w:t>
      </w:r>
    </w:p>
    <w:p w14:paraId="1B2A3D9F">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lang w:val="zh-CN"/>
        </w:rPr>
        <w:t>提交方式：本项目为全流程电子化项目，通过“政采云”平台（http：//www.zcygov.cn）实行在线电子投标，投标人应先安装“政采云投标客户端”（请自行前往“政采云”平台进行下载），并按照本项目采购文件和“政采云”平台的要求编制、加密后在投标文件截止时间前通过网络上传至“政采云”平台，投标人在“政采云”平台提交电子版投标文件时，请填写参加采购活动经办人联系方式。电子投标文件解密期限及方式：开启时间后30分钟内，由投标人持制作该电子投标文件的同一数字证书（CA锁）及电脑进行远程解密（各投标人在开标前及网上开评标系统公布投标人名单前，不要提前进行远程解密）。</w:t>
      </w:r>
    </w:p>
    <w:p w14:paraId="07DE70C5">
      <w:pPr>
        <w:keepNext w:val="0"/>
        <w:keepLines w:val="0"/>
        <w:pageBreakBefore w:val="0"/>
        <w:kinsoku/>
        <w:wordWrap/>
        <w:overflowPunct/>
        <w:topLinePunct w:val="0"/>
        <w:autoSpaceDE/>
        <w:autoSpaceDN/>
        <w:bidi w:val="0"/>
        <w:adjustRightInd/>
        <w:snapToGrid/>
        <w:spacing w:line="312" w:lineRule="auto"/>
        <w:textAlignment w:val="auto"/>
        <w:rPr>
          <w:rFonts w:hint="eastAsia" w:ascii="宋体" w:hAnsi="宋体" w:cs="宋体"/>
          <w:b/>
          <w:bCs/>
          <w:sz w:val="24"/>
          <w:szCs w:val="24"/>
        </w:rPr>
      </w:pPr>
    </w:p>
    <w:p w14:paraId="36373CCB">
      <w:pPr>
        <w:keepNext w:val="0"/>
        <w:keepLines w:val="0"/>
        <w:pageBreakBefore w:val="0"/>
        <w:kinsoku/>
        <w:wordWrap/>
        <w:overflowPunct/>
        <w:topLinePunct w:val="0"/>
        <w:autoSpaceDE/>
        <w:autoSpaceDN/>
        <w:bidi w:val="0"/>
        <w:adjustRightInd/>
        <w:snapToGrid/>
        <w:spacing w:line="312" w:lineRule="auto"/>
        <w:textAlignment w:val="auto"/>
        <w:rPr>
          <w:rFonts w:ascii="宋体" w:hAnsi="宋体" w:cs="宋体"/>
          <w:b/>
          <w:bCs/>
          <w:sz w:val="24"/>
          <w:szCs w:val="24"/>
        </w:rPr>
      </w:pPr>
      <w:bookmarkStart w:id="58" w:name="_GoBack"/>
      <w:bookmarkEnd w:id="58"/>
      <w:r>
        <w:rPr>
          <w:rFonts w:hint="eastAsia" w:ascii="宋体" w:hAnsi="宋体" w:cs="宋体"/>
          <w:b/>
          <w:bCs/>
          <w:sz w:val="24"/>
          <w:szCs w:val="24"/>
        </w:rPr>
        <w:t>五、公告期限</w:t>
      </w:r>
      <w:bookmarkEnd w:id="15"/>
      <w:bookmarkEnd w:id="16"/>
      <w:bookmarkEnd w:id="17"/>
      <w:bookmarkEnd w:id="18"/>
    </w:p>
    <w:p w14:paraId="924E075F">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ascii="宋体" w:hAnsi="宋体" w:cs="宋体"/>
          <w:sz w:val="24"/>
          <w:szCs w:val="24"/>
        </w:rPr>
      </w:pPr>
      <w:r>
        <w:rPr>
          <w:rFonts w:hint="eastAsia" w:ascii="宋体" w:hAnsi="宋体" w:cs="宋体"/>
          <w:kern w:val="2"/>
          <w:sz w:val="24"/>
          <w:szCs w:val="24"/>
        </w:rPr>
        <w:t>自本公告发布之日起5个工作日</w:t>
      </w:r>
      <w:r>
        <w:rPr>
          <w:rFonts w:hint="eastAsia" w:ascii="宋体" w:hAnsi="宋体" w:cs="宋体"/>
          <w:sz w:val="24"/>
          <w:szCs w:val="24"/>
        </w:rPr>
        <w:t>。</w:t>
      </w:r>
    </w:p>
    <w:p w14:paraId="03B4E5AC">
      <w:pPr>
        <w:keepNext w:val="0"/>
        <w:keepLines w:val="0"/>
        <w:pageBreakBefore w:val="0"/>
        <w:kinsoku/>
        <w:wordWrap/>
        <w:overflowPunct/>
        <w:topLinePunct w:val="0"/>
        <w:autoSpaceDE/>
        <w:autoSpaceDN/>
        <w:bidi w:val="0"/>
        <w:adjustRightInd/>
        <w:snapToGrid/>
        <w:spacing w:line="312" w:lineRule="auto"/>
        <w:textAlignment w:val="auto"/>
        <w:rPr>
          <w:rFonts w:ascii="宋体" w:hAnsi="宋体" w:cs="宋体"/>
          <w:b/>
          <w:sz w:val="24"/>
          <w:szCs w:val="24"/>
        </w:rPr>
      </w:pPr>
      <w:r>
        <w:rPr>
          <w:rFonts w:hint="eastAsia" w:ascii="宋体" w:hAnsi="宋体" w:cs="宋体"/>
          <w:b/>
          <w:sz w:val="24"/>
          <w:szCs w:val="24"/>
        </w:rPr>
        <w:t>六、其他补充事宜</w:t>
      </w:r>
    </w:p>
    <w:p w14:paraId="A2A9A4C8">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lang w:val="zh-CN" w:eastAsia="zh-CN"/>
        </w:rPr>
      </w:pPr>
      <w:bookmarkStart w:id="19" w:name="_Toc28359085"/>
      <w:bookmarkStart w:id="20" w:name="_Toc35393796"/>
      <w:bookmarkStart w:id="21" w:name="_Toc28359008"/>
      <w:bookmarkStart w:id="22" w:name="_Toc35393627"/>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zh-CN" w:eastAsia="zh-CN"/>
        </w:rPr>
        <w:t>采购公告发布媒介</w:t>
      </w:r>
      <w:r>
        <w:rPr>
          <w:rFonts w:hint="eastAsia" w:ascii="宋体" w:hAnsi="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政采云平台</w:t>
      </w:r>
      <w:r>
        <w:rPr>
          <w:rFonts w:hint="eastAsia" w:ascii="宋体" w:hAnsi="宋体" w:eastAsia="宋体" w:cs="宋体"/>
          <w:color w:val="auto"/>
          <w:sz w:val="24"/>
          <w:szCs w:val="24"/>
          <w:highlight w:val="none"/>
          <w:lang w:val="zh-CN" w:eastAsia="zh-CN"/>
        </w:rPr>
        <w:t>、同步推送至吉林省政府采购网、吉林省公共资源交易公共服务平台和中国政府采购网。</w:t>
      </w:r>
    </w:p>
    <w:p w14:paraId="A7583598">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电子化平台相关注意事项：</w:t>
      </w:r>
    </w:p>
    <w:p w14:paraId="9B25860F">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（1）供应商在电子化平台参与政府采购项目前，应在电子化平台完成信息注册；</w:t>
      </w:r>
    </w:p>
    <w:p w14:paraId="4B816266">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（2） CA 数字证书申请：未进行政采云注册并办理数字证书（CA 认证）的供应商将无法参与本项目政府采购活动。供应商须自行考虑办理时间，由于供应商自身原因导致无法完成办理的，后果自负；（安信 CA 申请流程：http://www.anxinca.com/kehu/zcy/kh-zcy-zsshenqing.html；翔晟 CA 申请流程：</w:t>
      </w:r>
    </w:p>
    <w:p w14:paraId="B92838A8">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http://www.share-sun.com/xsapply/admin/login.aspx?unitname=jilin）</w:t>
      </w:r>
    </w:p>
    <w:p w14:paraId="534DBE43">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（3）为确保网上操作合法、有效和安全，请供应商确保在电子响应过程中能够对相关数据电文进行加密和使用电子签章，妥善保管 CA 数字证书并使用有效的 CA 数字证书参与整个采购活动；</w:t>
      </w:r>
    </w:p>
    <w:p w14:paraId="D7C4AF5C">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（4）若对项目采购电子交易系统操作有疑问，可登录“政采云”平台，点击右侧咨询小采，获取智能服务管家帮助，或拨打政采云服务热线 95763 获取帮助。</w:t>
      </w:r>
    </w:p>
    <w:p w14:paraId="353F1E07">
      <w:pPr>
        <w:keepNext w:val="0"/>
        <w:keepLines w:val="0"/>
        <w:pageBreakBefore w:val="0"/>
        <w:kinsoku/>
        <w:wordWrap/>
        <w:overflowPunct/>
        <w:topLinePunct w:val="0"/>
        <w:autoSpaceDE/>
        <w:autoSpaceDN/>
        <w:bidi w:val="0"/>
        <w:adjustRightInd/>
        <w:snapToGrid/>
        <w:spacing w:line="312" w:lineRule="auto"/>
        <w:textAlignment w:val="auto"/>
        <w:rPr>
          <w:rFonts w:ascii="宋体" w:hAnsi="宋体" w:cs="宋体"/>
          <w:b/>
          <w:sz w:val="24"/>
          <w:szCs w:val="24"/>
        </w:rPr>
      </w:pPr>
      <w:r>
        <w:rPr>
          <w:rFonts w:hint="eastAsia" w:ascii="宋体" w:hAnsi="宋体" w:cs="宋体"/>
          <w:b/>
          <w:sz w:val="24"/>
          <w:szCs w:val="24"/>
        </w:rPr>
        <w:t>七、对本次招标提出询问，请按以下方式联系</w:t>
      </w:r>
      <w:bookmarkEnd w:id="19"/>
      <w:bookmarkEnd w:id="20"/>
      <w:bookmarkEnd w:id="21"/>
      <w:bookmarkEnd w:id="22"/>
    </w:p>
    <w:bookmarkEnd w:id="3"/>
    <w:bookmarkEnd w:id="4"/>
    <w:p w14:paraId="448EB69D">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lang w:val="en-US" w:eastAsia="zh-CN"/>
        </w:rPr>
      </w:pPr>
      <w:bookmarkStart w:id="23" w:name="_Toc347014330"/>
      <w:bookmarkStart w:id="24" w:name="_Toc281"/>
      <w:r>
        <w:rPr>
          <w:rFonts w:hint="eastAsia" w:ascii="宋体" w:hAnsi="宋体" w:eastAsia="宋体" w:cs="宋体"/>
          <w:color w:val="auto"/>
          <w:sz w:val="24"/>
          <w:szCs w:val="24"/>
          <w:highlight w:val="none"/>
          <w:lang w:val="en-US" w:eastAsia="zh-CN"/>
        </w:rPr>
        <w:t>采 购 人：吉林省生态环境厅（本级）</w:t>
      </w:r>
    </w:p>
    <w:p w14:paraId="D0341C32">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w:t>
      </w:r>
      <w:bookmarkStart w:id="25" w:name="OLE_LINK1"/>
      <w:r>
        <w:rPr>
          <w:rFonts w:hint="eastAsia" w:ascii="宋体" w:hAnsi="宋体" w:eastAsia="宋体" w:cs="宋体"/>
          <w:color w:val="auto"/>
          <w:sz w:val="24"/>
          <w:szCs w:val="24"/>
          <w:highlight w:val="none"/>
          <w:lang w:val="en-US" w:eastAsia="zh-CN"/>
        </w:rPr>
        <w:t>吉林省长春市南关区浦东路813号</w:t>
      </w:r>
    </w:p>
    <w:bookmarkEnd w:id="25"/>
    <w:p w14:paraId="C54B8BFB">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 系 人：</w:t>
      </w:r>
      <w:r>
        <w:rPr>
          <w:rFonts w:hint="eastAsia" w:ascii="宋体" w:hAnsi="宋体" w:cs="宋体"/>
          <w:color w:val="auto"/>
          <w:sz w:val="24"/>
          <w:szCs w:val="24"/>
          <w:highlight w:val="none"/>
          <w:lang w:val="en-US" w:eastAsia="zh-CN"/>
        </w:rPr>
        <w:t>李浩文</w:t>
      </w:r>
    </w:p>
    <w:p w14:paraId="4E06C606">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联系电话：</w:t>
      </w:r>
      <w:r>
        <w:rPr>
          <w:rFonts w:hint="eastAsia" w:ascii="宋体" w:hAnsi="宋体" w:cs="宋体"/>
          <w:color w:val="auto"/>
          <w:sz w:val="24"/>
          <w:szCs w:val="24"/>
          <w:highlight w:val="none"/>
          <w:lang w:val="en-US" w:eastAsia="zh-CN"/>
        </w:rPr>
        <w:t>0431-89963110</w:t>
      </w:r>
    </w:p>
    <w:p w14:paraId="9427A9BB">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招标代理机构：华春建设工程项目管理有限责任公司</w:t>
      </w:r>
    </w:p>
    <w:p w14:paraId="17D612A4">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址：长春市经济技术开发区会展大街金融第五城18栋</w:t>
      </w:r>
    </w:p>
    <w:p w14:paraId="ACE47FF2">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 系 人：魏铭</w:t>
      </w:r>
    </w:p>
    <w:p w14:paraId="19AC500A">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联系电话：15843034624  </w:t>
      </w:r>
    </w:p>
    <w:p w14:paraId="93EE6153">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监管部门：吉林省财政厅政府采购管理处</w:t>
      </w:r>
    </w:p>
    <w:p w14:paraId="2DDD1857">
      <w:pPr>
        <w:rPr>
          <w:rFonts w:hint="eastAsia" w:ascii="宋体" w:hAnsi="宋体" w:eastAsia="宋体" w:cs="宋体"/>
          <w:color w:val="auto"/>
          <w:sz w:val="36"/>
          <w:szCs w:val="36"/>
          <w:highlight w:val="none"/>
          <w:lang w:val="zh-CN"/>
        </w:rPr>
      </w:pPr>
      <w:r>
        <w:rPr>
          <w:rFonts w:hint="eastAsia" w:ascii="宋体" w:hAnsi="宋体" w:eastAsia="宋体" w:cs="宋体"/>
          <w:color w:val="auto"/>
          <w:sz w:val="36"/>
          <w:szCs w:val="36"/>
          <w:highlight w:val="none"/>
          <w:lang w:val="zh-CN"/>
        </w:rPr>
        <w:br w:type="page"/>
      </w:r>
    </w:p>
    <w:p w14:paraId="A2384A7A">
      <w:pPr>
        <w:pStyle w:val="3"/>
        <w:pageBreakBefore w:val="0"/>
        <w:widowControl w:val="0"/>
        <w:kinsoku/>
        <w:wordWrap/>
        <w:overflowPunct/>
        <w:topLinePunct w:val="0"/>
        <w:bidi w:val="0"/>
        <w:spacing w:line="240" w:lineRule="auto"/>
        <w:jc w:val="center"/>
        <w:textAlignment w:val="auto"/>
        <w:rPr>
          <w:rFonts w:hint="eastAsia" w:ascii="宋体" w:hAnsi="宋体" w:eastAsia="宋体" w:cs="宋体"/>
          <w:color w:val="auto"/>
          <w:sz w:val="36"/>
          <w:szCs w:val="36"/>
          <w:highlight w:val="none"/>
          <w:lang w:val="zh-CN"/>
        </w:rPr>
      </w:pPr>
      <w:bookmarkStart w:id="26" w:name="_Toc2111"/>
      <w:r>
        <w:rPr>
          <w:rFonts w:hint="eastAsia" w:ascii="宋体" w:hAnsi="宋体" w:eastAsia="宋体" w:cs="宋体"/>
          <w:color w:val="auto"/>
          <w:sz w:val="36"/>
          <w:szCs w:val="36"/>
          <w:highlight w:val="none"/>
          <w:lang w:val="zh-CN"/>
        </w:rPr>
        <w:t>第二章  投标人须知及前附表</w:t>
      </w:r>
      <w:bookmarkEnd w:id="23"/>
      <w:bookmarkEnd w:id="24"/>
      <w:bookmarkEnd w:id="26"/>
    </w:p>
    <w:p w14:paraId="F3BF1E15">
      <w:pPr>
        <w:pageBreakBefore w:val="0"/>
        <w:widowControl w:val="0"/>
        <w:kinsoku/>
        <w:wordWrap/>
        <w:overflowPunct/>
        <w:topLinePunct w:val="0"/>
        <w:autoSpaceDE w:val="0"/>
        <w:autoSpaceDN w:val="0"/>
        <w:bidi w:val="0"/>
        <w:adjustRightInd w:val="0"/>
        <w:spacing w:line="420" w:lineRule="exact"/>
        <w:ind w:firstLine="482"/>
        <w:jc w:val="center"/>
        <w:textAlignment w:val="auto"/>
        <w:rPr>
          <w:rFonts w:hint="eastAsia" w:ascii="宋体" w:hAnsi="宋体" w:eastAsia="宋体" w:cs="宋体"/>
          <w:color w:val="auto"/>
          <w:highlight w:val="none"/>
          <w:lang w:val="zh-CN"/>
        </w:rPr>
      </w:pPr>
      <w:r>
        <w:rPr>
          <w:rFonts w:hint="eastAsia" w:ascii="宋体" w:hAnsi="宋体" w:eastAsia="宋体" w:cs="宋体"/>
          <w:b/>
          <w:color w:val="auto"/>
          <w:sz w:val="30"/>
          <w:highlight w:val="none"/>
          <w:lang w:val="zh-CN"/>
        </w:rPr>
        <w:t>投标须知前附表</w:t>
      </w:r>
    </w:p>
    <w:tbl>
      <w:tblPr>
        <w:tblStyle w:val="16"/>
        <w:tblW w:w="91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7"/>
        <w:gridCol w:w="3255"/>
        <w:gridCol w:w="4916"/>
      </w:tblGrid>
      <w:tr w14:paraId="BE763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967" w:type="dxa"/>
            <w:vAlign w:val="center"/>
          </w:tcPr>
          <w:p w14:paraId="89443C21">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条款号</w:t>
            </w:r>
          </w:p>
        </w:tc>
        <w:tc>
          <w:tcPr>
            <w:tcW w:w="3255" w:type="dxa"/>
            <w:vAlign w:val="center"/>
          </w:tcPr>
          <w:p w14:paraId="0B0802D3">
            <w:pPr>
              <w:pStyle w:val="11"/>
              <w:keepNext w:val="0"/>
              <w:keepLines w:val="0"/>
              <w:pageBreakBefore w:val="0"/>
              <w:widowControl w:val="0"/>
              <w:pBdr>
                <w:bottom w:val="none" w:color="auto" w:sz="0" w:space="0"/>
              </w:pBdr>
              <w:tabs>
                <w:tab w:val="clear" w:pos="4153"/>
                <w:tab w:val="clear" w:pos="8306"/>
              </w:tabs>
              <w:kinsoku/>
              <w:wordWrap/>
              <w:overflowPunct/>
              <w:topLinePunct w:val="0"/>
              <w:autoSpaceDE w:val="0"/>
              <w:autoSpaceDN w:val="0"/>
              <w:bidi w:val="0"/>
              <w:adjustRightInd w:val="0"/>
              <w:snapToGrid/>
              <w:spacing w:line="400" w:lineRule="exact"/>
              <w:ind w:right="0" w:rightChars="0"/>
              <w:textAlignment w:val="auto"/>
              <w:outlineLvl w:val="9"/>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条款名称</w:t>
            </w:r>
          </w:p>
        </w:tc>
        <w:tc>
          <w:tcPr>
            <w:tcW w:w="4916" w:type="dxa"/>
            <w:vAlign w:val="center"/>
          </w:tcPr>
          <w:p w14:paraId="EB93CB55">
            <w:pPr>
              <w:pStyle w:val="11"/>
              <w:keepNext w:val="0"/>
              <w:keepLines w:val="0"/>
              <w:pageBreakBefore w:val="0"/>
              <w:widowControl w:val="0"/>
              <w:pBdr>
                <w:bottom w:val="none" w:color="auto" w:sz="0" w:space="0"/>
              </w:pBdr>
              <w:tabs>
                <w:tab w:val="clear" w:pos="4153"/>
                <w:tab w:val="clear" w:pos="8306"/>
              </w:tabs>
              <w:kinsoku/>
              <w:wordWrap/>
              <w:overflowPunct/>
              <w:topLinePunct w:val="0"/>
              <w:autoSpaceDE w:val="0"/>
              <w:autoSpaceDN w:val="0"/>
              <w:bidi w:val="0"/>
              <w:adjustRightInd w:val="0"/>
              <w:snapToGrid/>
              <w:spacing w:line="400" w:lineRule="exact"/>
              <w:ind w:right="0" w:rightChars="0"/>
              <w:textAlignment w:val="auto"/>
              <w:outlineLvl w:val="9"/>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编列内容</w:t>
            </w:r>
          </w:p>
        </w:tc>
      </w:tr>
      <w:tr w14:paraId="22EE6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08B49C7A">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1.1.2</w:t>
            </w:r>
          </w:p>
        </w:tc>
        <w:tc>
          <w:tcPr>
            <w:tcW w:w="3255" w:type="dxa"/>
            <w:vAlign w:val="center"/>
          </w:tcPr>
          <w:p w14:paraId="A5182858">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采购人</w:t>
            </w:r>
          </w:p>
        </w:tc>
        <w:tc>
          <w:tcPr>
            <w:tcW w:w="4916" w:type="dxa"/>
          </w:tcPr>
          <w:p w14:paraId="6E62CBD1">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cs="宋体"/>
                <w:bCs/>
                <w:color w:val="auto"/>
                <w:sz w:val="24"/>
                <w:highlight w:val="none"/>
                <w:lang w:val="zh-CN"/>
              </w:rPr>
            </w:pPr>
            <w:r>
              <w:rPr>
                <w:rFonts w:hint="eastAsia" w:ascii="宋体" w:hAnsi="宋体" w:cs="宋体"/>
                <w:bCs/>
                <w:color w:val="auto"/>
                <w:sz w:val="24"/>
                <w:highlight w:val="none"/>
                <w:lang w:val="zh-CN"/>
              </w:rPr>
              <w:t>名  称：吉林省生态环境厅（本级）</w:t>
            </w:r>
          </w:p>
          <w:p w14:paraId="01A89C30">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联 系 人：李浩文</w:t>
            </w:r>
          </w:p>
          <w:p w14:paraId="E29D073E">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default"/>
                <w:highlight w:val="none"/>
                <w:lang w:val="en-US"/>
              </w:rPr>
            </w:pPr>
            <w:r>
              <w:rPr>
                <w:rFonts w:hint="eastAsia" w:ascii="宋体" w:hAnsi="宋体" w:cs="宋体"/>
                <w:bCs/>
                <w:color w:val="auto"/>
                <w:sz w:val="24"/>
                <w:highlight w:val="none"/>
                <w:lang w:val="en-US" w:eastAsia="zh-CN"/>
              </w:rPr>
              <w:t>联系电话：0431-89963110</w:t>
            </w:r>
          </w:p>
        </w:tc>
      </w:tr>
      <w:tr w14:paraId="3FDAB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6811144A">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1.1.3</w:t>
            </w:r>
          </w:p>
        </w:tc>
        <w:tc>
          <w:tcPr>
            <w:tcW w:w="3255" w:type="dxa"/>
            <w:vAlign w:val="center"/>
          </w:tcPr>
          <w:p w14:paraId="3D1E598B">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采购代理机构</w:t>
            </w:r>
          </w:p>
        </w:tc>
        <w:tc>
          <w:tcPr>
            <w:tcW w:w="4916" w:type="dxa"/>
          </w:tcPr>
          <w:p w14:paraId="4F8563A9">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名  称：华春建设工程项目管理有限责任公司</w:t>
            </w:r>
          </w:p>
          <w:p w14:paraId="DB9FB2D9">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联系人</w:t>
            </w:r>
            <w:r>
              <w:rPr>
                <w:rFonts w:hint="eastAsia" w:ascii="宋体" w:hAnsi="宋体" w:eastAsia="宋体" w:cs="宋体"/>
                <w:bCs/>
                <w:color w:val="auto"/>
                <w:sz w:val="24"/>
                <w:highlight w:val="none"/>
                <w:lang w:val="en-US" w:eastAsia="zh-CN"/>
              </w:rPr>
              <w:t>:</w:t>
            </w:r>
            <w:r>
              <w:rPr>
                <w:rFonts w:hint="eastAsia" w:ascii="宋体" w:hAnsi="宋体" w:eastAsia="宋体" w:cs="宋体"/>
                <w:color w:val="auto"/>
                <w:sz w:val="24"/>
                <w:szCs w:val="24"/>
                <w:highlight w:val="none"/>
                <w:lang w:val="en-US" w:eastAsia="zh-CN"/>
              </w:rPr>
              <w:t>魏铭</w:t>
            </w:r>
          </w:p>
          <w:p w14:paraId="5F0208E7">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jc w:val="left"/>
              <w:textAlignment w:val="auto"/>
              <w:outlineLvl w:val="9"/>
              <w:rPr>
                <w:rFonts w:hint="default" w:ascii="宋体" w:hAnsi="宋体" w:eastAsia="宋体" w:cs="宋体"/>
                <w:bCs/>
                <w:color w:val="auto"/>
                <w:sz w:val="24"/>
                <w:highlight w:val="none"/>
                <w:lang w:val="en-US"/>
              </w:rPr>
            </w:pPr>
            <w:r>
              <w:rPr>
                <w:rFonts w:hint="eastAsia" w:ascii="宋体" w:hAnsi="宋体" w:eastAsia="宋体" w:cs="宋体"/>
                <w:bCs/>
                <w:color w:val="auto"/>
                <w:sz w:val="24"/>
                <w:highlight w:val="none"/>
                <w:lang w:val="zh-CN"/>
              </w:rPr>
              <w:t>电话：</w:t>
            </w:r>
            <w:r>
              <w:rPr>
                <w:rFonts w:hint="eastAsia" w:ascii="宋体" w:hAnsi="宋体" w:eastAsia="宋体" w:cs="宋体"/>
                <w:color w:val="auto"/>
                <w:sz w:val="24"/>
                <w:szCs w:val="24"/>
                <w:highlight w:val="none"/>
                <w:lang w:val="en-US" w:eastAsia="zh-CN"/>
              </w:rPr>
              <w:t>15843034624</w:t>
            </w:r>
          </w:p>
        </w:tc>
      </w:tr>
      <w:tr w14:paraId="5DDCC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28F27B46">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1.1.4</w:t>
            </w:r>
          </w:p>
        </w:tc>
        <w:tc>
          <w:tcPr>
            <w:tcW w:w="3255" w:type="dxa"/>
            <w:vAlign w:val="center"/>
          </w:tcPr>
          <w:p w14:paraId="0254617F">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项目名称</w:t>
            </w:r>
          </w:p>
        </w:tc>
        <w:tc>
          <w:tcPr>
            <w:tcW w:w="4916" w:type="dxa"/>
          </w:tcPr>
          <w:p w14:paraId="0013C2B0">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jc w:val="left"/>
              <w:textAlignment w:val="auto"/>
              <w:outlineLvl w:val="9"/>
              <w:rPr>
                <w:rFonts w:hint="eastAsia" w:ascii="宋体" w:hAnsi="宋体" w:eastAsia="宋体" w:cs="宋体"/>
                <w:bCs/>
                <w:color w:val="auto"/>
                <w:sz w:val="24"/>
                <w:highlight w:val="none"/>
                <w:lang w:val="zh-CN"/>
              </w:rPr>
            </w:pPr>
            <w:r>
              <w:rPr>
                <w:rFonts w:hint="eastAsia" w:ascii="宋体" w:hAnsi="宋体" w:cs="宋体"/>
                <w:bCs/>
                <w:color w:val="auto"/>
                <w:sz w:val="24"/>
                <w:highlight w:val="none"/>
                <w:lang w:val="zh-CN" w:eastAsia="zh-CN"/>
              </w:rPr>
              <w:t>吉林省重点排放单位2024年度碳排放第三方核查及复查项目</w:t>
            </w:r>
          </w:p>
        </w:tc>
      </w:tr>
      <w:tr w14:paraId="C5D9C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6B8A4650">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1.1.5</w:t>
            </w:r>
          </w:p>
        </w:tc>
        <w:tc>
          <w:tcPr>
            <w:tcW w:w="3255" w:type="dxa"/>
            <w:vAlign w:val="center"/>
          </w:tcPr>
          <w:p w14:paraId="66297C55">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服务地点</w:t>
            </w:r>
          </w:p>
        </w:tc>
        <w:tc>
          <w:tcPr>
            <w:tcW w:w="4916" w:type="dxa"/>
            <w:vAlign w:val="center"/>
          </w:tcPr>
          <w:p w14:paraId="5458D6F5">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both"/>
              <w:textAlignment w:val="auto"/>
              <w:outlineLvl w:val="9"/>
              <w:rPr>
                <w:rFonts w:hint="eastAsia" w:ascii="宋体" w:hAnsi="宋体" w:eastAsia="宋体" w:cs="宋体"/>
                <w:bCs/>
                <w:color w:val="auto"/>
                <w:sz w:val="24"/>
                <w:highlight w:val="none"/>
                <w:lang w:val="zh-CN"/>
              </w:rPr>
            </w:pPr>
            <w:r>
              <w:rPr>
                <w:rFonts w:hint="eastAsia" w:ascii="宋体" w:hAnsi="宋体" w:cs="宋体"/>
                <w:bCs/>
                <w:color w:val="auto"/>
                <w:sz w:val="24"/>
                <w:highlight w:val="none"/>
                <w:lang w:val="zh-CN"/>
              </w:rPr>
              <w:t>业主指定地点</w:t>
            </w:r>
          </w:p>
        </w:tc>
      </w:tr>
      <w:tr w14:paraId="4D0DF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E14E24C7">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l.2.1</w:t>
            </w:r>
          </w:p>
        </w:tc>
        <w:tc>
          <w:tcPr>
            <w:tcW w:w="3255" w:type="dxa"/>
            <w:vAlign w:val="center"/>
          </w:tcPr>
          <w:p w14:paraId="A22AD8F8">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资金来源</w:t>
            </w:r>
          </w:p>
        </w:tc>
        <w:tc>
          <w:tcPr>
            <w:tcW w:w="4916" w:type="dxa"/>
            <w:vAlign w:val="center"/>
          </w:tcPr>
          <w:p w14:paraId="AFB7FC2E">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both"/>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color w:val="auto"/>
                <w:sz w:val="24"/>
                <w:szCs w:val="24"/>
                <w:highlight w:val="none"/>
                <w:lang w:val="zh-CN" w:eastAsia="zh-CN"/>
              </w:rPr>
              <w:t>财政资金</w:t>
            </w:r>
          </w:p>
        </w:tc>
      </w:tr>
      <w:tr w14:paraId="B2FE6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66F9BF89">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1.2.2</w:t>
            </w:r>
          </w:p>
        </w:tc>
        <w:tc>
          <w:tcPr>
            <w:tcW w:w="3255" w:type="dxa"/>
            <w:vAlign w:val="center"/>
          </w:tcPr>
          <w:p w14:paraId="F8CB2A61">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出资比例</w:t>
            </w:r>
          </w:p>
        </w:tc>
        <w:tc>
          <w:tcPr>
            <w:tcW w:w="4916" w:type="dxa"/>
          </w:tcPr>
          <w:p w14:paraId="4C958043">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100%</w:t>
            </w:r>
          </w:p>
        </w:tc>
      </w:tr>
      <w:tr w14:paraId="A0334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039CC23E">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1.2.3</w:t>
            </w:r>
          </w:p>
        </w:tc>
        <w:tc>
          <w:tcPr>
            <w:tcW w:w="3255" w:type="dxa"/>
            <w:vAlign w:val="center"/>
          </w:tcPr>
          <w:p w14:paraId="6F42B7C6">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资金落实情况</w:t>
            </w:r>
          </w:p>
        </w:tc>
        <w:tc>
          <w:tcPr>
            <w:tcW w:w="4916" w:type="dxa"/>
          </w:tcPr>
          <w:p w14:paraId="6942380F">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已落实</w:t>
            </w:r>
          </w:p>
        </w:tc>
      </w:tr>
      <w:tr w14:paraId="29069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E8BAC4C2">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1.3.1</w:t>
            </w:r>
          </w:p>
        </w:tc>
        <w:tc>
          <w:tcPr>
            <w:tcW w:w="3255" w:type="dxa"/>
            <w:vAlign w:val="center"/>
          </w:tcPr>
          <w:p w14:paraId="15CE6CE3">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cs="宋体"/>
                <w:bCs/>
                <w:color w:val="auto"/>
                <w:sz w:val="24"/>
                <w:highlight w:val="none"/>
                <w:lang w:val="zh-CN"/>
              </w:rPr>
              <w:t>服务内容</w:t>
            </w:r>
          </w:p>
        </w:tc>
        <w:tc>
          <w:tcPr>
            <w:tcW w:w="4916" w:type="dxa"/>
          </w:tcPr>
          <w:p w14:paraId="FA11F902">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szCs w:val="22"/>
                <w:highlight w:val="none"/>
                <w:lang w:val="zh-CN"/>
              </w:rPr>
            </w:pPr>
            <w:r>
              <w:rPr>
                <w:rFonts w:hint="eastAsia" w:ascii="宋体" w:hAnsi="宋体" w:cs="宋体"/>
                <w:color w:val="auto"/>
                <w:sz w:val="24"/>
                <w:szCs w:val="24"/>
                <w:highlight w:val="none"/>
                <w:u w:val="none"/>
                <w:lang w:val="en-US" w:eastAsia="zh-CN"/>
              </w:rPr>
              <w:t>详见招标文件</w:t>
            </w:r>
          </w:p>
        </w:tc>
      </w:tr>
      <w:tr w14:paraId="E53D5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0EF71BDC">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1.3.2</w:t>
            </w:r>
          </w:p>
        </w:tc>
        <w:tc>
          <w:tcPr>
            <w:tcW w:w="3255" w:type="dxa"/>
            <w:vAlign w:val="center"/>
          </w:tcPr>
          <w:p w14:paraId="2CEBBEE9">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cs="宋体"/>
                <w:bCs/>
                <w:color w:val="auto"/>
                <w:sz w:val="24"/>
                <w:highlight w:val="none"/>
                <w:lang w:val="zh-CN"/>
              </w:rPr>
              <w:t>服务期限</w:t>
            </w:r>
          </w:p>
        </w:tc>
        <w:tc>
          <w:tcPr>
            <w:tcW w:w="4916" w:type="dxa"/>
            <w:vAlign w:val="center"/>
          </w:tcPr>
          <w:p w14:paraId="B742221F">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color w:val="auto"/>
                <w:sz w:val="24"/>
                <w:szCs w:val="24"/>
                <w:highlight w:val="none"/>
                <w:lang w:val="zh-CN" w:eastAsia="zh-CN"/>
              </w:rPr>
            </w:pPr>
            <w:r>
              <w:rPr>
                <w:rFonts w:hint="eastAsia" w:ascii="宋体" w:hAnsi="宋体" w:cs="宋体"/>
                <w:sz w:val="24"/>
                <w:szCs w:val="24"/>
                <w:highlight w:val="none"/>
                <w:lang w:eastAsia="zh-CN"/>
              </w:rPr>
              <w:t>按采购人要求</w:t>
            </w:r>
          </w:p>
        </w:tc>
      </w:tr>
      <w:tr w14:paraId="B717F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67" w:type="dxa"/>
            <w:vAlign w:val="center"/>
          </w:tcPr>
          <w:p w14:paraId="DABBC596">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1.3.3</w:t>
            </w:r>
          </w:p>
        </w:tc>
        <w:tc>
          <w:tcPr>
            <w:tcW w:w="3255" w:type="dxa"/>
            <w:vAlign w:val="center"/>
          </w:tcPr>
          <w:p w14:paraId="8778D8CC">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cs="宋体"/>
                <w:sz w:val="24"/>
                <w:szCs w:val="24"/>
                <w:lang w:eastAsia="zh-CN"/>
              </w:rPr>
              <w:t>服务标准</w:t>
            </w:r>
          </w:p>
        </w:tc>
        <w:tc>
          <w:tcPr>
            <w:tcW w:w="4916" w:type="dxa"/>
            <w:vAlign w:val="center"/>
          </w:tcPr>
          <w:p w14:paraId="0F477209">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color w:val="auto"/>
                <w:sz w:val="24"/>
                <w:szCs w:val="24"/>
                <w:highlight w:val="none"/>
                <w:lang w:val="zh-CN" w:eastAsia="zh-CN"/>
              </w:rPr>
            </w:pPr>
            <w:r>
              <w:rPr>
                <w:rFonts w:hint="eastAsia" w:ascii="宋体" w:hAnsi="宋体" w:cs="宋体"/>
                <w:sz w:val="24"/>
                <w:szCs w:val="24"/>
                <w:lang w:eastAsia="zh-CN"/>
              </w:rPr>
              <w:t>符合国家及相关行业合格标准</w:t>
            </w:r>
          </w:p>
        </w:tc>
      </w:tr>
      <w:tr w14:paraId="9C0BB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2BF1BD8E">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1.4.1</w:t>
            </w:r>
          </w:p>
        </w:tc>
        <w:tc>
          <w:tcPr>
            <w:tcW w:w="3255" w:type="dxa"/>
            <w:vAlign w:val="center"/>
          </w:tcPr>
          <w:p w14:paraId="4F2F7C2D">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投标人资质条件、能力和信誉</w:t>
            </w:r>
          </w:p>
        </w:tc>
        <w:tc>
          <w:tcPr>
            <w:tcW w:w="4916" w:type="dxa"/>
          </w:tcPr>
          <w:p w14:paraId="597996AC">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eastAsia="zh-CN"/>
              </w:rPr>
            </w:pPr>
            <w:r>
              <w:rPr>
                <w:rFonts w:hint="eastAsia" w:ascii="宋体" w:hAnsi="宋体" w:eastAsia="宋体" w:cs="宋体"/>
                <w:bCs/>
                <w:color w:val="auto"/>
                <w:sz w:val="24"/>
                <w:highlight w:val="none"/>
                <w:lang w:eastAsia="zh-CN"/>
              </w:rPr>
              <w:t>符合招标公告中合格投标人的资格要求</w:t>
            </w:r>
          </w:p>
        </w:tc>
      </w:tr>
      <w:tr w14:paraId="02B58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22612076">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1.4.2</w:t>
            </w:r>
          </w:p>
        </w:tc>
        <w:tc>
          <w:tcPr>
            <w:tcW w:w="3255" w:type="dxa"/>
            <w:vAlign w:val="center"/>
          </w:tcPr>
          <w:p w14:paraId="BC856DF9">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是否接受联合体投标</w:t>
            </w:r>
          </w:p>
        </w:tc>
        <w:tc>
          <w:tcPr>
            <w:tcW w:w="4916" w:type="dxa"/>
          </w:tcPr>
          <w:p w14:paraId="5A9D0920">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color w:val="auto"/>
                <w:sz w:val="18"/>
                <w:szCs w:val="18"/>
                <w:highlight w:val="none"/>
                <w:bdr w:val="single" w:color="auto" w:sz="4" w:space="0"/>
              </w:rPr>
              <w:t>√</w:t>
            </w:r>
            <w:r>
              <w:rPr>
                <w:rFonts w:hint="eastAsia" w:ascii="宋体" w:hAnsi="宋体" w:eastAsia="宋体" w:cs="宋体"/>
                <w:bCs/>
                <w:color w:val="auto"/>
                <w:sz w:val="24"/>
                <w:highlight w:val="none"/>
                <w:lang w:val="zh-CN"/>
              </w:rPr>
              <w:t>不接受</w:t>
            </w:r>
          </w:p>
          <w:p w14:paraId="68AF4104">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firstLine="360" w:firstLineChars="15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mc:AlternateContent>
                <mc:Choice Requires="wps">
                  <w:drawing>
                    <wp:anchor distT="0" distB="0" distL="0" distR="0" simplePos="0" relativeHeight="251659264" behindDoc="1" locked="0" layoutInCell="1" allowOverlap="1">
                      <wp:simplePos x="0" y="0"/>
                      <wp:positionH relativeFrom="column">
                        <wp:posOffset>-15875</wp:posOffset>
                      </wp:positionH>
                      <wp:positionV relativeFrom="paragraph">
                        <wp:posOffset>114300</wp:posOffset>
                      </wp:positionV>
                      <wp:extent cx="123825" cy="123825"/>
                      <wp:effectExtent l="5080" t="5080" r="4445" b="4445"/>
                      <wp:wrapNone/>
                      <wp:docPr id="1026" name="矩形 2"/>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73C43C26"/>
                              </w:txbxContent>
                            </wps:txbx>
                            <wps:bodyPr upright="1"/>
                          </wps:wsp>
                        </a:graphicData>
                      </a:graphic>
                    </wp:anchor>
                  </w:drawing>
                </mc:Choice>
                <mc:Fallback>
                  <w:pict>
                    <v:rect id="矩形 2" o:spid="_x0000_s1026" o:spt="1" style="position:absolute;left:0pt;margin-left:-1.25pt;margin-top:9pt;height:9.75pt;width:9.75pt;z-index:-251657216;mso-width-relative:page;mso-height-relative:page;" fillcolor="#FFFFFF" filled="t" stroked="t" coordsize="21600,21600" o:gfxdata="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By0piH1gAAAAcBAAAPAAAAAAAAAAEAIAAAACIAAABkcnMvZG93bnJl&#10;di54bWxQSwECFAAUAAAACACHTuJA/NoMtv8BAAArBAAADgAAAAAAAAABACAAAAAlAQAAZHJzL2Uy&#10;b0RvYy54bWxQSwUGAAAAAAYABgBZAQAAlgUAAAAA&#10;">
                      <v:fill on="t" focussize="0,0"/>
                      <v:stroke color="#000000" joinstyle="miter"/>
                      <v:imagedata o:title=""/>
                      <o:lock v:ext="edit" aspectratio="f"/>
                      <v:textbox>
                        <w:txbxContent>
                          <w:p w14:paraId="73C43C26"/>
                        </w:txbxContent>
                      </v:textbox>
                    </v:rect>
                  </w:pict>
                </mc:Fallback>
              </mc:AlternateContent>
            </w:r>
            <w:r>
              <w:rPr>
                <w:rFonts w:hint="eastAsia" w:ascii="宋体" w:hAnsi="宋体" w:eastAsia="宋体" w:cs="宋体"/>
                <w:bCs/>
                <w:color w:val="auto"/>
                <w:sz w:val="24"/>
                <w:highlight w:val="none"/>
                <w:lang w:val="zh-CN"/>
              </w:rPr>
              <w:t xml:space="preserve">接 受 </w:t>
            </w:r>
          </w:p>
        </w:tc>
      </w:tr>
      <w:tr w14:paraId="A1AB2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EC86FAD9">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1.9.1</w:t>
            </w:r>
          </w:p>
        </w:tc>
        <w:tc>
          <w:tcPr>
            <w:tcW w:w="3255" w:type="dxa"/>
            <w:vAlign w:val="center"/>
          </w:tcPr>
          <w:p w14:paraId="3BC42F64">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踏勘现场</w:t>
            </w:r>
          </w:p>
        </w:tc>
        <w:tc>
          <w:tcPr>
            <w:tcW w:w="4916" w:type="dxa"/>
            <w:tcBorders>
              <w:top w:val="single" w:color="auto" w:sz="4" w:space="0"/>
            </w:tcBorders>
            <w:vAlign w:val="center"/>
          </w:tcPr>
          <w:p w14:paraId="7C0FFACA">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color w:val="auto"/>
                <w:sz w:val="24"/>
                <w:highlight w:val="none"/>
                <w:lang w:val="zh-CN"/>
              </w:rPr>
              <w:t>自行踏勘</w:t>
            </w:r>
          </w:p>
        </w:tc>
      </w:tr>
      <w:tr w14:paraId="07D45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BEF27AC6">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1.10.1</w:t>
            </w:r>
          </w:p>
        </w:tc>
        <w:tc>
          <w:tcPr>
            <w:tcW w:w="3255" w:type="dxa"/>
            <w:vAlign w:val="center"/>
          </w:tcPr>
          <w:p w14:paraId="3B9D7868">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投标预备会</w:t>
            </w:r>
          </w:p>
        </w:tc>
        <w:tc>
          <w:tcPr>
            <w:tcW w:w="4916" w:type="dxa"/>
          </w:tcPr>
          <w:p w14:paraId="90E2A243">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color w:val="auto"/>
                <w:sz w:val="18"/>
                <w:szCs w:val="18"/>
                <w:highlight w:val="none"/>
                <w:bdr w:val="single" w:color="auto" w:sz="4" w:space="0"/>
              </w:rPr>
              <w:t>√</w:t>
            </w:r>
            <w:r>
              <w:rPr>
                <w:rFonts w:hint="eastAsia" w:ascii="宋体" w:hAnsi="宋体" w:eastAsia="宋体" w:cs="宋体"/>
                <w:bCs/>
                <w:color w:val="auto"/>
                <w:sz w:val="24"/>
                <w:highlight w:val="none"/>
                <w:lang w:val="zh-CN"/>
              </w:rPr>
              <w:t>不召开</w:t>
            </w:r>
          </w:p>
          <w:p w14:paraId="173F6503">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mc:AlternateContent>
                <mc:Choice Requires="wps">
                  <w:drawing>
                    <wp:anchor distT="0" distB="0" distL="0" distR="0" simplePos="0" relativeHeight="251659264" behindDoc="1" locked="0" layoutInCell="1" allowOverlap="1">
                      <wp:simplePos x="0" y="0"/>
                      <wp:positionH relativeFrom="column">
                        <wp:posOffset>-15875</wp:posOffset>
                      </wp:positionH>
                      <wp:positionV relativeFrom="paragraph">
                        <wp:posOffset>114300</wp:posOffset>
                      </wp:positionV>
                      <wp:extent cx="123825" cy="123825"/>
                      <wp:effectExtent l="5080" t="5080" r="4445" b="4445"/>
                      <wp:wrapNone/>
                      <wp:docPr id="1027" name="矩形 1"/>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948B190C"/>
                              </w:txbxContent>
                            </wps:txbx>
                            <wps:bodyPr upright="1"/>
                          </wps:wsp>
                        </a:graphicData>
                      </a:graphic>
                    </wp:anchor>
                  </w:drawing>
                </mc:Choice>
                <mc:Fallback>
                  <w:pict>
                    <v:rect id="矩形 1" o:spid="_x0000_s1026" o:spt="1" style="position:absolute;left:0pt;margin-left:-1.25pt;margin-top:9pt;height:9.75pt;width:9.75pt;z-index:-251657216;mso-width-relative:page;mso-height-relative:page;" fillcolor="#FFFFFF" filled="t" stroked="t" coordsize="21600,21600" o:gfxdata="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HLSmIfWAAAABwEAAA8AAAAAAAAAAQAgAAAAIgAAAGRycy9kb3ducmV2&#10;LnhtbFBLAQIUABQAAAAIAIdO4kCrgiLu/gEAACsEAAAOAAAAAAAAAAEAIAAAACUBAABkcnMvZTJv&#10;RG9jLnhtbFBLBQYAAAAABgAGAFkBAACVBQAAAAA=&#10;">
                      <v:fill on="t" focussize="0,0"/>
                      <v:stroke color="#000000" joinstyle="miter"/>
                      <v:imagedata o:title=""/>
                      <o:lock v:ext="edit" aspectratio="f"/>
                      <v:textbox>
                        <w:txbxContent>
                          <w:p w14:paraId="948B190C"/>
                        </w:txbxContent>
                      </v:textbox>
                    </v:rect>
                  </w:pict>
                </mc:Fallback>
              </mc:AlternateContent>
            </w:r>
            <w:r>
              <w:rPr>
                <w:rFonts w:hint="eastAsia" w:ascii="宋体" w:hAnsi="宋体" w:eastAsia="宋体" w:cs="宋体"/>
                <w:bCs/>
                <w:color w:val="auto"/>
                <w:sz w:val="24"/>
                <w:highlight w:val="none"/>
              </w:rPr>
              <w:t xml:space="preserve">  </w:t>
            </w:r>
            <w:r>
              <w:rPr>
                <w:rFonts w:hint="eastAsia" w:ascii="宋体" w:hAnsi="宋体" w:eastAsia="宋体" w:cs="宋体"/>
                <w:bCs/>
                <w:color w:val="auto"/>
                <w:sz w:val="24"/>
                <w:highlight w:val="none"/>
                <w:lang w:val="zh-CN"/>
              </w:rPr>
              <w:t>召  开</w:t>
            </w:r>
          </w:p>
        </w:tc>
      </w:tr>
      <w:tr w14:paraId="B1385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1F8116E6">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1.10.2</w:t>
            </w:r>
          </w:p>
        </w:tc>
        <w:tc>
          <w:tcPr>
            <w:tcW w:w="3255" w:type="dxa"/>
            <w:vAlign w:val="center"/>
          </w:tcPr>
          <w:p w14:paraId="10545097">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投标人提出问题的截止时间</w:t>
            </w:r>
          </w:p>
        </w:tc>
        <w:tc>
          <w:tcPr>
            <w:tcW w:w="4916" w:type="dxa"/>
          </w:tcPr>
          <w:p w14:paraId="D2796C4E">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招标文件收到后</w:t>
            </w:r>
            <w:r>
              <w:rPr>
                <w:rFonts w:hint="eastAsia" w:ascii="宋体" w:hAnsi="宋体" w:eastAsia="宋体" w:cs="宋体"/>
                <w:bCs/>
                <w:color w:val="auto"/>
                <w:sz w:val="24"/>
                <w:highlight w:val="none"/>
                <w:lang w:val="en-US" w:eastAsia="zh-CN"/>
              </w:rPr>
              <w:t>7日内</w:t>
            </w:r>
          </w:p>
        </w:tc>
      </w:tr>
      <w:tr w14:paraId="E2AB3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2FF3F467">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1.10.3</w:t>
            </w:r>
          </w:p>
        </w:tc>
        <w:tc>
          <w:tcPr>
            <w:tcW w:w="3255" w:type="dxa"/>
            <w:vAlign w:val="center"/>
          </w:tcPr>
          <w:p w14:paraId="15259A99">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招标人书面澄清的时间</w:t>
            </w:r>
          </w:p>
        </w:tc>
        <w:tc>
          <w:tcPr>
            <w:tcW w:w="4916" w:type="dxa"/>
          </w:tcPr>
          <w:p w14:paraId="DDB1B378">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开标前</w:t>
            </w:r>
            <w:r>
              <w:rPr>
                <w:rFonts w:hint="eastAsia" w:ascii="宋体" w:hAnsi="宋体" w:eastAsia="宋体" w:cs="宋体"/>
                <w:bCs/>
                <w:color w:val="auto"/>
                <w:sz w:val="24"/>
                <w:highlight w:val="none"/>
              </w:rPr>
              <w:t>15日</w:t>
            </w:r>
          </w:p>
        </w:tc>
      </w:tr>
      <w:tr w14:paraId="B8BAC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D361B776">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1.11</w:t>
            </w:r>
          </w:p>
        </w:tc>
        <w:tc>
          <w:tcPr>
            <w:tcW w:w="3255" w:type="dxa"/>
            <w:vAlign w:val="center"/>
          </w:tcPr>
          <w:p w14:paraId="E2B5324A">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分包</w:t>
            </w:r>
          </w:p>
        </w:tc>
        <w:tc>
          <w:tcPr>
            <w:tcW w:w="4916" w:type="dxa"/>
          </w:tcPr>
          <w:p w14:paraId="2237034A">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color w:val="auto"/>
                <w:sz w:val="18"/>
                <w:szCs w:val="18"/>
                <w:highlight w:val="none"/>
                <w:bdr w:val="single" w:color="auto" w:sz="4" w:space="0"/>
              </w:rPr>
              <w:t>√</w:t>
            </w:r>
            <w:r>
              <w:rPr>
                <w:rFonts w:hint="eastAsia" w:ascii="宋体" w:hAnsi="宋体" w:eastAsia="宋体" w:cs="宋体"/>
                <w:bCs/>
                <w:color w:val="auto"/>
                <w:sz w:val="24"/>
                <w:highlight w:val="none"/>
                <w:lang w:val="zh-CN"/>
              </w:rPr>
              <w:t>不允许</w:t>
            </w:r>
          </w:p>
          <w:p w14:paraId="10DA8679">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firstLine="240" w:firstLineChars="10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mc:AlternateContent>
                <mc:Choice Requires="wps">
                  <w:drawing>
                    <wp:anchor distT="0" distB="0" distL="0" distR="0" simplePos="0" relativeHeight="251659264" behindDoc="1" locked="0" layoutInCell="1" allowOverlap="1">
                      <wp:simplePos x="0" y="0"/>
                      <wp:positionH relativeFrom="column">
                        <wp:posOffset>-15875</wp:posOffset>
                      </wp:positionH>
                      <wp:positionV relativeFrom="paragraph">
                        <wp:posOffset>114300</wp:posOffset>
                      </wp:positionV>
                      <wp:extent cx="123825" cy="123825"/>
                      <wp:effectExtent l="5080" t="5080" r="4445" b="4445"/>
                      <wp:wrapNone/>
                      <wp:docPr id="1028" name="矩形 3"/>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0B748061"/>
                              </w:txbxContent>
                            </wps:txbx>
                            <wps:bodyPr upright="1"/>
                          </wps:wsp>
                        </a:graphicData>
                      </a:graphic>
                    </wp:anchor>
                  </w:drawing>
                </mc:Choice>
                <mc:Fallback>
                  <w:pict>
                    <v:rect id="矩形 3" o:spid="_x0000_s1026" o:spt="1" style="position:absolute;left:0pt;margin-left:-1.25pt;margin-top:9pt;height:9.75pt;width:9.75pt;z-index:-251657216;mso-width-relative:page;mso-height-relative:page;" fillcolor="#FFFFFF" filled="t" stroked="t" coordsize="21600,21600" o:gfxdata="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By0piH1gAAAAcBAAAPAAAAAAAAAAEAIAAAACIAAABkcnMvZG93bnJl&#10;di54bWxQSwECFAAUAAAACACHTuJA9VpSuf8BAAArBAAADgAAAAAAAAABACAAAAAlAQAAZHJzL2Uy&#10;b0RvYy54bWxQSwUGAAAAAAYABgBZAQAAlgUAAAAA&#10;">
                      <v:fill on="t" focussize="0,0"/>
                      <v:stroke color="#000000" joinstyle="miter"/>
                      <v:imagedata o:title=""/>
                      <o:lock v:ext="edit" aspectratio="f"/>
                      <v:textbox>
                        <w:txbxContent>
                          <w:p w14:paraId="0B748061"/>
                        </w:txbxContent>
                      </v:textbox>
                    </v:rect>
                  </w:pict>
                </mc:Fallback>
              </mc:AlternateContent>
            </w:r>
            <w:r>
              <w:rPr>
                <w:rFonts w:hint="eastAsia" w:ascii="宋体" w:hAnsi="宋体" w:eastAsia="宋体" w:cs="宋体"/>
                <w:bCs/>
                <w:color w:val="auto"/>
                <w:sz w:val="24"/>
                <w:highlight w:val="none"/>
                <w:lang w:val="zh-CN"/>
              </w:rPr>
              <w:t>允  许</w:t>
            </w:r>
          </w:p>
        </w:tc>
      </w:tr>
      <w:tr w14:paraId="707FB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738512FF">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1.12</w:t>
            </w:r>
          </w:p>
        </w:tc>
        <w:tc>
          <w:tcPr>
            <w:tcW w:w="3255" w:type="dxa"/>
            <w:vAlign w:val="center"/>
          </w:tcPr>
          <w:p w14:paraId="0E773059">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偏离</w:t>
            </w:r>
          </w:p>
        </w:tc>
        <w:tc>
          <w:tcPr>
            <w:tcW w:w="4916" w:type="dxa"/>
          </w:tcPr>
          <w:p w14:paraId="63806DC6">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color w:val="auto"/>
                <w:sz w:val="18"/>
                <w:szCs w:val="18"/>
                <w:highlight w:val="none"/>
                <w:bdr w:val="single" w:color="auto" w:sz="4" w:space="0"/>
              </w:rPr>
              <w:t>√</w:t>
            </w:r>
            <w:r>
              <w:rPr>
                <w:rFonts w:hint="eastAsia" w:ascii="宋体" w:hAnsi="宋体" w:eastAsia="宋体" w:cs="宋体"/>
                <w:bCs/>
                <w:color w:val="auto"/>
                <w:sz w:val="24"/>
                <w:highlight w:val="none"/>
                <w:lang w:val="zh-CN"/>
              </w:rPr>
              <w:t>不允许</w:t>
            </w:r>
          </w:p>
          <w:p w14:paraId="6D41AB26">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mc:AlternateContent>
                <mc:Choice Requires="wps">
                  <w:drawing>
                    <wp:anchor distT="0" distB="0" distL="0" distR="0" simplePos="0" relativeHeight="251659264" behindDoc="1" locked="0" layoutInCell="1" allowOverlap="1">
                      <wp:simplePos x="0" y="0"/>
                      <wp:positionH relativeFrom="column">
                        <wp:posOffset>-15875</wp:posOffset>
                      </wp:positionH>
                      <wp:positionV relativeFrom="paragraph">
                        <wp:posOffset>114300</wp:posOffset>
                      </wp:positionV>
                      <wp:extent cx="123825" cy="123825"/>
                      <wp:effectExtent l="5080" t="5080" r="4445" b="4445"/>
                      <wp:wrapNone/>
                      <wp:docPr id="1029" name="矩形 6"/>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4954068"/>
                              </w:txbxContent>
                            </wps:txbx>
                            <wps:bodyPr upright="1"/>
                          </wps:wsp>
                        </a:graphicData>
                      </a:graphic>
                    </wp:anchor>
                  </w:drawing>
                </mc:Choice>
                <mc:Fallback>
                  <w:pict>
                    <v:rect id="矩形 6" o:spid="_x0000_s1026" o:spt="1" style="position:absolute;left:0pt;margin-left:-1.25pt;margin-top:9pt;height:9.75pt;width:9.75pt;z-index:-251657216;mso-width-relative:page;mso-height-relative:page;" fillcolor="#FFFFFF" filled="t" stroked="t" coordsize="21600,21600" o:gfxdata="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ctKYh9YAAAAHAQAADwAAAAAAAAABACAAAAAiAAAAZHJzL2Rvd25y&#10;ZXYueG1sUEsBAhQAFAAAAAgAh07iQHwhWaQAAgAAKwQAAA4AAAAAAAAAAQAgAAAAJQEAAGRycy9l&#10;Mm9Eb2MueG1sUEsFBgAAAAAGAAYAWQEAAJcFAAAAAA==&#10;">
                      <v:fill on="t" focussize="0,0"/>
                      <v:stroke color="#000000" joinstyle="miter"/>
                      <v:imagedata o:title=""/>
                      <o:lock v:ext="edit" aspectratio="f"/>
                      <v:textbox>
                        <w:txbxContent>
                          <w:p w14:paraId="24954068"/>
                        </w:txbxContent>
                      </v:textbox>
                    </v:rect>
                  </w:pict>
                </mc:Fallback>
              </mc:AlternateContent>
            </w:r>
            <w:r>
              <w:rPr>
                <w:rFonts w:hint="eastAsia" w:ascii="宋体" w:hAnsi="宋体" w:eastAsia="宋体" w:cs="宋体"/>
                <w:bCs/>
                <w:color w:val="auto"/>
                <w:sz w:val="24"/>
                <w:highlight w:val="none"/>
              </w:rPr>
              <w:t xml:space="preserve">  </w:t>
            </w:r>
            <w:r>
              <w:rPr>
                <w:rFonts w:hint="eastAsia" w:ascii="宋体" w:hAnsi="宋体" w:eastAsia="宋体" w:cs="宋体"/>
                <w:bCs/>
                <w:color w:val="auto"/>
                <w:sz w:val="24"/>
                <w:highlight w:val="none"/>
                <w:lang w:val="zh-CN"/>
              </w:rPr>
              <w:t>允  许</w:t>
            </w:r>
          </w:p>
        </w:tc>
      </w:tr>
      <w:tr w14:paraId="26BB4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7A133493">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2.1</w:t>
            </w:r>
          </w:p>
        </w:tc>
        <w:tc>
          <w:tcPr>
            <w:tcW w:w="3255" w:type="dxa"/>
            <w:vAlign w:val="center"/>
          </w:tcPr>
          <w:p w14:paraId="EE4107EC">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构成招标文件的其他材料</w:t>
            </w:r>
          </w:p>
        </w:tc>
        <w:tc>
          <w:tcPr>
            <w:tcW w:w="4916" w:type="dxa"/>
          </w:tcPr>
          <w:p w14:paraId="358955EC">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无</w:t>
            </w:r>
          </w:p>
        </w:tc>
      </w:tr>
      <w:tr w14:paraId="9E0D1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6ACD5EED">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2.2.1</w:t>
            </w:r>
          </w:p>
        </w:tc>
        <w:tc>
          <w:tcPr>
            <w:tcW w:w="3255" w:type="dxa"/>
            <w:vAlign w:val="center"/>
          </w:tcPr>
          <w:p w14:paraId="49BB4C48">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投标人要求澄清</w:t>
            </w:r>
          </w:p>
          <w:p w14:paraId="53D5643C">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招标文件的截止时间</w:t>
            </w:r>
          </w:p>
        </w:tc>
        <w:tc>
          <w:tcPr>
            <w:tcW w:w="4916" w:type="dxa"/>
            <w:vAlign w:val="center"/>
          </w:tcPr>
          <w:p w14:paraId="AD87A5D0">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en-US" w:eastAsia="zh-CN"/>
              </w:rPr>
              <w:t>10</w:t>
            </w:r>
            <w:r>
              <w:rPr>
                <w:rFonts w:hint="eastAsia" w:ascii="宋体" w:hAnsi="宋体" w:eastAsia="宋体" w:cs="宋体"/>
                <w:bCs/>
                <w:color w:val="auto"/>
                <w:sz w:val="24"/>
                <w:highlight w:val="none"/>
              </w:rPr>
              <w:t>日内</w:t>
            </w:r>
          </w:p>
        </w:tc>
      </w:tr>
      <w:tr w14:paraId="844FD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CC99A4DA">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2.2.2</w:t>
            </w:r>
          </w:p>
        </w:tc>
        <w:tc>
          <w:tcPr>
            <w:tcW w:w="3255" w:type="dxa"/>
            <w:vAlign w:val="center"/>
          </w:tcPr>
          <w:p w14:paraId="E2D645C7">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投标截止时间</w:t>
            </w:r>
          </w:p>
        </w:tc>
        <w:tc>
          <w:tcPr>
            <w:tcW w:w="4916" w:type="dxa"/>
          </w:tcPr>
          <w:p w14:paraId="59006207">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详见招标公告</w:t>
            </w:r>
          </w:p>
        </w:tc>
      </w:tr>
      <w:tr w14:paraId="E7184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89D00BB7">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2.2.3</w:t>
            </w:r>
          </w:p>
        </w:tc>
        <w:tc>
          <w:tcPr>
            <w:tcW w:w="3255" w:type="dxa"/>
            <w:vAlign w:val="center"/>
          </w:tcPr>
          <w:p w14:paraId="65D8E872">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投标人确认收到</w:t>
            </w:r>
          </w:p>
          <w:p w14:paraId="3324CCBF">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招标文件澄清的时间</w:t>
            </w:r>
          </w:p>
        </w:tc>
        <w:tc>
          <w:tcPr>
            <w:tcW w:w="4916" w:type="dxa"/>
            <w:vAlign w:val="center"/>
          </w:tcPr>
          <w:p w14:paraId="8B7858BF">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both"/>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24小时以内</w:t>
            </w:r>
          </w:p>
        </w:tc>
      </w:tr>
      <w:tr w14:paraId="3B4D9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6F0E6D0E">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2.3.2</w:t>
            </w:r>
          </w:p>
        </w:tc>
        <w:tc>
          <w:tcPr>
            <w:tcW w:w="3255" w:type="dxa"/>
            <w:vAlign w:val="center"/>
          </w:tcPr>
          <w:p w14:paraId="3203A4A2">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投标人确认收到</w:t>
            </w:r>
          </w:p>
          <w:p w14:paraId="2B4DF5DC">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招标文件修改的时间</w:t>
            </w:r>
          </w:p>
        </w:tc>
        <w:tc>
          <w:tcPr>
            <w:tcW w:w="4916" w:type="dxa"/>
            <w:vAlign w:val="center"/>
          </w:tcPr>
          <w:p w14:paraId="9C8BB428">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both"/>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24小时以内</w:t>
            </w:r>
          </w:p>
        </w:tc>
      </w:tr>
      <w:tr w14:paraId="32442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D3EACCEB">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3.1.1</w:t>
            </w:r>
          </w:p>
        </w:tc>
        <w:tc>
          <w:tcPr>
            <w:tcW w:w="3255" w:type="dxa"/>
            <w:vAlign w:val="center"/>
          </w:tcPr>
          <w:p w14:paraId="35702572">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构成投标文件的其他材料</w:t>
            </w:r>
          </w:p>
        </w:tc>
        <w:tc>
          <w:tcPr>
            <w:tcW w:w="4916" w:type="dxa"/>
          </w:tcPr>
          <w:p w14:paraId="E43454A1">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both"/>
              <w:textAlignment w:val="auto"/>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3.1投标人应在中华人民共和国注册具有独立法人资格或其他组织，具有有效的营业执照且具有独立承担民事责任和履行合同所必需的设备和专业技术能力。</w:t>
            </w:r>
          </w:p>
          <w:p w14:paraId="B080F7B4">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both"/>
              <w:textAlignment w:val="auto"/>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3.2具有良好的商业信誉和健全的财务会计制度，依法缴纳税收和社会保障资金的良好记录，根据[长财采购[2022]2066号文件]关于加强政府采购信用体系建设简化供应商资格条件有关事项的通知提供资格条件承诺函(长财采购[2022]2066号)文件要求执行，提供资格条件承诺函。</w:t>
            </w:r>
          </w:p>
          <w:p w14:paraId="4753D707">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both"/>
              <w:textAlignment w:val="auto"/>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3.</w:t>
            </w:r>
            <w:r>
              <w:rPr>
                <w:rFonts w:hint="eastAsia" w:ascii="宋体" w:hAnsi="宋体" w:cs="宋体"/>
                <w:bCs/>
                <w:color w:val="auto"/>
                <w:sz w:val="24"/>
                <w:highlight w:val="none"/>
                <w:lang w:val="en-US" w:eastAsia="zh-CN"/>
              </w:rPr>
              <w:t>3</w:t>
            </w:r>
            <w:r>
              <w:rPr>
                <w:rFonts w:hint="eastAsia" w:ascii="宋体" w:hAnsi="宋体" w:eastAsia="宋体" w:cs="宋体"/>
                <w:bCs/>
                <w:color w:val="auto"/>
                <w:sz w:val="24"/>
                <w:highlight w:val="none"/>
                <w:lang w:val="en-US" w:eastAsia="zh-CN"/>
              </w:rPr>
              <w:t>信誉要求：2022年1月1日至今无行贿犯罪及不良行为记录；“中国裁判文书网”网站（https://wenshu.court.gov.cn/）上无行贿犯罪记录；“信用中国”网站（www.creditchina.gov.cn）未列入①失信被执行人及②重大税收违法失信主体名单；国家企业信用信息公示系统（http://www.gsxt.gov.cn/index.html）未列入严重违法失信企业名单及中国政府采购网（http://www.ccgp.gov.cn/search/cr/）未列入政府采购严重违法失信行为记录名单。以上均须提供截图。</w:t>
            </w:r>
          </w:p>
          <w:p w14:paraId="DBAB15C6">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both"/>
              <w:textAlignment w:val="auto"/>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3.</w:t>
            </w:r>
            <w:r>
              <w:rPr>
                <w:rFonts w:hint="eastAsia" w:ascii="宋体" w:hAnsi="宋体" w:cs="宋体"/>
                <w:bCs/>
                <w:color w:val="auto"/>
                <w:sz w:val="24"/>
                <w:highlight w:val="none"/>
                <w:lang w:val="en-US" w:eastAsia="zh-CN"/>
              </w:rPr>
              <w:t>4</w:t>
            </w:r>
            <w:r>
              <w:rPr>
                <w:rFonts w:hint="eastAsia" w:ascii="宋体" w:hAnsi="宋体" w:eastAsia="宋体" w:cs="宋体"/>
                <w:bCs/>
                <w:color w:val="auto"/>
                <w:sz w:val="24"/>
                <w:highlight w:val="none"/>
                <w:lang w:val="en-US" w:eastAsia="zh-CN"/>
              </w:rPr>
              <w:t>与采购人存在利害关系可能影响招标公正性的法人、其他组织或者个人，不得参加投标；企业名称不同但法定代表人为同一个自然人的两个或者两个以上的供应商不得参加同一采购项目的投标；如果出现上述情况，相关供应商的投标均将被拒绝。提供企业承诺书。</w:t>
            </w:r>
          </w:p>
        </w:tc>
      </w:tr>
      <w:tr w14:paraId="2F4D4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9FF26E9C">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3.3.1</w:t>
            </w:r>
          </w:p>
        </w:tc>
        <w:tc>
          <w:tcPr>
            <w:tcW w:w="3255" w:type="dxa"/>
            <w:vAlign w:val="center"/>
          </w:tcPr>
          <w:p w14:paraId="0E6761D1">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投标有效期</w:t>
            </w:r>
          </w:p>
        </w:tc>
        <w:tc>
          <w:tcPr>
            <w:tcW w:w="4916" w:type="dxa"/>
          </w:tcPr>
          <w:p w14:paraId="D9BE8875">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投标截止之日后</w:t>
            </w:r>
            <w:r>
              <w:rPr>
                <w:rFonts w:hint="eastAsia" w:ascii="宋体" w:hAnsi="宋体" w:cs="宋体"/>
                <w:bCs/>
                <w:color w:val="auto"/>
                <w:sz w:val="24"/>
                <w:highlight w:val="none"/>
                <w:lang w:val="en-US" w:eastAsia="zh-CN"/>
              </w:rPr>
              <w:t>90</w:t>
            </w:r>
            <w:r>
              <w:rPr>
                <w:rFonts w:hint="eastAsia" w:ascii="宋体" w:hAnsi="宋体" w:eastAsia="宋体" w:cs="宋体"/>
                <w:bCs/>
                <w:color w:val="auto"/>
                <w:sz w:val="24"/>
                <w:highlight w:val="none"/>
                <w:lang w:val="zh-CN"/>
              </w:rPr>
              <w:t>天（日历天），从投标截止之日算起。</w:t>
            </w:r>
          </w:p>
        </w:tc>
      </w:tr>
      <w:tr w14:paraId="B99E7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244849ED">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3.4.1</w:t>
            </w:r>
          </w:p>
        </w:tc>
        <w:tc>
          <w:tcPr>
            <w:tcW w:w="3255" w:type="dxa"/>
            <w:vAlign w:val="center"/>
          </w:tcPr>
          <w:p w14:paraId="7D00E3B9">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投标保证金</w:t>
            </w:r>
          </w:p>
        </w:tc>
        <w:tc>
          <w:tcPr>
            <w:tcW w:w="4916" w:type="dxa"/>
          </w:tcPr>
          <w:p w14:paraId="5ECE992F">
            <w:pPr>
              <w:keepNext w:val="0"/>
              <w:keepLines w:val="0"/>
              <w:pageBreakBefore w:val="0"/>
              <w:widowControl w:val="0"/>
              <w:numPr>
                <w:ilvl w:val="0"/>
                <w:numId w:val="1"/>
              </w:numPr>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投标保证金金额（人民币）：</w:t>
            </w:r>
            <w:r>
              <w:rPr>
                <w:rFonts w:hint="eastAsia" w:ascii="宋体" w:hAnsi="宋体" w:cs="宋体"/>
                <w:bCs/>
                <w:color w:val="auto"/>
                <w:sz w:val="24"/>
                <w:highlight w:val="none"/>
                <w:lang w:val="zh-CN"/>
              </w:rPr>
              <w:t>一、二、三标段</w:t>
            </w:r>
            <w:r>
              <w:rPr>
                <w:rFonts w:hint="eastAsia" w:ascii="宋体" w:hAnsi="宋体" w:cs="宋体"/>
                <w:bCs/>
                <w:color w:val="auto"/>
                <w:sz w:val="24"/>
                <w:highlight w:val="none"/>
                <w:lang w:val="en-US" w:eastAsia="zh-CN"/>
              </w:rPr>
              <w:t>0.7</w:t>
            </w:r>
            <w:r>
              <w:rPr>
                <w:rFonts w:hint="eastAsia" w:ascii="宋体" w:hAnsi="宋体" w:eastAsia="宋体" w:cs="宋体"/>
                <w:bCs/>
                <w:color w:val="auto"/>
                <w:sz w:val="24"/>
                <w:highlight w:val="none"/>
                <w:lang w:val="en-US" w:eastAsia="zh-CN"/>
              </w:rPr>
              <w:t>万元</w:t>
            </w:r>
            <w:r>
              <w:rPr>
                <w:rFonts w:hint="eastAsia" w:ascii="宋体" w:hAnsi="宋体" w:cs="宋体"/>
                <w:bCs/>
                <w:color w:val="auto"/>
                <w:sz w:val="24"/>
                <w:highlight w:val="none"/>
                <w:lang w:val="en-US" w:eastAsia="zh-CN"/>
              </w:rPr>
              <w:t>；四标段1万元；五标段0.4万元</w:t>
            </w:r>
          </w:p>
          <w:p w14:paraId="54CE2569">
            <w:pPr>
              <w:spacing w:line="420" w:lineRule="exact"/>
              <w:jc w:val="both"/>
              <w:rPr>
                <w:rStyle w:val="37"/>
                <w:rFonts w:hint="default" w:ascii="宋体" w:hAnsi="宋体" w:eastAsia="宋体" w:cs="Times New Roman"/>
                <w:color w:val="auto"/>
                <w:sz w:val="24"/>
                <w:szCs w:val="24"/>
                <w:highlight w:val="none"/>
                <w:lang w:val="en-US" w:eastAsia="zh-CN"/>
              </w:rPr>
            </w:pPr>
            <w:r>
              <w:rPr>
                <w:rFonts w:hint="eastAsia" w:ascii="宋体" w:hAnsi="宋体" w:cs="宋体"/>
                <w:bCs/>
                <w:color w:val="auto"/>
                <w:sz w:val="24"/>
                <w:highlight w:val="none"/>
                <w:lang w:val="en-US" w:eastAsia="zh-CN"/>
              </w:rPr>
              <w:t>2.</w:t>
            </w:r>
            <w:r>
              <w:rPr>
                <w:rFonts w:hint="eastAsia" w:ascii="宋体" w:hAnsi="宋体" w:eastAsia="宋体" w:cs="宋体"/>
                <w:bCs/>
                <w:color w:val="auto"/>
                <w:sz w:val="24"/>
                <w:highlight w:val="none"/>
                <w:lang w:val="zh-CN"/>
              </w:rPr>
              <w:t>投标保证金方式：</w:t>
            </w:r>
            <w:r>
              <w:rPr>
                <w:rStyle w:val="37"/>
                <w:rFonts w:hint="default" w:ascii="宋体" w:hAnsi="宋体" w:eastAsia="宋体" w:cs="Times New Roman"/>
                <w:color w:val="auto"/>
                <w:sz w:val="24"/>
                <w:szCs w:val="24"/>
                <w:highlight w:val="none"/>
                <w:lang w:val="en-US" w:eastAsia="zh-CN"/>
              </w:rPr>
              <w:t>供应商自主选择支票、汇票、本票、保函、转账、电汇等形式；</w:t>
            </w:r>
          </w:p>
          <w:p w14:paraId="4AA7F16F">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rPr>
              <w:t>3.</w:t>
            </w:r>
            <w:r>
              <w:rPr>
                <w:rFonts w:hint="eastAsia" w:ascii="宋体" w:hAnsi="宋体" w:eastAsia="宋体" w:cs="宋体"/>
                <w:bCs/>
                <w:color w:val="auto"/>
                <w:sz w:val="24"/>
                <w:highlight w:val="none"/>
                <w:lang w:val="zh-CN"/>
              </w:rPr>
              <w:t>投标保证金有效期同投标有效期。</w:t>
            </w:r>
          </w:p>
          <w:p w14:paraId="EA19D83D">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收款单位：华春建设工程项目管理有限责任公司吉林分公司</w:t>
            </w:r>
          </w:p>
          <w:p w14:paraId="6548014B">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开 户 行：中国银行长春四道街支行</w:t>
            </w:r>
          </w:p>
          <w:p w14:paraId="722EC508">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帐 号：157219201675</w:t>
            </w:r>
          </w:p>
          <w:p w14:paraId="87E1C00B">
            <w:pPr>
              <w:spacing w:line="420" w:lineRule="exact"/>
              <w:jc w:val="both"/>
              <w:rPr>
                <w:rStyle w:val="37"/>
                <w:rFonts w:hint="default" w:ascii="宋体" w:hAnsi="宋体" w:eastAsia="宋体" w:cs="Times New Roman"/>
                <w:color w:val="auto"/>
                <w:sz w:val="24"/>
                <w:szCs w:val="24"/>
                <w:highlight w:val="none"/>
                <w:lang w:val="en-US" w:eastAsia="zh-CN"/>
              </w:rPr>
            </w:pPr>
            <w:r>
              <w:rPr>
                <w:rStyle w:val="37"/>
                <w:rFonts w:hint="default" w:ascii="宋体" w:hAnsi="宋体" w:eastAsia="宋体" w:cs="Times New Roman"/>
                <w:color w:val="auto"/>
                <w:sz w:val="24"/>
                <w:szCs w:val="24"/>
                <w:highlight w:val="none"/>
                <w:lang w:val="en-US" w:eastAsia="zh-CN"/>
              </w:rPr>
              <w:t>4、递交时间：供应商应于递交</w:t>
            </w:r>
            <w:r>
              <w:rPr>
                <w:rStyle w:val="37"/>
                <w:rFonts w:hint="eastAsia" w:ascii="宋体" w:hAnsi="宋体" w:cs="Times New Roman"/>
                <w:color w:val="auto"/>
                <w:sz w:val="24"/>
                <w:szCs w:val="24"/>
                <w:highlight w:val="none"/>
                <w:lang w:val="en-US" w:eastAsia="zh-CN"/>
              </w:rPr>
              <w:t>投标</w:t>
            </w:r>
            <w:r>
              <w:rPr>
                <w:rStyle w:val="37"/>
                <w:rFonts w:hint="default" w:ascii="宋体" w:hAnsi="宋体" w:eastAsia="宋体" w:cs="Times New Roman"/>
                <w:color w:val="auto"/>
                <w:sz w:val="24"/>
                <w:szCs w:val="24"/>
                <w:highlight w:val="none"/>
                <w:lang w:val="en-US" w:eastAsia="zh-CN"/>
              </w:rPr>
              <w:t>文件截止时间前递交，以到账为准。</w:t>
            </w:r>
          </w:p>
          <w:p w14:paraId="523C1BC0">
            <w:pPr>
              <w:spacing w:line="420" w:lineRule="exact"/>
              <w:jc w:val="both"/>
              <w:rPr>
                <w:rStyle w:val="37"/>
                <w:rFonts w:hint="default" w:ascii="宋体" w:hAnsi="宋体" w:eastAsia="宋体" w:cs="Times New Roman"/>
                <w:color w:val="auto"/>
                <w:sz w:val="24"/>
                <w:szCs w:val="24"/>
                <w:highlight w:val="none"/>
                <w:lang w:val="en-US" w:eastAsia="zh-CN"/>
              </w:rPr>
            </w:pPr>
            <w:r>
              <w:rPr>
                <w:rStyle w:val="37"/>
                <w:rFonts w:hint="default" w:ascii="宋体" w:hAnsi="宋体" w:eastAsia="宋体" w:cs="Times New Roman"/>
                <w:color w:val="auto"/>
                <w:sz w:val="24"/>
                <w:szCs w:val="24"/>
                <w:highlight w:val="none"/>
                <w:lang w:val="en-US" w:eastAsia="zh-CN"/>
              </w:rPr>
              <w:t>采用银行保函形式提交的，供应商应当在提交响应文件截止时间前向采购代理机构递交保函原件。</w:t>
            </w:r>
          </w:p>
          <w:p w14:paraId="EB391607">
            <w:pPr>
              <w:spacing w:line="420" w:lineRule="exact"/>
              <w:jc w:val="both"/>
              <w:rPr>
                <w:rStyle w:val="37"/>
                <w:rFonts w:hint="default" w:ascii="宋体" w:hAnsi="宋体" w:eastAsia="宋体" w:cs="Times New Roman"/>
                <w:color w:val="auto"/>
                <w:sz w:val="24"/>
                <w:szCs w:val="24"/>
                <w:highlight w:val="none"/>
                <w:lang w:val="en-US" w:eastAsia="zh-CN"/>
              </w:rPr>
            </w:pPr>
            <w:r>
              <w:rPr>
                <w:rStyle w:val="37"/>
                <w:rFonts w:hint="default" w:ascii="宋体" w:hAnsi="宋体" w:eastAsia="宋体" w:cs="Times New Roman"/>
                <w:color w:val="auto"/>
                <w:sz w:val="24"/>
                <w:szCs w:val="24"/>
                <w:highlight w:val="none"/>
                <w:lang w:val="en-US" w:eastAsia="zh-CN"/>
              </w:rPr>
              <w:t>5、未按文件要求提交保证金，或提交保证金的账户名称与供应商名称不一致，按照无效投标处理。</w:t>
            </w:r>
          </w:p>
          <w:p w14:paraId="74AED958">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Style w:val="37"/>
                <w:rFonts w:hint="default" w:ascii="宋体" w:hAnsi="宋体" w:eastAsia="宋体" w:cs="Times New Roman"/>
                <w:color w:val="auto"/>
                <w:sz w:val="24"/>
                <w:szCs w:val="24"/>
                <w:highlight w:val="none"/>
                <w:lang w:val="en-US" w:eastAsia="zh-CN"/>
              </w:rPr>
              <w:t>注：供应商应在电汇或转账凭证上明确用途、项目名称及标段。递交完毕将保证金递交凭证发送到</w:t>
            </w:r>
            <w:r>
              <w:rPr>
                <w:rStyle w:val="37"/>
                <w:rFonts w:hint="eastAsia" w:ascii="宋体" w:hAnsi="宋体" w:eastAsia="宋体" w:cs="Times New Roman"/>
                <w:color w:val="auto"/>
                <w:sz w:val="24"/>
                <w:szCs w:val="24"/>
                <w:highlight w:val="none"/>
                <w:lang w:val="en-US" w:eastAsia="zh-CN"/>
              </w:rPr>
              <w:t>2446382060@qq.com</w:t>
            </w:r>
            <w:r>
              <w:rPr>
                <w:rStyle w:val="37"/>
                <w:rFonts w:hint="default" w:ascii="宋体" w:hAnsi="宋体" w:eastAsia="宋体" w:cs="Times New Roman"/>
                <w:color w:val="auto"/>
                <w:sz w:val="24"/>
                <w:szCs w:val="24"/>
                <w:highlight w:val="none"/>
                <w:lang w:val="en-US" w:eastAsia="zh-CN"/>
              </w:rPr>
              <w:t>邮箱内，联系项目负责人及时查账。</w:t>
            </w:r>
          </w:p>
        </w:tc>
      </w:tr>
      <w:tr w14:paraId="5C296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0F46E238">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3.5.2</w:t>
            </w:r>
          </w:p>
        </w:tc>
        <w:tc>
          <w:tcPr>
            <w:tcW w:w="3255" w:type="dxa"/>
            <w:vAlign w:val="center"/>
          </w:tcPr>
          <w:p w14:paraId="F762B235">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近年财务状况的年份要求</w:t>
            </w:r>
          </w:p>
        </w:tc>
        <w:tc>
          <w:tcPr>
            <w:tcW w:w="4916" w:type="dxa"/>
            <w:vAlign w:val="center"/>
          </w:tcPr>
          <w:p w14:paraId="2A5CDE2E">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近三年（</w:t>
            </w:r>
            <w:r>
              <w:rPr>
                <w:rFonts w:hint="eastAsia" w:ascii="宋体" w:hAnsi="宋体" w:cs="宋体"/>
                <w:color w:val="auto"/>
                <w:sz w:val="24"/>
                <w:szCs w:val="24"/>
                <w:highlight w:val="none"/>
                <w:lang w:val="en-US" w:eastAsia="zh-CN"/>
              </w:rPr>
              <w:t>2021</w:t>
            </w:r>
            <w:r>
              <w:rPr>
                <w:rFonts w:hint="eastAsia" w:ascii="宋体" w:hAnsi="宋体" w:eastAsia="宋体" w:cs="宋体"/>
                <w:color w:val="auto"/>
                <w:sz w:val="24"/>
                <w:szCs w:val="24"/>
                <w:highlight w:val="none"/>
                <w:lang w:val="en-US" w:eastAsia="zh-CN"/>
              </w:rPr>
              <w:t>年-</w:t>
            </w:r>
            <w:r>
              <w:rPr>
                <w:rFonts w:hint="eastAsia" w:ascii="宋体" w:hAnsi="宋体" w:cs="宋体"/>
                <w:color w:val="auto"/>
                <w:sz w:val="24"/>
                <w:szCs w:val="24"/>
                <w:highlight w:val="none"/>
                <w:lang w:val="en-US" w:eastAsia="zh-CN"/>
              </w:rPr>
              <w:t>2023</w:t>
            </w:r>
            <w:r>
              <w:rPr>
                <w:rFonts w:hint="eastAsia" w:ascii="宋体" w:hAnsi="宋体" w:eastAsia="宋体" w:cs="宋体"/>
                <w:color w:val="auto"/>
                <w:sz w:val="24"/>
                <w:szCs w:val="24"/>
                <w:highlight w:val="none"/>
                <w:lang w:val="en-US" w:eastAsia="zh-CN"/>
              </w:rPr>
              <w:t>年</w:t>
            </w:r>
            <w:r>
              <w:rPr>
                <w:rFonts w:hint="eastAsia" w:ascii="宋体" w:hAnsi="宋体" w:eastAsia="宋体" w:cs="宋体"/>
                <w:bCs/>
                <w:color w:val="auto"/>
                <w:sz w:val="24"/>
                <w:highlight w:val="none"/>
                <w:lang w:val="zh-CN"/>
              </w:rPr>
              <w:t>）</w:t>
            </w:r>
          </w:p>
        </w:tc>
      </w:tr>
      <w:tr w14:paraId="F6F8D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E650C0CF">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3.5.3</w:t>
            </w:r>
          </w:p>
        </w:tc>
        <w:tc>
          <w:tcPr>
            <w:tcW w:w="3255" w:type="dxa"/>
            <w:vAlign w:val="center"/>
          </w:tcPr>
          <w:p w14:paraId="27628152">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近年完成的类似项目的年份要求</w:t>
            </w:r>
          </w:p>
        </w:tc>
        <w:tc>
          <w:tcPr>
            <w:tcW w:w="4916" w:type="dxa"/>
          </w:tcPr>
          <w:p w14:paraId="A2DB50AE">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近年（</w:t>
            </w:r>
            <w:r>
              <w:rPr>
                <w:rFonts w:hint="eastAsia" w:ascii="宋体" w:hAnsi="宋体" w:cs="宋体"/>
                <w:color w:val="auto"/>
                <w:sz w:val="24"/>
                <w:szCs w:val="24"/>
                <w:highlight w:val="none"/>
                <w:lang w:val="en-US" w:eastAsia="zh-CN"/>
              </w:rPr>
              <w:t>2022</w:t>
            </w:r>
            <w:r>
              <w:rPr>
                <w:rFonts w:hint="eastAsia" w:ascii="宋体" w:hAnsi="宋体" w:eastAsia="宋体" w:cs="宋体"/>
                <w:color w:val="auto"/>
                <w:sz w:val="24"/>
                <w:szCs w:val="24"/>
                <w:highlight w:val="none"/>
                <w:lang w:val="en-US" w:eastAsia="zh-CN"/>
              </w:rPr>
              <w:t>年-</w:t>
            </w:r>
            <w:r>
              <w:rPr>
                <w:rFonts w:hint="eastAsia" w:ascii="宋体" w:hAnsi="宋体" w:cs="宋体"/>
                <w:color w:val="auto"/>
                <w:sz w:val="24"/>
                <w:szCs w:val="24"/>
                <w:highlight w:val="none"/>
                <w:lang w:val="en-US" w:eastAsia="zh-CN"/>
              </w:rPr>
              <w:t>至今</w:t>
            </w:r>
            <w:r>
              <w:rPr>
                <w:rFonts w:hint="eastAsia" w:ascii="宋体" w:hAnsi="宋体" w:eastAsia="宋体" w:cs="宋体"/>
                <w:bCs/>
                <w:color w:val="auto"/>
                <w:sz w:val="24"/>
                <w:highlight w:val="none"/>
                <w:lang w:val="zh-CN"/>
              </w:rPr>
              <w:t>）</w:t>
            </w:r>
          </w:p>
        </w:tc>
      </w:tr>
      <w:tr w14:paraId="A2074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726FBCCB">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3.5.5</w:t>
            </w:r>
          </w:p>
        </w:tc>
        <w:tc>
          <w:tcPr>
            <w:tcW w:w="3255" w:type="dxa"/>
            <w:vAlign w:val="center"/>
          </w:tcPr>
          <w:p w14:paraId="C3EC7804">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近年发生的诉讼及仲裁情况的年份要求</w:t>
            </w:r>
          </w:p>
        </w:tc>
        <w:tc>
          <w:tcPr>
            <w:tcW w:w="4916" w:type="dxa"/>
            <w:vAlign w:val="center"/>
          </w:tcPr>
          <w:p w14:paraId="89A45A16">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both"/>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近三年（</w:t>
            </w:r>
            <w:r>
              <w:rPr>
                <w:rFonts w:hint="eastAsia" w:ascii="宋体" w:hAnsi="宋体" w:cs="宋体"/>
                <w:bCs/>
                <w:color w:val="auto"/>
                <w:sz w:val="24"/>
                <w:highlight w:val="none"/>
                <w:lang w:val="en-US" w:eastAsia="zh-CN"/>
              </w:rPr>
              <w:t>2022年</w:t>
            </w:r>
            <w:r>
              <w:rPr>
                <w:rFonts w:hint="eastAsia" w:ascii="宋体" w:hAnsi="宋体" w:eastAsia="宋体" w:cs="宋体"/>
                <w:bCs/>
                <w:color w:val="auto"/>
                <w:sz w:val="24"/>
                <w:highlight w:val="none"/>
                <w:lang w:val="en-US" w:eastAsia="zh-CN"/>
              </w:rPr>
              <w:t>-至今</w:t>
            </w:r>
            <w:r>
              <w:rPr>
                <w:rFonts w:hint="eastAsia" w:ascii="宋体" w:hAnsi="宋体" w:eastAsia="宋体" w:cs="宋体"/>
                <w:bCs/>
                <w:color w:val="auto"/>
                <w:sz w:val="24"/>
                <w:highlight w:val="none"/>
                <w:lang w:val="zh-CN"/>
              </w:rPr>
              <w:t>）</w:t>
            </w:r>
          </w:p>
        </w:tc>
      </w:tr>
      <w:tr w14:paraId="BEA3A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26159D45">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3.6</w:t>
            </w:r>
          </w:p>
        </w:tc>
        <w:tc>
          <w:tcPr>
            <w:tcW w:w="3255" w:type="dxa"/>
            <w:vAlign w:val="center"/>
          </w:tcPr>
          <w:p w14:paraId="7627E988">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是否允许递交备选投标方案</w:t>
            </w:r>
          </w:p>
        </w:tc>
        <w:tc>
          <w:tcPr>
            <w:tcW w:w="4916" w:type="dxa"/>
          </w:tcPr>
          <w:p w14:paraId="F41F5784">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color w:val="auto"/>
                <w:sz w:val="18"/>
                <w:szCs w:val="18"/>
                <w:highlight w:val="none"/>
                <w:bdr w:val="single" w:color="auto" w:sz="4" w:space="0"/>
              </w:rPr>
              <w:t>√</w:t>
            </w:r>
            <w:r>
              <w:rPr>
                <w:rFonts w:hint="eastAsia" w:ascii="宋体" w:hAnsi="宋体" w:eastAsia="宋体" w:cs="宋体"/>
                <w:bCs/>
                <w:color w:val="auto"/>
                <w:sz w:val="24"/>
                <w:highlight w:val="none"/>
                <w:lang w:val="zh-CN"/>
              </w:rPr>
              <w:t>不允许</w:t>
            </w:r>
          </w:p>
          <w:p w14:paraId="3951F2F4">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mc:AlternateContent>
                <mc:Choice Requires="wps">
                  <w:drawing>
                    <wp:anchor distT="0" distB="0" distL="0" distR="0" simplePos="0" relativeHeight="251659264" behindDoc="1" locked="0" layoutInCell="1" allowOverlap="1">
                      <wp:simplePos x="0" y="0"/>
                      <wp:positionH relativeFrom="column">
                        <wp:posOffset>-15875</wp:posOffset>
                      </wp:positionH>
                      <wp:positionV relativeFrom="paragraph">
                        <wp:posOffset>114300</wp:posOffset>
                      </wp:positionV>
                      <wp:extent cx="123825" cy="123825"/>
                      <wp:effectExtent l="5080" t="5080" r="4445" b="4445"/>
                      <wp:wrapNone/>
                      <wp:docPr id="1030" name="矩形 5"/>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E988D87A"/>
                              </w:txbxContent>
                            </wps:txbx>
                            <wps:bodyPr upright="1"/>
                          </wps:wsp>
                        </a:graphicData>
                      </a:graphic>
                    </wp:anchor>
                  </w:drawing>
                </mc:Choice>
                <mc:Fallback>
                  <w:pict>
                    <v:rect id="矩形 5" o:spid="_x0000_s1026" o:spt="1" style="position:absolute;left:0pt;margin-left:-1.25pt;margin-top:9pt;height:9.75pt;width:9.75pt;z-index:-251657216;mso-width-relative:page;mso-height-relative:page;" fillcolor="#FFFFFF" filled="t" stroked="t" coordsize="21600,21600" o:gfxdata="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By0piH1gAAAAcBAAAPAAAAAAAAAAEAIAAAACIAAABkcnMvZG93bnJl&#10;di54bWxQSwECFAAUAAAACACHTuJAHr+zWv8BAAArBAAADgAAAAAAAAABACAAAAAlAQAAZHJzL2Uy&#10;b0RvYy54bWxQSwUGAAAAAAYABgBZAQAAlgUAAAAA&#10;">
                      <v:fill on="t" focussize="0,0"/>
                      <v:stroke color="#000000" joinstyle="miter"/>
                      <v:imagedata o:title=""/>
                      <o:lock v:ext="edit" aspectratio="f"/>
                      <v:textbox>
                        <w:txbxContent>
                          <w:p w14:paraId="E988D87A"/>
                        </w:txbxContent>
                      </v:textbox>
                    </v:rect>
                  </w:pict>
                </mc:Fallback>
              </mc:AlternateContent>
            </w:r>
            <w:r>
              <w:rPr>
                <w:rFonts w:hint="eastAsia" w:ascii="宋体" w:hAnsi="宋体" w:eastAsia="宋体" w:cs="宋体"/>
                <w:bCs/>
                <w:color w:val="auto"/>
                <w:sz w:val="24"/>
                <w:highlight w:val="none"/>
              </w:rPr>
              <w:t xml:space="preserve">  </w:t>
            </w:r>
            <w:r>
              <w:rPr>
                <w:rFonts w:hint="eastAsia" w:ascii="宋体" w:hAnsi="宋体" w:eastAsia="宋体" w:cs="宋体"/>
                <w:bCs/>
                <w:color w:val="auto"/>
                <w:sz w:val="24"/>
                <w:highlight w:val="none"/>
                <w:lang w:val="zh-CN"/>
              </w:rPr>
              <w:t>允  许</w:t>
            </w:r>
          </w:p>
        </w:tc>
      </w:tr>
      <w:tr w14:paraId="4ECB0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6F18F19A">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3.7.3</w:t>
            </w:r>
          </w:p>
        </w:tc>
        <w:tc>
          <w:tcPr>
            <w:tcW w:w="3255" w:type="dxa"/>
            <w:vAlign w:val="center"/>
          </w:tcPr>
          <w:p w14:paraId="0E5070EF">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签字或盖章要求</w:t>
            </w:r>
          </w:p>
        </w:tc>
        <w:tc>
          <w:tcPr>
            <w:tcW w:w="4916" w:type="dxa"/>
          </w:tcPr>
          <w:p w14:paraId="5F8F5208">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投标文件按要求签字并盖章。</w:t>
            </w:r>
          </w:p>
        </w:tc>
      </w:tr>
      <w:tr w14:paraId="01010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29341775">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3.7.4</w:t>
            </w:r>
          </w:p>
        </w:tc>
        <w:tc>
          <w:tcPr>
            <w:tcW w:w="3255" w:type="dxa"/>
            <w:vAlign w:val="center"/>
          </w:tcPr>
          <w:p w14:paraId="BED587BB">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eastAsia="zh-CN"/>
              </w:rPr>
            </w:pPr>
            <w:r>
              <w:rPr>
                <w:rFonts w:hint="eastAsia" w:ascii="宋体" w:hAnsi="宋体" w:eastAsia="宋体" w:cs="宋体"/>
                <w:bCs/>
                <w:color w:val="auto"/>
                <w:sz w:val="24"/>
                <w:highlight w:val="none"/>
                <w:lang w:val="zh-CN" w:eastAsia="zh-CN"/>
              </w:rPr>
              <w:t>承诺函</w:t>
            </w:r>
          </w:p>
        </w:tc>
        <w:tc>
          <w:tcPr>
            <w:tcW w:w="4916" w:type="dxa"/>
          </w:tcPr>
          <w:p w14:paraId="347A84DE">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投标人对本项目</w:t>
            </w:r>
            <w:r>
              <w:rPr>
                <w:rFonts w:hint="eastAsia" w:ascii="宋体" w:hAnsi="宋体" w:cs="宋体"/>
                <w:bCs/>
                <w:color w:val="auto"/>
                <w:sz w:val="24"/>
                <w:highlight w:val="none"/>
                <w:lang w:val="zh-CN"/>
              </w:rPr>
              <w:t>服务期限</w:t>
            </w:r>
            <w:r>
              <w:rPr>
                <w:rFonts w:hint="eastAsia" w:ascii="宋体" w:hAnsi="宋体" w:eastAsia="宋体" w:cs="宋体"/>
                <w:bCs/>
                <w:color w:val="auto"/>
                <w:sz w:val="24"/>
                <w:highlight w:val="none"/>
                <w:lang w:val="zh-CN"/>
              </w:rPr>
              <w:t>、服务时间、服务质量、服务标准做出承诺，并签字加盖公章，否则视为无效投标</w:t>
            </w:r>
          </w:p>
        </w:tc>
      </w:tr>
      <w:tr w14:paraId="61A1C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C9AD5448">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3.7.</w:t>
            </w:r>
            <w:r>
              <w:rPr>
                <w:rFonts w:hint="eastAsia" w:ascii="宋体" w:hAnsi="宋体" w:eastAsia="宋体" w:cs="宋体"/>
                <w:bCs/>
                <w:color w:val="auto"/>
                <w:sz w:val="24"/>
                <w:highlight w:val="none"/>
                <w:lang w:val="en-US" w:eastAsia="zh-CN"/>
              </w:rPr>
              <w:t>5</w:t>
            </w:r>
          </w:p>
        </w:tc>
        <w:tc>
          <w:tcPr>
            <w:tcW w:w="3255" w:type="dxa"/>
            <w:vAlign w:val="center"/>
          </w:tcPr>
          <w:p w14:paraId="592B7EE3">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投标文件份数</w:t>
            </w:r>
          </w:p>
        </w:tc>
        <w:tc>
          <w:tcPr>
            <w:tcW w:w="4916" w:type="dxa"/>
          </w:tcPr>
          <w:p w14:paraId="83860D05">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sz w:val="24"/>
                <w:szCs w:val="24"/>
                <w:lang w:val="en-US" w:eastAsia="zh-CN"/>
              </w:rPr>
              <w:t>实行政采云电子投标</w:t>
            </w:r>
            <w:r>
              <w:rPr>
                <w:rFonts w:hint="eastAsia" w:ascii="宋体" w:hAnsi="宋体" w:cs="宋体"/>
                <w:sz w:val="24"/>
                <w:szCs w:val="24"/>
                <w:lang w:val="en-US" w:eastAsia="zh-CN"/>
              </w:rPr>
              <w:t>，开标当日无需提供纸质版</w:t>
            </w:r>
            <w:r>
              <w:rPr>
                <w:rStyle w:val="37"/>
                <w:rFonts w:ascii="宋体" w:hAnsi="宋体"/>
                <w:color w:val="auto"/>
                <w:sz w:val="24"/>
                <w:szCs w:val="24"/>
                <w:highlight w:val="none"/>
              </w:rPr>
              <w:t>。</w:t>
            </w:r>
            <w:r>
              <w:rPr>
                <w:rStyle w:val="37"/>
                <w:rFonts w:hint="eastAsia" w:ascii="宋体" w:hAnsi="宋体"/>
                <w:color w:val="auto"/>
                <w:sz w:val="24"/>
                <w:szCs w:val="24"/>
                <w:highlight w:val="none"/>
                <w:lang w:eastAsia="zh-CN"/>
              </w:rPr>
              <w:t xml:space="preserve">请参与本项目投标商在开标结束三个工作日内将投标文件（系统生成版本）一正两副邮寄至招标代理机构处，邮寄信息：长春市经济技术开发区会展大街金融第五城18栋魏铭收，联系电话：15843034624  </w:t>
            </w:r>
            <w:r>
              <w:rPr>
                <w:rFonts w:hint="eastAsia" w:ascii="宋体" w:hAnsi="宋体" w:eastAsia="宋体" w:cs="宋体"/>
                <w:bCs/>
                <w:color w:val="auto"/>
                <w:kern w:val="15"/>
                <w:sz w:val="24"/>
                <w:highlight w:val="none"/>
                <w:lang w:val="en-US" w:eastAsia="zh-CN"/>
              </w:rPr>
              <w:t>。</w:t>
            </w:r>
          </w:p>
        </w:tc>
      </w:tr>
      <w:tr w14:paraId="C9E0C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F551E9CC">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3.7.</w:t>
            </w:r>
            <w:r>
              <w:rPr>
                <w:rFonts w:hint="eastAsia" w:ascii="宋体" w:hAnsi="宋体" w:eastAsia="宋体" w:cs="宋体"/>
                <w:bCs/>
                <w:color w:val="auto"/>
                <w:sz w:val="24"/>
                <w:highlight w:val="none"/>
                <w:lang w:val="en-US" w:eastAsia="zh-CN"/>
              </w:rPr>
              <w:t>6</w:t>
            </w:r>
          </w:p>
        </w:tc>
        <w:tc>
          <w:tcPr>
            <w:tcW w:w="3255" w:type="dxa"/>
            <w:vAlign w:val="center"/>
          </w:tcPr>
          <w:p w14:paraId="9A1A4A6C">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装订要求</w:t>
            </w:r>
          </w:p>
        </w:tc>
        <w:tc>
          <w:tcPr>
            <w:tcW w:w="4916" w:type="dxa"/>
          </w:tcPr>
          <w:p w14:paraId="E20EB373">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投标文件的装订要整齐、牢固，编制目录，便于保管和利用，不得采用活页装订方式。</w:t>
            </w:r>
          </w:p>
        </w:tc>
      </w:tr>
      <w:tr w14:paraId="B805E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E69FDD79">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4.1.2</w:t>
            </w:r>
          </w:p>
        </w:tc>
        <w:tc>
          <w:tcPr>
            <w:tcW w:w="3255" w:type="dxa"/>
            <w:vAlign w:val="center"/>
          </w:tcPr>
          <w:p w14:paraId="60921230">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封套上写明</w:t>
            </w:r>
          </w:p>
        </w:tc>
        <w:tc>
          <w:tcPr>
            <w:tcW w:w="4916" w:type="dxa"/>
          </w:tcPr>
          <w:p w14:paraId="08CFCD9F">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u w:val="none"/>
                <w:lang w:eastAsia="zh-CN"/>
              </w:rPr>
              <w:t>项目名称：</w:t>
            </w:r>
            <w:r>
              <w:rPr>
                <w:rFonts w:hint="eastAsia" w:ascii="宋体" w:hAnsi="宋体" w:eastAsia="宋体" w:cs="宋体"/>
                <w:bCs/>
                <w:color w:val="auto"/>
                <w:sz w:val="24"/>
                <w:highlight w:val="none"/>
                <w:u w:val="single"/>
              </w:rPr>
              <w:t xml:space="preserve"> </w:t>
            </w:r>
            <w:r>
              <w:rPr>
                <w:rFonts w:hint="eastAsia" w:ascii="宋体" w:hAnsi="宋体" w:eastAsia="宋体" w:cs="宋体"/>
                <w:bCs/>
                <w:color w:val="auto"/>
                <w:sz w:val="24"/>
                <w:highlight w:val="none"/>
                <w:u w:val="single"/>
                <w:lang w:val="zh-CN"/>
              </w:rPr>
              <w:t xml:space="preserve">  (项目名称)   </w:t>
            </w:r>
            <w:r>
              <w:rPr>
                <w:rFonts w:hint="eastAsia" w:ascii="宋体" w:hAnsi="宋体" w:eastAsia="宋体" w:cs="宋体"/>
                <w:bCs/>
                <w:color w:val="auto"/>
                <w:sz w:val="24"/>
                <w:highlight w:val="none"/>
                <w:lang w:val="zh-CN"/>
              </w:rPr>
              <w:t>投标文件</w:t>
            </w:r>
            <w:r>
              <w:rPr>
                <w:rFonts w:hint="eastAsia" w:ascii="宋体" w:hAnsi="宋体" w:eastAsia="宋体" w:cs="宋体"/>
                <w:bCs/>
                <w:color w:val="auto"/>
                <w:sz w:val="24"/>
                <w:highlight w:val="none"/>
                <w:lang w:val="en-US" w:eastAsia="zh-CN"/>
              </w:rPr>
              <w:t xml:space="preserve">             </w:t>
            </w:r>
          </w:p>
          <w:p w14:paraId="1395B513">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采购人：</w:t>
            </w:r>
          </w:p>
          <w:p w14:paraId="C24C028E">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地址：</w:t>
            </w:r>
          </w:p>
          <w:p w14:paraId="1192B7BD">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投标单位名称：</w:t>
            </w:r>
          </w:p>
          <w:p w14:paraId="331F6312">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u w:val="single"/>
              </w:rPr>
            </w:pPr>
            <w:r>
              <w:rPr>
                <w:rFonts w:hint="eastAsia" w:ascii="宋体" w:hAnsi="宋体" w:eastAsia="宋体" w:cs="宋体"/>
                <w:bCs/>
                <w:color w:val="auto"/>
                <w:sz w:val="24"/>
                <w:highlight w:val="none"/>
                <w:lang w:val="zh-CN"/>
              </w:rPr>
              <w:t>地址：</w:t>
            </w:r>
          </w:p>
          <w:p w14:paraId="4108DCB5">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在</w:t>
            </w:r>
            <w:r>
              <w:rPr>
                <w:rFonts w:hint="eastAsia" w:ascii="宋体" w:hAnsi="宋体" w:eastAsia="宋体" w:cs="宋体"/>
                <w:bCs/>
                <w:color w:val="auto"/>
                <w:sz w:val="24"/>
                <w:highlight w:val="none"/>
                <w:u w:val="single"/>
                <w:lang w:val="zh-CN"/>
              </w:rPr>
              <w:t xml:space="preserve"> （开标时间）</w:t>
            </w:r>
            <w:r>
              <w:rPr>
                <w:rFonts w:hint="eastAsia" w:ascii="宋体" w:hAnsi="宋体" w:eastAsia="宋体" w:cs="宋体"/>
                <w:bCs/>
                <w:color w:val="auto"/>
                <w:sz w:val="24"/>
                <w:highlight w:val="none"/>
                <w:lang w:val="zh-CN"/>
              </w:rPr>
              <w:t>前不得开启</w:t>
            </w:r>
          </w:p>
        </w:tc>
      </w:tr>
      <w:tr w14:paraId="7AAEF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7F7FC947">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4.2.2</w:t>
            </w:r>
          </w:p>
        </w:tc>
        <w:tc>
          <w:tcPr>
            <w:tcW w:w="3255" w:type="dxa"/>
            <w:vAlign w:val="center"/>
          </w:tcPr>
          <w:p w14:paraId="EA3D898C">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递交投标文件地点</w:t>
            </w:r>
          </w:p>
        </w:tc>
        <w:tc>
          <w:tcPr>
            <w:tcW w:w="4916" w:type="dxa"/>
          </w:tcPr>
          <w:p w14:paraId="DD22BA34">
            <w:pPr>
              <w:keepNext w:val="0"/>
              <w:keepLines w:val="0"/>
              <w:pageBreakBefore w:val="0"/>
              <w:widowControl w:val="0"/>
              <w:kinsoku/>
              <w:wordWrap/>
              <w:overflowPunct/>
              <w:topLinePunct w:val="0"/>
              <w:autoSpaceDE w:val="0"/>
              <w:autoSpaceDN w:val="0"/>
              <w:bidi w:val="0"/>
              <w:adjustRightInd w:val="0"/>
              <w:snapToGrid/>
              <w:spacing w:line="400" w:lineRule="exact"/>
              <w:ind w:left="840" w:right="0" w:rightChars="0" w:hanging="840" w:hangingChars="350"/>
              <w:jc w:val="left"/>
              <w:textAlignment w:val="auto"/>
              <w:outlineLvl w:val="9"/>
              <w:rPr>
                <w:rFonts w:hint="default" w:ascii="宋体" w:hAnsi="宋体" w:eastAsia="宋体" w:cs="宋体"/>
                <w:bCs/>
                <w:color w:val="auto"/>
                <w:sz w:val="24"/>
                <w:highlight w:val="none"/>
                <w:lang w:val="en-US" w:eastAsia="zh-CN"/>
              </w:rPr>
            </w:pPr>
            <w:r>
              <w:rPr>
                <w:rStyle w:val="37"/>
                <w:rFonts w:hint="eastAsia" w:ascii="宋体" w:hAnsi="宋体"/>
                <w:color w:val="auto"/>
                <w:sz w:val="24"/>
                <w:szCs w:val="24"/>
                <w:highlight w:val="none"/>
                <w:lang w:val="en-US" w:eastAsia="zh-CN"/>
              </w:rPr>
              <w:t>政采云网站递交</w:t>
            </w:r>
          </w:p>
        </w:tc>
      </w:tr>
      <w:tr w14:paraId="70F87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2B07A980">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4.2.3</w:t>
            </w:r>
          </w:p>
        </w:tc>
        <w:tc>
          <w:tcPr>
            <w:tcW w:w="3255" w:type="dxa"/>
            <w:vAlign w:val="center"/>
          </w:tcPr>
          <w:p w14:paraId="4A2E30EF">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是否退还投标文件</w:t>
            </w:r>
          </w:p>
        </w:tc>
        <w:tc>
          <w:tcPr>
            <w:tcW w:w="4916" w:type="dxa"/>
          </w:tcPr>
          <w:p w14:paraId="8B28095F">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不退还</w:t>
            </w:r>
          </w:p>
        </w:tc>
      </w:tr>
      <w:tr w14:paraId="B8158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2F6CA187">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5.1</w:t>
            </w:r>
          </w:p>
        </w:tc>
        <w:tc>
          <w:tcPr>
            <w:tcW w:w="3255" w:type="dxa"/>
            <w:vAlign w:val="center"/>
          </w:tcPr>
          <w:p w14:paraId="8F582042">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开标时间和地点</w:t>
            </w:r>
          </w:p>
        </w:tc>
        <w:tc>
          <w:tcPr>
            <w:tcW w:w="4916" w:type="dxa"/>
          </w:tcPr>
          <w:p w14:paraId="567831DA">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rPr>
              <w:t>开标时间：</w:t>
            </w:r>
            <w:r>
              <w:rPr>
                <w:rFonts w:hint="eastAsia" w:ascii="宋体" w:hAnsi="宋体" w:eastAsia="宋体" w:cs="宋体"/>
                <w:bCs/>
                <w:color w:val="auto"/>
                <w:sz w:val="24"/>
                <w:highlight w:val="none"/>
                <w:lang w:val="zh-CN"/>
              </w:rPr>
              <w:t>详见招标公告</w:t>
            </w:r>
          </w:p>
          <w:p w14:paraId="CC79C88C">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bCs/>
                <w:color w:val="auto"/>
                <w:sz w:val="24"/>
                <w:highlight w:val="none"/>
                <w:u w:val="single"/>
              </w:rPr>
            </w:pPr>
            <w:r>
              <w:rPr>
                <w:rFonts w:hint="eastAsia" w:ascii="宋体" w:hAnsi="宋体" w:eastAsia="宋体" w:cs="宋体"/>
                <w:bCs/>
                <w:color w:val="auto"/>
                <w:sz w:val="24"/>
                <w:highlight w:val="none"/>
              </w:rPr>
              <w:t>开标地点：同投标文件提交地点</w:t>
            </w:r>
          </w:p>
        </w:tc>
      </w:tr>
      <w:tr w14:paraId="F867D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368D6137">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6.1.1</w:t>
            </w:r>
          </w:p>
        </w:tc>
        <w:tc>
          <w:tcPr>
            <w:tcW w:w="3255" w:type="dxa"/>
            <w:vAlign w:val="center"/>
          </w:tcPr>
          <w:p w14:paraId="AFBCA173">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评标委员会的组建</w:t>
            </w:r>
          </w:p>
        </w:tc>
        <w:tc>
          <w:tcPr>
            <w:tcW w:w="4916" w:type="dxa"/>
          </w:tcPr>
          <w:p w14:paraId="8FE0D3B1">
            <w:pPr>
              <w:keepNext w:val="0"/>
              <w:keepLines w:val="0"/>
              <w:pageBreakBefore w:val="0"/>
              <w:widowControl w:val="0"/>
              <w:kinsoku/>
              <w:wordWrap/>
              <w:overflowPunct/>
              <w:topLinePunct w:val="0"/>
              <w:bidi w:val="0"/>
              <w:snapToGrid/>
              <w:spacing w:line="400" w:lineRule="exact"/>
              <w:ind w:right="0" w:rightChars="0"/>
              <w:jc w:val="left"/>
              <w:textAlignment w:val="auto"/>
              <w:outlineLvl w:val="9"/>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val="zh-CN"/>
              </w:rPr>
              <w:t>评标委员会构成：</w:t>
            </w:r>
            <w:r>
              <w:rPr>
                <w:rFonts w:hint="eastAsia" w:ascii="宋体" w:hAnsi="宋体" w:eastAsia="宋体" w:cs="宋体"/>
                <w:bCs/>
                <w:color w:val="auto"/>
                <w:sz w:val="24"/>
                <w:highlight w:val="none"/>
                <w:u w:val="single"/>
                <w:lang w:val="en-US" w:eastAsia="zh-CN"/>
              </w:rPr>
              <w:t>5</w:t>
            </w:r>
            <w:r>
              <w:rPr>
                <w:rFonts w:hint="eastAsia" w:ascii="宋体" w:hAnsi="宋体" w:eastAsia="宋体" w:cs="宋体"/>
                <w:bCs/>
                <w:color w:val="auto"/>
                <w:sz w:val="24"/>
                <w:highlight w:val="none"/>
                <w:lang w:val="zh-CN"/>
              </w:rPr>
              <w:t>人,业主代表</w:t>
            </w:r>
            <w:r>
              <w:rPr>
                <w:rFonts w:hint="eastAsia" w:ascii="宋体" w:hAnsi="宋体" w:eastAsia="宋体" w:cs="宋体"/>
                <w:bCs/>
                <w:color w:val="auto"/>
                <w:sz w:val="24"/>
                <w:highlight w:val="none"/>
                <w:u w:val="single"/>
                <w:lang w:val="en-US" w:eastAsia="zh-CN"/>
              </w:rPr>
              <w:t>1</w:t>
            </w:r>
            <w:r>
              <w:rPr>
                <w:rFonts w:hint="eastAsia" w:ascii="宋体" w:hAnsi="宋体" w:eastAsia="宋体" w:cs="宋体"/>
                <w:bCs/>
                <w:color w:val="auto"/>
                <w:sz w:val="24"/>
                <w:highlight w:val="none"/>
                <w:lang w:val="en-US" w:eastAsia="zh-CN"/>
              </w:rPr>
              <w:t>人；</w:t>
            </w:r>
            <w:r>
              <w:rPr>
                <w:rFonts w:hint="eastAsia" w:ascii="宋体" w:hAnsi="宋体" w:eastAsia="宋体" w:cs="宋体"/>
                <w:bCs/>
                <w:color w:val="auto"/>
                <w:sz w:val="24"/>
                <w:highlight w:val="none"/>
                <w:lang w:val="zh-CN"/>
              </w:rPr>
              <w:t>社会专家</w:t>
            </w:r>
            <w:r>
              <w:rPr>
                <w:rFonts w:hint="eastAsia" w:ascii="宋体" w:hAnsi="宋体" w:eastAsia="宋体" w:cs="宋体"/>
                <w:bCs/>
                <w:color w:val="auto"/>
                <w:sz w:val="24"/>
                <w:highlight w:val="none"/>
                <w:u w:val="single"/>
                <w:lang w:val="en-US" w:eastAsia="zh-CN"/>
              </w:rPr>
              <w:t>4</w:t>
            </w:r>
            <w:r>
              <w:rPr>
                <w:rFonts w:hint="eastAsia" w:ascii="宋体" w:hAnsi="宋体" w:eastAsia="宋体" w:cs="宋体"/>
                <w:bCs/>
                <w:color w:val="auto"/>
                <w:sz w:val="24"/>
                <w:highlight w:val="none"/>
                <w:lang w:val="zh-CN"/>
              </w:rPr>
              <w:t>人</w:t>
            </w:r>
            <w:r>
              <w:rPr>
                <w:rFonts w:hint="eastAsia" w:ascii="宋体" w:hAnsi="宋体" w:eastAsia="宋体" w:cs="宋体"/>
                <w:bCs/>
                <w:color w:val="auto"/>
                <w:sz w:val="24"/>
                <w:highlight w:val="none"/>
                <w:lang w:val="en-US" w:eastAsia="zh-CN"/>
              </w:rPr>
              <w:t>；</w:t>
            </w:r>
            <w:r>
              <w:rPr>
                <w:rFonts w:hint="eastAsia" w:ascii="宋体" w:hAnsi="宋体" w:eastAsia="宋体" w:cs="宋体"/>
                <w:bCs/>
                <w:color w:val="auto"/>
                <w:sz w:val="24"/>
                <w:highlight w:val="none"/>
                <w:lang w:val="zh-CN"/>
              </w:rPr>
              <w:t>评标社会专家确定方式：社会专家从吉林省政府采购中心评标专家库中随机抽取。</w:t>
            </w:r>
          </w:p>
        </w:tc>
      </w:tr>
      <w:tr w14:paraId="04B4E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6C82732F">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7.1</w:t>
            </w:r>
          </w:p>
        </w:tc>
        <w:tc>
          <w:tcPr>
            <w:tcW w:w="3255" w:type="dxa"/>
            <w:vAlign w:val="center"/>
          </w:tcPr>
          <w:p w14:paraId="7EF4F633">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是否授权评标委员会确定中标人</w:t>
            </w:r>
          </w:p>
        </w:tc>
        <w:tc>
          <w:tcPr>
            <w:tcW w:w="4916" w:type="dxa"/>
            <w:vAlign w:val="center"/>
          </w:tcPr>
          <w:p w14:paraId="6EE9B17E">
            <w:pPr>
              <w:keepNext w:val="0"/>
              <w:keepLines w:val="0"/>
              <w:pageBreakBefore w:val="0"/>
              <w:widowControl w:val="0"/>
              <w:kinsoku/>
              <w:wordWrap/>
              <w:overflowPunct/>
              <w:topLinePunct w:val="0"/>
              <w:bidi w:val="0"/>
              <w:snapToGrid/>
              <w:spacing w:line="400" w:lineRule="exact"/>
              <w:ind w:right="0" w:rightChars="0"/>
              <w:jc w:val="both"/>
              <w:textAlignment w:val="auto"/>
              <w:outlineLvl w:val="9"/>
              <w:rPr>
                <w:rFonts w:hint="eastAsia" w:ascii="宋体" w:hAnsi="宋体" w:eastAsia="宋体" w:cs="宋体"/>
                <w:bCs/>
                <w:color w:val="auto"/>
                <w:kern w:val="15"/>
                <w:sz w:val="24"/>
                <w:highlight w:val="none"/>
                <w:lang w:val="en-US" w:eastAsia="zh-CN"/>
              </w:rPr>
            </w:pPr>
            <w:r>
              <w:rPr>
                <w:rFonts w:hint="eastAsia" w:ascii="宋体" w:hAnsi="宋体" w:eastAsia="宋体" w:cs="宋体"/>
                <w:bCs/>
                <w:color w:val="auto"/>
                <w:kern w:val="15"/>
                <w:sz w:val="24"/>
                <w:highlight w:val="none"/>
                <w:lang w:val="en-US" w:eastAsia="zh-CN"/>
              </w:rPr>
              <w:t>否，按综合得分由高到低推荐一名中标候选人</w:t>
            </w:r>
          </w:p>
        </w:tc>
      </w:tr>
      <w:tr w14:paraId="39EE8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CEBDEFE2">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7.3.1</w:t>
            </w:r>
          </w:p>
        </w:tc>
        <w:tc>
          <w:tcPr>
            <w:tcW w:w="3255" w:type="dxa"/>
            <w:vAlign w:val="center"/>
          </w:tcPr>
          <w:p w14:paraId="3B0DAFD7">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履约、支付担保金额</w:t>
            </w:r>
          </w:p>
        </w:tc>
        <w:tc>
          <w:tcPr>
            <w:tcW w:w="4916" w:type="dxa"/>
            <w:vAlign w:val="center"/>
          </w:tcPr>
          <w:p w14:paraId="2A45A85E">
            <w:pPr>
              <w:keepNext w:val="0"/>
              <w:keepLines w:val="0"/>
              <w:pageBreakBefore w:val="0"/>
              <w:widowControl w:val="0"/>
              <w:kinsoku/>
              <w:wordWrap/>
              <w:overflowPunct/>
              <w:topLinePunct w:val="0"/>
              <w:bidi w:val="0"/>
              <w:snapToGrid/>
              <w:spacing w:line="400" w:lineRule="exact"/>
              <w:ind w:right="0" w:rightChars="0"/>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按合同约定。</w:t>
            </w:r>
          </w:p>
        </w:tc>
      </w:tr>
      <w:tr w14:paraId="CBA16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7928D655">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7.3.2</w:t>
            </w:r>
          </w:p>
        </w:tc>
        <w:tc>
          <w:tcPr>
            <w:tcW w:w="3255" w:type="dxa"/>
            <w:vAlign w:val="center"/>
          </w:tcPr>
          <w:p w14:paraId="33FE669C">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付款</w:t>
            </w:r>
            <w:r>
              <w:rPr>
                <w:rFonts w:hint="eastAsia" w:ascii="宋体" w:hAnsi="宋体" w:cs="宋体"/>
                <w:bCs/>
                <w:color w:val="auto"/>
                <w:sz w:val="24"/>
                <w:highlight w:val="none"/>
                <w:lang w:val="zh-CN"/>
              </w:rPr>
              <w:t>方式</w:t>
            </w:r>
          </w:p>
        </w:tc>
        <w:tc>
          <w:tcPr>
            <w:tcW w:w="4916" w:type="dxa"/>
            <w:vAlign w:val="center"/>
          </w:tcPr>
          <w:p w14:paraId="819292DF">
            <w:pPr>
              <w:keepNext w:val="0"/>
              <w:keepLines w:val="0"/>
              <w:pageBreakBefore w:val="0"/>
              <w:widowControl w:val="0"/>
              <w:kinsoku/>
              <w:wordWrap/>
              <w:overflowPunct/>
              <w:topLinePunct w:val="0"/>
              <w:bidi w:val="0"/>
              <w:snapToGrid/>
              <w:spacing w:line="400" w:lineRule="exact"/>
              <w:ind w:right="0" w:rightChars="0"/>
              <w:textAlignment w:val="auto"/>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highlight w:val="none"/>
                <w:lang w:val="zh-CN"/>
              </w:rPr>
              <w:t>按合同约定。</w:t>
            </w:r>
          </w:p>
        </w:tc>
      </w:tr>
      <w:tr w14:paraId="3A6DF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86F8929B">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l0</w:t>
            </w:r>
          </w:p>
        </w:tc>
        <w:tc>
          <w:tcPr>
            <w:tcW w:w="3255" w:type="dxa"/>
            <w:vAlign w:val="center"/>
          </w:tcPr>
          <w:p w14:paraId="CA14C8AB">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需要补充的其他内容</w:t>
            </w:r>
          </w:p>
        </w:tc>
        <w:tc>
          <w:tcPr>
            <w:tcW w:w="4916" w:type="dxa"/>
          </w:tcPr>
          <w:p w14:paraId="0F74D377">
            <w:pPr>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cs="宋体"/>
                <w:b/>
                <w:bCs w:val="0"/>
                <w:color w:val="auto"/>
                <w:sz w:val="24"/>
                <w:highlight w:val="none"/>
                <w:lang w:val="zh-CN" w:eastAsia="zh-CN"/>
              </w:rPr>
            </w:pPr>
            <w:r>
              <w:rPr>
                <w:rFonts w:hint="eastAsia" w:ascii="宋体" w:hAnsi="宋体" w:cs="宋体"/>
                <w:b/>
                <w:bCs w:val="0"/>
                <w:color w:val="auto"/>
                <w:sz w:val="24"/>
                <w:highlight w:val="none"/>
                <w:lang w:val="zh-CN" w:eastAsia="zh-CN"/>
              </w:rPr>
              <w:t>无</w:t>
            </w:r>
          </w:p>
        </w:tc>
      </w:tr>
      <w:tr w14:paraId="876A8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55F2AE84">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10.1</w:t>
            </w:r>
          </w:p>
        </w:tc>
        <w:tc>
          <w:tcPr>
            <w:tcW w:w="3255" w:type="dxa"/>
            <w:vAlign w:val="center"/>
          </w:tcPr>
          <w:p w14:paraId="606B079C">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采购预算合计</w:t>
            </w:r>
          </w:p>
        </w:tc>
        <w:tc>
          <w:tcPr>
            <w:tcW w:w="4916" w:type="dxa"/>
          </w:tcPr>
          <w:p w14:paraId="6ADF9000">
            <w:pPr>
              <w:keepNext w:val="0"/>
              <w:keepLines w:val="0"/>
              <w:pageBreakBefore w:val="0"/>
              <w:widowControl w:val="0"/>
              <w:kinsoku/>
              <w:wordWrap/>
              <w:overflowPunct/>
              <w:topLinePunct w:val="0"/>
              <w:bidi w:val="0"/>
              <w:snapToGrid/>
              <w:spacing w:line="400" w:lineRule="exact"/>
              <w:ind w:right="0" w:rightChars="0"/>
              <w:jc w:val="left"/>
              <w:textAlignment w:val="auto"/>
              <w:outlineLvl w:val="9"/>
              <w:rPr>
                <w:rFonts w:hint="default" w:ascii="宋体" w:hAnsi="宋体" w:eastAsia="宋体" w:cs="宋体"/>
                <w:bCs/>
                <w:color w:val="auto"/>
                <w:kern w:val="15"/>
                <w:sz w:val="24"/>
                <w:szCs w:val="22"/>
                <w:highlight w:val="none"/>
                <w:lang w:val="en-US" w:eastAsia="zh-CN"/>
              </w:rPr>
            </w:pPr>
            <w:r>
              <w:rPr>
                <w:rFonts w:hint="eastAsia" w:ascii="宋体" w:hAnsi="宋体" w:cs="宋体"/>
                <w:sz w:val="24"/>
                <w:szCs w:val="24"/>
                <w:lang w:val="en-US" w:eastAsia="zh-CN"/>
              </w:rPr>
              <w:t>367万元</w:t>
            </w:r>
            <w:r>
              <w:rPr>
                <w:rFonts w:hint="eastAsia" w:ascii="宋体" w:hAnsi="宋体" w:cs="宋体"/>
                <w:sz w:val="24"/>
                <w:szCs w:val="24"/>
              </w:rPr>
              <w:t>；</w:t>
            </w:r>
            <w:r>
              <w:rPr>
                <w:rFonts w:hint="eastAsia" w:ascii="宋体" w:hAnsi="宋体" w:cs="宋体"/>
                <w:sz w:val="24"/>
                <w:szCs w:val="24"/>
                <w:lang w:eastAsia="zh-CN"/>
              </w:rPr>
              <w:t>一标段</w:t>
            </w:r>
            <w:r>
              <w:rPr>
                <w:rFonts w:hint="eastAsia" w:ascii="宋体" w:hAnsi="宋体" w:cs="宋体"/>
                <w:sz w:val="24"/>
                <w:szCs w:val="24"/>
                <w:lang w:val="en-US" w:eastAsia="zh-CN"/>
              </w:rPr>
              <w:t>70万元，二标段70万元，三标段70万元，四标段110万元，五标段47万元</w:t>
            </w:r>
          </w:p>
        </w:tc>
      </w:tr>
      <w:tr w14:paraId="03202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81B11180">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10.3</w:t>
            </w:r>
          </w:p>
        </w:tc>
        <w:tc>
          <w:tcPr>
            <w:tcW w:w="3255" w:type="dxa"/>
            <w:vAlign w:val="center"/>
          </w:tcPr>
          <w:p w14:paraId="B7DBCC06">
            <w:pPr>
              <w:keepNext w:val="0"/>
              <w:keepLines w:val="0"/>
              <w:pageBreakBefore w:val="0"/>
              <w:widowControl w:val="0"/>
              <w:kinsoku/>
              <w:wordWrap/>
              <w:overflowPunct/>
              <w:topLinePunct w:val="0"/>
              <w:bidi w:val="0"/>
              <w:snapToGrid/>
              <w:spacing w:line="400" w:lineRule="exact"/>
              <w:ind w:right="0" w:rightChars="0"/>
              <w:jc w:val="center"/>
              <w:textAlignment w:val="auto"/>
              <w:outlineLvl w:val="9"/>
              <w:rPr>
                <w:rFonts w:hint="eastAsia" w:ascii="宋体" w:hAnsi="宋体" w:eastAsia="宋体" w:cs="宋体"/>
                <w:bCs/>
                <w:color w:val="auto"/>
                <w:kern w:val="15"/>
                <w:sz w:val="24"/>
                <w:highlight w:val="none"/>
              </w:rPr>
            </w:pPr>
            <w:r>
              <w:rPr>
                <w:rFonts w:hint="eastAsia" w:ascii="宋体" w:hAnsi="宋体" w:eastAsia="宋体" w:cs="宋体"/>
                <w:bCs/>
                <w:color w:val="auto"/>
                <w:kern w:val="15"/>
                <w:sz w:val="24"/>
                <w:highlight w:val="none"/>
                <w:lang w:val="zh-CN"/>
              </w:rPr>
              <w:t>评审办法</w:t>
            </w:r>
          </w:p>
        </w:tc>
        <w:tc>
          <w:tcPr>
            <w:tcW w:w="4916" w:type="dxa"/>
          </w:tcPr>
          <w:p w14:paraId="FF98334B">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color w:val="auto"/>
                <w:sz w:val="24"/>
                <w:szCs w:val="24"/>
                <w:highlight w:val="none"/>
                <w:lang w:val="zh-CN" w:eastAsia="zh-CN"/>
              </w:rPr>
            </w:pPr>
            <w:r>
              <w:rPr>
                <w:rFonts w:hint="eastAsia" w:ascii="宋体" w:hAnsi="宋体" w:eastAsia="宋体" w:cs="宋体"/>
                <w:b/>
                <w:bCs/>
                <w:color w:val="auto"/>
                <w:sz w:val="24"/>
                <w:szCs w:val="24"/>
                <w:highlight w:val="none"/>
                <w:lang w:val="zh-CN" w:eastAsia="zh-CN"/>
              </w:rPr>
              <w:t>综合评分法</w:t>
            </w:r>
          </w:p>
        </w:tc>
      </w:tr>
      <w:tr w14:paraId="B478B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7" w:type="dxa"/>
            <w:vAlign w:val="center"/>
          </w:tcPr>
          <w:p w14:paraId="B48EEF8A">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center"/>
              <w:textAlignment w:val="auto"/>
              <w:outlineLvl w:val="9"/>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10.4</w:t>
            </w:r>
          </w:p>
        </w:tc>
        <w:tc>
          <w:tcPr>
            <w:tcW w:w="3255" w:type="dxa"/>
            <w:vAlign w:val="center"/>
          </w:tcPr>
          <w:p w14:paraId="B29D2EDD">
            <w:pPr>
              <w:keepNext w:val="0"/>
              <w:keepLines w:val="0"/>
              <w:pageBreakBefore w:val="0"/>
              <w:widowControl w:val="0"/>
              <w:kinsoku/>
              <w:wordWrap/>
              <w:overflowPunct/>
              <w:topLinePunct w:val="0"/>
              <w:bidi w:val="0"/>
              <w:snapToGrid/>
              <w:spacing w:line="400" w:lineRule="exact"/>
              <w:ind w:right="0" w:rightChars="0"/>
              <w:jc w:val="center"/>
              <w:textAlignment w:val="auto"/>
              <w:outlineLvl w:val="9"/>
              <w:rPr>
                <w:rFonts w:hint="eastAsia" w:ascii="宋体" w:hAnsi="宋体" w:eastAsia="宋体" w:cs="宋体"/>
                <w:bCs/>
                <w:color w:val="auto"/>
                <w:kern w:val="15"/>
                <w:sz w:val="24"/>
                <w:highlight w:val="none"/>
              </w:rPr>
            </w:pPr>
            <w:r>
              <w:rPr>
                <w:rFonts w:hint="eastAsia" w:ascii="宋体" w:hAnsi="宋体" w:eastAsia="宋体" w:cs="宋体"/>
                <w:bCs/>
                <w:color w:val="auto"/>
                <w:kern w:val="15"/>
                <w:sz w:val="24"/>
                <w:highlight w:val="none"/>
              </w:rPr>
              <w:t>招标代理服务费</w:t>
            </w:r>
          </w:p>
        </w:tc>
        <w:tc>
          <w:tcPr>
            <w:tcW w:w="4916" w:type="dxa"/>
          </w:tcPr>
          <w:p w14:paraId="ECB4D7CB">
            <w:pPr>
              <w:keepNext w:val="0"/>
              <w:keepLines w:val="0"/>
              <w:pageBreakBefore w:val="0"/>
              <w:widowControl w:val="0"/>
              <w:kinsoku/>
              <w:wordWrap/>
              <w:overflowPunct/>
              <w:topLinePunct w:val="0"/>
              <w:autoSpaceDE w:val="0"/>
              <w:autoSpaceDN w:val="0"/>
              <w:bidi w:val="0"/>
              <w:adjustRightInd w:val="0"/>
              <w:snapToGrid/>
              <w:spacing w:line="400" w:lineRule="exact"/>
              <w:ind w:right="0" w:rightChars="0"/>
              <w:jc w:val="left"/>
              <w:textAlignment w:val="auto"/>
              <w:outlineLvl w:val="9"/>
              <w:rPr>
                <w:rFonts w:hint="eastAsia" w:ascii="宋体" w:hAnsi="宋体" w:eastAsia="宋体" w:cs="宋体"/>
                <w:color w:val="auto"/>
                <w:sz w:val="24"/>
                <w:szCs w:val="24"/>
                <w:highlight w:val="none"/>
                <w:lang w:val="zh-CN" w:eastAsia="zh-CN"/>
              </w:rPr>
            </w:pPr>
            <w:r>
              <w:rPr>
                <w:rStyle w:val="37"/>
                <w:rFonts w:ascii="宋体" w:hAnsi="宋体" w:cs="Times New Roman"/>
                <w:color w:val="auto"/>
                <w:sz w:val="24"/>
                <w:szCs w:val="24"/>
                <w:highlight w:val="none"/>
                <w:lang w:val="zh-CN"/>
              </w:rPr>
              <w:t>执行发改办价格[2015]299号文件收费标准，向中标人收取。</w:t>
            </w:r>
          </w:p>
        </w:tc>
      </w:tr>
      <w:bookmarkEnd w:id="5"/>
    </w:tbl>
    <w:p w14:paraId="C92DC679">
      <w:pPr>
        <w:autoSpaceDE w:val="0"/>
        <w:autoSpaceDN w:val="0"/>
        <w:adjustRightInd w:val="0"/>
        <w:spacing w:line="520" w:lineRule="exact"/>
        <w:jc w:val="center"/>
        <w:rPr>
          <w:rFonts w:hint="eastAsia" w:ascii="宋体" w:hAnsi="宋体" w:eastAsia="宋体" w:cs="宋体"/>
          <w:b/>
          <w:bCs/>
          <w:color w:val="auto"/>
          <w:sz w:val="36"/>
          <w:szCs w:val="36"/>
          <w:highlight w:val="none"/>
          <w:lang w:val="zh-CN"/>
        </w:rPr>
      </w:pPr>
      <w:r>
        <w:rPr>
          <w:rFonts w:hint="eastAsia" w:ascii="宋体" w:hAnsi="宋体" w:eastAsia="宋体" w:cs="宋体"/>
          <w:b/>
          <w:bCs/>
          <w:color w:val="auto"/>
          <w:sz w:val="36"/>
          <w:szCs w:val="36"/>
          <w:highlight w:val="none"/>
          <w:lang w:val="zh-CN"/>
        </w:rPr>
        <w:br w:type="page"/>
      </w:r>
      <w:r>
        <w:rPr>
          <w:rFonts w:hint="eastAsia" w:ascii="宋体" w:hAnsi="宋体" w:eastAsia="宋体" w:cs="宋体"/>
          <w:b/>
          <w:bCs/>
          <w:color w:val="auto"/>
          <w:sz w:val="36"/>
          <w:szCs w:val="36"/>
          <w:highlight w:val="none"/>
          <w:lang w:val="zh-CN"/>
        </w:rPr>
        <w:t>投标人须知</w:t>
      </w:r>
    </w:p>
    <w:p w14:paraId="D30599BF">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1．适用法律：</w:t>
      </w:r>
      <w:r>
        <w:rPr>
          <w:rFonts w:hint="eastAsia" w:ascii="宋体" w:hAnsi="宋体" w:eastAsia="宋体" w:cs="宋体"/>
          <w:color w:val="auto"/>
          <w:sz w:val="24"/>
          <w:highlight w:val="none"/>
          <w:lang w:val="zh-CN"/>
        </w:rPr>
        <w:t>本次招标适用法律法规为《中华人民共和国政府采购法》、《政府采购货物和服务招标投标管理办法》及政府采购其它相关法规。</w:t>
      </w:r>
    </w:p>
    <w:p w14:paraId="BE906315">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2．定义：</w:t>
      </w:r>
    </w:p>
    <w:p w14:paraId="3655519E">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2.1</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招标人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指负责采购活动的组织工作。</w:t>
      </w:r>
    </w:p>
    <w:p w14:paraId="72834703">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2.2</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采购人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指负责采购项目的整体规划、采购需求设计和可行性论证，作为合同的需方，承担质疑答复，合同履行、验收、评价等义务。</w:t>
      </w:r>
    </w:p>
    <w:p w14:paraId="CF4E4EDC">
      <w:pPr>
        <w:tabs>
          <w:tab w:val="left" w:pos="709"/>
        </w:tabs>
        <w:autoSpaceDE w:val="0"/>
        <w:autoSpaceDN w:val="0"/>
        <w:adjustRightInd w:val="0"/>
        <w:spacing w:line="460" w:lineRule="exact"/>
        <w:ind w:firstLine="47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2.3</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招标内容</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详见第五章《技术规格与要求》。</w:t>
      </w:r>
    </w:p>
    <w:p w14:paraId="9E0B9230">
      <w:pPr>
        <w:tabs>
          <w:tab w:val="left" w:pos="709"/>
        </w:tabs>
        <w:autoSpaceDE w:val="0"/>
        <w:autoSpaceDN w:val="0"/>
        <w:adjustRightInd w:val="0"/>
        <w:spacing w:line="460" w:lineRule="exact"/>
        <w:ind w:firstLine="47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2.4</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潜在投标人</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指确认参加投标的供应商。</w:t>
      </w:r>
    </w:p>
    <w:p w14:paraId="CDB8A667">
      <w:pPr>
        <w:tabs>
          <w:tab w:val="left" w:pos="709"/>
        </w:tabs>
        <w:autoSpaceDE w:val="0"/>
        <w:autoSpaceDN w:val="0"/>
        <w:adjustRightInd w:val="0"/>
        <w:spacing w:line="460" w:lineRule="exact"/>
        <w:ind w:firstLine="47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2.5</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投标人</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指响应本招标文件参加投标的供应商。</w:t>
      </w:r>
    </w:p>
    <w:p w14:paraId="E94B0E61">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3．合格投标人资格条件要求：</w:t>
      </w:r>
    </w:p>
    <w:p w14:paraId="7BCBA564">
      <w:pPr>
        <w:tabs>
          <w:tab w:val="left" w:pos="709"/>
        </w:tabs>
        <w:autoSpaceDE w:val="0"/>
        <w:autoSpaceDN w:val="0"/>
        <w:adjustRightInd w:val="0"/>
        <w:spacing w:line="460" w:lineRule="exact"/>
        <w:ind w:firstLine="47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3.1详见招标公告及投标人须知前附表；</w:t>
      </w:r>
    </w:p>
    <w:p w14:paraId="1D477043">
      <w:pPr>
        <w:tabs>
          <w:tab w:val="left" w:pos="709"/>
        </w:tabs>
        <w:autoSpaceDE w:val="0"/>
        <w:autoSpaceDN w:val="0"/>
        <w:adjustRightInd w:val="0"/>
        <w:spacing w:line="460" w:lineRule="exact"/>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以上各款关于合格投标人资格条件的要求均须提供中文文本，否则无效，投标人应按第</w:t>
      </w:r>
      <w:r>
        <w:rPr>
          <w:rFonts w:hint="eastAsia" w:ascii="宋体" w:hAnsi="宋体" w:cs="宋体"/>
          <w:color w:val="auto"/>
          <w:sz w:val="24"/>
          <w:highlight w:val="none"/>
          <w:lang w:val="zh-CN"/>
        </w:rPr>
        <w:t>六</w:t>
      </w:r>
      <w:r>
        <w:rPr>
          <w:rFonts w:hint="eastAsia" w:ascii="宋体" w:hAnsi="宋体" w:eastAsia="宋体" w:cs="宋体"/>
          <w:color w:val="auto"/>
          <w:sz w:val="24"/>
          <w:highlight w:val="none"/>
          <w:lang w:val="zh-CN"/>
        </w:rPr>
        <w:t>章《投标文件构成、要求及格式》的相关规定提交。</w:t>
      </w:r>
    </w:p>
    <w:p w14:paraId="4B304740">
      <w:pPr>
        <w:tabs>
          <w:tab w:val="left" w:pos="709"/>
        </w:tabs>
        <w:autoSpaceDE w:val="0"/>
        <w:autoSpaceDN w:val="0"/>
        <w:adjustRightInd w:val="0"/>
        <w:spacing w:line="460" w:lineRule="exact"/>
        <w:ind w:firstLine="470"/>
        <w:rPr>
          <w:rFonts w:hint="eastAsia" w:ascii="宋体" w:hAnsi="宋体" w:eastAsia="宋体" w:cs="宋体"/>
          <w:color w:val="auto"/>
          <w:sz w:val="24"/>
          <w:highlight w:val="none"/>
          <w:lang w:val="zh-CN"/>
        </w:rPr>
      </w:pPr>
      <w:r>
        <w:rPr>
          <w:rFonts w:hint="eastAsia" w:ascii="宋体" w:hAnsi="宋体" w:eastAsia="宋体" w:cs="宋体"/>
          <w:b/>
          <w:color w:val="auto"/>
          <w:kern w:val="0"/>
          <w:sz w:val="24"/>
          <w:highlight w:val="none"/>
          <w:lang w:val="zh-CN"/>
        </w:rPr>
        <w:t>4．项目答疑会和踏勘现场：</w:t>
      </w:r>
      <w:r>
        <w:rPr>
          <w:rFonts w:hint="eastAsia" w:ascii="宋体" w:hAnsi="宋体" w:eastAsia="宋体" w:cs="宋体"/>
          <w:color w:val="auto"/>
          <w:sz w:val="24"/>
          <w:highlight w:val="none"/>
          <w:lang w:val="zh-CN"/>
        </w:rPr>
        <w:t>不组织，由投标人自行踏勘现场。</w:t>
      </w:r>
    </w:p>
    <w:p w14:paraId="5E9FAFF9">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5．投标费用：</w:t>
      </w:r>
      <w:r>
        <w:rPr>
          <w:rFonts w:hint="eastAsia" w:ascii="宋体" w:hAnsi="宋体" w:eastAsia="宋体" w:cs="宋体"/>
          <w:color w:val="auto"/>
          <w:sz w:val="24"/>
          <w:highlight w:val="none"/>
          <w:lang w:val="zh-CN"/>
        </w:rPr>
        <w:t>投标人应自行承担所有与编写和提交投标文件有关的费用，无论投标的结果如何，招标人和采购人在任何情况下均无义务和责任承担费用。</w:t>
      </w:r>
    </w:p>
    <w:p w14:paraId="F46FA764">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6. 招标文件：</w:t>
      </w:r>
    </w:p>
    <w:p w14:paraId="2EA9FCFA">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6.1 招标文件的构成：</w:t>
      </w:r>
    </w:p>
    <w:p w14:paraId="F4600D5C">
      <w:pPr>
        <w:autoSpaceDE w:val="0"/>
        <w:autoSpaceDN w:val="0"/>
        <w:adjustRightInd w:val="0"/>
        <w:spacing w:line="460" w:lineRule="exact"/>
        <w:ind w:firstLine="720"/>
        <w:rPr>
          <w:rFonts w:hint="eastAsia" w:ascii="宋体" w:hAnsi="宋体" w:eastAsia="宋体" w:cs="宋体"/>
          <w:color w:val="auto"/>
          <w:sz w:val="24"/>
          <w:highlight w:val="none"/>
          <w:lang w:val="zh-CN"/>
        </w:rPr>
      </w:pPr>
      <w:bookmarkStart w:id="27" w:name="_Toc19465_WPSOffice_Level1"/>
      <w:r>
        <w:rPr>
          <w:rFonts w:hint="eastAsia" w:ascii="宋体" w:hAnsi="宋体" w:eastAsia="宋体" w:cs="宋体"/>
          <w:color w:val="auto"/>
          <w:sz w:val="24"/>
          <w:highlight w:val="none"/>
          <w:lang w:val="zh-CN"/>
        </w:rPr>
        <w:t>第一章 招标公告</w:t>
      </w:r>
      <w:bookmarkEnd w:id="27"/>
    </w:p>
    <w:p w14:paraId="76C05BB5">
      <w:pPr>
        <w:autoSpaceDE w:val="0"/>
        <w:autoSpaceDN w:val="0"/>
        <w:adjustRightInd w:val="0"/>
        <w:spacing w:line="460" w:lineRule="exact"/>
        <w:ind w:firstLine="720"/>
        <w:rPr>
          <w:rFonts w:hint="eastAsia" w:ascii="宋体" w:hAnsi="宋体" w:eastAsia="宋体" w:cs="宋体"/>
          <w:color w:val="auto"/>
          <w:sz w:val="24"/>
          <w:highlight w:val="none"/>
          <w:lang w:val="zh-CN"/>
        </w:rPr>
      </w:pPr>
      <w:bookmarkStart w:id="28" w:name="_Toc23904_WPSOffice_Level1"/>
      <w:r>
        <w:rPr>
          <w:rFonts w:hint="eastAsia" w:ascii="宋体" w:hAnsi="宋体" w:eastAsia="宋体" w:cs="宋体"/>
          <w:color w:val="auto"/>
          <w:sz w:val="24"/>
          <w:highlight w:val="none"/>
          <w:lang w:val="zh-CN"/>
        </w:rPr>
        <w:t>第二章 投标人须知</w:t>
      </w:r>
      <w:bookmarkEnd w:id="28"/>
    </w:p>
    <w:p w14:paraId="39ECB645">
      <w:pPr>
        <w:autoSpaceDE w:val="0"/>
        <w:autoSpaceDN w:val="0"/>
        <w:adjustRightInd w:val="0"/>
        <w:spacing w:line="460" w:lineRule="exact"/>
        <w:ind w:firstLine="72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第三章 合同条款</w:t>
      </w:r>
    </w:p>
    <w:p w14:paraId="8FB3E020">
      <w:pPr>
        <w:autoSpaceDE w:val="0"/>
        <w:autoSpaceDN w:val="0"/>
        <w:adjustRightInd w:val="0"/>
        <w:spacing w:line="460" w:lineRule="exact"/>
        <w:ind w:firstLine="72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第四章 采购合同书格式</w:t>
      </w:r>
    </w:p>
    <w:p w14:paraId="C67EB155">
      <w:pPr>
        <w:autoSpaceDE w:val="0"/>
        <w:autoSpaceDN w:val="0"/>
        <w:adjustRightInd w:val="0"/>
        <w:spacing w:line="460" w:lineRule="exact"/>
        <w:ind w:firstLine="72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第五章 技术规格与要求</w:t>
      </w:r>
    </w:p>
    <w:p w14:paraId="071F8622">
      <w:pPr>
        <w:autoSpaceDE w:val="0"/>
        <w:autoSpaceDN w:val="0"/>
        <w:adjustRightInd w:val="0"/>
        <w:spacing w:line="460" w:lineRule="exact"/>
        <w:ind w:firstLine="72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第六章 投标文件构成、要求及格式</w:t>
      </w:r>
    </w:p>
    <w:p w14:paraId="5F3C6FFA">
      <w:pPr>
        <w:autoSpaceDE w:val="0"/>
        <w:autoSpaceDN w:val="0"/>
        <w:adjustRightInd w:val="0"/>
        <w:spacing w:line="460" w:lineRule="exact"/>
        <w:ind w:firstLine="72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第七章 </w:t>
      </w:r>
      <w:r>
        <w:rPr>
          <w:rFonts w:hint="eastAsia" w:ascii="宋体" w:hAnsi="宋体" w:eastAsia="宋体" w:cs="宋体"/>
          <w:color w:val="auto"/>
          <w:sz w:val="24"/>
          <w:highlight w:val="none"/>
          <w:lang w:val="zh-CN" w:eastAsia="zh-CN"/>
        </w:rPr>
        <w:t>评标办法</w:t>
      </w:r>
    </w:p>
    <w:p w14:paraId="22ABBF0E">
      <w:pPr>
        <w:autoSpaceDE w:val="0"/>
        <w:autoSpaceDN w:val="0"/>
        <w:adjustRightInd w:val="0"/>
        <w:spacing w:line="460" w:lineRule="exact"/>
        <w:ind w:firstLine="720"/>
        <w:rPr>
          <w:rFonts w:hint="eastAsia" w:ascii="宋体" w:hAnsi="宋体" w:eastAsia="宋体" w:cs="宋体"/>
          <w:color w:val="auto"/>
          <w:sz w:val="24"/>
          <w:highlight w:val="none"/>
          <w:lang w:val="zh-CN" w:eastAsia="zh-CN"/>
        </w:rPr>
      </w:pPr>
      <w:r>
        <w:rPr>
          <w:rFonts w:hint="eastAsia" w:ascii="宋体" w:hAnsi="宋体" w:eastAsia="宋体" w:cs="宋体"/>
          <w:color w:val="auto"/>
          <w:sz w:val="24"/>
          <w:highlight w:val="none"/>
          <w:lang w:val="zh-CN"/>
        </w:rPr>
        <w:t xml:space="preserve">第八章 </w:t>
      </w:r>
      <w:r>
        <w:rPr>
          <w:rFonts w:hint="eastAsia" w:ascii="宋体" w:hAnsi="宋体" w:eastAsia="宋体" w:cs="宋体"/>
          <w:color w:val="auto"/>
          <w:sz w:val="24"/>
          <w:highlight w:val="none"/>
          <w:lang w:val="zh-CN" w:eastAsia="zh-CN"/>
        </w:rPr>
        <w:t>附件</w:t>
      </w:r>
    </w:p>
    <w:p w14:paraId="BC728C70">
      <w:pPr>
        <w:autoSpaceDE w:val="0"/>
        <w:autoSpaceDN w:val="0"/>
        <w:adjustRightInd w:val="0"/>
        <w:spacing w:line="460" w:lineRule="exact"/>
        <w:ind w:firstLine="480"/>
        <w:rPr>
          <w:rFonts w:hint="eastAsia" w:ascii="宋体" w:hAnsi="宋体" w:eastAsia="宋体" w:cs="宋体"/>
          <w:b/>
          <w:color w:val="auto"/>
          <w:sz w:val="24"/>
          <w:highlight w:val="none"/>
          <w:lang w:val="zh-CN"/>
        </w:rPr>
      </w:pPr>
      <w:r>
        <w:rPr>
          <w:rFonts w:hint="eastAsia" w:ascii="宋体" w:hAnsi="宋体" w:eastAsia="宋体" w:cs="宋体"/>
          <w:color w:val="auto"/>
          <w:sz w:val="24"/>
          <w:highlight w:val="none"/>
          <w:lang w:val="zh-CN"/>
        </w:rPr>
        <w:t>6.2投标人应认真阅读招标文件中所有事项、格式、条款和规范等要求。如果投标人没有按照招标文件要求提交全部文件资料或投标文件没有对招标文件在各方面都做出实质性响应，将按废标处理由投标人自行承担风险。</w:t>
      </w:r>
    </w:p>
    <w:p w14:paraId="8371ED81">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7. 招标文件的澄清和修改</w:t>
      </w:r>
    </w:p>
    <w:p w14:paraId="894D78ED">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7.1</w:t>
      </w:r>
      <w:r>
        <w:rPr>
          <w:rFonts w:hint="eastAsia" w:ascii="宋体" w:hAnsi="宋体" w:eastAsia="宋体" w:cs="宋体"/>
          <w:color w:val="auto"/>
          <w:sz w:val="24"/>
          <w:highlight w:val="none"/>
        </w:rPr>
        <w:t>任何要求对招标文件进行澄清的投标人，均应在投标截止期</w:t>
      </w:r>
      <w:r>
        <w:rPr>
          <w:rFonts w:hint="eastAsia" w:ascii="宋体" w:hAnsi="宋体" w:eastAsia="宋体" w:cs="宋体"/>
          <w:color w:val="auto"/>
          <w:sz w:val="24"/>
          <w:highlight w:val="none"/>
          <w:u w:val="single"/>
        </w:rPr>
        <w:t>15</w:t>
      </w:r>
      <w:r>
        <w:rPr>
          <w:rFonts w:hint="eastAsia" w:ascii="宋体" w:hAnsi="宋体" w:eastAsia="宋体" w:cs="宋体"/>
          <w:color w:val="auto"/>
          <w:sz w:val="24"/>
          <w:highlight w:val="none"/>
        </w:rPr>
        <w:t>天前以书面形式通知招标方，招标方对收到的澄清要求将视所提问题具体情况以书面形式予以答复</w:t>
      </w:r>
      <w:r>
        <w:rPr>
          <w:rFonts w:hint="eastAsia" w:ascii="宋体" w:hAnsi="宋体" w:eastAsia="宋体" w:cs="宋体"/>
          <w:color w:val="auto"/>
          <w:sz w:val="24"/>
          <w:highlight w:val="none"/>
          <w:lang w:val="zh-CN"/>
        </w:rPr>
        <w:t>澄清</w:t>
      </w:r>
      <w:r>
        <w:rPr>
          <w:rFonts w:hint="eastAsia" w:ascii="宋体" w:hAnsi="宋体" w:eastAsia="宋体" w:cs="宋体"/>
          <w:color w:val="auto"/>
          <w:sz w:val="24"/>
          <w:highlight w:val="none"/>
        </w:rPr>
        <w:t>，同时寄给每个购买招标文件的投标人或由投标人直接到招标方领取。投标人应立即以书面形式确认已收到的答复文件。答复中包括所提的问题，但不包括问题的来源。</w:t>
      </w:r>
      <w:r>
        <w:rPr>
          <w:rFonts w:hint="eastAsia" w:ascii="宋体" w:hAnsi="宋体" w:eastAsia="宋体" w:cs="宋体"/>
          <w:color w:val="auto"/>
          <w:sz w:val="24"/>
          <w:highlight w:val="none"/>
          <w:lang w:val="zh-CN"/>
        </w:rPr>
        <w:t>招标人对收到的供应商书面质疑，将按照政府采购法律规章的规定处理。</w:t>
      </w:r>
    </w:p>
    <w:p w14:paraId="2DE0E08A">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7.2 招标人可在投标截止时间</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zh-CN"/>
        </w:rPr>
        <w:t>5日前（含）对招标文件进行修改、补充。招标文件的修改、补充文件将以当面交接、传真或电子邮件的方式向潜在投标人发出，并在发布招标公告的媒体上公告。</w:t>
      </w:r>
    </w:p>
    <w:p w14:paraId="8691C45C">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7.3 招标文件的澄清、修改、补充文件均构成招标文件的组成部分，对所有投标人具有约束力，而无论其是否已经实际收到该澄清、修改、补充文件（包括答疑会纪要）。投标人若收到该澄清、修改、补充文件，则应立即以书面形式回复确认已收到。</w:t>
      </w:r>
    </w:p>
    <w:p w14:paraId="9202F585">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7.4 为使投标人有充分的时间对招标文件的澄清、修改、补充部分进行研究，招标人可在投标截止时间3日前（含）自行决定酌情延长投标截止时间，延长投标截止时间的公告将在发布招标公告的媒体上发告，并以当面交接、传真或电子邮件的方式向所有潜在投标人发出。在这种情况下，招标人和投标人受投标截止时间制约的所有权利和义务均相应延长至新的投标截止时间。</w:t>
      </w:r>
    </w:p>
    <w:p w14:paraId="345CA250">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8. 投标文件构成：</w:t>
      </w:r>
    </w:p>
    <w:p w14:paraId="F0E7BFA2">
      <w:pPr>
        <w:tabs>
          <w:tab w:val="left" w:pos="709"/>
        </w:tabs>
        <w:autoSpaceDE w:val="0"/>
        <w:autoSpaceDN w:val="0"/>
        <w:adjustRightInd w:val="0"/>
        <w:spacing w:line="460" w:lineRule="exact"/>
        <w:ind w:firstLine="48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8.1投标文件分为商务部分和技术部分。商务部分是投标人提交的证明其具有合格的投标资格和中标后有能力履行合同的文件。技术部分是能够证明投标人所提供货物和服务的合格性和符合招标文件规定的文件。</w:t>
      </w:r>
    </w:p>
    <w:p w14:paraId="2B384263">
      <w:pPr>
        <w:tabs>
          <w:tab w:val="left" w:pos="709"/>
        </w:tabs>
        <w:autoSpaceDE w:val="0"/>
        <w:autoSpaceDN w:val="0"/>
        <w:adjustRightInd w:val="0"/>
        <w:spacing w:line="460" w:lineRule="exact"/>
        <w:ind w:firstLine="48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8.2 投标人应提交本招标文件第六章</w:t>
      </w:r>
      <w:r>
        <w:rPr>
          <w:rFonts w:hint="eastAsia" w:ascii="宋体" w:hAnsi="宋体" w:eastAsia="宋体" w:cs="宋体"/>
          <w:color w:val="auto"/>
          <w:sz w:val="24"/>
          <w:highlight w:val="none"/>
          <w:lang w:val="zh-CN"/>
        </w:rPr>
        <w:t>《投标文件构成、要求及格式》</w:t>
      </w:r>
      <w:r>
        <w:rPr>
          <w:rFonts w:hint="eastAsia" w:ascii="宋体" w:hAnsi="宋体" w:eastAsia="宋体" w:cs="宋体"/>
          <w:color w:val="auto"/>
          <w:kern w:val="0"/>
          <w:sz w:val="24"/>
          <w:highlight w:val="none"/>
          <w:lang w:val="zh-CN"/>
        </w:rPr>
        <w:t>规定的全部商务文件和技术文件，若有缺失、无效或者不符合招标文件要求，将导致其投标被拒绝。</w:t>
      </w:r>
    </w:p>
    <w:p w14:paraId="D5DCB596">
      <w:pPr>
        <w:tabs>
          <w:tab w:val="left" w:pos="709"/>
        </w:tabs>
        <w:autoSpaceDE w:val="0"/>
        <w:autoSpaceDN w:val="0"/>
        <w:adjustRightInd w:val="0"/>
        <w:spacing w:line="460" w:lineRule="exact"/>
        <w:ind w:firstLine="48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8.3 投标人应按第二章《投标人须知》要求提交的投标保证金。</w:t>
      </w:r>
    </w:p>
    <w:p w14:paraId="8A76A7DE">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9. 投标文件的编制</w:t>
      </w:r>
    </w:p>
    <w:p w14:paraId="739E0B38">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9.1 投标语言：投标文件以及投标人与招标人就有关投标的来往函电均使用中文。 </w:t>
      </w:r>
    </w:p>
    <w:p w14:paraId="99860C6E">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9.2 计量单位：中华人民共和国法定计量单位。</w:t>
      </w:r>
    </w:p>
    <w:p w14:paraId="459C0913">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9.3 投标文件规格应采用A4幅面，打印，按照招标文件规定的顺序，统一编目编码装订。为便于评标，技术文件中的各项表格应按照招标文件第六章规定的格式制作。</w:t>
      </w:r>
    </w:p>
    <w:p w14:paraId="A5BE88E5">
      <w:pPr>
        <w:tabs>
          <w:tab w:val="left" w:pos="709"/>
        </w:tabs>
        <w:autoSpaceDE w:val="0"/>
        <w:autoSpaceDN w:val="0"/>
        <w:adjustRightInd w:val="0"/>
        <w:spacing w:line="460" w:lineRule="exact"/>
        <w:ind w:firstLine="48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9.4 投标人在投标文件以及在投标、合同签订、履行过程中所签署的相关文件中所加盖的公章，均须按照招标文件的规定加盖与投标人名称全称相一致的标准公章。</w:t>
      </w:r>
    </w:p>
    <w:p w14:paraId="9AD8733B">
      <w:pPr>
        <w:tabs>
          <w:tab w:val="left" w:pos="709"/>
        </w:tabs>
        <w:autoSpaceDE w:val="0"/>
        <w:autoSpaceDN w:val="0"/>
        <w:adjustRightInd w:val="0"/>
        <w:spacing w:line="460" w:lineRule="exact"/>
        <w:ind w:firstLine="48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9.5 招标人不接受采用传真方式提交的投标文件。</w:t>
      </w:r>
    </w:p>
    <w:p w14:paraId="E561DBF8">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10. 投标报价</w:t>
      </w:r>
    </w:p>
    <w:p w14:paraId="C45069E7">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10.1投标供应商的投标报价应在控制范围内，超出此范围的投标报价将按废标处理。投标货币：所有投标报价均以人民币万元为计算单位。</w:t>
      </w:r>
    </w:p>
    <w:p w14:paraId="0BEDAE13">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10.2投标人应一次性报出投标货物的单价和总价，每种货物只允许有一个有效报价，任何有选择的报价将不予接受。投标人所报价格应包含为在本招标文件指定地点交货、由投标人负责安装调试、验收合格并交付的全部价格。</w:t>
      </w:r>
    </w:p>
    <w:p w14:paraId="9EE685A6">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10.3投标人所报的价格在合同执行过程中是固定不变的</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lang w:val="zh-CN"/>
        </w:rPr>
        <w:t>不得以任何理由予以变更。以可调整的价格提交的投标将作为非响应性投标文件予以拒绝。</w:t>
      </w:r>
    </w:p>
    <w:p w14:paraId="3931B414">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11. 投标保证金</w:t>
      </w:r>
    </w:p>
    <w:p w14:paraId="ACB25E1C">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11.1投标人须按照招标文件中《投标人须知前附表》标明的</w:t>
      </w:r>
      <w:r>
        <w:rPr>
          <w:rFonts w:hint="eastAsia" w:ascii="宋体" w:hAnsi="宋体" w:cs="宋体"/>
          <w:color w:val="auto"/>
          <w:sz w:val="24"/>
          <w:highlight w:val="none"/>
          <w:lang w:val="zh-CN" w:eastAsia="zh-CN"/>
        </w:rPr>
        <w:t>招标代理机构</w:t>
      </w:r>
      <w:r>
        <w:rPr>
          <w:rFonts w:hint="eastAsia" w:ascii="宋体" w:hAnsi="宋体" w:eastAsia="宋体" w:cs="宋体"/>
          <w:color w:val="auto"/>
          <w:sz w:val="24"/>
          <w:highlight w:val="none"/>
          <w:lang w:val="zh-CN"/>
        </w:rPr>
        <w:t>帐户名称、开户银行和帐号提交，在投标截止时间前将投标保证金足额汇入（存入）</w:t>
      </w:r>
      <w:r>
        <w:rPr>
          <w:rFonts w:hint="eastAsia" w:ascii="宋体" w:hAnsi="宋体" w:cs="宋体"/>
          <w:color w:val="auto"/>
          <w:sz w:val="24"/>
          <w:highlight w:val="none"/>
          <w:lang w:val="zh-CN" w:eastAsia="zh-CN"/>
        </w:rPr>
        <w:t>招标代理机构</w:t>
      </w:r>
      <w:r>
        <w:rPr>
          <w:rFonts w:hint="eastAsia" w:ascii="宋体" w:hAnsi="宋体" w:eastAsia="宋体" w:cs="宋体"/>
          <w:color w:val="auto"/>
          <w:sz w:val="24"/>
          <w:highlight w:val="none"/>
          <w:lang w:val="zh-CN"/>
        </w:rPr>
        <w:t>帐户，并必须携带汇款银行出具的汇款（存款）凭证（进帐单复印件加盖投标人公章或财务章）或</w:t>
      </w:r>
      <w:r>
        <w:rPr>
          <w:rFonts w:hint="eastAsia" w:ascii="宋体" w:hAnsi="宋体" w:cs="宋体"/>
          <w:color w:val="auto"/>
          <w:sz w:val="24"/>
          <w:highlight w:val="none"/>
          <w:lang w:val="zh-CN" w:eastAsia="zh-CN"/>
        </w:rPr>
        <w:t>招标代理机构</w:t>
      </w:r>
      <w:r>
        <w:rPr>
          <w:rFonts w:hint="eastAsia" w:ascii="宋体" w:hAnsi="宋体" w:eastAsia="宋体" w:cs="宋体"/>
          <w:color w:val="auto"/>
          <w:sz w:val="24"/>
          <w:highlight w:val="none"/>
          <w:lang w:val="zh-CN"/>
        </w:rPr>
        <w:t>开出的收据参加开标会。</w:t>
      </w:r>
    </w:p>
    <w:p w14:paraId="547D9F44">
      <w:pPr>
        <w:autoSpaceDE w:val="0"/>
        <w:autoSpaceDN w:val="0"/>
        <w:adjustRightInd w:val="0"/>
        <w:spacing w:line="460" w:lineRule="exact"/>
        <w:ind w:firstLine="60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招标人特别声明：招标人不接受以银行转帐支票、现金支票提交的投标保证金。</w:t>
      </w:r>
    </w:p>
    <w:p w14:paraId="A9579082">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11.2投标保证金是为了弥补招标人因投标人的违规行为而蒙受的损失。招标人在因投标人的违规行为而受到损害时，将不予退还投标人的投标保证金，并作为所受损害的补偿。</w:t>
      </w:r>
    </w:p>
    <w:p w14:paraId="DC7DA090">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11.3投标保证金是投标文件的一个组成部分。在开标时，凡没有按规定提交投标保证金的投标，将被视为非响应性投标予以拒绝。</w:t>
      </w:r>
    </w:p>
    <w:p w14:paraId="90598376">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11.4未中标投标人的投标保证金将在中标通知书发出后5个工作日内退还，不计利息。</w:t>
      </w:r>
    </w:p>
    <w:p w14:paraId="3548D7A9">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11.5中标人的投标保证金，在中标人按本须知第21条规定签署合同，并按第22条规定交纳了履约保证金后5个工作日内退还，不计利息。</w:t>
      </w:r>
    </w:p>
    <w:p w14:paraId="75349E18">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 xml:space="preserve">11.6 </w:t>
      </w:r>
      <w:r>
        <w:rPr>
          <w:rFonts w:hint="eastAsia" w:ascii="宋体" w:hAnsi="宋体" w:eastAsia="宋体" w:cs="宋体"/>
          <w:color w:val="auto"/>
          <w:sz w:val="24"/>
          <w:highlight w:val="none"/>
          <w:lang w:val="zh-CN"/>
        </w:rPr>
        <w:t xml:space="preserve"> 下列情况之一发生时，投标保证金将不予退还：</w:t>
      </w:r>
    </w:p>
    <w:p w14:paraId="23DC26DF">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（1）投标人在招标文件规定的投标有效期内撤回其投标；（2）中标人在规定期限内未能做到：a.按照本须知第21条规定签订合同；b.按照本须知第22条规定提交履约保证金。</w:t>
      </w:r>
    </w:p>
    <w:p w14:paraId="B62E2B8E">
      <w:pPr>
        <w:autoSpaceDE w:val="0"/>
        <w:autoSpaceDN w:val="0"/>
        <w:adjustRightInd w:val="0"/>
        <w:spacing w:line="460" w:lineRule="exact"/>
        <w:ind w:firstLine="480"/>
        <w:rPr>
          <w:rFonts w:hint="eastAsia" w:ascii="宋体" w:hAnsi="宋体" w:eastAsia="宋体" w:cs="宋体"/>
          <w:b/>
          <w:color w:val="auto"/>
          <w:sz w:val="24"/>
          <w:highlight w:val="none"/>
          <w:lang w:val="zh-CN"/>
        </w:rPr>
      </w:pPr>
      <w:r>
        <w:rPr>
          <w:rFonts w:hint="eastAsia" w:ascii="宋体" w:hAnsi="宋体" w:eastAsia="宋体" w:cs="宋体"/>
          <w:color w:val="auto"/>
          <w:sz w:val="24"/>
          <w:highlight w:val="none"/>
          <w:lang w:val="zh-CN"/>
        </w:rPr>
        <w:t>（3）招标文件规定不予退还投标保证金的其他情形。</w:t>
      </w:r>
    </w:p>
    <w:p w14:paraId="41D8228C">
      <w:pPr>
        <w:autoSpaceDE w:val="0"/>
        <w:autoSpaceDN w:val="0"/>
        <w:adjustRightInd w:val="0"/>
        <w:spacing w:line="460" w:lineRule="exact"/>
        <w:ind w:firstLine="482"/>
        <w:jc w:val="left"/>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12. 投标有效期：</w:t>
      </w:r>
    </w:p>
    <w:p w14:paraId="76245D7E">
      <w:pPr>
        <w:autoSpaceDE w:val="0"/>
        <w:autoSpaceDN w:val="0"/>
        <w:adjustRightInd w:val="0"/>
        <w:spacing w:line="460" w:lineRule="exact"/>
        <w:ind w:firstLine="48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12.1投标有效期为自开标之时起</w:t>
      </w:r>
      <w:r>
        <w:rPr>
          <w:rFonts w:hint="eastAsia" w:ascii="宋体" w:hAnsi="宋体" w:cs="宋体"/>
          <w:color w:val="auto"/>
          <w:sz w:val="24"/>
          <w:highlight w:val="none"/>
          <w:lang w:val="en-US" w:eastAsia="zh-CN"/>
        </w:rPr>
        <w:t>9</w:t>
      </w:r>
      <w:r>
        <w:rPr>
          <w:rFonts w:hint="eastAsia" w:ascii="宋体" w:hAnsi="宋体" w:eastAsia="宋体" w:cs="宋体"/>
          <w:color w:val="auto"/>
          <w:sz w:val="24"/>
          <w:highlight w:val="none"/>
          <w:lang w:val="en-US" w:eastAsia="zh-CN"/>
        </w:rPr>
        <w:t>0</w:t>
      </w:r>
      <w:r>
        <w:rPr>
          <w:rFonts w:hint="eastAsia" w:ascii="宋体" w:hAnsi="宋体" w:eastAsia="宋体" w:cs="宋体"/>
          <w:color w:val="auto"/>
          <w:sz w:val="24"/>
          <w:highlight w:val="none"/>
          <w:lang w:val="zh-CN"/>
        </w:rPr>
        <w:t>天。投标文件在这个规定期限内应保持有效。</w:t>
      </w:r>
    </w:p>
    <w:p w14:paraId="F76A191F">
      <w:pPr>
        <w:autoSpaceDE w:val="0"/>
        <w:autoSpaceDN w:val="0"/>
        <w:adjustRightInd w:val="0"/>
        <w:spacing w:line="460" w:lineRule="exact"/>
        <w:ind w:firstLine="48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12.2在特殊情况下，招标人可与投标人协商延长投标有效期。这种要求和答复都应以书面形式进行。投标人可以拒绝接受延期要求而不会被没收投标保证金。同意延长投标有效期的投标人除按照招标人要求修改投标文件的有效期外，不能修改投标文件的其他内容。</w:t>
      </w:r>
    </w:p>
    <w:p w14:paraId="870EF510">
      <w:pPr>
        <w:autoSpaceDE w:val="0"/>
        <w:autoSpaceDN w:val="0"/>
        <w:adjustRightInd w:val="0"/>
        <w:spacing w:line="460" w:lineRule="exact"/>
        <w:ind w:firstLine="48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12.3中标人的投标文件有效期等同于合同履行期。</w:t>
      </w:r>
    </w:p>
    <w:p w14:paraId="D13E1586">
      <w:pPr>
        <w:numPr>
          <w:ilvl w:val="0"/>
          <w:numId w:val="2"/>
        </w:numPr>
        <w:autoSpaceDE w:val="0"/>
        <w:autoSpaceDN w:val="0"/>
        <w:adjustRightInd w:val="0"/>
        <w:spacing w:line="460" w:lineRule="exact"/>
        <w:ind w:firstLine="482" w:firstLineChars="200"/>
        <w:jc w:val="left"/>
        <w:rPr>
          <w:color w:val="auto"/>
          <w:highlight w:val="none"/>
        </w:rPr>
      </w:pPr>
      <w:r>
        <w:rPr>
          <w:rFonts w:hint="eastAsia" w:ascii="宋体" w:hAnsi="宋体" w:eastAsia="宋体" w:cs="宋体"/>
          <w:b/>
          <w:color w:val="auto"/>
          <w:sz w:val="24"/>
          <w:szCs w:val="22"/>
          <w:highlight w:val="none"/>
          <w:lang w:val="zh-CN"/>
        </w:rPr>
        <w:t>投标文件的式样和签署</w:t>
      </w:r>
    </w:p>
    <w:p w14:paraId="C14FCA0A">
      <w:pPr>
        <w:numPr>
          <w:ilvl w:val="0"/>
          <w:numId w:val="0"/>
        </w:numPr>
        <w:autoSpaceDE w:val="0"/>
        <w:autoSpaceDN w:val="0"/>
        <w:adjustRightInd w:val="0"/>
        <w:spacing w:line="460" w:lineRule="exact"/>
        <w:ind w:firstLine="240" w:firstLineChars="100"/>
        <w:jc w:val="left"/>
        <w:rPr>
          <w:color w:val="auto"/>
          <w:highlight w:val="none"/>
        </w:rPr>
      </w:pPr>
      <w:r>
        <w:rPr>
          <w:rFonts w:ascii="宋体" w:hAnsi="宋体" w:eastAsia="宋体" w:cs="宋体"/>
          <w:color w:val="auto"/>
          <w:kern w:val="0"/>
          <w:sz w:val="24"/>
          <w:szCs w:val="24"/>
          <w:highlight w:val="none"/>
          <w:lang w:val="en-US" w:eastAsia="zh-CN"/>
        </w:rPr>
        <w:t> </w:t>
      </w:r>
      <w:r>
        <w:rPr>
          <w:rFonts w:hint="eastAsia" w:ascii="宋体" w:hAnsi="宋体" w:eastAsia="宋体" w:cs="宋体"/>
          <w:color w:val="auto"/>
          <w:kern w:val="0"/>
          <w:sz w:val="24"/>
          <w:szCs w:val="24"/>
          <w:highlight w:val="none"/>
          <w:lang w:val="en-US" w:eastAsia="zh-CN"/>
        </w:rPr>
        <w:t xml:space="preserve">13.1 </w:t>
      </w:r>
      <w:r>
        <w:rPr>
          <w:rFonts w:ascii="宋体" w:hAnsi="宋体" w:eastAsia="宋体" w:cs="宋体"/>
          <w:color w:val="auto"/>
          <w:kern w:val="0"/>
          <w:sz w:val="24"/>
          <w:szCs w:val="24"/>
          <w:highlight w:val="none"/>
          <w:lang w:val="en-US" w:eastAsia="zh-CN"/>
        </w:rPr>
        <w:t>投标文件应按第八章“投标文件格式”进行编写，并在文件中填写目录与页码，如有必要，可以增加附页，作为投标文件的组成部分。其中，承诺函附录在满足招标文件实质性要求的基础上，可以提出比招标文件要求更有利于招标人的承诺。</w:t>
      </w:r>
    </w:p>
    <w:p w14:paraId="93357111">
      <w:pPr>
        <w:numPr>
          <w:ilvl w:val="0"/>
          <w:numId w:val="0"/>
        </w:numPr>
        <w:autoSpaceDE w:val="0"/>
        <w:autoSpaceDN w:val="0"/>
        <w:adjustRightInd w:val="0"/>
        <w:spacing w:line="460" w:lineRule="exact"/>
        <w:ind w:firstLine="480" w:firstLineChars="200"/>
        <w:jc w:val="left"/>
        <w:rPr>
          <w:rFonts w:ascii="宋体" w:hAnsi="宋体" w:eastAsia="宋体" w:cs="宋体"/>
          <w:color w:val="auto"/>
          <w:kern w:val="0"/>
          <w:sz w:val="24"/>
          <w:szCs w:val="24"/>
          <w:highlight w:val="none"/>
          <w:lang w:val="en-US" w:eastAsia="zh-CN"/>
        </w:rPr>
      </w:pPr>
      <w:r>
        <w:rPr>
          <w:rFonts w:ascii="宋体" w:hAnsi="宋体" w:eastAsia="宋体" w:cs="宋体"/>
          <w:color w:val="auto"/>
          <w:kern w:val="0"/>
          <w:sz w:val="24"/>
          <w:szCs w:val="24"/>
          <w:highlight w:val="none"/>
          <w:lang w:val="en-US" w:eastAsia="zh-CN"/>
        </w:rPr>
        <w:t>13.2</w:t>
      </w:r>
      <w:r>
        <w:rPr>
          <w:rFonts w:hint="eastAsia" w:ascii="宋体" w:hAnsi="宋体" w:eastAsia="宋体" w:cs="宋体"/>
          <w:color w:val="auto"/>
          <w:kern w:val="0"/>
          <w:sz w:val="24"/>
          <w:szCs w:val="24"/>
          <w:highlight w:val="none"/>
          <w:lang w:val="en-US" w:eastAsia="zh-CN"/>
        </w:rPr>
        <w:t xml:space="preserve"> </w:t>
      </w:r>
      <w:r>
        <w:rPr>
          <w:rFonts w:ascii="宋体" w:hAnsi="宋体" w:eastAsia="宋体" w:cs="宋体"/>
          <w:color w:val="auto"/>
          <w:kern w:val="0"/>
          <w:sz w:val="24"/>
          <w:szCs w:val="24"/>
          <w:highlight w:val="none"/>
          <w:lang w:val="en-US" w:eastAsia="zh-CN"/>
        </w:rPr>
        <w:t>投标文件应当对招标文件有关投标有效期、</w:t>
      </w:r>
      <w:r>
        <w:rPr>
          <w:rFonts w:hint="eastAsia" w:ascii="宋体" w:hAnsi="宋体" w:eastAsia="宋体" w:cs="宋体"/>
          <w:color w:val="auto"/>
          <w:kern w:val="0"/>
          <w:sz w:val="24"/>
          <w:szCs w:val="24"/>
          <w:highlight w:val="none"/>
          <w:lang w:val="en-US" w:eastAsia="zh-CN"/>
        </w:rPr>
        <w:t>承诺函、</w:t>
      </w:r>
      <w:r>
        <w:rPr>
          <w:rFonts w:ascii="宋体" w:hAnsi="宋体" w:eastAsia="宋体" w:cs="宋体"/>
          <w:color w:val="auto"/>
          <w:kern w:val="0"/>
          <w:sz w:val="24"/>
          <w:szCs w:val="24"/>
          <w:highlight w:val="none"/>
          <w:lang w:val="en-US" w:eastAsia="zh-CN"/>
        </w:rPr>
        <w:t>质量要求、技术标准和要求、招标范围等实质性内容作出响应</w:t>
      </w:r>
      <w:r>
        <w:rPr>
          <w:rFonts w:hint="eastAsia" w:ascii="宋体" w:hAnsi="宋体" w:eastAsia="宋体" w:cs="宋体"/>
          <w:color w:val="auto"/>
          <w:kern w:val="0"/>
          <w:sz w:val="24"/>
          <w:szCs w:val="24"/>
          <w:highlight w:val="none"/>
          <w:lang w:val="en-US" w:eastAsia="zh-CN"/>
        </w:rPr>
        <w:t>，并由投标人、法定代表人或者授权委托人签字盖章</w:t>
      </w:r>
      <w:r>
        <w:rPr>
          <w:rFonts w:ascii="宋体" w:hAnsi="宋体" w:eastAsia="宋体" w:cs="宋体"/>
          <w:color w:val="auto"/>
          <w:kern w:val="0"/>
          <w:sz w:val="24"/>
          <w:szCs w:val="24"/>
          <w:highlight w:val="none"/>
          <w:lang w:val="en-US" w:eastAsia="zh-CN"/>
        </w:rPr>
        <w:t>。</w:t>
      </w:r>
    </w:p>
    <w:p w14:paraId="DF769DDF">
      <w:pPr>
        <w:numPr>
          <w:ilvl w:val="0"/>
          <w:numId w:val="0"/>
        </w:numPr>
        <w:autoSpaceDE w:val="0"/>
        <w:autoSpaceDN w:val="0"/>
        <w:adjustRightInd w:val="0"/>
        <w:spacing w:line="460" w:lineRule="exact"/>
        <w:ind w:firstLine="480" w:firstLineChars="200"/>
        <w:jc w:val="left"/>
        <w:rPr>
          <w:color w:val="auto"/>
          <w:highlight w:val="none"/>
        </w:rPr>
      </w:pPr>
      <w:r>
        <w:rPr>
          <w:rFonts w:ascii="宋体" w:hAnsi="宋体" w:eastAsia="宋体" w:cs="宋体"/>
          <w:color w:val="auto"/>
          <w:kern w:val="0"/>
          <w:sz w:val="24"/>
          <w:szCs w:val="24"/>
          <w:highlight w:val="none"/>
          <w:lang w:val="en-US" w:eastAsia="zh-CN"/>
        </w:rPr>
        <w:t>13.3</w:t>
      </w:r>
      <w:r>
        <w:rPr>
          <w:rFonts w:hint="eastAsia" w:ascii="宋体" w:hAnsi="宋体" w:eastAsia="宋体" w:cs="宋体"/>
          <w:color w:val="auto"/>
          <w:kern w:val="0"/>
          <w:sz w:val="24"/>
          <w:szCs w:val="24"/>
          <w:highlight w:val="none"/>
          <w:lang w:val="en-US" w:eastAsia="zh-CN"/>
        </w:rPr>
        <w:t xml:space="preserve"> </w:t>
      </w:r>
      <w:r>
        <w:rPr>
          <w:rFonts w:ascii="宋体" w:hAnsi="宋体" w:eastAsia="宋体" w:cs="宋体"/>
          <w:color w:val="auto"/>
          <w:kern w:val="0"/>
          <w:sz w:val="24"/>
          <w:szCs w:val="24"/>
          <w:highlight w:val="none"/>
          <w:lang w:val="en-US" w:eastAsia="zh-CN"/>
        </w:rPr>
        <w:t>投标文件应用不褪色的材料书写或打印，并</w:t>
      </w:r>
      <w:r>
        <w:rPr>
          <w:rFonts w:hint="eastAsia" w:ascii="宋体" w:hAnsi="宋体" w:eastAsia="宋体" w:cs="宋体"/>
          <w:color w:val="auto"/>
          <w:kern w:val="0"/>
          <w:sz w:val="24"/>
          <w:szCs w:val="24"/>
          <w:highlight w:val="none"/>
          <w:lang w:val="en-US" w:eastAsia="zh-CN"/>
        </w:rPr>
        <w:t>由法定代表人或</w:t>
      </w:r>
      <w:r>
        <w:rPr>
          <w:rFonts w:ascii="宋体" w:hAnsi="宋体" w:eastAsia="宋体" w:cs="宋体"/>
          <w:color w:val="auto"/>
          <w:kern w:val="0"/>
          <w:sz w:val="24"/>
          <w:szCs w:val="24"/>
          <w:highlight w:val="none"/>
          <w:lang w:val="en-US" w:eastAsia="zh-CN"/>
        </w:rPr>
        <w:t>其委托代理人在</w:t>
      </w:r>
      <w:r>
        <w:rPr>
          <w:rFonts w:hint="eastAsia" w:ascii="宋体" w:hAnsi="宋体" w:eastAsia="宋体" w:cs="宋体"/>
          <w:color w:val="auto"/>
          <w:kern w:val="0"/>
          <w:sz w:val="24"/>
          <w:szCs w:val="24"/>
          <w:highlight w:val="none"/>
          <w:lang w:val="en-US" w:eastAsia="zh-CN"/>
        </w:rPr>
        <w:t>指定位位置签字并加</w:t>
      </w:r>
      <w:r>
        <w:rPr>
          <w:rFonts w:ascii="宋体" w:hAnsi="宋体" w:eastAsia="宋体" w:cs="宋体"/>
          <w:color w:val="auto"/>
          <w:kern w:val="0"/>
          <w:sz w:val="24"/>
          <w:szCs w:val="24"/>
          <w:highlight w:val="none"/>
          <w:lang w:val="en-US" w:eastAsia="zh-CN"/>
        </w:rPr>
        <w:t>盖公章。委托代理人签字的，投标文件应附法定代表人签署的授权委托书。投标文件应尽量避免涂改、行间插字或删除。如果出现上述情况，改动之处应加盖单位公章并由投标人的法定代表人或授权代理人签字确认。</w:t>
      </w:r>
    </w:p>
    <w:p w14:paraId="101A8B5E">
      <w:pPr>
        <w:numPr>
          <w:ilvl w:val="0"/>
          <w:numId w:val="0"/>
        </w:numPr>
        <w:autoSpaceDE w:val="0"/>
        <w:autoSpaceDN w:val="0"/>
        <w:adjustRightInd w:val="0"/>
        <w:spacing w:line="460" w:lineRule="exact"/>
        <w:ind w:firstLine="480" w:firstLineChars="200"/>
        <w:jc w:val="left"/>
        <w:rPr>
          <w:rFonts w:ascii="宋体" w:hAnsi="宋体" w:eastAsia="宋体" w:cs="宋体"/>
          <w:color w:val="auto"/>
          <w:kern w:val="0"/>
          <w:sz w:val="24"/>
          <w:szCs w:val="24"/>
          <w:highlight w:val="none"/>
          <w:lang w:val="en-US" w:eastAsia="zh-CN"/>
        </w:rPr>
      </w:pPr>
      <w:r>
        <w:rPr>
          <w:rFonts w:ascii="宋体" w:hAnsi="宋体" w:eastAsia="宋体" w:cs="宋体"/>
          <w:color w:val="auto"/>
          <w:kern w:val="0"/>
          <w:sz w:val="24"/>
          <w:szCs w:val="24"/>
          <w:highlight w:val="none"/>
          <w:lang w:val="en-US" w:eastAsia="zh-CN"/>
        </w:rPr>
        <w:t>13.4 投标文件正本一份，副本份数见投标人须知前附表。正本和副本的封面上应清楚地标记“正本”或“副本”的字样。当副本和正本不一致时，以正本为准。投标文件电子版（U）盘应单独放入一个密封袋中，并在封套口处加盖投标人单位章，在封套上标记“投标文件电子版”字样。</w:t>
      </w:r>
    </w:p>
    <w:p w14:paraId="AE6E0B65">
      <w:pPr>
        <w:numPr>
          <w:ilvl w:val="0"/>
          <w:numId w:val="0"/>
        </w:numPr>
        <w:autoSpaceDE w:val="0"/>
        <w:autoSpaceDN w:val="0"/>
        <w:adjustRightInd w:val="0"/>
        <w:spacing w:line="460" w:lineRule="exact"/>
        <w:ind w:firstLine="480" w:firstLineChars="200"/>
        <w:jc w:val="left"/>
        <w:rPr>
          <w:color w:val="auto"/>
          <w:highlight w:val="none"/>
        </w:rPr>
      </w:pPr>
      <w:r>
        <w:rPr>
          <w:rFonts w:ascii="宋体" w:hAnsi="宋体" w:eastAsia="宋体" w:cs="宋体"/>
          <w:color w:val="auto"/>
          <w:kern w:val="0"/>
          <w:sz w:val="24"/>
          <w:szCs w:val="24"/>
          <w:highlight w:val="none"/>
          <w:lang w:val="en-US" w:eastAsia="zh-CN"/>
        </w:rPr>
        <w:t>13.5 投标文件的正本与副本应分别装订成册（A4纸幅），并编制</w:t>
      </w:r>
      <w:r>
        <w:rPr>
          <w:rFonts w:hint="eastAsia" w:ascii="宋体" w:hAnsi="宋体" w:eastAsia="宋体" w:cs="宋体"/>
          <w:color w:val="auto"/>
          <w:kern w:val="0"/>
          <w:sz w:val="24"/>
          <w:szCs w:val="24"/>
          <w:highlight w:val="none"/>
          <w:lang w:val="en-US" w:eastAsia="zh-CN"/>
        </w:rPr>
        <w:t>详细</w:t>
      </w:r>
      <w:r>
        <w:rPr>
          <w:rFonts w:ascii="宋体" w:hAnsi="宋体" w:eastAsia="宋体" w:cs="宋体"/>
          <w:color w:val="auto"/>
          <w:kern w:val="0"/>
          <w:sz w:val="24"/>
          <w:szCs w:val="24"/>
          <w:highlight w:val="none"/>
          <w:lang w:val="en-US" w:eastAsia="zh-CN"/>
        </w:rPr>
        <w:t>目录，且逐页标注连续页码。</w:t>
      </w:r>
    </w:p>
    <w:p w14:paraId="D5C62C5C">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14. 投标文件的修改和撤回</w:t>
      </w:r>
    </w:p>
    <w:p w14:paraId="1F78657D">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14.1投标人在递交投标文件后，可以修改或撤回其投标文件，但招标人必须在规定的投标截止时间之前收到投标人的修改或撤回的书面通知。</w:t>
      </w:r>
    </w:p>
    <w:p w14:paraId="C6C144D1">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14.2投标人的修改或撤回通知书应按对投标文件的规定一样进行编制、密封、标记和递交，并标明</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修改</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或</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撤回</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字样。</w:t>
      </w:r>
    </w:p>
    <w:p w14:paraId="78A56FB0">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14.3 在投标截止时间（开标时间）之后，投标人不得对其投标书做任何修改（包括开标一览表的内容）。</w:t>
      </w:r>
    </w:p>
    <w:p w14:paraId="1F52EA15">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14.4从开标时间起，至投标有效期期满，投标人不得撤回其投标，否则，其投标保证金将不予退还。</w:t>
      </w:r>
    </w:p>
    <w:p w14:paraId="FD9D08A6">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15. 投标</w:t>
      </w:r>
    </w:p>
    <w:p w14:paraId="B4C393BB">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15.1投标人应将投标文件装订成册、胶装密封，在信封上标明招标项目名称、项目编号、投标人名称、地址、联系方式和邮编，并在封口处加盖投标人公章，在《投标邀请书》规定的投标地点和投标截止时间前递交给招标人。如果投标人没有按照要求密封、标记，招标人及招标代理机构对于投标人的误投、错投以及提前拆封概不负责。</w:t>
      </w:r>
    </w:p>
    <w:p w14:paraId="ACE072B5">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15.2投标文件份数：投标人应按照招标文件中规定的分数提交，(副本可以是正本的复印件，但应骑页加盖投标人公章、法人章)，并标明</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正本</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副本</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字样，当正本与副本内容不一致时，以正本为准，投标文件正副本及电子优盘应单独密封。</w:t>
      </w:r>
    </w:p>
    <w:p w14:paraId="FFD6A3DC">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15.3 投标人应按第六章《投标文件构成、要求及格式》中的格式和要求单独编制一份《开标一览表》，按照对投标文件同样的要求单独密封和标记，与投标文件同时递交。</w:t>
      </w:r>
    </w:p>
    <w:p w14:paraId="A53799B9">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15.4 招标人将拒绝接受并原封退回在规定的投标截止时间以后递交的投标文件。</w:t>
      </w:r>
    </w:p>
    <w:p w14:paraId="B079E84F">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15.5 首次招标投标截止时间结束后投标人不足三家的，将重新招标；重新招标仍出现本款前述情形的，可按本须知第19条规定办理。</w:t>
      </w:r>
    </w:p>
    <w:p w14:paraId="4917A431">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16. 开标</w:t>
      </w:r>
    </w:p>
    <w:p w14:paraId="0072709E">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16.1招标人将在招标公告规定的时间和地点公开开标。投标人法定代表人或其授权代理人应参加并签名报到以证明其出席，并携带有效身份证件以备审查。</w:t>
      </w:r>
    </w:p>
    <w:p w14:paraId="1D5F0036">
      <w:pPr>
        <w:autoSpaceDE w:val="0"/>
        <w:autoSpaceDN w:val="0"/>
        <w:adjustRightInd w:val="0"/>
        <w:spacing w:line="460" w:lineRule="exact"/>
        <w:ind w:firstLine="48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lang w:val="zh-CN"/>
        </w:rPr>
        <w:t>16.2 开标会由招标人组织并主持。开标前，</w:t>
      </w:r>
      <w:r>
        <w:rPr>
          <w:rFonts w:hint="eastAsia" w:ascii="宋体" w:hAnsi="宋体" w:eastAsia="宋体" w:cs="宋体"/>
          <w:color w:val="auto"/>
          <w:kern w:val="0"/>
          <w:sz w:val="24"/>
          <w:highlight w:val="none"/>
          <w:lang w:val="zh-CN"/>
        </w:rPr>
        <w:t>由监督人员或者投标人代表检查投标文件的密封情况并当场宣布检查情况。</w:t>
      </w:r>
    </w:p>
    <w:p w14:paraId="27AF68CF">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16.3 开标时，招标人将按照投标人提交的</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开标一览表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，当众宣读投标人名称、修改和撤回投标的通知、投标价格、</w:t>
      </w:r>
      <w:r>
        <w:rPr>
          <w:rFonts w:hint="eastAsia" w:ascii="宋体" w:hAnsi="宋体" w:cs="宋体"/>
          <w:color w:val="auto"/>
          <w:sz w:val="24"/>
          <w:highlight w:val="none"/>
          <w:lang w:val="zh-CN"/>
        </w:rPr>
        <w:t>服务期限</w:t>
      </w:r>
      <w:r>
        <w:rPr>
          <w:rFonts w:hint="eastAsia" w:ascii="宋体" w:hAnsi="宋体" w:eastAsia="宋体" w:cs="宋体"/>
          <w:color w:val="auto"/>
          <w:sz w:val="24"/>
          <w:highlight w:val="none"/>
          <w:lang w:val="zh-CN"/>
        </w:rPr>
        <w:t>、是否提交了投标保证金等内容。</w:t>
      </w:r>
    </w:p>
    <w:p w14:paraId="FF4F7145">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16.4 开标时未宣读的投标价格等实质性内容，评标时不予承认。</w:t>
      </w:r>
    </w:p>
    <w:p w14:paraId="1C49CCE4">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16.5 按照投标人须知第14条的规定，提交了可接受的</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撤回</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通知的投标将不予开封。撤回的投标书将原封退回投标人。</w:t>
      </w:r>
    </w:p>
    <w:p w14:paraId="B69B685F">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16.6 招标人将做开标记录，开标记录包括按本须知第16.3款的规定在开标时宣读的全部内容。开标记录将在开标后由监督人员或者投标人代表签字确认。</w:t>
      </w:r>
    </w:p>
    <w:p w14:paraId="9E1C6FBE">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16.7 开标时有下列情形之一的为无效投标：</w:t>
      </w:r>
    </w:p>
    <w:p w14:paraId="ECEEB01B">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（1）投标文件在规定的投标截止时间以后送达的；</w:t>
      </w:r>
    </w:p>
    <w:p w14:paraId="5AB26C26">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（2）未按招标文件规定提交投标保证金的；</w:t>
      </w:r>
    </w:p>
    <w:p w14:paraId="82F26A75">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（3）投标文件未按招标文件规定密封的；</w:t>
      </w:r>
    </w:p>
    <w:p w14:paraId="F9654237">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（4）未提交单独密封的开标一览表或者开标一览表未按规定加盖公章和/或有效签署的；</w:t>
      </w:r>
    </w:p>
    <w:p w14:paraId="63C96178">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（5）招标文件规定开标时属于无效投标的其他情形。</w:t>
      </w:r>
    </w:p>
    <w:p w14:paraId="E1352D39">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16.8 开标时有下列情形之一的，招标人有权宣布本项目废标：</w:t>
      </w:r>
    </w:p>
    <w:p w14:paraId="D3D556C9">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w:t>
      </w:r>
      <w:r>
        <w:rPr>
          <w:rFonts w:hint="eastAsia" w:ascii="宋体" w:hAnsi="宋体" w:cs="宋体"/>
          <w:color w:val="auto"/>
          <w:sz w:val="24"/>
          <w:highlight w:val="none"/>
          <w:lang w:val="zh-CN"/>
        </w:rPr>
        <w:t>服务期限</w:t>
      </w:r>
      <w:r>
        <w:rPr>
          <w:rFonts w:hint="eastAsia" w:ascii="宋体" w:hAnsi="宋体" w:eastAsia="宋体" w:cs="宋体"/>
          <w:color w:val="auto"/>
          <w:sz w:val="24"/>
          <w:highlight w:val="none"/>
          <w:lang w:val="zh-CN"/>
        </w:rPr>
        <w:t>符合招标文件要求的投标人不足三家的；</w:t>
      </w:r>
    </w:p>
    <w:p w14:paraId="6B9DD3B0">
      <w:pPr>
        <w:autoSpaceDE w:val="0"/>
        <w:autoSpaceDN w:val="0"/>
        <w:adjustRightInd w:val="0"/>
        <w:spacing w:line="460" w:lineRule="exact"/>
        <w:ind w:firstLine="480"/>
        <w:rPr>
          <w:rFonts w:hint="eastAsia" w:ascii="宋体" w:hAnsi="宋体" w:eastAsia="宋体" w:cs="宋体"/>
          <w:b/>
          <w:color w:val="auto"/>
          <w:sz w:val="24"/>
          <w:highlight w:val="none"/>
          <w:lang w:val="zh-CN"/>
        </w:rPr>
      </w:pPr>
      <w:r>
        <w:rPr>
          <w:rFonts w:hint="eastAsia" w:ascii="宋体" w:hAnsi="宋体" w:eastAsia="宋体" w:cs="宋体"/>
          <w:color w:val="auto"/>
          <w:sz w:val="24"/>
          <w:highlight w:val="none"/>
          <w:lang w:val="zh-CN"/>
        </w:rPr>
        <w:t>（2）所有投标人的报价均超过采购项目预算，采购人不能支付的。</w:t>
      </w:r>
    </w:p>
    <w:p w14:paraId="3D7FF184">
      <w:pPr>
        <w:tabs>
          <w:tab w:val="left" w:pos="1920"/>
        </w:tabs>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首次招标废标后将重新招标，重新招标仍出现本款情形的，可按本须知第19条规定处理。</w:t>
      </w:r>
    </w:p>
    <w:p w14:paraId="4536F6B9">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17. 评标过程的保密性：</w:t>
      </w:r>
      <w:r>
        <w:rPr>
          <w:rFonts w:hint="eastAsia" w:ascii="宋体" w:hAnsi="宋体" w:eastAsia="宋体" w:cs="宋体"/>
          <w:color w:val="auto"/>
          <w:sz w:val="24"/>
          <w:highlight w:val="none"/>
          <w:lang w:val="zh-CN"/>
        </w:rPr>
        <w:t>公开开标后，直至向中标的投标人授予合同时止，除按招标文件规定予以公开的评标结果外，凡与审查、澄清、评价和比较投标有关的资料以及授标意见等，均不得向投标人及与评标无关的其他人透露。</w:t>
      </w:r>
    </w:p>
    <w:p w14:paraId="3F2DE259">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18. 评标</w:t>
      </w:r>
    </w:p>
    <w:p w14:paraId="77BF8512">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18.1 评标工作由招标代理机构负责组织，具体评标工作由依法组建的评标委员会负责。</w:t>
      </w:r>
      <w:r>
        <w:rPr>
          <w:rFonts w:hint="eastAsia" w:ascii="宋体" w:hAnsi="宋体" w:eastAsia="宋体" w:cs="宋体"/>
          <w:color w:val="auto"/>
          <w:sz w:val="24"/>
          <w:highlight w:val="none"/>
          <w:lang w:val="zh-CN"/>
        </w:rPr>
        <w:t>评标委员会由有关的技术、经济方面的专家和采购人代表组成。评标委员会的专家成员由专家库中随机抽取产生，采购人代表由采购人委派。需要设立评标委员会主任的，评标委员会主任由专家担任，由评标委员会成员选举产生，负责主持具体评标工作。评标委员会根据有关法律法规和招标文件规定的方法和标准独立评标，负责完成评标的全过程直至评定预中标人。招标人只负责评标组织工作，不参加评标。</w:t>
      </w:r>
    </w:p>
    <w:p w14:paraId="139BC551">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18.2 审查是否所有投标人的报价均超过采购预算：</w:t>
      </w:r>
      <w:r>
        <w:rPr>
          <w:rFonts w:hint="eastAsia" w:ascii="宋体" w:hAnsi="宋体" w:eastAsia="宋体" w:cs="宋体"/>
          <w:color w:val="auto"/>
          <w:sz w:val="24"/>
          <w:highlight w:val="none"/>
          <w:lang w:val="zh-CN"/>
        </w:rPr>
        <w:t>根据《中华人民共和国政府采购法》的规定，所有投标人的报价均超过采购预算，采购人不能支付的，应予废标。</w:t>
      </w:r>
    </w:p>
    <w:p w14:paraId="65B33BDF">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18.3 审查投标人是否存在串通投标行为：</w:t>
      </w:r>
      <w:r>
        <w:rPr>
          <w:rFonts w:hint="eastAsia" w:ascii="宋体" w:hAnsi="宋体" w:eastAsia="宋体" w:cs="宋体"/>
          <w:color w:val="auto"/>
          <w:sz w:val="24"/>
          <w:highlight w:val="none"/>
          <w:lang w:val="zh-CN"/>
        </w:rPr>
        <w:t>评标委员会发现投标人有下列情形之一的，将认定属于串通投标行为，相关投标人的投标应作废标处理。评标结束后，招标机构将以书面形式报告吉林省政府采购监督管理部门：</w:t>
      </w:r>
    </w:p>
    <w:p w14:paraId="E72C1EFE">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（1）不同投标人的投标文件中错、漏之处相同的；</w:t>
      </w:r>
    </w:p>
    <w:p w14:paraId="099BFBBD">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（2）不同投标人的投标文件相互混装的，或者相互加盖了对方公章的，或者相互出现了对方法定代表人或者授权代理人签名的，或者相互书写了对方名称的；</w:t>
      </w:r>
    </w:p>
    <w:p w14:paraId="4E58BA2C">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（3）一家投标人的投标文件中加盖了另一家投标人公章的；</w:t>
      </w:r>
    </w:p>
    <w:p w14:paraId="C8445CF8">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（4）不同投标人的投标文件中，项目成员出现同一人的；</w:t>
      </w:r>
    </w:p>
    <w:p w14:paraId="6825297D">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（5）不同投标人的投标文件的制作非正常一致的；</w:t>
      </w:r>
    </w:p>
    <w:p w14:paraId="51F3FD8A">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（6）不同投标人的投标文件中相关内容的段落、字句、售后服务电话、联系人姓名等非正常一致的；</w:t>
      </w:r>
    </w:p>
    <w:p w14:paraId="AC3AAD2C">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（7）一家投标人的投标文件中装订了标有另一家投标人名称的文件材料，或者出现了另一家法定代表人或者授予代理人签名的，其投标作废标处理；</w:t>
      </w:r>
    </w:p>
    <w:p w14:paraId="69DE75E8">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（8）不同投标人的投标文件由同一投标人或者同一个人编制的；</w:t>
      </w:r>
    </w:p>
    <w:p w14:paraId="25049011">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（9）《关于禁止串通招标投标行为的暂行规定》（国家工商行政管理局令第82号）第三条规定的串通投标行为；</w:t>
      </w:r>
    </w:p>
    <w:p w14:paraId="0CC1E369">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（10）投标人串通投标的其他情形。</w:t>
      </w:r>
    </w:p>
    <w:p w14:paraId="9738EF04">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18.4 对投标文件商务部分（投标人资格）进行审查：</w:t>
      </w:r>
      <w:r>
        <w:rPr>
          <w:rFonts w:hint="eastAsia" w:ascii="宋体" w:hAnsi="宋体" w:eastAsia="宋体" w:cs="宋体"/>
          <w:color w:val="auto"/>
          <w:sz w:val="24"/>
          <w:highlight w:val="none"/>
          <w:lang w:val="zh-CN"/>
        </w:rPr>
        <w:t>评标委员会将审查每个投标人提交的商务文件是否齐全完整，是否合法有效，是否有重大偏离和保留，是否符合招标文件要求。商务（投标人资格）审查不符合招标文件要求的投标文件将被拒绝。</w:t>
      </w:r>
    </w:p>
    <w:p w14:paraId="29D27E94">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18.5 对投标文件报价部分进行审查：</w:t>
      </w:r>
    </w:p>
    <w:p w14:paraId="260DDDC9">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 xml:space="preserve">18.5.1 </w:t>
      </w:r>
      <w:r>
        <w:rPr>
          <w:rFonts w:hint="eastAsia" w:ascii="宋体" w:hAnsi="宋体" w:eastAsia="宋体" w:cs="宋体"/>
          <w:color w:val="auto"/>
          <w:sz w:val="24"/>
          <w:highlight w:val="none"/>
          <w:lang w:val="zh-CN"/>
        </w:rPr>
        <w:t>实质性响应的投标是指与招标文件规定的事项、条款、条件和技术规格相符，没有重大偏离和保留。没有实质性响应招标文件要求的投标将被拒绝。</w:t>
      </w:r>
    </w:p>
    <w:p w14:paraId="46B96DE2">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 xml:space="preserve">18.6 </w:t>
      </w:r>
      <w:r>
        <w:rPr>
          <w:rFonts w:hint="eastAsia" w:ascii="宋体" w:hAnsi="宋体" w:eastAsia="宋体" w:cs="宋体"/>
          <w:color w:val="auto"/>
          <w:sz w:val="24"/>
          <w:highlight w:val="none"/>
          <w:lang w:val="zh-CN"/>
        </w:rPr>
        <w:t>重大偏离和保留是指实质上影响合同的供货范围、质量和性能，或者实质上限制了合同中采购人的权利或投标人的义务。投标文件有下列情形之一的属于重大偏离和保留，将作废标处理：</w:t>
      </w:r>
    </w:p>
    <w:p w14:paraId="24C486CE">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（1）投标人未按招标文件规定提交所要求提交的全部文件或者提交的文件无效或者不符合招标文件的规定；</w:t>
      </w:r>
    </w:p>
    <w:p w14:paraId="D5F50116">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（2）投标文件未按招标文件的规定有效签署和/或加盖公章；</w:t>
      </w:r>
    </w:p>
    <w:p w14:paraId="960418EE">
      <w:pPr>
        <w:tabs>
          <w:tab w:val="left" w:pos="1920"/>
        </w:tabs>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（3）投标文件载明的项目完成期限超过招标文件规定的期限；</w:t>
      </w:r>
    </w:p>
    <w:p w14:paraId="2984FCE1">
      <w:pPr>
        <w:tabs>
          <w:tab w:val="left" w:pos="1920"/>
        </w:tabs>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（4）投标文件明显不符合招标文件规定的技术规格、技术标准要求；</w:t>
      </w:r>
    </w:p>
    <w:p w14:paraId="3F78895D">
      <w:pPr>
        <w:tabs>
          <w:tab w:val="left" w:pos="1920"/>
        </w:tabs>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（5）投标文件载明的货物包装方式、检验方法和标准等不符合招标文件要求；</w:t>
      </w:r>
    </w:p>
    <w:p w14:paraId="7F11D92B">
      <w:pPr>
        <w:tabs>
          <w:tab w:val="left" w:pos="1920"/>
        </w:tabs>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（6）投标文件附有采购人不能接受的条件；</w:t>
      </w:r>
    </w:p>
    <w:p w14:paraId="63EC6767">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（7）不符合招标文件规定的其他实质性要求。</w:t>
      </w:r>
    </w:p>
    <w:p w14:paraId="50E76CF6">
      <w:pPr>
        <w:spacing w:line="460" w:lineRule="exact"/>
        <w:ind w:firstLine="482" w:firstLineChars="200"/>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 xml:space="preserve">18.7 </w:t>
      </w:r>
      <w:r>
        <w:rPr>
          <w:rFonts w:hint="eastAsia" w:ascii="宋体" w:hAnsi="宋体" w:eastAsia="宋体" w:cs="宋体"/>
          <w:color w:val="auto"/>
          <w:sz w:val="24"/>
          <w:highlight w:val="none"/>
          <w:lang w:val="zh-CN"/>
        </w:rPr>
        <w:t>评标委员会将允许修正投标文件中不构成重大偏离的细微偏离，但这些修正应不会对实质上响应招标文件要求的投标人的竞争地位（相互排序）产生不公正的影响。</w:t>
      </w:r>
    </w:p>
    <w:p w14:paraId="9A35D6C2">
      <w:pPr>
        <w:autoSpaceDE w:val="0"/>
        <w:autoSpaceDN w:val="0"/>
        <w:adjustRightInd w:val="0"/>
        <w:spacing w:line="460" w:lineRule="exact"/>
        <w:ind w:firstLine="48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18.8 评标委员会对投标文件的判定，只依据投标文件内容本身，不依据任何外来证明。</w:t>
      </w:r>
    </w:p>
    <w:p w14:paraId="4E95C6A4">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18.9 投标报价的审查：</w:t>
      </w:r>
      <w:r>
        <w:rPr>
          <w:rFonts w:hint="eastAsia" w:ascii="宋体" w:hAnsi="宋体" w:eastAsia="宋体" w:cs="宋体"/>
          <w:color w:val="auto"/>
          <w:sz w:val="24"/>
          <w:highlight w:val="none"/>
          <w:lang w:val="zh-CN"/>
        </w:rPr>
        <w:t>评标委员会将对商务审查、技术审查合格的投标文件的报价进行审核，看其是否有计算和累加上的错误。修正错误的原则如下：投标报价以《开标一览表》的报价为准，《投标报价明细表》的报价与《开标一览表》的报价不一致的，投标人应按《开标一览表》的报价相应修改《投标报价明细表》的报价，并相应修改分项报价。按上述原则调整后的价格为评标价，经投标人法定代表人或授权代理人签字确认后对投标人具有约束力。如果投标人不按照上述原则修正其投标报价及分项报价，则其投标将被拒绝。</w:t>
      </w:r>
    </w:p>
    <w:p w14:paraId="E80066B2">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18.10 澄清：</w:t>
      </w:r>
      <w:r>
        <w:rPr>
          <w:rFonts w:hint="eastAsia" w:ascii="宋体" w:hAnsi="宋体" w:eastAsia="宋体" w:cs="宋体"/>
          <w:color w:val="auto"/>
          <w:sz w:val="24"/>
          <w:highlight w:val="none"/>
          <w:lang w:val="zh-CN"/>
        </w:rPr>
        <w:t>评标委员会对于投标文件实质性响应了招标文件要求，但在个别地方提供了不完整的技术信息和数据，以及同类问题表述不一致或者有明显文字和计算错误等细微偏离问题，将以书面形式（澄清细微偏离由评标委员会依据招标文件集体决定并由评标委员会专家签字）要求投标人在规定的时限内（在评标结束前）作出必要的澄清、说明或者补正。投标人的澄清、说明或者补正应当采用书面形式，由投标人法定代表人或其授权代理人签字（须提交签字人身份证件并与投标文件签字人一致），并不得超出投标文件的范围或者改变投标文件的实质性内容。投标人拒不进行澄清、说明、补正的，或者不能在规定时间内作出书面澄清、说明、补正的，评标委员会将拒绝其投标。</w:t>
      </w:r>
    </w:p>
    <w:p w14:paraId="E63332B6">
      <w:pPr>
        <w:spacing w:line="460" w:lineRule="exact"/>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rPr>
        <w:t xml:space="preserve">  </w:t>
      </w:r>
      <w:r>
        <w:rPr>
          <w:rFonts w:hint="eastAsia" w:ascii="宋体" w:hAnsi="宋体" w:eastAsia="宋体" w:cs="宋体"/>
          <w:color w:val="auto"/>
          <w:sz w:val="24"/>
          <w:highlight w:val="none"/>
        </w:rPr>
        <w:t xml:space="preserve">  接受细微偏离有利于采购成功，不应因细微偏离而废标。</w:t>
      </w:r>
    </w:p>
    <w:p w14:paraId="5815FF52">
      <w:pPr>
        <w:spacing w:line="4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zh-CN"/>
        </w:rPr>
        <w:t>19.</w:t>
      </w:r>
      <w:r>
        <w:rPr>
          <w:rFonts w:hint="eastAsia" w:ascii="宋体" w:hAnsi="宋体" w:eastAsia="宋体" w:cs="宋体"/>
          <w:color w:val="auto"/>
          <w:sz w:val="24"/>
          <w:highlight w:val="none"/>
          <w:lang w:val="zh-CN"/>
        </w:rPr>
        <w:t>首次招标</w:t>
      </w:r>
      <w:r>
        <w:rPr>
          <w:rFonts w:hint="eastAsia" w:ascii="宋体" w:hAnsi="宋体" w:eastAsia="宋体" w:cs="宋体"/>
          <w:color w:val="auto"/>
          <w:sz w:val="24"/>
          <w:highlight w:val="none"/>
        </w:rPr>
        <w:t>因评标过程中出现符合专业条件的投标人或者对招标文件作实质性响应的投标人不足三家情形而废标，重新招标仍然出现前述情形的，以及竞争性谈判、询价项目出现前述情形的，如果采购人需求紧急需要直接变更方式采购，经采购人代表现场提出，评标委员会专家成员和评标监督人员同意，可以在评标专家、采购人代表、评标监督人员、投标供应商授权代表以及采购中心或者采购代理机构工作人员同时在场的情况下直接变更采购方式继续采购，并按下述规定办理：</w:t>
      </w:r>
    </w:p>
    <w:p w14:paraId="02BA3BA3">
      <w:pPr>
        <w:spacing w:line="4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（1）采用招标方式采购项目，重新招标出现前述情形的，如果有两家供应商投标或者经评审有两家合格投标供应商，可以直接变更为两家供应商竞争性谈判或者向两家供应商询价采购。</w:t>
      </w:r>
    </w:p>
    <w:p w14:paraId="2DF92239">
      <w:pPr>
        <w:spacing w:line="4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采用竞争性谈判、询价方式采购的项目，出现前述情形的，如果有两家供应商投标或者经评审由两家合格投标供应商，原采购方式为竞争性谈判的，应当直接变更为两家供应商竞争性谈判；原采购方式为询价的，应当直接变更为两家供应商询价采购。</w:t>
      </w:r>
    </w:p>
    <w:p w14:paraId="EB169A22">
      <w:pPr>
        <w:spacing w:line="4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（3）只有1家供应商投标，或者经评审只有1家合格供应商的，不得直接变更为单一来源方式采购。采购人需要变更为单一来源方式采购的，应当在废标后向采购办申请批准。</w:t>
      </w:r>
    </w:p>
    <w:p w14:paraId="44A691FC">
      <w:pPr>
        <w:spacing w:line="4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招标失败后直接变更采购方式的项目，应当当场由评标专家、采购人代表、评标监督人员和相关投标供应商授权代表共同签署《招标失败后直接变更采购方式备忘录》。评标结束后，由采购中心或者采购代理机构将《招标失败后直接变更采购方式备忘录》和评标纪要（评标报告）包采购办备案。</w:t>
      </w:r>
    </w:p>
    <w:p w14:paraId="A6DAD391">
      <w:pPr>
        <w:autoSpaceDE w:val="0"/>
        <w:autoSpaceDN w:val="0"/>
        <w:adjustRightInd w:val="0"/>
        <w:spacing w:line="460" w:lineRule="exact"/>
        <w:ind w:firstLine="482"/>
        <w:rPr>
          <w:rFonts w:hint="eastAsia" w:ascii="宋体" w:hAnsi="宋体" w:eastAsia="宋体" w:cs="宋体"/>
          <w:color w:val="auto"/>
          <w:sz w:val="24"/>
          <w:highlight w:val="none"/>
        </w:rPr>
      </w:pPr>
      <w:r>
        <w:rPr>
          <w:rFonts w:hint="eastAsia" w:ascii="宋体" w:hAnsi="宋体" w:eastAsia="宋体" w:cs="宋体"/>
          <w:color w:val="auto"/>
          <w:sz w:val="24"/>
          <w:highlight w:val="none"/>
        </w:rPr>
        <w:t>（5）招标失败后直接变更采购方式的条件应在采购文件中事先申明。</w:t>
      </w:r>
    </w:p>
    <w:p w14:paraId="6641053B">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20. 评标方法和标准</w:t>
      </w:r>
    </w:p>
    <w:p w14:paraId="71919E3B">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20.1评标委员会将只对商务（投标人资格）审查和技术（符合性）审查均符合招标文件要求的投标进行报价排序。</w:t>
      </w:r>
    </w:p>
    <w:p w14:paraId="62C5EF50">
      <w:pPr>
        <w:autoSpaceDE w:val="0"/>
        <w:autoSpaceDN w:val="0"/>
        <w:adjustRightInd w:val="0"/>
        <w:spacing w:line="460" w:lineRule="exact"/>
        <w:ind w:firstLine="482"/>
        <w:rPr>
          <w:rFonts w:hint="eastAsia" w:ascii="宋体" w:hAnsi="宋体" w:eastAsia="宋体" w:cs="宋体"/>
          <w:bCs/>
          <w:color w:val="auto"/>
          <w:sz w:val="24"/>
          <w:highlight w:val="none"/>
          <w:lang w:val="zh-CN"/>
        </w:rPr>
      </w:pPr>
      <w:r>
        <w:rPr>
          <w:rFonts w:hint="eastAsia" w:ascii="宋体" w:hAnsi="宋体" w:eastAsia="宋体" w:cs="宋体"/>
          <w:color w:val="auto"/>
          <w:sz w:val="24"/>
          <w:highlight w:val="none"/>
          <w:lang w:val="zh-CN"/>
        </w:rPr>
        <w:t>20.2 评标委员会将按下述标准评定预中标人：</w:t>
      </w:r>
      <w:r>
        <w:rPr>
          <w:rFonts w:hint="eastAsia" w:ascii="宋体" w:hAnsi="宋体" w:eastAsia="宋体" w:cs="宋体"/>
          <w:color w:val="auto"/>
          <w:sz w:val="24"/>
          <w:highlight w:val="none"/>
        </w:rPr>
        <w:t xml:space="preserve">按评审后投标人得分由高到低的顺序排列；得分相同的，按投标报价由低到高顺序排列；得分且投标报价相同的，按技术指标优劣顺序排列。 </w:t>
      </w:r>
      <w:r>
        <w:rPr>
          <w:rFonts w:hint="eastAsia" w:ascii="宋体" w:hAnsi="宋体" w:eastAsia="宋体" w:cs="宋体"/>
          <w:bCs/>
          <w:color w:val="auto"/>
          <w:sz w:val="24"/>
          <w:highlight w:val="none"/>
          <w:lang w:val="zh-CN"/>
        </w:rPr>
        <w:t>本项目不接受任何额外捐赠。</w:t>
      </w:r>
    </w:p>
    <w:p w14:paraId="90108351">
      <w:pPr>
        <w:spacing w:line="460" w:lineRule="exact"/>
        <w:ind w:firstLine="480" w:firstLineChars="200"/>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20.3 在评标结果初步评定之后、签署评标决议之前，评标委员会将向投标人宣布拟评定的预中标人，评标委员会</w:t>
      </w:r>
      <w:r>
        <w:rPr>
          <w:rFonts w:hint="eastAsia" w:ascii="宋体" w:hAnsi="宋体" w:eastAsia="宋体" w:cs="宋体"/>
          <w:color w:val="auto"/>
          <w:sz w:val="24"/>
          <w:highlight w:val="none"/>
        </w:rPr>
        <w:t>将按照上述20.2条对供应商排定的顺序，依次对其是否能够满意地履行合同义务进行审查。首先，对排序最先的供应商是否具备履行合同的能力进行审查。如果审查通过，则确定其为中标候选人；如果审查没有通过，则对下一个排序最先的供应商能否满意地履行合同义务作类似的审查。</w:t>
      </w:r>
      <w:r>
        <w:rPr>
          <w:rFonts w:hint="eastAsia" w:ascii="宋体" w:hAnsi="宋体" w:eastAsia="宋体" w:cs="宋体"/>
          <w:bCs/>
          <w:color w:val="auto"/>
          <w:sz w:val="24"/>
          <w:highlight w:val="none"/>
          <w:lang w:val="zh-CN"/>
        </w:rPr>
        <w:t>对于投标人提出的问题，评标委员会将当场评审、答复并最终评定预中标人。预中标结果将在中国政府采购网及相关媒体上公示三个工作日，如果没有异议，预中标人确定为中标人。如果投标人对预中标结果有异议，应当在公示期内以书面形式向招标机构提出质疑。投标人的质疑事项应当具体、明确并提供事实依据。</w:t>
      </w:r>
    </w:p>
    <w:p w14:paraId="49DBB27C">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21. 签订合同</w:t>
      </w:r>
    </w:p>
    <w:p w14:paraId="D05CEC40">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21.1招标人将在投标有效期期满之前向中标人发出《中标通知书》。中标通知书是合同的组成部分，对采购人和中标人均具有法律约束力。</w:t>
      </w:r>
    </w:p>
    <w:p w14:paraId="F78C1BE3">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21.2中标通知书发出后，采购人改变中标结果的，或者中标人放弃中标项目的，应当依法承担法律责任。</w:t>
      </w:r>
    </w:p>
    <w:p w14:paraId="611841C2">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21.3中标人应按中标通知书规定的时间与采购人和招标人签订合同。如果中标人不在规定的时间内签署合同，视为自动放弃中标资格，其提交的投标保证金不予退还，列入不良行为记录名单，在一至三年内禁止参加政府采购活动并予以公告。投标人在被评标委员会评定为预中标人（中标人）之后、中标通知书发出之前放弃中标的，按本条规定处理。</w:t>
      </w:r>
    </w:p>
    <w:p w14:paraId="19E76202">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21.4中标结果将在发布招标公告的媒体上公告，不再以书面方式通知未中标人。</w:t>
      </w:r>
    </w:p>
    <w:p w14:paraId="2B19C3FF">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22.履约保证金: 无</w:t>
      </w:r>
    </w:p>
    <w:p w14:paraId="FD87CACD">
      <w:pPr>
        <w:tabs>
          <w:tab w:val="left" w:pos="709"/>
          <w:tab w:val="left" w:pos="927"/>
        </w:tabs>
        <w:autoSpaceDE w:val="0"/>
        <w:autoSpaceDN w:val="0"/>
        <w:adjustRightInd w:val="0"/>
        <w:spacing w:line="460" w:lineRule="exact"/>
        <w:ind w:firstLine="472"/>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23.保密和披露</w:t>
      </w:r>
    </w:p>
    <w:p w14:paraId="423C5398">
      <w:pPr>
        <w:tabs>
          <w:tab w:val="left" w:pos="709"/>
        </w:tabs>
        <w:autoSpaceDE w:val="0"/>
        <w:autoSpaceDN w:val="0"/>
        <w:adjustRightInd w:val="0"/>
        <w:spacing w:line="460" w:lineRule="exact"/>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23.1</w:t>
      </w:r>
      <w:r>
        <w:rPr>
          <w:rFonts w:hint="eastAsia" w:ascii="宋体" w:hAnsi="宋体" w:eastAsia="宋体" w:cs="宋体"/>
          <w:color w:val="auto"/>
          <w:sz w:val="24"/>
          <w:highlight w:val="none"/>
          <w:lang w:val="zh-CN"/>
        </w:rPr>
        <w:t>招标人有权将投标人提供的所有资料向其他政府部门或有关的非政府机构负责评审标书的人员或与评标有关的人员披露。</w:t>
      </w:r>
    </w:p>
    <w:p w14:paraId="800F63E1">
      <w:pPr>
        <w:autoSpaceDE w:val="0"/>
        <w:autoSpaceDN w:val="0"/>
        <w:adjustRightInd w:val="0"/>
        <w:spacing w:line="460" w:lineRule="exact"/>
        <w:ind w:firstLine="476"/>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23.2在下列情形下：当发布中标公告和其它公告时，当国家机关调查、审查、审计时，以及在其他符合法律规定的情形下，招标人无须事先征求投标人/中标人同意而可以披露关于采购过程、投标文件、合同文本、合同签署情况的资料、投标人/中标人的名称及地址、采购内容的有关信息以及补充条款等，并且对任何已经公布过的内容或与之内容相同的资料无须再承担保密责任。</w:t>
      </w:r>
    </w:p>
    <w:p w14:paraId="B48A5179">
      <w:pPr>
        <w:spacing w:line="460" w:lineRule="exact"/>
        <w:ind w:firstLine="482" w:firstLineChars="200"/>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24招标代理服务费</w:t>
      </w:r>
    </w:p>
    <w:p w14:paraId="3564F442">
      <w:pPr>
        <w:spacing w:line="460" w:lineRule="exact"/>
        <w:ind w:firstLine="480" w:firstLineChars="200"/>
        <w:rPr>
          <w:rFonts w:hint="eastAsia" w:ascii="宋体" w:hAnsi="宋体" w:eastAsia="宋体" w:cs="宋体"/>
          <w:color w:val="auto"/>
          <w:highlight w:val="none"/>
        </w:rPr>
      </w:pPr>
      <w:bookmarkStart w:id="29" w:name="_Toc238185763"/>
      <w:r>
        <w:rPr>
          <w:rStyle w:val="37"/>
          <w:rFonts w:ascii="宋体" w:hAnsi="宋体" w:cs="Times New Roman"/>
          <w:color w:val="auto"/>
          <w:sz w:val="24"/>
          <w:szCs w:val="24"/>
          <w:highlight w:val="none"/>
          <w:lang w:val="zh-CN"/>
        </w:rPr>
        <w:t>执行发改办价格[2015]299号文件收费标准，向中标人收取。</w:t>
      </w:r>
    </w:p>
    <w:p w14:paraId="AAFD945D">
      <w:pPr>
        <w:pStyle w:val="3"/>
        <w:pageBreakBefore w:val="0"/>
        <w:widowControl w:val="0"/>
        <w:kinsoku/>
        <w:wordWrap/>
        <w:overflowPunct/>
        <w:topLinePunct w:val="0"/>
        <w:bidi w:val="0"/>
        <w:snapToGrid/>
        <w:spacing w:line="420" w:lineRule="exact"/>
        <w:ind w:left="0" w:leftChars="0" w:right="0" w:rightChars="0"/>
        <w:jc w:val="center"/>
        <w:textAlignment w:val="auto"/>
        <w:rPr>
          <w:rFonts w:hint="eastAsia" w:ascii="宋体" w:hAnsi="宋体" w:eastAsia="宋体" w:cs="宋体"/>
          <w:color w:val="auto"/>
          <w:sz w:val="36"/>
          <w:szCs w:val="36"/>
          <w:highlight w:val="none"/>
        </w:rPr>
      </w:pPr>
      <w:bookmarkStart w:id="30" w:name="_Toc20027"/>
      <w:bookmarkStart w:id="31" w:name="_Toc347014331"/>
      <w:r>
        <w:rPr>
          <w:rFonts w:hint="eastAsia" w:ascii="宋体" w:hAnsi="宋体" w:eastAsia="宋体" w:cs="宋体"/>
          <w:color w:val="auto"/>
          <w:highlight w:val="none"/>
        </w:rPr>
        <w:br w:type="page"/>
      </w:r>
      <w:bookmarkStart w:id="32" w:name="_Toc1264"/>
      <w:bookmarkStart w:id="33" w:name="_Toc19932_WPSOffice_Level1"/>
      <w:r>
        <w:rPr>
          <w:rFonts w:hint="eastAsia" w:ascii="宋体" w:hAnsi="宋体" w:eastAsia="宋体" w:cs="宋体"/>
          <w:color w:val="auto"/>
          <w:sz w:val="36"/>
          <w:szCs w:val="36"/>
          <w:highlight w:val="none"/>
        </w:rPr>
        <w:t xml:space="preserve">第三章 </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合同条款</w:t>
      </w:r>
      <w:bookmarkEnd w:id="29"/>
      <w:bookmarkEnd w:id="30"/>
      <w:bookmarkEnd w:id="31"/>
      <w:bookmarkEnd w:id="32"/>
      <w:bookmarkEnd w:id="33"/>
    </w:p>
    <w:p w14:paraId="95CC23C9">
      <w:pPr>
        <w:pageBreakBefore w:val="0"/>
        <w:widowControl w:val="0"/>
        <w:kinsoku/>
        <w:wordWrap/>
        <w:overflowPunct/>
        <w:topLinePunct w:val="0"/>
        <w:autoSpaceDE w:val="0"/>
        <w:autoSpaceDN w:val="0"/>
        <w:bidi w:val="0"/>
        <w:adjustRightInd w:val="0"/>
        <w:snapToGrid/>
        <w:spacing w:line="420" w:lineRule="exact"/>
        <w:ind w:left="0" w:leftChars="0" w:right="0" w:rightChars="0" w:firstLine="482"/>
        <w:textAlignment w:val="auto"/>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1．定义：</w:t>
      </w:r>
      <w:r>
        <w:rPr>
          <w:rFonts w:hint="eastAsia" w:ascii="宋体" w:hAnsi="宋体" w:eastAsia="宋体" w:cs="宋体"/>
          <w:color w:val="auto"/>
          <w:sz w:val="24"/>
          <w:highlight w:val="none"/>
          <w:lang w:val="zh-CN"/>
        </w:rPr>
        <w:t>除非另有约定，在本合同下列术语按如下定义进行解释：</w:t>
      </w:r>
    </w:p>
    <w:p w14:paraId="E848957E">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合同</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指供需双方签署的、在合同中载明的合同各方所达成的协议，包括构成合同的所有附件、附录和其他文件。</w:t>
      </w:r>
    </w:p>
    <w:p w14:paraId="061AD9BF">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附件、附录</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指与本合同的订立、履行有关的，经供需双方认可的，对本合同约定内容进行细化、补充、修改、变更等的文件资料。</w:t>
      </w:r>
    </w:p>
    <w:p w14:paraId="44D8B0C1">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（3）</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合同价格</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指根据合同规定供方正确地完全履行合同义务后需方应支付给供方的价格。</w:t>
      </w:r>
    </w:p>
    <w:p w14:paraId="C0845D9F">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货物</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指根据合同规定供方须向需方提供的一切材料、设备、机械、仪表、备件、工具和/或其它材料。</w:t>
      </w:r>
    </w:p>
    <w:p w14:paraId="FF8E57CC">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（5）</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服务</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指根据合同规定供方承担的与供货和履行合同有关的辅助服务。</w:t>
      </w:r>
    </w:p>
    <w:p w14:paraId="BF43E747">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（6）</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需方</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指政府采购货物和服务的使用单位。</w:t>
      </w:r>
    </w:p>
    <w:p w14:paraId="254B3671">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（7）</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供方</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指按照合同规定向需方提供货物和服务的公司或实体。</w:t>
      </w:r>
    </w:p>
    <w:p w14:paraId="72578BED">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（8）</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第三方</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指本合同以外的任何中国境内、境外的法人、自然人或其他组织。</w:t>
      </w:r>
    </w:p>
    <w:p w14:paraId="99FBFBA7">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（9）</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日、天</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均指日历天数。</w:t>
      </w:r>
    </w:p>
    <w:p w14:paraId="2B2BD16D">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（10）</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工作日</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指扣除公休日和国家法定节假日以外的日历日。</w:t>
      </w:r>
    </w:p>
    <w:p w14:paraId="94F19DD3">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szCs w:val="24"/>
          <w:highlight w:val="none"/>
          <w:lang w:val="zh-CN"/>
        </w:rPr>
        <w:t>（11）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招标文件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w:t>
      </w:r>
      <w:r>
        <w:rPr>
          <w:rFonts w:hint="eastAsia" w:ascii="宋体" w:hAnsi="宋体" w:eastAsia="宋体" w:cs="宋体"/>
          <w:color w:val="auto"/>
          <w:sz w:val="24"/>
          <w:highlight w:val="none"/>
          <w:lang w:val="zh-CN"/>
        </w:rPr>
        <w:t>《本项目招标文件》。</w:t>
      </w:r>
    </w:p>
    <w:p w14:paraId="59EE3800">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color w:val="auto"/>
          <w:sz w:val="24"/>
          <w:highlight w:val="none"/>
          <w:lang w:val="zh-CN"/>
        </w:rPr>
        <w:t>2．适用范围：本合同条款仅适用</w:t>
      </w:r>
      <w:r>
        <w:rPr>
          <w:rFonts w:hint="eastAsia" w:ascii="宋体" w:hAnsi="宋体" w:eastAsia="宋体" w:cs="宋体"/>
          <w:b/>
          <w:color w:val="auto"/>
          <w:sz w:val="24"/>
          <w:highlight w:val="none"/>
          <w:lang w:val="zh-CN"/>
        </w:rPr>
        <w:t>。</w:t>
      </w:r>
    </w:p>
    <w:p w14:paraId="474F0E7A">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3．合同内容：</w:t>
      </w:r>
      <w:r>
        <w:rPr>
          <w:rFonts w:hint="eastAsia" w:ascii="宋体" w:hAnsi="宋体" w:eastAsia="宋体" w:cs="宋体"/>
          <w:color w:val="auto"/>
          <w:sz w:val="24"/>
          <w:highlight w:val="none"/>
          <w:lang w:val="zh-CN"/>
        </w:rPr>
        <w:t>详见招标文件</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技术规格与要求</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及供方的投标文件。未尽事宜在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采购合同书中</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约定。</w:t>
      </w:r>
    </w:p>
    <w:p w14:paraId="6E0AD963">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4．合同价格、</w:t>
      </w:r>
      <w:r>
        <w:rPr>
          <w:rFonts w:hint="eastAsia" w:ascii="宋体" w:hAnsi="宋体" w:cs="宋体"/>
          <w:b/>
          <w:color w:val="auto"/>
          <w:sz w:val="24"/>
          <w:highlight w:val="none"/>
          <w:lang w:val="zh-CN"/>
        </w:rPr>
        <w:t>服务期限</w:t>
      </w:r>
      <w:r>
        <w:rPr>
          <w:rFonts w:hint="eastAsia" w:ascii="宋体" w:hAnsi="宋体" w:eastAsia="宋体" w:cs="宋体"/>
          <w:b/>
          <w:color w:val="auto"/>
          <w:sz w:val="24"/>
          <w:highlight w:val="none"/>
          <w:lang w:val="zh-CN"/>
        </w:rPr>
        <w:t>及地点、交货方式、付款方式及条件：</w:t>
      </w:r>
      <w:r>
        <w:rPr>
          <w:rFonts w:hint="eastAsia" w:ascii="宋体" w:hAnsi="宋体" w:eastAsia="宋体" w:cs="宋体"/>
          <w:color w:val="auto"/>
          <w:sz w:val="24"/>
          <w:highlight w:val="none"/>
          <w:lang w:val="zh-CN"/>
        </w:rPr>
        <w:t>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采购合同书</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中约定。</w:t>
      </w:r>
    </w:p>
    <w:p w14:paraId="96D37520">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5．知识产权及有关规定：</w:t>
      </w:r>
      <w:r>
        <w:rPr>
          <w:rFonts w:hint="eastAsia" w:ascii="宋体" w:hAnsi="宋体" w:eastAsia="宋体" w:cs="宋体"/>
          <w:color w:val="auto"/>
          <w:sz w:val="24"/>
          <w:highlight w:val="none"/>
          <w:lang w:val="zh-CN"/>
        </w:rPr>
        <w:t>供方应保证需方在使用本合同项下的货物或其任何一部分时免受第三方提出侵犯其知识产权、商标权或工业设计权的起诉。如果发生此类问题，供方应负责交涉并承担一切费用和责任。</w:t>
      </w:r>
    </w:p>
    <w:p w14:paraId="68287DA1">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6．保密条款</w:t>
      </w:r>
    </w:p>
    <w:p w14:paraId="221E1659">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6.1任何一方对其获知的本合同涉及的所有有形、无形的信息及资料（包括但不限于供需双方的往来书面文字文件、电子邮件等）中另一方的商业秘密或国家秘密负有保密义务。</w:t>
      </w:r>
    </w:p>
    <w:p w14:paraId="29348E1E">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6.2除非法律、法规另有规定或得到本合同之另一方的书面许可，任何一方不得向第三方泄露前款规定的商业秘密或国家秘密。保密期限自任何一方获知该商业秘密或国家秘密之日起至本条规定的秘密成为公众信息之日止。</w:t>
      </w:r>
    </w:p>
    <w:p w14:paraId="58E0AA0A">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7.合同的解释</w:t>
      </w:r>
    </w:p>
    <w:p w14:paraId="7EB0EFA3">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7.1任何一方对本合同及其附件的解释均应遵循诚实信用原则，依照本合同签订时有效的中华人民共和国的法律、法规以及人们通常的理解进行。</w:t>
      </w:r>
    </w:p>
    <w:p w14:paraId="07B98A67">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7.2本合同中以日（天）表述的时间期限均指公历日。</w:t>
      </w:r>
    </w:p>
    <w:p w14:paraId="03452E1E">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7.3对本合同的任何解释均应以书面做出。</w:t>
      </w:r>
    </w:p>
    <w:p w14:paraId="DFB01060">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8．包装要求：</w:t>
      </w:r>
      <w:r>
        <w:rPr>
          <w:rFonts w:hint="eastAsia" w:ascii="宋体" w:hAnsi="宋体" w:eastAsia="宋体" w:cs="宋体"/>
          <w:color w:val="auto"/>
          <w:sz w:val="24"/>
          <w:highlight w:val="none"/>
          <w:lang w:val="zh-CN"/>
        </w:rPr>
        <w:t>除合同另有规定外，供方提供的全部货物均应按国家或行业标准进行包装。因包装出现问题导致货物毁损的,由供方向需方直接承担责任。每一个包装箱内应附一份详细的装箱单和质量合格证书。</w:t>
      </w:r>
    </w:p>
    <w:p w14:paraId="FD894991">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9．包装标志：</w:t>
      </w:r>
      <w:r>
        <w:rPr>
          <w:rFonts w:hint="eastAsia" w:ascii="宋体" w:hAnsi="宋体" w:eastAsia="宋体" w:cs="宋体"/>
          <w:color w:val="auto"/>
          <w:sz w:val="24"/>
          <w:highlight w:val="none"/>
          <w:lang w:val="zh-CN"/>
        </w:rPr>
        <w:t>每一包装箱应用不褪色的油漆以醒目的中文字样做出相关标记。</w:t>
      </w:r>
    </w:p>
    <w:p w14:paraId="01829910">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10．伴随服务</w:t>
      </w:r>
    </w:p>
    <w:p w14:paraId="6CC3EBE2">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10.1供方应提供所交付货物的全套技术文件资料，包括产品目录、图纸、操作手册、使用说明、维护手册和服务指南等。</w:t>
      </w:r>
    </w:p>
    <w:p w14:paraId="8E400516">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10.2供方还应提供下列服务：货物的现场安装、启动和试运行；提供货物组装和维修所需的工具；在质量保证期内对所交付货物提供运行监督、维修、保养等；在制造厂家和/或在项目现场就货物的安装、启动、运行、维护等对需方人员进行培训。</w:t>
      </w:r>
    </w:p>
    <w:p w14:paraId="03C10768">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10.3上述伴随服务的费用应包含在合同总价中，不单独进行支付。</w:t>
      </w:r>
    </w:p>
    <w:p w14:paraId="0AB21D2D">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11．质量保证期及售后服务</w:t>
      </w:r>
    </w:p>
    <w:p w14:paraId="9BFE61C6">
      <w:pPr>
        <w:autoSpaceDE w:val="0"/>
        <w:autoSpaceDN w:val="0"/>
        <w:adjustRightInd w:val="0"/>
        <w:spacing w:line="460" w:lineRule="exact"/>
        <w:ind w:firstLine="48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11.1质量保证期及售后服务：详见招标文件的要求，供方提交的售后服务承诺书和制造厂商的有关文件，如果上述文件有不一致之处，以对需方有利的为准。</w:t>
      </w:r>
    </w:p>
    <w:p w14:paraId="911DB0C1">
      <w:pPr>
        <w:autoSpaceDE w:val="0"/>
        <w:autoSpaceDN w:val="0"/>
        <w:adjustRightInd w:val="0"/>
        <w:spacing w:line="460" w:lineRule="exact"/>
        <w:ind w:firstLine="48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11.2如果上述第11.1款无特别约定，本合同项下货物的质量保证期为从需方验收合格并交付给需方之日起一年。</w:t>
      </w:r>
    </w:p>
    <w:p w14:paraId="AE200B51">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12．质量保证</w:t>
      </w:r>
    </w:p>
    <w:p w14:paraId="CB1DC508">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12.1 供方应保证所提供的货物是原制造厂商制造的、经过合法销售渠道取得的、全新的、未使用过的，并完全符合合同规定的品牌、规格型号、技术性能、配置、质量、数量等要求。供方应保证其所提供的货物在正确安装、正常使用和保养条件下，在其使用寿命期内具有满意的性能。在货物最终验收合格交付后不少于本合同条款第11条规定的质量保证期内，供方应对其交付的货物由于设计、工艺或材料的缺陷而产生的故障负责。</w:t>
      </w:r>
    </w:p>
    <w:p w14:paraId="E82874E8">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12.2 在质量保证期内，如果货物的规格型号、配置、技术性能、原产地及制造厂商以及其他技术质量指标与合同约定不符，或证实货物是有缺陷的，包括潜在的缺陷或使用不符合要求的材料等，需方应尽快以书面形式向供方提出索赔。</w:t>
      </w:r>
    </w:p>
    <w:p w14:paraId="B2557EA9">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12.3在质量保证期内，供方在接到需方的通知后，应在本合同条款第11条约定的响应时间内,免费维修和/或更换有缺陷的货物或部件。</w:t>
      </w:r>
    </w:p>
    <w:p w14:paraId="72D6909B">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12.4 如果供方在接到需方通知后，在本合同条款第11条约定的响应时间内没有弥补缺陷，需方可采取必要的补救措施，但其风险和费用将由供方负担，并且需方根据合同规定对供方行使的其他权利不受影响。</w:t>
      </w:r>
    </w:p>
    <w:p w14:paraId="4428B25F">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13．验收</w:t>
      </w:r>
    </w:p>
    <w:p w14:paraId="29788D5C">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b w:val="0"/>
          <w:bCs/>
          <w:color w:val="auto"/>
          <w:sz w:val="24"/>
          <w:highlight w:val="none"/>
          <w:lang w:val="zh-CN"/>
        </w:rPr>
        <w:t>13.1</w:t>
      </w:r>
      <w:r>
        <w:rPr>
          <w:rFonts w:hint="eastAsia" w:ascii="宋体" w:hAnsi="宋体" w:eastAsia="宋体" w:cs="宋体"/>
          <w:color w:val="auto"/>
          <w:sz w:val="24"/>
          <w:highlight w:val="none"/>
          <w:lang w:val="zh-CN"/>
        </w:rPr>
        <w:t>供方提交的货物由需方负责检验验收，或由需方聘请当地质检（商检）部门或有关部门对货物的品种、规格、性能、质量、数量、外观以及配件等进行检验，并出具检验证书。检验费用由供需双方协商确定。</w:t>
      </w:r>
    </w:p>
    <w:p w14:paraId="E1B03A6C">
      <w:pPr>
        <w:autoSpaceDE w:val="0"/>
        <w:autoSpaceDN w:val="0"/>
        <w:adjustRightInd w:val="0"/>
        <w:spacing w:line="46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13.2验收过程中，如果供需双方对合同标的质量发生争议，应当聘请当地质检（商检）部门或有关部门对有争议的货物质量进行鉴定，检验费用由责任方承担。</w:t>
      </w:r>
    </w:p>
    <w:p w14:paraId="1CAE52CE">
      <w:pPr>
        <w:autoSpaceDE w:val="0"/>
        <w:autoSpaceDN w:val="0"/>
        <w:adjustRightInd w:val="0"/>
        <w:spacing w:line="460" w:lineRule="exact"/>
        <w:ind w:firstLine="482"/>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13.3按照规定必须由国家有关部门或者机构检验合格才允许使用的货物，由供方负责（需方配合）向有关部门或者机构申请检验并取得检验合格的报告（证书）或者使用许可证，费用包含在供方的投标总价中。</w:t>
      </w:r>
    </w:p>
    <w:p w14:paraId="5A6C3B36">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14．索赔</w:t>
      </w:r>
    </w:p>
    <w:p w14:paraId="15F8DE8B">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14.1需方有权根据国家技术监督局、进出口商品检验局或其他具有法定资格的质检机构出具的检验证书向供方提出索赔。</w:t>
      </w:r>
    </w:p>
    <w:p w14:paraId="CFBD621B">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14.2如果供方对缺陷负有责任而需方提出索赔，供方应按照需方同意的下列一种或多种方式解决索赔事宜：</w:t>
      </w:r>
    </w:p>
    <w:p w14:paraId="37E88948">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（1）供方同意退货并用合同规定的货币将货款退还给需方，并承担由此发生的一切损失和费用，包括利息、银行手续费、运费、保险费、检验费、仓储费、装卸费以及为保护退回货物所需的其他必要费用。</w:t>
      </w:r>
    </w:p>
    <w:p w14:paraId="655BB7B0">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（2）根据货物低劣、损坏程度以及需方所遭受损失的金额，经双方商定降低货物的价格。</w:t>
      </w:r>
    </w:p>
    <w:p w14:paraId="A8809BB8">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3）用符合合同规定的规格、质量和性能要求的新零件、部件和／或设备来更换有缺陷的部分和／或修补缺陷部分，供方应承担一切费用和风险，并负担需方蒙受的全部直接损失。供方应相应延长修补和／或更换件的质量保证期。</w:t>
      </w:r>
    </w:p>
    <w:p w14:paraId="E035E0BA">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14.3如果在需方发出索赔通知后十天内供方未作答复，上述索赔应视为已被供方接受。如供方未能在接到需方索赔通知后十天内或需方同意的延长期限内，按照上述第14.2款规定的任何一种或多种方式解决索赔事宜并征得需方同意，需方有权从应付货款或从供方提交的履约保证金中扣回索赔金额，并拥有对赔偿不足部分进一步索赔的权利。</w:t>
      </w:r>
    </w:p>
    <w:p w14:paraId="7062D856">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15．履约延误</w:t>
      </w:r>
    </w:p>
    <w:p w14:paraId="51C345E9">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15.1 供方应按照合同规定的时间、地点交货和提供服务；需方应按照合同规定的时间、地点接收货物和接受服务。</w:t>
      </w:r>
    </w:p>
    <w:p w14:paraId="755B8239">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15.2 如果供方无正当理由拖延交货，将受到以下制裁：没收履约保证金、加收误期赔偿和／或违约终止合同；如果需方无正当理由拖延接收货物和接受服务，应承担相应的违约责任。</w:t>
      </w:r>
    </w:p>
    <w:p w14:paraId="E2C4C136">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15.3 在履行合同过程中，如果供方遇到可能妨碍其按时交货和提供服务的情况，或者需方遇到可能妨碍其按时接收货物和接受服务的情况， 应及时以书面形式将拖延的事实，可能拖延的期限和理由通知对方。需方（或供方）在收到供方（或需方）通知后，应尽快对情况进行评估，并确定是否通过修改合同，酌情延长</w:t>
      </w:r>
      <w:r>
        <w:rPr>
          <w:rFonts w:hint="eastAsia" w:ascii="宋体" w:hAnsi="宋体" w:cs="宋体"/>
          <w:color w:val="auto"/>
          <w:sz w:val="24"/>
          <w:highlight w:val="none"/>
          <w:lang w:val="zh-CN"/>
        </w:rPr>
        <w:t>服务期限</w:t>
      </w:r>
      <w:r>
        <w:rPr>
          <w:rFonts w:hint="eastAsia" w:ascii="宋体" w:hAnsi="宋体" w:eastAsia="宋体" w:cs="宋体"/>
          <w:color w:val="auto"/>
          <w:sz w:val="24"/>
          <w:highlight w:val="none"/>
          <w:lang w:val="zh-CN"/>
        </w:rPr>
        <w:t>和/或延期提供服务，或者终止合同。</w:t>
      </w:r>
    </w:p>
    <w:p w14:paraId="4D700098">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16．误期赔偿</w:t>
      </w:r>
    </w:p>
    <w:p w14:paraId="FEDF24D8">
      <w:pPr>
        <w:autoSpaceDE w:val="0"/>
        <w:autoSpaceDN w:val="0"/>
        <w:adjustRightInd w:val="0"/>
        <w:spacing w:line="460" w:lineRule="exact"/>
        <w:ind w:firstLine="48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16.1除本合同条款</w:t>
      </w:r>
      <w:r>
        <w:rPr>
          <w:rFonts w:hint="eastAsia" w:ascii="宋体" w:hAnsi="宋体" w:eastAsia="宋体" w:cs="宋体"/>
          <w:b/>
          <w:color w:val="auto"/>
          <w:sz w:val="24"/>
          <w:highlight w:val="none"/>
          <w:lang w:val="zh-CN"/>
        </w:rPr>
        <w:t>第18条</w:t>
      </w:r>
      <w:r>
        <w:rPr>
          <w:rFonts w:hint="eastAsia" w:ascii="宋体" w:hAnsi="宋体" w:eastAsia="宋体" w:cs="宋体"/>
          <w:color w:val="auto"/>
          <w:sz w:val="24"/>
          <w:highlight w:val="none"/>
          <w:lang w:val="zh-CN"/>
        </w:rPr>
        <w:t>规定的情形外，如果供方没有按照合同规定的时间交货和提供服务，供方应向需方支付误期赔偿费。误期赔偿费每周按迟交货物的交货价或延期服务的服务费用的百分之一（1%）计收，直至交货或提供服务为止。一周按七天计算，不足七天按一周计算。但误期赔偿费的最高限额不超过合同价的百分之五（5%）。</w:t>
      </w:r>
    </w:p>
    <w:p w14:paraId="A46F7375">
      <w:pPr>
        <w:autoSpaceDE w:val="0"/>
        <w:autoSpaceDN w:val="0"/>
        <w:adjustRightInd w:val="0"/>
        <w:spacing w:line="460" w:lineRule="exact"/>
        <w:ind w:firstLine="48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16.2误期赔偿费可从应付货款和/或履约保证金中扣除。</w:t>
      </w:r>
    </w:p>
    <w:p w14:paraId="D375CB29">
      <w:pPr>
        <w:autoSpaceDE w:val="0"/>
        <w:autoSpaceDN w:val="0"/>
        <w:adjustRightInd w:val="0"/>
        <w:spacing w:line="460" w:lineRule="exact"/>
        <w:ind w:firstLine="48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16.3收取误期赔偿费不影响需方采取合同规定的其他补救措施的权利。</w:t>
      </w:r>
    </w:p>
    <w:p w14:paraId="BC1FB57F">
      <w:pPr>
        <w:autoSpaceDE w:val="0"/>
        <w:autoSpaceDN w:val="0"/>
        <w:adjustRightInd w:val="0"/>
        <w:spacing w:line="460" w:lineRule="exact"/>
        <w:ind w:firstLine="48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16.4在收取误期赔偿费期间，需方有权决定是否终止合同。</w:t>
      </w:r>
    </w:p>
    <w:p w14:paraId="8A11830B">
      <w:pPr>
        <w:autoSpaceDE w:val="0"/>
        <w:autoSpaceDN w:val="0"/>
        <w:adjustRightInd w:val="0"/>
        <w:spacing w:line="460" w:lineRule="exact"/>
        <w:ind w:firstLine="48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16.5如果需方违约，应承担相应的违约责任。</w:t>
      </w:r>
    </w:p>
    <w:p w14:paraId="9F7409D7">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17．履约保证金和质量保证金：在采购合同书中约定。</w:t>
      </w:r>
    </w:p>
    <w:p w14:paraId="7905FE36">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18．不可抗力</w:t>
      </w:r>
    </w:p>
    <w:p w14:paraId="4126C269">
      <w:pPr>
        <w:autoSpaceDE w:val="0"/>
        <w:autoSpaceDN w:val="0"/>
        <w:adjustRightInd w:val="0"/>
        <w:spacing w:line="4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18.1 如果供方和需方因不可抗力导致合同实施延误或不能履行合同义务，不应该承担误期赔偿或不能履行合同义务的责任。但因供方或需方先延误或不能履行合同而后遇不可抗力的情形除外。</w:t>
      </w:r>
    </w:p>
    <w:p w14:paraId="DA05D8D0">
      <w:pPr>
        <w:autoSpaceDE w:val="0"/>
        <w:autoSpaceDN w:val="0"/>
        <w:adjustRightInd w:val="0"/>
        <w:spacing w:line="4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18.2 本条所述的</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不可抗力</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系指那些双方无法控制，不可预见的事件，但不包括双方的违约或疏忽。这些事件包括但不限于：战争、严重火灾、洪水、台风、地震以及其它双方商定的事件。</w:t>
      </w:r>
    </w:p>
    <w:p w14:paraId="F608DC07">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18.3 在不可抗力事件发生后，当事方应尽快以书面形式将不可抗力的情况和原因通知对方。双方应尽实际可能继续履行合同义务，并积极寻求采取合理的方案履行不受不可抗力影响的其他事项。双方应通过友好协商在合理的时间内达成进一步履行合同的协议。</w:t>
      </w:r>
    </w:p>
    <w:p w14:paraId="B9D56D92">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19．税费</w:t>
      </w:r>
    </w:p>
    <w:p w14:paraId="EA223BFB">
      <w:pPr>
        <w:autoSpaceDE w:val="0"/>
        <w:autoSpaceDN w:val="0"/>
        <w:adjustRightInd w:val="0"/>
        <w:spacing w:line="4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19.1 根据现行法律规定对需方征收的与本合同有关的一切税费均由需方负担。</w:t>
      </w:r>
    </w:p>
    <w:p w14:paraId="32548CC3">
      <w:pPr>
        <w:autoSpaceDE w:val="0"/>
        <w:autoSpaceDN w:val="0"/>
        <w:adjustRightInd w:val="0"/>
        <w:spacing w:line="4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19.2 根据现行法律规定对供方征收的与本合同有关的一切税费均由供方负担。</w:t>
      </w:r>
    </w:p>
    <w:p w14:paraId="DE1718E7">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19.3 在中国境外发生的与执行本合同有关的一切税费均由供方负担。</w:t>
      </w:r>
    </w:p>
    <w:p w14:paraId="AE195E8E">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20．争议解决方式</w:t>
      </w:r>
    </w:p>
    <w:p w14:paraId="F978F699">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color w:val="auto"/>
          <w:sz w:val="24"/>
          <w:highlight w:val="none"/>
          <w:lang w:val="zh-CN"/>
        </w:rPr>
        <w:t>20.1供需双方应通过友好协商，解决在执行本合同过程中所发生的或与本合同有关的争议。如果不能协商解决，可以向国家有关部门申请调解。如果调解不成，双方可以在</w:t>
      </w:r>
      <w:r>
        <w:rPr>
          <w:rFonts w:hint="eastAsia" w:ascii="宋体" w:hAnsi="宋体" w:eastAsia="宋体" w:cs="宋体"/>
          <w:b/>
          <w:color w:val="auto"/>
          <w:sz w:val="24"/>
          <w:highlight w:val="none"/>
          <w:lang w:val="zh-CN"/>
        </w:rPr>
        <w:t>采购合同书</w:t>
      </w:r>
      <w:r>
        <w:rPr>
          <w:rFonts w:hint="eastAsia" w:ascii="宋体" w:hAnsi="宋体" w:eastAsia="宋体" w:cs="宋体"/>
          <w:color w:val="auto"/>
          <w:sz w:val="24"/>
          <w:highlight w:val="none"/>
          <w:lang w:val="zh-CN"/>
        </w:rPr>
        <w:t>内约定以下一种方式解决争议：</w:t>
      </w:r>
    </w:p>
    <w:p w14:paraId="20272584">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第一种方式：双方达成仲裁协议，向约定的仲裁机构申请仲裁；</w:t>
      </w:r>
    </w:p>
    <w:p w14:paraId="45AB5F9C">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第二种方式：向有管辖权的人民法院提起诉讼。</w:t>
      </w:r>
    </w:p>
    <w:p w14:paraId="BB7EB07C">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20.2 因合同部分履行引发仲裁（诉讼）的，在仲裁（诉讼）期间，除正在进行仲裁（诉讼）的部分外，本合同的其它部分应继续执行。</w:t>
      </w:r>
    </w:p>
    <w:p w14:paraId="B74724E3">
      <w:pPr>
        <w:autoSpaceDE w:val="0"/>
        <w:autoSpaceDN w:val="0"/>
        <w:adjustRightInd w:val="0"/>
        <w:spacing w:line="46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21．违约终止合同</w:t>
      </w:r>
    </w:p>
    <w:p w14:paraId="FF21B991">
      <w:pPr>
        <w:autoSpaceDE w:val="0"/>
        <w:autoSpaceDN w:val="0"/>
        <w:adjustRightInd w:val="0"/>
        <w:spacing w:line="4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21.1 在需方因供方违约而按合同约定采取的任何补救措施不受影响的情况下，需方可在下列情况下向供方发出书面通知，提出终止部分或全部合同。</w:t>
      </w:r>
    </w:p>
    <w:p w14:paraId="7C6B1BCA">
      <w:pPr>
        <w:autoSpaceDE w:val="0"/>
        <w:autoSpaceDN w:val="0"/>
        <w:adjustRightInd w:val="0"/>
        <w:spacing w:line="4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（1）如果供方未能在合同规定的限期或需方同意延长的限期内提供部分或全部货物和服务。</w:t>
      </w:r>
    </w:p>
    <w:p w14:paraId="6CB41753">
      <w:pPr>
        <w:autoSpaceDE w:val="0"/>
        <w:autoSpaceDN w:val="0"/>
        <w:adjustRightInd w:val="0"/>
        <w:spacing w:line="4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（2）如果供方未能履行合同规定的其它任何义务。</w:t>
      </w:r>
    </w:p>
    <w:p w14:paraId="DDB69EF5">
      <w:pPr>
        <w:autoSpaceDE w:val="0"/>
        <w:autoSpaceDN w:val="0"/>
        <w:adjustRightInd w:val="0"/>
        <w:spacing w:line="4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（3）如果供方在本合同订立和履行过程中采取了任何</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不正当竞争行为</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，危害到国家利益、社会公共利益和需方的合法权益。</w:t>
      </w:r>
    </w:p>
    <w:p w14:paraId="B73D3E55">
      <w:pPr>
        <w:autoSpaceDE w:val="0"/>
        <w:autoSpaceDN w:val="0"/>
        <w:adjustRightInd w:val="0"/>
        <w:spacing w:line="46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21.2 如果需方根据上述第21.1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w:t>
      </w:r>
    </w:p>
    <w:p w14:paraId="21F0B043">
      <w:pPr>
        <w:autoSpaceDE w:val="0"/>
        <w:autoSpaceDN w:val="0"/>
        <w:adjustRightInd w:val="0"/>
        <w:spacing w:line="42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21.3如果需方违约，应承担相应的违约责任。</w:t>
      </w:r>
    </w:p>
    <w:p w14:paraId="E5F259CE">
      <w:pPr>
        <w:autoSpaceDE w:val="0"/>
        <w:autoSpaceDN w:val="0"/>
        <w:adjustRightInd w:val="0"/>
        <w:spacing w:line="42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22．破产终止合同：</w:t>
      </w:r>
      <w:r>
        <w:rPr>
          <w:rFonts w:hint="eastAsia" w:ascii="宋体" w:hAnsi="宋体" w:eastAsia="宋体" w:cs="宋体"/>
          <w:color w:val="auto"/>
          <w:sz w:val="24"/>
          <w:highlight w:val="none"/>
          <w:lang w:val="zh-CN"/>
        </w:rPr>
        <w:t>如果供方破产或丧失清偿能力，需方可在任何时候以书面形式通知供方终止合同而不给供方补偿。该终止合同将不损害或影响需方已经采取或将要采取任何补救措施的权力。</w:t>
      </w:r>
    </w:p>
    <w:p w14:paraId="863A2450">
      <w:pPr>
        <w:autoSpaceDE w:val="0"/>
        <w:autoSpaceDN w:val="0"/>
        <w:adjustRightInd w:val="0"/>
        <w:spacing w:line="42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23．合同转让和分包：</w:t>
      </w:r>
      <w:r>
        <w:rPr>
          <w:rFonts w:hint="eastAsia" w:ascii="宋体" w:hAnsi="宋体" w:eastAsia="宋体" w:cs="宋体"/>
          <w:color w:val="auto"/>
          <w:sz w:val="24"/>
          <w:highlight w:val="none"/>
          <w:lang w:val="zh-CN"/>
        </w:rPr>
        <w:t>本合同不得转让或分包。</w:t>
      </w:r>
    </w:p>
    <w:p w14:paraId="DFA19AC5">
      <w:pPr>
        <w:autoSpaceDE w:val="0"/>
        <w:autoSpaceDN w:val="0"/>
        <w:adjustRightInd w:val="0"/>
        <w:spacing w:line="42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24．需要补充的合同条款：</w:t>
      </w:r>
      <w:r>
        <w:rPr>
          <w:rFonts w:hint="eastAsia" w:ascii="宋体" w:hAnsi="宋体" w:eastAsia="宋体" w:cs="宋体"/>
          <w:color w:val="auto"/>
          <w:sz w:val="24"/>
          <w:highlight w:val="none"/>
          <w:lang w:val="zh-CN"/>
        </w:rPr>
        <w:t>在采购合同书中约定。</w:t>
      </w:r>
    </w:p>
    <w:p w14:paraId="E5AFC364">
      <w:pPr>
        <w:autoSpaceDE w:val="0"/>
        <w:autoSpaceDN w:val="0"/>
        <w:adjustRightInd w:val="0"/>
        <w:spacing w:line="42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25．适用法律：</w:t>
      </w:r>
      <w:r>
        <w:rPr>
          <w:rFonts w:hint="eastAsia" w:ascii="宋体" w:hAnsi="宋体" w:eastAsia="宋体" w:cs="宋体"/>
          <w:color w:val="auto"/>
          <w:sz w:val="24"/>
          <w:highlight w:val="none"/>
          <w:lang w:val="zh-CN"/>
        </w:rPr>
        <w:t>本合同及附件的订立、效力、解释、履行、争议的解决等适用本合同签订时有效的中华人民共和国法律、法规的有关规定。</w:t>
      </w:r>
    </w:p>
    <w:p w14:paraId="6F34F3D6">
      <w:pPr>
        <w:autoSpaceDE w:val="0"/>
        <w:autoSpaceDN w:val="0"/>
        <w:adjustRightInd w:val="0"/>
        <w:spacing w:line="42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26.主导语言与计量单位</w:t>
      </w:r>
    </w:p>
    <w:p w14:paraId="0F860C1B">
      <w:pPr>
        <w:autoSpaceDE w:val="0"/>
        <w:autoSpaceDN w:val="0"/>
        <w:adjustRightInd w:val="0"/>
        <w:spacing w:line="42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26.1合同应用中文书写。供需双方所有来往信函，以及合同有关的文件均应以中文书写。</w:t>
      </w:r>
    </w:p>
    <w:p w14:paraId="DD7478F2">
      <w:pPr>
        <w:autoSpaceDE w:val="0"/>
        <w:autoSpaceDN w:val="0"/>
        <w:adjustRightInd w:val="0"/>
        <w:spacing w:line="40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26.2除合同另有规定外，计量单位均使用中华人民共和国法定计量单位。</w:t>
      </w:r>
    </w:p>
    <w:p w14:paraId="89897264">
      <w:pPr>
        <w:autoSpaceDE w:val="0"/>
        <w:autoSpaceDN w:val="0"/>
        <w:adjustRightInd w:val="0"/>
        <w:spacing w:line="400" w:lineRule="exact"/>
        <w:ind w:firstLine="482"/>
        <w:rPr>
          <w:rFonts w:hint="eastAsia" w:ascii="宋体" w:hAnsi="宋体" w:eastAsia="宋体" w:cs="宋体"/>
          <w:color w:val="auto"/>
          <w:sz w:val="24"/>
          <w:highlight w:val="none"/>
        </w:rPr>
      </w:pPr>
      <w:r>
        <w:rPr>
          <w:rFonts w:hint="eastAsia" w:ascii="宋体" w:hAnsi="宋体" w:eastAsia="宋体" w:cs="宋体"/>
          <w:b/>
          <w:color w:val="auto"/>
          <w:sz w:val="24"/>
          <w:highlight w:val="none"/>
          <w:lang w:val="zh-CN"/>
        </w:rPr>
        <w:t>27．采购法对采购合同变更、终止的规定：</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采购合同的双方当事人（指供需双方）不得擅自变更、中止或者终止合同。采购合同继续履行将损害国家利益和社会公共利益的，双方当事人应当变更、中止或者终止合同。有过错的一方应当承担赔偿责任，双方都有过错的，各自承担相应的责任。</w:t>
      </w:r>
      <w:r>
        <w:rPr>
          <w:rFonts w:hint="eastAsia" w:ascii="宋体" w:hAnsi="宋体" w:eastAsia="宋体" w:cs="宋体"/>
          <w:color w:val="auto"/>
          <w:sz w:val="24"/>
          <w:highlight w:val="none"/>
        </w:rPr>
        <w:t>”</w:t>
      </w:r>
    </w:p>
    <w:p w14:paraId="C567F19B">
      <w:pPr>
        <w:autoSpaceDE w:val="0"/>
        <w:autoSpaceDN w:val="0"/>
        <w:adjustRightInd w:val="0"/>
        <w:spacing w:line="400" w:lineRule="exact"/>
        <w:ind w:firstLine="482"/>
        <w:rPr>
          <w:rFonts w:hint="eastAsia" w:ascii="宋体" w:hAnsi="宋体" w:eastAsia="宋体" w:cs="宋体"/>
          <w:color w:val="auto"/>
          <w:sz w:val="24"/>
          <w:highlight w:val="none"/>
        </w:rPr>
      </w:pPr>
    </w:p>
    <w:p w14:paraId="D32DE9D9">
      <w:pPr>
        <w:spacing w:after="120" w:line="520" w:lineRule="exact"/>
        <w:jc w:val="center"/>
        <w:outlineLvl w:val="9"/>
        <w:rPr>
          <w:rFonts w:hint="eastAsia" w:ascii="宋体" w:hAnsi="宋体" w:eastAsia="宋体" w:cs="宋体"/>
          <w:color w:val="auto"/>
          <w:highlight w:val="none"/>
          <w:lang w:val="zh-CN"/>
        </w:rPr>
      </w:pPr>
    </w:p>
    <w:p w14:paraId="1E367BB2">
      <w:pPr>
        <w:rPr>
          <w:rFonts w:hint="eastAsia" w:ascii="宋体" w:hAnsi="宋体" w:eastAsia="宋体" w:cs="宋体"/>
          <w:color w:val="auto"/>
          <w:highlight w:val="none"/>
          <w:lang w:val="zh-CN"/>
        </w:rPr>
      </w:pPr>
    </w:p>
    <w:p w14:paraId="594E8FFA">
      <w:pPr>
        <w:rPr>
          <w:rFonts w:hint="eastAsia" w:ascii="宋体" w:hAnsi="宋体" w:eastAsia="宋体" w:cs="宋体"/>
          <w:color w:val="auto"/>
          <w:highlight w:val="none"/>
          <w:lang w:val="zh-CN"/>
        </w:rPr>
      </w:pPr>
    </w:p>
    <w:p w14:paraId="9E895FCD">
      <w:pPr>
        <w:rPr>
          <w:rFonts w:hint="eastAsia" w:ascii="宋体" w:hAnsi="宋体" w:eastAsia="宋体" w:cs="宋体"/>
          <w:color w:val="auto"/>
          <w:highlight w:val="none"/>
          <w:lang w:val="zh-CN"/>
        </w:rPr>
      </w:pPr>
    </w:p>
    <w:p w14:paraId="F0955A1B">
      <w:pPr>
        <w:rPr>
          <w:rFonts w:hint="eastAsia" w:ascii="宋体" w:hAnsi="宋体" w:eastAsia="宋体" w:cs="宋体"/>
          <w:color w:val="auto"/>
          <w:highlight w:val="none"/>
          <w:lang w:val="zh-CN"/>
        </w:rPr>
      </w:pPr>
    </w:p>
    <w:p w14:paraId="F68758AD">
      <w:pPr>
        <w:rPr>
          <w:rFonts w:hint="eastAsia" w:ascii="宋体" w:hAnsi="宋体" w:eastAsia="宋体" w:cs="宋体"/>
          <w:color w:val="auto"/>
          <w:highlight w:val="none"/>
          <w:lang w:val="zh-CN"/>
        </w:rPr>
      </w:pPr>
    </w:p>
    <w:p w14:paraId="62C060D5">
      <w:pPr>
        <w:rPr>
          <w:rFonts w:hint="eastAsia" w:ascii="宋体" w:hAnsi="宋体" w:eastAsia="宋体" w:cs="宋体"/>
          <w:color w:val="auto"/>
          <w:highlight w:val="none"/>
          <w:lang w:val="zh-CN"/>
        </w:rPr>
      </w:pPr>
    </w:p>
    <w:p w14:paraId="FAD1413E">
      <w:pPr>
        <w:rPr>
          <w:rFonts w:hint="eastAsia" w:ascii="宋体" w:hAnsi="宋体" w:eastAsia="宋体" w:cs="宋体"/>
          <w:color w:val="auto"/>
          <w:highlight w:val="none"/>
          <w:lang w:val="zh-CN"/>
        </w:rPr>
      </w:pPr>
    </w:p>
    <w:p w14:paraId="AFE52A56">
      <w:pPr>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br w:type="page"/>
      </w:r>
    </w:p>
    <w:p w14:paraId="D0E43985">
      <w:pPr>
        <w:rPr>
          <w:rFonts w:hint="eastAsia" w:ascii="宋体" w:hAnsi="宋体" w:eastAsia="宋体" w:cs="宋体"/>
          <w:color w:val="auto"/>
          <w:highlight w:val="none"/>
          <w:lang w:val="zh-CN"/>
        </w:rPr>
      </w:pPr>
    </w:p>
    <w:p w14:paraId="2DB63A77">
      <w:pPr>
        <w:rPr>
          <w:rFonts w:hint="eastAsia" w:ascii="宋体" w:hAnsi="宋体" w:eastAsia="宋体" w:cs="宋体"/>
          <w:color w:val="auto"/>
          <w:highlight w:val="none"/>
          <w:lang w:val="zh-CN"/>
        </w:rPr>
      </w:pPr>
    </w:p>
    <w:p w14:paraId="2788D7B9">
      <w:pPr>
        <w:rPr>
          <w:rFonts w:hint="eastAsia" w:ascii="宋体" w:hAnsi="宋体" w:eastAsia="宋体" w:cs="宋体"/>
          <w:color w:val="auto"/>
          <w:highlight w:val="none"/>
          <w:lang w:val="zh-CN"/>
        </w:rPr>
      </w:pPr>
    </w:p>
    <w:p w14:paraId="754A689F">
      <w:pPr>
        <w:numPr>
          <w:ilvl w:val="0"/>
          <w:numId w:val="3"/>
        </w:numPr>
        <w:jc w:val="center"/>
        <w:outlineLvl w:val="0"/>
        <w:rPr>
          <w:rFonts w:hint="eastAsia" w:ascii="宋体" w:hAnsi="宋体" w:eastAsia="宋体" w:cs="宋体"/>
          <w:b/>
          <w:bCs/>
          <w:color w:val="auto"/>
          <w:sz w:val="36"/>
          <w:szCs w:val="36"/>
          <w:highlight w:val="none"/>
        </w:rPr>
      </w:pPr>
      <w:bookmarkStart w:id="34" w:name="_Toc347014332"/>
      <w:bookmarkStart w:id="35" w:name="_Toc20359"/>
      <w:bookmarkStart w:id="36" w:name="_Toc7314_WPSOffice_Level1"/>
      <w:r>
        <w:rPr>
          <w:rFonts w:hint="eastAsia" w:ascii="宋体" w:hAnsi="宋体" w:eastAsia="宋体" w:cs="宋体"/>
          <w:b/>
          <w:bCs/>
          <w:color w:val="auto"/>
          <w:sz w:val="36"/>
          <w:szCs w:val="36"/>
          <w:highlight w:val="none"/>
          <w:lang w:val="en-US" w:eastAsia="zh-CN"/>
        </w:rPr>
        <w:t xml:space="preserve"> </w:t>
      </w:r>
      <w:bookmarkStart w:id="37" w:name="_Toc18332"/>
      <w:r>
        <w:rPr>
          <w:rFonts w:hint="eastAsia" w:ascii="宋体" w:hAnsi="宋体" w:eastAsia="宋体" w:cs="宋体"/>
          <w:b/>
          <w:bCs/>
          <w:color w:val="auto"/>
          <w:sz w:val="36"/>
          <w:szCs w:val="36"/>
          <w:highlight w:val="none"/>
        </w:rPr>
        <w:t>采购合同书格式</w:t>
      </w:r>
      <w:bookmarkEnd w:id="34"/>
      <w:bookmarkEnd w:id="35"/>
      <w:bookmarkEnd w:id="37"/>
    </w:p>
    <w:p w14:paraId="7D511E8A">
      <w:pPr>
        <w:numPr>
          <w:ilvl w:val="0"/>
          <w:numId w:val="0"/>
        </w:numPr>
        <w:jc w:val="center"/>
        <w:outlineLvl w:val="0"/>
        <w:rPr>
          <w:rFonts w:hint="eastAsia" w:ascii="宋体" w:hAnsi="宋体" w:eastAsia="宋体" w:cs="宋体"/>
          <w:b/>
          <w:bCs/>
          <w:color w:val="auto"/>
          <w:sz w:val="21"/>
          <w:szCs w:val="21"/>
          <w:highlight w:val="none"/>
          <w:lang w:val="en-US" w:eastAsia="zh-CN"/>
        </w:rPr>
      </w:pPr>
      <w:bookmarkStart w:id="38" w:name="_Toc15818"/>
      <w:r>
        <w:rPr>
          <w:rFonts w:hint="eastAsia" w:ascii="宋体" w:hAnsi="宋体" w:eastAsia="宋体" w:cs="宋体"/>
          <w:b/>
          <w:bCs/>
          <w:color w:val="auto"/>
          <w:sz w:val="21"/>
          <w:szCs w:val="21"/>
          <w:highlight w:val="none"/>
          <w:lang w:eastAsia="zh-CN"/>
        </w:rPr>
        <w:t>（供参考</w:t>
      </w:r>
      <w:r>
        <w:rPr>
          <w:rFonts w:hint="eastAsia" w:ascii="宋体" w:hAnsi="宋体" w:cs="宋体"/>
          <w:b/>
          <w:bCs/>
          <w:color w:val="auto"/>
          <w:sz w:val="21"/>
          <w:szCs w:val="21"/>
          <w:highlight w:val="none"/>
          <w:lang w:eastAsia="zh-CN"/>
        </w:rPr>
        <w:t>，具体以采购人签订为准</w:t>
      </w:r>
      <w:r>
        <w:rPr>
          <w:rFonts w:hint="eastAsia" w:ascii="宋体" w:hAnsi="宋体" w:eastAsia="宋体" w:cs="宋体"/>
          <w:b/>
          <w:bCs/>
          <w:color w:val="auto"/>
          <w:sz w:val="21"/>
          <w:szCs w:val="21"/>
          <w:highlight w:val="none"/>
          <w:lang w:eastAsia="zh-CN"/>
        </w:rPr>
        <w:t>）</w:t>
      </w:r>
      <w:bookmarkEnd w:id="36"/>
      <w:bookmarkEnd w:id="38"/>
    </w:p>
    <w:p w14:paraId="655CF31D">
      <w:pPr>
        <w:autoSpaceDE w:val="0"/>
        <w:autoSpaceDN w:val="0"/>
        <w:adjustRightInd w:val="0"/>
        <w:spacing w:line="40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合同编号：</w:t>
      </w:r>
    </w:p>
    <w:p w14:paraId="7C786D07">
      <w:pPr>
        <w:autoSpaceDE w:val="0"/>
        <w:autoSpaceDN w:val="0"/>
        <w:adjustRightInd w:val="0"/>
        <w:spacing w:line="400" w:lineRule="exac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zh-CN"/>
        </w:rPr>
        <w:t>签订地点：吉林省</w:t>
      </w:r>
      <w:r>
        <w:rPr>
          <w:rFonts w:hint="eastAsia" w:ascii="宋体" w:hAnsi="宋体" w:eastAsia="宋体" w:cs="宋体"/>
          <w:color w:val="auto"/>
          <w:sz w:val="24"/>
          <w:highlight w:val="none"/>
          <w:lang w:val="en-US" w:eastAsia="zh-CN"/>
        </w:rPr>
        <w:t>长春市</w:t>
      </w:r>
    </w:p>
    <w:p w14:paraId="FFF4531A">
      <w:pPr>
        <w:autoSpaceDE w:val="0"/>
        <w:autoSpaceDN w:val="0"/>
        <w:adjustRightInd w:val="0"/>
        <w:spacing w:line="40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签订日期：二○</w:t>
      </w:r>
      <w:r>
        <w:rPr>
          <w:rFonts w:hint="eastAsia" w:ascii="宋体" w:hAnsi="宋体" w:cs="宋体"/>
          <w:color w:val="auto"/>
          <w:sz w:val="24"/>
          <w:highlight w:val="none"/>
          <w:lang w:val="zh-CN"/>
        </w:rPr>
        <w:t>二</w:t>
      </w:r>
      <w:r>
        <w:rPr>
          <w:rFonts w:hint="eastAsia" w:ascii="宋体" w:hAnsi="宋体" w:eastAsia="宋体" w:cs="宋体"/>
          <w:color w:val="auto"/>
          <w:sz w:val="24"/>
          <w:highlight w:val="none"/>
          <w:lang w:val="zh-CN"/>
        </w:rPr>
        <w:t xml:space="preserve">  年  月  日 </w:t>
      </w:r>
    </w:p>
    <w:p w14:paraId="FEA2796E">
      <w:pPr>
        <w:autoSpaceDE w:val="0"/>
        <w:autoSpaceDN w:val="0"/>
        <w:adjustRightInd w:val="0"/>
        <w:spacing w:line="40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（招标人）需求的</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w:t>
      </w:r>
      <w:r>
        <w:rPr>
          <w:rFonts w:hint="eastAsia" w:ascii="宋体" w:hAnsi="宋体" w:cs="宋体"/>
          <w:color w:val="auto"/>
          <w:sz w:val="24"/>
          <w:highlight w:val="none"/>
          <w:lang w:val="zh-CN"/>
        </w:rPr>
        <w:t>服务</w:t>
      </w:r>
      <w:r>
        <w:rPr>
          <w:rFonts w:hint="eastAsia" w:ascii="宋体" w:hAnsi="宋体" w:eastAsia="宋体" w:cs="宋体"/>
          <w:color w:val="auto"/>
          <w:sz w:val="24"/>
          <w:highlight w:val="none"/>
          <w:lang w:val="zh-CN"/>
        </w:rPr>
        <w:t>名称）经</w:t>
      </w:r>
      <w:r>
        <w:rPr>
          <w:rFonts w:hint="eastAsia" w:ascii="宋体" w:hAnsi="宋体" w:eastAsia="宋体" w:cs="宋体"/>
          <w:color w:val="auto"/>
          <w:sz w:val="24"/>
          <w:highlight w:val="none"/>
          <w:u w:val="single"/>
          <w:lang w:val="zh-CN"/>
        </w:rPr>
        <w:t>（招标公司名称）</w:t>
      </w:r>
      <w:r>
        <w:rPr>
          <w:rFonts w:hint="eastAsia" w:ascii="宋体" w:hAnsi="宋体" w:eastAsia="宋体" w:cs="宋体"/>
          <w:color w:val="auto"/>
          <w:sz w:val="24"/>
          <w:highlight w:val="none"/>
          <w:lang w:val="zh-CN"/>
        </w:rPr>
        <w:t>以编号为</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的招标文件在国内公开招标，评标委员会评定（供方）为中标供应商。并提够给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（需方）使用，招标人及</w:t>
      </w:r>
      <w:r>
        <w:rPr>
          <w:rFonts w:hint="eastAsia" w:ascii="宋体" w:hAnsi="宋体" w:eastAsia="宋体" w:cs="宋体"/>
          <w:color w:val="auto"/>
          <w:sz w:val="24"/>
          <w:highlight w:val="none"/>
          <w:lang w:val="zh-CN"/>
        </w:rPr>
        <w:t>供需双方按照《中华人民共和国合同法》和有关法律法规，遵循平等、自愿、公平和诚实信用原则，同意按照下面的条款和条件订立本合同，共同信守。</w:t>
      </w:r>
    </w:p>
    <w:p w14:paraId="8CD16811">
      <w:pPr>
        <w:autoSpaceDE w:val="0"/>
        <w:autoSpaceDN w:val="0"/>
        <w:adjustRightInd w:val="0"/>
        <w:spacing w:line="42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1.合同标的</w:t>
      </w:r>
      <w:r>
        <w:rPr>
          <w:rFonts w:hint="eastAsia" w:ascii="宋体" w:hAnsi="宋体" w:eastAsia="宋体" w:cs="宋体"/>
          <w:color w:val="auto"/>
          <w:sz w:val="24"/>
          <w:highlight w:val="none"/>
          <w:lang w:val="zh-CN"/>
        </w:rPr>
        <w:t xml:space="preserve">： </w:t>
      </w:r>
    </w:p>
    <w:tbl>
      <w:tblPr>
        <w:tblStyle w:val="16"/>
        <w:tblW w:w="8086" w:type="dxa"/>
        <w:jc w:val="center"/>
        <w:tblLayout w:type="fixed"/>
        <w:tblCellMar>
          <w:top w:w="0" w:type="dxa"/>
          <w:left w:w="10" w:type="dxa"/>
          <w:bottom w:w="0" w:type="dxa"/>
          <w:right w:w="10" w:type="dxa"/>
        </w:tblCellMar>
      </w:tblPr>
      <w:tblGrid>
        <w:gridCol w:w="1634"/>
        <w:gridCol w:w="2708"/>
        <w:gridCol w:w="1065"/>
        <w:gridCol w:w="1052"/>
        <w:gridCol w:w="1627"/>
      </w:tblGrid>
      <w:tr w14:paraId="FE83B01C">
        <w:tblPrEx>
          <w:tblCellMar>
            <w:top w:w="0" w:type="dxa"/>
            <w:left w:w="10" w:type="dxa"/>
            <w:bottom w:w="0" w:type="dxa"/>
            <w:right w:w="10" w:type="dxa"/>
          </w:tblCellMar>
        </w:tblPrEx>
        <w:trPr>
          <w:trHeight w:val="510" w:hRule="atLeast"/>
          <w:jc w:val="center"/>
        </w:trPr>
        <w:tc>
          <w:tcPr>
            <w:tcW w:w="1634" w:type="dxa"/>
            <w:tcBorders>
              <w:top w:val="single" w:color="000000" w:sz="6" w:space="0"/>
              <w:left w:val="single" w:color="000000" w:sz="6" w:space="0"/>
              <w:bottom w:val="single" w:color="000000" w:sz="6" w:space="0"/>
              <w:right w:val="single" w:color="000000" w:sz="6" w:space="0"/>
            </w:tcBorders>
            <w:vAlign w:val="center"/>
          </w:tcPr>
          <w:p w14:paraId="01357D15">
            <w:pPr>
              <w:autoSpaceDE w:val="0"/>
              <w:autoSpaceDN w:val="0"/>
              <w:adjustRightInd w:val="0"/>
              <w:spacing w:line="420" w:lineRule="exact"/>
              <w:jc w:val="center"/>
              <w:rPr>
                <w:rFonts w:hint="eastAsia" w:ascii="宋体" w:hAnsi="宋体" w:eastAsia="宋体" w:cs="宋体"/>
                <w:b/>
                <w:bCs/>
                <w:color w:val="auto"/>
                <w:highlight w:val="none"/>
              </w:rPr>
            </w:pPr>
            <w:r>
              <w:rPr>
                <w:rFonts w:hint="eastAsia" w:ascii="宋体" w:hAnsi="宋体" w:eastAsia="宋体" w:cs="宋体"/>
                <w:b/>
                <w:bCs/>
                <w:color w:val="auto"/>
                <w:highlight w:val="none"/>
                <w:lang w:val="zh-CN"/>
              </w:rPr>
              <w:t>采购项目名称</w:t>
            </w:r>
          </w:p>
        </w:tc>
        <w:tc>
          <w:tcPr>
            <w:tcW w:w="2708" w:type="dxa"/>
            <w:tcBorders>
              <w:top w:val="single" w:color="000000" w:sz="6" w:space="0"/>
              <w:left w:val="single" w:color="000000" w:sz="6" w:space="0"/>
              <w:bottom w:val="single" w:color="000000" w:sz="6" w:space="0"/>
              <w:right w:val="single" w:color="000000" w:sz="6" w:space="0"/>
            </w:tcBorders>
            <w:vAlign w:val="center"/>
          </w:tcPr>
          <w:p w14:paraId="B5F8B2C7">
            <w:pPr>
              <w:autoSpaceDE w:val="0"/>
              <w:autoSpaceDN w:val="0"/>
              <w:adjustRightInd w:val="0"/>
              <w:spacing w:line="420" w:lineRule="exact"/>
              <w:jc w:val="center"/>
              <w:rPr>
                <w:rFonts w:hint="eastAsia" w:ascii="宋体" w:hAnsi="宋体" w:eastAsia="宋体" w:cs="宋体"/>
                <w:b/>
                <w:bCs/>
                <w:color w:val="auto"/>
                <w:highlight w:val="none"/>
              </w:rPr>
            </w:pPr>
            <w:r>
              <w:rPr>
                <w:rFonts w:hint="eastAsia" w:ascii="宋体" w:hAnsi="宋体" w:cs="宋体"/>
                <w:b/>
                <w:bCs/>
                <w:color w:val="auto"/>
                <w:highlight w:val="none"/>
                <w:lang w:val="zh-CN"/>
              </w:rPr>
              <w:t>服务内容</w:t>
            </w:r>
          </w:p>
        </w:tc>
        <w:tc>
          <w:tcPr>
            <w:tcW w:w="1065" w:type="dxa"/>
            <w:tcBorders>
              <w:top w:val="single" w:color="000000" w:sz="6" w:space="0"/>
              <w:left w:val="single" w:color="000000" w:sz="6" w:space="0"/>
              <w:bottom w:val="single" w:color="000000" w:sz="6" w:space="0"/>
              <w:right w:val="single" w:color="000000" w:sz="6" w:space="0"/>
            </w:tcBorders>
            <w:vAlign w:val="center"/>
          </w:tcPr>
          <w:p w14:paraId="3169BF0A">
            <w:pPr>
              <w:autoSpaceDE w:val="0"/>
              <w:autoSpaceDN w:val="0"/>
              <w:adjustRightInd w:val="0"/>
              <w:spacing w:line="420" w:lineRule="exact"/>
              <w:jc w:val="center"/>
              <w:rPr>
                <w:rFonts w:hint="eastAsia" w:ascii="宋体" w:hAnsi="宋体" w:eastAsia="宋体" w:cs="宋体"/>
                <w:b/>
                <w:bCs/>
                <w:color w:val="auto"/>
                <w:highlight w:val="none"/>
              </w:rPr>
            </w:pPr>
            <w:r>
              <w:rPr>
                <w:rFonts w:hint="eastAsia" w:ascii="宋体" w:hAnsi="宋体" w:eastAsia="宋体" w:cs="宋体"/>
                <w:b/>
                <w:bCs/>
                <w:color w:val="auto"/>
                <w:highlight w:val="none"/>
                <w:lang w:val="zh-CN"/>
              </w:rPr>
              <w:t>数量</w:t>
            </w:r>
          </w:p>
        </w:tc>
        <w:tc>
          <w:tcPr>
            <w:tcW w:w="1052" w:type="dxa"/>
            <w:tcBorders>
              <w:top w:val="single" w:color="000000" w:sz="6" w:space="0"/>
              <w:left w:val="single" w:color="000000" w:sz="6" w:space="0"/>
              <w:bottom w:val="single" w:color="000000" w:sz="6" w:space="0"/>
              <w:right w:val="single" w:color="000000" w:sz="6" w:space="0"/>
            </w:tcBorders>
            <w:vAlign w:val="center"/>
          </w:tcPr>
          <w:p w14:paraId="EEB98816">
            <w:pPr>
              <w:autoSpaceDE w:val="0"/>
              <w:autoSpaceDN w:val="0"/>
              <w:adjustRightInd w:val="0"/>
              <w:spacing w:line="420" w:lineRule="exact"/>
              <w:jc w:val="center"/>
              <w:rPr>
                <w:rFonts w:hint="eastAsia" w:ascii="宋体" w:hAnsi="宋体" w:eastAsia="宋体" w:cs="宋体"/>
                <w:b/>
                <w:bCs/>
                <w:color w:val="auto"/>
                <w:highlight w:val="none"/>
              </w:rPr>
            </w:pPr>
            <w:r>
              <w:rPr>
                <w:rFonts w:hint="eastAsia" w:ascii="宋体" w:hAnsi="宋体" w:eastAsia="宋体" w:cs="宋体"/>
                <w:b/>
                <w:bCs/>
                <w:color w:val="auto"/>
                <w:highlight w:val="none"/>
                <w:lang w:val="zh-CN"/>
              </w:rPr>
              <w:t>单价</w:t>
            </w:r>
            <w:r>
              <w:rPr>
                <w:rFonts w:hint="eastAsia" w:ascii="宋体" w:hAnsi="宋体" w:eastAsia="宋体" w:cs="宋体"/>
                <w:b/>
                <w:bCs/>
                <w:color w:val="auto"/>
                <w:highlight w:val="none"/>
              </w:rPr>
              <w:t>(</w:t>
            </w:r>
            <w:r>
              <w:rPr>
                <w:rFonts w:hint="eastAsia" w:ascii="宋体" w:hAnsi="宋体" w:eastAsia="宋体" w:cs="宋体"/>
                <w:b/>
                <w:bCs/>
                <w:color w:val="auto"/>
                <w:highlight w:val="none"/>
                <w:lang w:val="zh-CN"/>
              </w:rPr>
              <w:t>元</w:t>
            </w:r>
            <w:r>
              <w:rPr>
                <w:rFonts w:hint="eastAsia" w:ascii="宋体" w:hAnsi="宋体" w:eastAsia="宋体" w:cs="宋体"/>
                <w:b/>
                <w:bCs/>
                <w:color w:val="auto"/>
                <w:highlight w:val="none"/>
              </w:rPr>
              <w:t>)</w:t>
            </w:r>
          </w:p>
        </w:tc>
        <w:tc>
          <w:tcPr>
            <w:tcW w:w="1627" w:type="dxa"/>
            <w:tcBorders>
              <w:top w:val="single" w:color="000000" w:sz="6" w:space="0"/>
              <w:left w:val="single" w:color="000000" w:sz="6" w:space="0"/>
              <w:bottom w:val="single" w:color="000000" w:sz="6" w:space="0"/>
              <w:right w:val="single" w:color="000000" w:sz="6" w:space="0"/>
            </w:tcBorders>
            <w:vAlign w:val="center"/>
          </w:tcPr>
          <w:p w14:paraId="9E4B9003">
            <w:pPr>
              <w:autoSpaceDE w:val="0"/>
              <w:autoSpaceDN w:val="0"/>
              <w:adjustRightInd w:val="0"/>
              <w:spacing w:line="420" w:lineRule="exact"/>
              <w:jc w:val="center"/>
              <w:rPr>
                <w:rFonts w:hint="eastAsia" w:ascii="宋体" w:hAnsi="宋体" w:eastAsia="宋体" w:cs="宋体"/>
                <w:b/>
                <w:bCs/>
                <w:color w:val="auto"/>
                <w:highlight w:val="none"/>
              </w:rPr>
            </w:pPr>
            <w:r>
              <w:rPr>
                <w:rFonts w:hint="eastAsia" w:ascii="宋体" w:hAnsi="宋体" w:eastAsia="宋体" w:cs="宋体"/>
                <w:b/>
                <w:bCs/>
                <w:color w:val="auto"/>
                <w:highlight w:val="none"/>
                <w:lang w:val="zh-CN"/>
              </w:rPr>
              <w:t>小计金额</w:t>
            </w:r>
            <w:r>
              <w:rPr>
                <w:rFonts w:hint="eastAsia" w:ascii="宋体" w:hAnsi="宋体" w:eastAsia="宋体" w:cs="宋体"/>
                <w:b/>
                <w:bCs/>
                <w:color w:val="auto"/>
                <w:highlight w:val="none"/>
              </w:rPr>
              <w:t>(</w:t>
            </w:r>
            <w:r>
              <w:rPr>
                <w:rFonts w:hint="eastAsia" w:ascii="宋体" w:hAnsi="宋体" w:eastAsia="宋体" w:cs="宋体"/>
                <w:b/>
                <w:bCs/>
                <w:color w:val="auto"/>
                <w:highlight w:val="none"/>
                <w:lang w:val="zh-CN"/>
              </w:rPr>
              <w:t>元</w:t>
            </w:r>
            <w:r>
              <w:rPr>
                <w:rFonts w:hint="eastAsia" w:ascii="宋体" w:hAnsi="宋体" w:eastAsia="宋体" w:cs="宋体"/>
                <w:b/>
                <w:bCs/>
                <w:color w:val="auto"/>
                <w:highlight w:val="none"/>
              </w:rPr>
              <w:t>)</w:t>
            </w:r>
          </w:p>
        </w:tc>
      </w:tr>
      <w:tr w14:paraId="F47FA907">
        <w:tblPrEx>
          <w:tblCellMar>
            <w:top w:w="0" w:type="dxa"/>
            <w:left w:w="10" w:type="dxa"/>
            <w:bottom w:w="0" w:type="dxa"/>
            <w:right w:w="10" w:type="dxa"/>
          </w:tblCellMar>
        </w:tblPrEx>
        <w:trPr>
          <w:trHeight w:val="510" w:hRule="atLeast"/>
          <w:jc w:val="center"/>
        </w:trPr>
        <w:tc>
          <w:tcPr>
            <w:tcW w:w="1634" w:type="dxa"/>
            <w:tcBorders>
              <w:top w:val="single" w:color="000000" w:sz="6" w:space="0"/>
              <w:left w:val="single" w:color="000000" w:sz="6" w:space="0"/>
              <w:bottom w:val="single" w:color="000000" w:sz="6" w:space="0"/>
              <w:right w:val="single" w:color="000000" w:sz="6" w:space="0"/>
            </w:tcBorders>
            <w:vAlign w:val="center"/>
          </w:tcPr>
          <w:p w14:paraId="4DD95E61">
            <w:pPr>
              <w:autoSpaceDE w:val="0"/>
              <w:autoSpaceDN w:val="0"/>
              <w:adjustRightInd w:val="0"/>
              <w:spacing w:line="420" w:lineRule="exact"/>
              <w:jc w:val="center"/>
              <w:rPr>
                <w:rFonts w:hint="eastAsia" w:ascii="宋体" w:hAnsi="宋体" w:eastAsia="宋体" w:cs="宋体"/>
                <w:color w:val="auto"/>
                <w:sz w:val="24"/>
                <w:highlight w:val="none"/>
                <w:lang w:val="zh-CN"/>
              </w:rPr>
            </w:pPr>
          </w:p>
        </w:tc>
        <w:tc>
          <w:tcPr>
            <w:tcW w:w="2708" w:type="dxa"/>
            <w:tcBorders>
              <w:top w:val="single" w:color="000000" w:sz="6" w:space="0"/>
              <w:left w:val="single" w:color="000000" w:sz="6" w:space="0"/>
              <w:bottom w:val="single" w:color="000000" w:sz="6" w:space="0"/>
              <w:right w:val="single" w:color="000000" w:sz="6" w:space="0"/>
            </w:tcBorders>
            <w:vAlign w:val="center"/>
          </w:tcPr>
          <w:p w14:paraId="BF0EFD40">
            <w:pPr>
              <w:autoSpaceDE w:val="0"/>
              <w:autoSpaceDN w:val="0"/>
              <w:adjustRightInd w:val="0"/>
              <w:spacing w:line="420" w:lineRule="exact"/>
              <w:jc w:val="center"/>
              <w:rPr>
                <w:rFonts w:hint="eastAsia" w:ascii="宋体" w:hAnsi="宋体" w:eastAsia="宋体" w:cs="宋体"/>
                <w:color w:val="auto"/>
                <w:sz w:val="24"/>
                <w:highlight w:val="none"/>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61A53332">
            <w:pPr>
              <w:autoSpaceDE w:val="0"/>
              <w:autoSpaceDN w:val="0"/>
              <w:adjustRightInd w:val="0"/>
              <w:spacing w:line="420" w:lineRule="exact"/>
              <w:jc w:val="center"/>
              <w:rPr>
                <w:rFonts w:hint="eastAsia" w:ascii="宋体" w:hAnsi="宋体" w:eastAsia="宋体" w:cs="宋体"/>
                <w:color w:val="auto"/>
                <w:sz w:val="24"/>
                <w:highlight w:val="none"/>
                <w:lang w:val="zh-CN"/>
              </w:rPr>
            </w:pPr>
          </w:p>
        </w:tc>
        <w:tc>
          <w:tcPr>
            <w:tcW w:w="1052" w:type="dxa"/>
            <w:tcBorders>
              <w:top w:val="single" w:color="000000" w:sz="6" w:space="0"/>
              <w:left w:val="single" w:color="000000" w:sz="6" w:space="0"/>
              <w:bottom w:val="single" w:color="000000" w:sz="6" w:space="0"/>
              <w:right w:val="single" w:color="000000" w:sz="6" w:space="0"/>
            </w:tcBorders>
            <w:vAlign w:val="center"/>
          </w:tcPr>
          <w:p w14:paraId="447C7DA9">
            <w:pPr>
              <w:autoSpaceDE w:val="0"/>
              <w:autoSpaceDN w:val="0"/>
              <w:adjustRightInd w:val="0"/>
              <w:spacing w:line="420" w:lineRule="exact"/>
              <w:jc w:val="center"/>
              <w:rPr>
                <w:rFonts w:hint="eastAsia" w:ascii="宋体" w:hAnsi="宋体" w:eastAsia="宋体" w:cs="宋体"/>
                <w:color w:val="auto"/>
                <w:sz w:val="24"/>
                <w:highlight w:val="none"/>
                <w:lang w:val="zh-CN"/>
              </w:rPr>
            </w:pPr>
          </w:p>
        </w:tc>
        <w:tc>
          <w:tcPr>
            <w:tcW w:w="1627" w:type="dxa"/>
            <w:tcBorders>
              <w:top w:val="single" w:color="000000" w:sz="6" w:space="0"/>
              <w:left w:val="single" w:color="000000" w:sz="6" w:space="0"/>
              <w:bottom w:val="single" w:color="000000" w:sz="6" w:space="0"/>
              <w:right w:val="single" w:color="000000" w:sz="6" w:space="0"/>
            </w:tcBorders>
            <w:vAlign w:val="center"/>
          </w:tcPr>
          <w:p w14:paraId="493E1D94">
            <w:pPr>
              <w:autoSpaceDE w:val="0"/>
              <w:autoSpaceDN w:val="0"/>
              <w:adjustRightInd w:val="0"/>
              <w:spacing w:line="420" w:lineRule="exact"/>
              <w:jc w:val="center"/>
              <w:rPr>
                <w:rFonts w:hint="eastAsia" w:ascii="宋体" w:hAnsi="宋体" w:eastAsia="宋体" w:cs="宋体"/>
                <w:color w:val="auto"/>
                <w:sz w:val="24"/>
                <w:highlight w:val="none"/>
                <w:lang w:val="zh-CN"/>
              </w:rPr>
            </w:pPr>
          </w:p>
        </w:tc>
      </w:tr>
      <w:tr w14:paraId="FB03613A">
        <w:tblPrEx>
          <w:tblCellMar>
            <w:top w:w="0" w:type="dxa"/>
            <w:left w:w="10" w:type="dxa"/>
            <w:bottom w:w="0" w:type="dxa"/>
            <w:right w:w="10" w:type="dxa"/>
          </w:tblCellMar>
        </w:tblPrEx>
        <w:trPr>
          <w:trHeight w:val="510" w:hRule="atLeast"/>
          <w:jc w:val="center"/>
        </w:trPr>
        <w:tc>
          <w:tcPr>
            <w:tcW w:w="1634" w:type="dxa"/>
            <w:tcBorders>
              <w:top w:val="single" w:color="000000" w:sz="6" w:space="0"/>
              <w:left w:val="single" w:color="000000" w:sz="6" w:space="0"/>
              <w:bottom w:val="single" w:color="000000" w:sz="6" w:space="0"/>
              <w:right w:val="single" w:color="000000" w:sz="6" w:space="0"/>
            </w:tcBorders>
            <w:vAlign w:val="center"/>
          </w:tcPr>
          <w:p w14:paraId="BCF9BF7E">
            <w:pPr>
              <w:autoSpaceDE w:val="0"/>
              <w:autoSpaceDN w:val="0"/>
              <w:adjustRightInd w:val="0"/>
              <w:spacing w:line="420" w:lineRule="exact"/>
              <w:jc w:val="center"/>
              <w:rPr>
                <w:rFonts w:hint="eastAsia" w:ascii="宋体" w:hAnsi="宋体" w:eastAsia="宋体" w:cs="宋体"/>
                <w:color w:val="auto"/>
                <w:sz w:val="24"/>
                <w:highlight w:val="none"/>
              </w:rPr>
            </w:pPr>
          </w:p>
        </w:tc>
        <w:tc>
          <w:tcPr>
            <w:tcW w:w="2708" w:type="dxa"/>
            <w:tcBorders>
              <w:top w:val="single" w:color="000000" w:sz="6" w:space="0"/>
              <w:left w:val="single" w:color="000000" w:sz="6" w:space="0"/>
              <w:bottom w:val="single" w:color="000000" w:sz="6" w:space="0"/>
              <w:right w:val="single" w:color="000000" w:sz="6" w:space="0"/>
            </w:tcBorders>
            <w:vAlign w:val="center"/>
          </w:tcPr>
          <w:p w14:paraId="3C457E44">
            <w:pPr>
              <w:autoSpaceDE w:val="0"/>
              <w:autoSpaceDN w:val="0"/>
              <w:adjustRightInd w:val="0"/>
              <w:spacing w:line="420" w:lineRule="exact"/>
              <w:jc w:val="center"/>
              <w:rPr>
                <w:rFonts w:hint="eastAsia" w:ascii="宋体" w:hAnsi="宋体" w:eastAsia="宋体" w:cs="宋体"/>
                <w:color w:val="auto"/>
                <w:sz w:val="24"/>
                <w:highlight w:val="none"/>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E35C5CF0">
            <w:pPr>
              <w:autoSpaceDE w:val="0"/>
              <w:autoSpaceDN w:val="0"/>
              <w:adjustRightInd w:val="0"/>
              <w:spacing w:line="420" w:lineRule="exact"/>
              <w:jc w:val="center"/>
              <w:rPr>
                <w:rFonts w:hint="eastAsia" w:ascii="宋体" w:hAnsi="宋体" w:eastAsia="宋体" w:cs="宋体"/>
                <w:color w:val="auto"/>
                <w:sz w:val="24"/>
                <w:highlight w:val="none"/>
              </w:rPr>
            </w:pPr>
          </w:p>
        </w:tc>
        <w:tc>
          <w:tcPr>
            <w:tcW w:w="1052" w:type="dxa"/>
            <w:tcBorders>
              <w:top w:val="single" w:color="000000" w:sz="6" w:space="0"/>
              <w:left w:val="single" w:color="000000" w:sz="6" w:space="0"/>
              <w:bottom w:val="single" w:color="000000" w:sz="6" w:space="0"/>
              <w:right w:val="single" w:color="000000" w:sz="6" w:space="0"/>
            </w:tcBorders>
            <w:vAlign w:val="center"/>
          </w:tcPr>
          <w:p w14:paraId="C7E2A2CC">
            <w:pPr>
              <w:autoSpaceDE w:val="0"/>
              <w:autoSpaceDN w:val="0"/>
              <w:adjustRightInd w:val="0"/>
              <w:spacing w:line="420" w:lineRule="exact"/>
              <w:jc w:val="center"/>
              <w:rPr>
                <w:rFonts w:hint="eastAsia" w:ascii="宋体" w:hAnsi="宋体" w:eastAsia="宋体" w:cs="宋体"/>
                <w:color w:val="auto"/>
                <w:sz w:val="24"/>
                <w:highlight w:val="none"/>
              </w:rPr>
            </w:pPr>
          </w:p>
        </w:tc>
        <w:tc>
          <w:tcPr>
            <w:tcW w:w="1627" w:type="dxa"/>
            <w:tcBorders>
              <w:top w:val="single" w:color="000000" w:sz="6" w:space="0"/>
              <w:left w:val="single" w:color="000000" w:sz="6" w:space="0"/>
              <w:bottom w:val="single" w:color="000000" w:sz="6" w:space="0"/>
              <w:right w:val="single" w:color="000000" w:sz="6" w:space="0"/>
            </w:tcBorders>
            <w:vAlign w:val="center"/>
          </w:tcPr>
          <w:p w14:paraId="7988160C">
            <w:pPr>
              <w:autoSpaceDE w:val="0"/>
              <w:autoSpaceDN w:val="0"/>
              <w:adjustRightInd w:val="0"/>
              <w:spacing w:line="420" w:lineRule="exact"/>
              <w:jc w:val="center"/>
              <w:rPr>
                <w:rFonts w:hint="eastAsia" w:ascii="宋体" w:hAnsi="宋体" w:eastAsia="宋体" w:cs="宋体"/>
                <w:color w:val="auto"/>
                <w:sz w:val="24"/>
                <w:highlight w:val="none"/>
              </w:rPr>
            </w:pPr>
          </w:p>
        </w:tc>
      </w:tr>
    </w:tbl>
    <w:p w14:paraId="9FEDA9D3">
      <w:pPr>
        <w:autoSpaceDE w:val="0"/>
        <w:autoSpaceDN w:val="0"/>
        <w:adjustRightInd w:val="0"/>
        <w:spacing w:line="42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2. 合同价格：</w:t>
      </w:r>
      <w:r>
        <w:rPr>
          <w:rFonts w:hint="eastAsia" w:ascii="宋体" w:hAnsi="宋体" w:eastAsia="宋体" w:cs="宋体"/>
          <w:color w:val="auto"/>
          <w:sz w:val="24"/>
          <w:highlight w:val="none"/>
          <w:lang w:val="zh-CN"/>
        </w:rPr>
        <w:t>人民币（大写）</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元，（小写）</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元。</w:t>
      </w:r>
    </w:p>
    <w:p w14:paraId="C80FB9F6">
      <w:pPr>
        <w:autoSpaceDE w:val="0"/>
        <w:autoSpaceDN w:val="0"/>
        <w:adjustRightInd w:val="0"/>
        <w:spacing w:line="42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 xml:space="preserve">3. </w:t>
      </w:r>
      <w:r>
        <w:rPr>
          <w:rFonts w:hint="eastAsia" w:ascii="宋体" w:hAnsi="宋体" w:cs="宋体"/>
          <w:b/>
          <w:color w:val="auto"/>
          <w:sz w:val="24"/>
          <w:highlight w:val="none"/>
          <w:lang w:val="zh-CN"/>
        </w:rPr>
        <w:t>服务期限</w:t>
      </w:r>
      <w:r>
        <w:rPr>
          <w:rFonts w:hint="eastAsia" w:ascii="宋体" w:hAnsi="宋体" w:eastAsia="宋体" w:cs="宋体"/>
          <w:b/>
          <w:color w:val="auto"/>
          <w:sz w:val="24"/>
          <w:highlight w:val="none"/>
          <w:lang w:val="zh-CN"/>
        </w:rPr>
        <w:t>、地点、方式</w:t>
      </w:r>
    </w:p>
    <w:p w14:paraId="67883903">
      <w:pPr>
        <w:autoSpaceDE w:val="0"/>
        <w:autoSpaceDN w:val="0"/>
        <w:adjustRightInd w:val="0"/>
        <w:spacing w:line="420" w:lineRule="exact"/>
        <w:ind w:firstLine="480"/>
        <w:rPr>
          <w:rFonts w:hint="eastAsia" w:ascii="宋体" w:hAnsi="宋体" w:eastAsia="宋体" w:cs="宋体"/>
          <w:bCs/>
          <w:color w:val="auto"/>
          <w:sz w:val="24"/>
          <w:highlight w:val="none"/>
          <w:lang w:val="zh-CN"/>
        </w:rPr>
      </w:pPr>
      <w:r>
        <w:rPr>
          <w:rFonts w:hint="eastAsia" w:ascii="宋体" w:hAnsi="宋体" w:eastAsia="宋体" w:cs="宋体"/>
          <w:color w:val="auto"/>
          <w:sz w:val="24"/>
          <w:highlight w:val="none"/>
          <w:lang w:val="zh-CN"/>
        </w:rPr>
        <w:t>3.1</w:t>
      </w:r>
      <w:r>
        <w:rPr>
          <w:rFonts w:hint="eastAsia" w:ascii="宋体" w:hAnsi="宋体" w:cs="宋体"/>
          <w:color w:val="auto"/>
          <w:sz w:val="24"/>
          <w:highlight w:val="none"/>
          <w:lang w:val="zh-CN"/>
        </w:rPr>
        <w:t>服务期限</w:t>
      </w:r>
      <w:r>
        <w:rPr>
          <w:rFonts w:hint="eastAsia" w:ascii="宋体" w:hAnsi="宋体" w:eastAsia="宋体" w:cs="宋体"/>
          <w:color w:val="auto"/>
          <w:sz w:val="24"/>
          <w:highlight w:val="none"/>
          <w:lang w:val="zh-CN"/>
        </w:rPr>
        <w:t>：</w:t>
      </w:r>
    </w:p>
    <w:p w14:paraId="B96B6BFA">
      <w:pPr>
        <w:autoSpaceDE w:val="0"/>
        <w:autoSpaceDN w:val="0"/>
        <w:adjustRightInd w:val="0"/>
        <w:spacing w:line="420" w:lineRule="exact"/>
        <w:ind w:firstLine="480"/>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3.2</w:t>
      </w:r>
      <w:r>
        <w:rPr>
          <w:rFonts w:hint="eastAsia" w:ascii="宋体" w:hAnsi="宋体" w:cs="宋体"/>
          <w:bCs/>
          <w:color w:val="auto"/>
          <w:sz w:val="24"/>
          <w:highlight w:val="none"/>
          <w:lang w:val="zh-CN"/>
        </w:rPr>
        <w:t>服务</w:t>
      </w:r>
      <w:r>
        <w:rPr>
          <w:rFonts w:hint="eastAsia" w:ascii="宋体" w:hAnsi="宋体" w:eastAsia="宋体" w:cs="宋体"/>
          <w:bCs/>
          <w:color w:val="auto"/>
          <w:sz w:val="24"/>
          <w:highlight w:val="none"/>
          <w:lang w:val="zh-CN"/>
        </w:rPr>
        <w:t xml:space="preserve">地点：   </w:t>
      </w:r>
    </w:p>
    <w:p w14:paraId="6B229EE5">
      <w:pPr>
        <w:autoSpaceDE w:val="0"/>
        <w:autoSpaceDN w:val="0"/>
        <w:adjustRightInd w:val="0"/>
        <w:spacing w:line="42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3.3</w:t>
      </w:r>
      <w:r>
        <w:rPr>
          <w:rFonts w:hint="eastAsia" w:ascii="宋体" w:hAnsi="宋体" w:cs="宋体"/>
          <w:color w:val="auto"/>
          <w:sz w:val="24"/>
          <w:highlight w:val="none"/>
          <w:lang w:val="zh-CN"/>
        </w:rPr>
        <w:t>服务</w:t>
      </w:r>
      <w:r>
        <w:rPr>
          <w:rFonts w:hint="eastAsia" w:ascii="宋体" w:hAnsi="宋体" w:eastAsia="宋体" w:cs="宋体"/>
          <w:color w:val="auto"/>
          <w:sz w:val="24"/>
          <w:highlight w:val="none"/>
          <w:lang w:val="zh-CN"/>
        </w:rPr>
        <w:t>方式：</w:t>
      </w:r>
    </w:p>
    <w:p w14:paraId="963E0856">
      <w:pPr>
        <w:autoSpaceDE w:val="0"/>
        <w:autoSpaceDN w:val="0"/>
        <w:adjustRightInd w:val="0"/>
        <w:spacing w:line="42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 xml:space="preserve">4. 付款方式 </w:t>
      </w:r>
    </w:p>
    <w:p w14:paraId="477773B1">
      <w:pPr>
        <w:autoSpaceDE w:val="0"/>
        <w:autoSpaceDN w:val="0"/>
        <w:adjustRightInd w:val="0"/>
        <w:spacing w:line="42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4.1</w:t>
      </w:r>
      <w:r>
        <w:rPr>
          <w:rFonts w:hint="eastAsia" w:ascii="宋体" w:hAnsi="宋体" w:eastAsia="宋体" w:cs="宋体"/>
          <w:color w:val="auto"/>
          <w:sz w:val="24"/>
          <w:highlight w:val="none"/>
          <w:lang w:val="zh-CN" w:eastAsia="zh-CN"/>
        </w:rPr>
        <w:t>按合同约定</w:t>
      </w:r>
      <w:r>
        <w:rPr>
          <w:rFonts w:hint="eastAsia" w:ascii="宋体" w:hAnsi="宋体" w:eastAsia="宋体" w:cs="宋体"/>
          <w:color w:val="auto"/>
          <w:sz w:val="24"/>
          <w:highlight w:val="none"/>
          <w:lang w:val="zh-CN"/>
        </w:rPr>
        <w:t>。</w:t>
      </w:r>
    </w:p>
    <w:p w14:paraId="00E9EE88">
      <w:pPr>
        <w:autoSpaceDE w:val="0"/>
        <w:autoSpaceDN w:val="0"/>
        <w:adjustRightInd w:val="0"/>
        <w:spacing w:line="420" w:lineRule="exact"/>
        <w:ind w:firstLine="48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5．履约保证金</w:t>
      </w:r>
    </w:p>
    <w:p w14:paraId="75877F90">
      <w:pPr>
        <w:autoSpaceDE w:val="0"/>
        <w:autoSpaceDN w:val="0"/>
        <w:adjustRightInd w:val="0"/>
        <w:spacing w:line="420" w:lineRule="exact"/>
        <w:ind w:firstLine="482"/>
        <w:rPr>
          <w:rFonts w:hint="eastAsia" w:ascii="宋体" w:hAnsi="宋体" w:cs="宋体"/>
          <w:color w:val="auto"/>
          <w:sz w:val="24"/>
          <w:highlight w:val="none"/>
          <w:lang w:val="zh-CN"/>
        </w:rPr>
      </w:pPr>
      <w:r>
        <w:rPr>
          <w:rFonts w:hint="eastAsia" w:ascii="宋体" w:hAnsi="宋体" w:cs="宋体"/>
          <w:color w:val="auto"/>
          <w:sz w:val="24"/>
          <w:highlight w:val="none"/>
          <w:lang w:val="zh-CN"/>
        </w:rPr>
        <w:t>无</w:t>
      </w:r>
    </w:p>
    <w:p w14:paraId="B74D5275">
      <w:pPr>
        <w:autoSpaceDE w:val="0"/>
        <w:autoSpaceDN w:val="0"/>
        <w:adjustRightInd w:val="0"/>
        <w:spacing w:line="42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6.质量保证金</w:t>
      </w:r>
    </w:p>
    <w:p w14:paraId="FF434A80">
      <w:pPr>
        <w:autoSpaceDE w:val="0"/>
        <w:autoSpaceDN w:val="0"/>
        <w:adjustRightInd w:val="0"/>
        <w:spacing w:line="420" w:lineRule="exact"/>
        <w:ind w:firstLine="482"/>
        <w:rPr>
          <w:rFonts w:hint="eastAsia" w:ascii="宋体" w:hAnsi="宋体" w:cs="宋体"/>
          <w:color w:val="auto"/>
          <w:sz w:val="24"/>
          <w:highlight w:val="none"/>
          <w:lang w:val="zh-CN"/>
        </w:rPr>
      </w:pPr>
      <w:r>
        <w:rPr>
          <w:rFonts w:hint="eastAsia" w:ascii="宋体" w:hAnsi="宋体" w:cs="宋体"/>
          <w:color w:val="auto"/>
          <w:sz w:val="24"/>
          <w:highlight w:val="none"/>
          <w:lang w:val="zh-CN"/>
        </w:rPr>
        <w:t>无</w:t>
      </w:r>
    </w:p>
    <w:p w14:paraId="888761EE">
      <w:pPr>
        <w:autoSpaceDE w:val="0"/>
        <w:autoSpaceDN w:val="0"/>
        <w:adjustRightInd w:val="0"/>
        <w:spacing w:line="42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7.合同补充条款：</w:t>
      </w:r>
    </w:p>
    <w:p w14:paraId="6C8A0A62">
      <w:pPr>
        <w:autoSpaceDE w:val="0"/>
        <w:autoSpaceDN w:val="0"/>
        <w:adjustRightInd w:val="0"/>
        <w:spacing w:line="420" w:lineRule="exact"/>
        <w:ind w:firstLine="482"/>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8.争议解决方式：</w:t>
      </w:r>
      <w:r>
        <w:rPr>
          <w:rFonts w:hint="eastAsia" w:ascii="宋体" w:hAnsi="宋体" w:eastAsia="宋体" w:cs="宋体"/>
          <w:color w:val="auto"/>
          <w:sz w:val="24"/>
          <w:highlight w:val="none"/>
          <w:lang w:val="zh-CN"/>
        </w:rPr>
        <w:t>供需双方达成仲裁协议，向地方仲裁委员会申请仲裁（向合同签定地人民法院提起诉讼）。</w:t>
      </w:r>
    </w:p>
    <w:p w14:paraId="110DAA60">
      <w:pPr>
        <w:autoSpaceDE w:val="0"/>
        <w:autoSpaceDN w:val="0"/>
        <w:adjustRightInd w:val="0"/>
        <w:spacing w:line="42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9．合同构成：</w:t>
      </w:r>
      <w:r>
        <w:rPr>
          <w:rFonts w:hint="eastAsia" w:ascii="宋体" w:hAnsi="宋体" w:eastAsia="宋体" w:cs="宋体"/>
          <w:color w:val="auto"/>
          <w:sz w:val="24"/>
          <w:highlight w:val="none"/>
          <w:lang w:val="zh-CN"/>
        </w:rPr>
        <w:t>下列文件构成本合同不可分割的组成部分，与本合同具有同等法律效力：</w:t>
      </w:r>
    </w:p>
    <w:p w14:paraId="2E210146">
      <w:pPr>
        <w:autoSpaceDE w:val="0"/>
        <w:autoSpaceDN w:val="0"/>
        <w:adjustRightInd w:val="0"/>
        <w:spacing w:line="40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9.1本合同书；</w:t>
      </w:r>
    </w:p>
    <w:p w14:paraId="2AAAA17A">
      <w:pPr>
        <w:autoSpaceDE w:val="0"/>
        <w:autoSpaceDN w:val="0"/>
        <w:adjustRightInd w:val="0"/>
        <w:spacing w:line="40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9.2中标通知书；</w:t>
      </w:r>
    </w:p>
    <w:p w14:paraId="E1D58AFB">
      <w:pPr>
        <w:autoSpaceDE w:val="0"/>
        <w:autoSpaceDN w:val="0"/>
        <w:adjustRightInd w:val="0"/>
        <w:spacing w:line="40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9.3招标文件及澄清、修改、补遗文件；</w:t>
      </w:r>
    </w:p>
    <w:p w14:paraId="B9CDF489">
      <w:pPr>
        <w:autoSpaceDE w:val="0"/>
        <w:autoSpaceDN w:val="0"/>
        <w:adjustRightInd w:val="0"/>
        <w:spacing w:line="40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9.4供方的投标文件及书面澄清、说明、补正文件；</w:t>
      </w:r>
    </w:p>
    <w:p w14:paraId="65AA9A08">
      <w:pPr>
        <w:autoSpaceDE w:val="0"/>
        <w:autoSpaceDN w:val="0"/>
        <w:adjustRightInd w:val="0"/>
        <w:spacing w:line="40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9.</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lang w:val="zh-CN"/>
        </w:rPr>
        <w:t>合同的其它附件。</w:t>
      </w:r>
    </w:p>
    <w:p w14:paraId="1264119F">
      <w:pPr>
        <w:autoSpaceDE w:val="0"/>
        <w:autoSpaceDN w:val="0"/>
        <w:adjustRightInd w:val="0"/>
        <w:spacing w:line="40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上述组成合同的文件如有不一致之处，以日期在后的为准。</w:t>
      </w:r>
    </w:p>
    <w:p w14:paraId="D030FC91">
      <w:pPr>
        <w:autoSpaceDE w:val="0"/>
        <w:autoSpaceDN w:val="0"/>
        <w:adjustRightInd w:val="0"/>
        <w:spacing w:line="40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w:t>
      </w:r>
      <w:r>
        <w:rPr>
          <w:rFonts w:hint="eastAsia" w:ascii="宋体" w:hAnsi="宋体" w:eastAsia="宋体" w:cs="宋体"/>
          <w:b/>
          <w:color w:val="auto"/>
          <w:sz w:val="24"/>
          <w:highlight w:val="none"/>
          <w:lang w:val="zh-CN"/>
        </w:rPr>
        <w:t xml:space="preserve"> 10.合同份数：</w:t>
      </w:r>
      <w:r>
        <w:rPr>
          <w:rFonts w:hint="eastAsia" w:ascii="宋体" w:hAnsi="宋体" w:eastAsia="宋体" w:cs="宋体"/>
          <w:color w:val="auto"/>
          <w:sz w:val="24"/>
          <w:highlight w:val="none"/>
          <w:lang w:val="zh-CN"/>
        </w:rPr>
        <w:t xml:space="preserve">本合同一式三份，招标人、供需双方各执一份。 </w:t>
      </w:r>
    </w:p>
    <w:p w14:paraId="90A14B67">
      <w:pPr>
        <w:autoSpaceDE w:val="0"/>
        <w:autoSpaceDN w:val="0"/>
        <w:adjustRightInd w:val="0"/>
        <w:spacing w:line="40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11.合同生效：</w:t>
      </w:r>
      <w:r>
        <w:rPr>
          <w:rFonts w:hint="eastAsia" w:ascii="宋体" w:hAnsi="宋体" w:eastAsia="宋体" w:cs="宋体"/>
          <w:color w:val="auto"/>
          <w:sz w:val="24"/>
          <w:highlight w:val="none"/>
          <w:lang w:val="zh-CN"/>
        </w:rPr>
        <w:t>本合同在供需双方法定代表人或其授权代理人签字、加盖双方公章或者合同专用章，并且需方收到供方提交的履约保证金后生效。</w:t>
      </w:r>
    </w:p>
    <w:p w14:paraId="A58EC8B1">
      <w:pPr>
        <w:autoSpaceDE w:val="0"/>
        <w:autoSpaceDN w:val="0"/>
        <w:adjustRightInd w:val="0"/>
        <w:spacing w:line="400" w:lineRule="exact"/>
        <w:ind w:firstLine="482"/>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12.合同修改：</w:t>
      </w:r>
      <w:r>
        <w:rPr>
          <w:rFonts w:hint="eastAsia" w:ascii="宋体" w:hAnsi="宋体" w:eastAsia="宋体" w:cs="宋体"/>
          <w:color w:val="auto"/>
          <w:sz w:val="24"/>
          <w:highlight w:val="none"/>
          <w:lang w:val="zh-CN"/>
        </w:rPr>
        <w:t>除供需双方签署书面修改、补充协议外，本合同条件不得有任何变化或修改。</w:t>
      </w:r>
    </w:p>
    <w:p w14:paraId="A6574E7D">
      <w:pPr>
        <w:autoSpaceDE w:val="0"/>
        <w:autoSpaceDN w:val="0"/>
        <w:adjustRightInd w:val="0"/>
        <w:spacing w:line="400" w:lineRule="exact"/>
        <w:rPr>
          <w:rFonts w:hint="eastAsia" w:ascii="宋体" w:hAnsi="宋体" w:eastAsia="宋体" w:cs="宋体"/>
          <w:color w:val="auto"/>
          <w:sz w:val="24"/>
          <w:highlight w:val="none"/>
          <w:lang w:val="zh-CN"/>
        </w:rPr>
      </w:pPr>
    </w:p>
    <w:p w14:paraId="51B7FFE8">
      <w:pPr>
        <w:autoSpaceDE w:val="0"/>
        <w:autoSpaceDN w:val="0"/>
        <w:adjustRightInd w:val="0"/>
        <w:spacing w:line="40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招标人：</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 xml:space="preserve">需方：                   </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供方：</w:t>
      </w:r>
    </w:p>
    <w:p w14:paraId="B0375FCF">
      <w:pPr>
        <w:autoSpaceDE w:val="0"/>
        <w:autoSpaceDN w:val="0"/>
        <w:adjustRightInd w:val="0"/>
        <w:spacing w:line="40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（加盖公章或合同专用章）</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（加盖公章或合同专用章）</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（加盖公章或合同专用章）</w:t>
      </w:r>
    </w:p>
    <w:p w14:paraId="DE065124">
      <w:pPr>
        <w:autoSpaceDE w:val="0"/>
        <w:autoSpaceDN w:val="0"/>
        <w:adjustRightInd w:val="0"/>
        <w:spacing w:line="40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lang w:val="zh-CN"/>
        </w:rPr>
        <w:t xml:space="preserve">地址：                   </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地址：</w:t>
      </w:r>
    </w:p>
    <w:p w14:paraId="A7550896">
      <w:pPr>
        <w:autoSpaceDE w:val="0"/>
        <w:autoSpaceDN w:val="0"/>
        <w:adjustRightInd w:val="0"/>
        <w:spacing w:line="40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法定代表人：</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 xml:space="preserve">法定代表人              </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 xml:space="preserve">法定代表人               </w:t>
      </w:r>
    </w:p>
    <w:p w14:paraId="40869C63">
      <w:pPr>
        <w:autoSpaceDE w:val="0"/>
        <w:autoSpaceDN w:val="0"/>
        <w:adjustRightInd w:val="0"/>
        <w:spacing w:line="40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或授权代理人签字</w:t>
      </w:r>
      <w:r>
        <w:rPr>
          <w:rFonts w:hint="eastAsia" w:ascii="宋体" w:hAnsi="宋体" w:eastAsia="宋体" w:cs="宋体"/>
          <w:color w:val="auto"/>
          <w:sz w:val="24"/>
          <w:highlight w:val="none"/>
        </w:rPr>
        <w:t xml:space="preserve"> ：              </w:t>
      </w:r>
      <w:r>
        <w:rPr>
          <w:rFonts w:hint="eastAsia" w:ascii="宋体" w:hAnsi="宋体" w:eastAsia="宋体" w:cs="宋体"/>
          <w:color w:val="auto"/>
          <w:sz w:val="24"/>
          <w:highlight w:val="none"/>
          <w:lang w:val="zh-CN"/>
        </w:rPr>
        <w:t xml:space="preserve">或授权代理人签字：      </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或授权代理人签字：</w:t>
      </w:r>
    </w:p>
    <w:p w14:paraId="AEC56F4E">
      <w:pPr>
        <w:autoSpaceDE w:val="0"/>
        <w:autoSpaceDN w:val="0"/>
        <w:adjustRightInd w:val="0"/>
        <w:spacing w:line="40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签字日期：</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 xml:space="preserve">签字日期：              </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 xml:space="preserve"> 签字日期：</w:t>
      </w:r>
    </w:p>
    <w:p w14:paraId="5FD90D87">
      <w:pPr>
        <w:autoSpaceDE w:val="0"/>
        <w:autoSpaceDN w:val="0"/>
        <w:adjustRightInd w:val="0"/>
        <w:spacing w:line="40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邮政编码：</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 xml:space="preserve">邮政编码：              </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邮政编码：</w:t>
      </w:r>
    </w:p>
    <w:p w14:paraId="A40DDF51">
      <w:pPr>
        <w:autoSpaceDE w:val="0"/>
        <w:autoSpaceDN w:val="0"/>
        <w:adjustRightInd w:val="0"/>
        <w:spacing w:line="40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电话：</w:t>
      </w:r>
    </w:p>
    <w:p w14:paraId="89B8344B">
      <w:pPr>
        <w:autoSpaceDE w:val="0"/>
        <w:autoSpaceDN w:val="0"/>
        <w:adjustRightInd w:val="0"/>
        <w:spacing w:line="400" w:lineRule="exact"/>
        <w:ind w:firstLine="3960" w:firstLineChars="165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传真：</w:t>
      </w:r>
    </w:p>
    <w:p w14:paraId="2158289E">
      <w:pPr>
        <w:autoSpaceDE w:val="0"/>
        <w:autoSpaceDN w:val="0"/>
        <w:adjustRightInd w:val="0"/>
        <w:spacing w:line="40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联系人：</w:t>
      </w:r>
    </w:p>
    <w:p w14:paraId="A3261AAA">
      <w:pPr>
        <w:autoSpaceDE w:val="0"/>
        <w:autoSpaceDN w:val="0"/>
        <w:adjustRightInd w:val="0"/>
        <w:spacing w:line="40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开户银行：</w:t>
      </w:r>
    </w:p>
    <w:p w14:paraId="7B3A1851">
      <w:pPr>
        <w:autoSpaceDE w:val="0"/>
        <w:autoSpaceDN w:val="0"/>
        <w:adjustRightInd w:val="0"/>
        <w:spacing w:line="40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帐户名称：</w:t>
      </w:r>
    </w:p>
    <w:p w14:paraId="6D63E978">
      <w:pPr>
        <w:autoSpaceDE w:val="0"/>
        <w:autoSpaceDN w:val="0"/>
        <w:adjustRightInd w:val="0"/>
        <w:spacing w:line="40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帐号：</w:t>
      </w:r>
    </w:p>
    <w:p w14:paraId="2E30B79E">
      <w:pPr>
        <w:autoSpaceDE w:val="0"/>
        <w:autoSpaceDN w:val="0"/>
        <w:adjustRightInd w:val="0"/>
        <w:spacing w:line="400" w:lineRule="exact"/>
        <w:rPr>
          <w:rFonts w:hint="eastAsia" w:ascii="宋体" w:hAnsi="宋体" w:eastAsia="宋体" w:cs="宋体"/>
          <w:color w:val="auto"/>
          <w:sz w:val="24"/>
          <w:highlight w:val="none"/>
          <w:lang w:val="zh-CN"/>
        </w:rPr>
      </w:pPr>
    </w:p>
    <w:p w14:paraId="68D3D9DB">
      <w:pPr>
        <w:autoSpaceDE w:val="0"/>
        <w:autoSpaceDN w:val="0"/>
        <w:adjustRightInd w:val="0"/>
        <w:spacing w:line="400" w:lineRule="exact"/>
        <w:rPr>
          <w:rFonts w:hint="eastAsia" w:ascii="宋体" w:hAnsi="宋体" w:eastAsia="宋体" w:cs="宋体"/>
          <w:color w:val="auto"/>
          <w:sz w:val="24"/>
          <w:highlight w:val="none"/>
          <w:lang w:val="zh-CN"/>
        </w:rPr>
      </w:pPr>
    </w:p>
    <w:p w14:paraId="8485DFB4">
      <w:pPr>
        <w:pStyle w:val="3"/>
        <w:pageBreakBefore w:val="0"/>
        <w:widowControl w:val="0"/>
        <w:numPr>
          <w:ilvl w:val="0"/>
          <w:numId w:val="4"/>
        </w:numPr>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0"/>
        <w:rPr>
          <w:rFonts w:hint="eastAsia" w:ascii="宋体" w:hAnsi="宋体" w:eastAsia="宋体" w:cs="宋体"/>
          <w:b/>
          <w:bCs/>
          <w:color w:val="auto"/>
          <w:sz w:val="44"/>
          <w:szCs w:val="44"/>
          <w:highlight w:val="none"/>
          <w:lang w:eastAsia="zh-CN"/>
        </w:rPr>
      </w:pPr>
      <w:bookmarkStart w:id="39" w:name="_Toc347014333"/>
      <w:r>
        <w:rPr>
          <w:rFonts w:hint="eastAsia" w:ascii="宋体" w:hAnsi="宋体" w:eastAsia="宋体" w:cs="宋体"/>
          <w:color w:val="auto"/>
          <w:highlight w:val="none"/>
        </w:rPr>
        <w:br w:type="page"/>
      </w:r>
      <w:bookmarkStart w:id="40" w:name="_Toc15550"/>
      <w:r>
        <w:rPr>
          <w:rFonts w:hint="eastAsia" w:ascii="宋体" w:hAnsi="宋体" w:eastAsia="宋体" w:cs="宋体"/>
          <w:b/>
          <w:bCs/>
          <w:color w:val="auto"/>
          <w:sz w:val="44"/>
          <w:szCs w:val="44"/>
          <w:highlight w:val="none"/>
          <w:lang w:val="en-US" w:eastAsia="zh-CN"/>
        </w:rPr>
        <w:t xml:space="preserve"> </w:t>
      </w:r>
      <w:bookmarkEnd w:id="40"/>
      <w:bookmarkStart w:id="41" w:name="_Toc10076"/>
      <w:r>
        <w:rPr>
          <w:rFonts w:hint="eastAsia" w:ascii="宋体" w:hAnsi="宋体" w:cs="宋体"/>
          <w:b/>
          <w:bCs/>
          <w:color w:val="auto"/>
          <w:sz w:val="44"/>
          <w:szCs w:val="44"/>
          <w:highlight w:val="none"/>
          <w:lang w:val="en-US" w:eastAsia="zh-CN"/>
        </w:rPr>
        <w:t>服务要</w:t>
      </w:r>
      <w:r>
        <w:rPr>
          <w:rFonts w:hint="eastAsia" w:ascii="宋体" w:hAnsi="宋体" w:eastAsia="宋体" w:cs="宋体"/>
          <w:b/>
          <w:bCs/>
          <w:color w:val="auto"/>
          <w:sz w:val="44"/>
          <w:szCs w:val="44"/>
          <w:highlight w:val="none"/>
          <w:lang w:val="en-US" w:eastAsia="zh-CN"/>
        </w:rPr>
        <w:t>求</w:t>
      </w:r>
      <w:bookmarkEnd w:id="41"/>
    </w:p>
    <w:bookmarkEnd w:id="39"/>
    <w:p w14:paraId="122CA5EE">
      <w:pPr>
        <w:rPr>
          <w:rFonts w:hint="eastAsia" w:ascii="宋体" w:hAnsi="宋体" w:eastAsia="宋体" w:cs="宋体"/>
          <w:b/>
          <w:bCs w:val="0"/>
          <w:color w:val="auto"/>
          <w:sz w:val="24"/>
          <w:szCs w:val="24"/>
          <w:highlight w:val="none"/>
        </w:rPr>
      </w:pPr>
      <w:bookmarkStart w:id="42" w:name="_Toc16986_WPSOffice_Level1"/>
      <w:bookmarkStart w:id="43" w:name="_Toc347014334"/>
      <w:r>
        <w:rPr>
          <w:rFonts w:hint="eastAsia" w:ascii="宋体" w:hAnsi="宋体" w:eastAsia="宋体" w:cs="宋体"/>
          <w:b/>
          <w:bCs w:val="0"/>
          <w:color w:val="auto"/>
          <w:sz w:val="24"/>
          <w:szCs w:val="24"/>
          <w:highlight w:val="none"/>
        </w:rPr>
        <w:t>一、服务要求</w:t>
      </w:r>
    </w:p>
    <w:p w14:paraId="E16150EC">
      <w:pPr>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按照《碳排放权交易管理暂行条例》（中华人民共和国国务院令 第775号）《碳排放权交易管理办法（试行）》（生态环境部令 19号）《关于做好2023—2025年发电行业企业温室气体排放报告管理有关工作的通知》（环办气候函〔2023〕43号）《关于做好2023—2025年部分重点行业企业温室气体排放报告与核查工作的通知》（环办气候函〔2023〕332号）等有关要求，规范开展吉林省重点排放单位2024年度碳排放第三方核查复查，以及按时完成2025年月度存证审核任务。</w:t>
      </w:r>
    </w:p>
    <w:p w14:paraId="D2E48836">
      <w:pP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（一）工作开展方式</w:t>
      </w:r>
    </w:p>
    <w:p w14:paraId="2570E068">
      <w:pPr>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工作的主要方式是省生态环境厅按照政府购买服务的有关规定，以招标形式确定专业的核查、复查及月度存证审核机构，由核查机构对重点排放单位碳排放报告进行线上和现场核查，出具核查报告。由复查机构对全部核查报告进行书面复查，出具复查报告。并按照不低于30%的比例进行现场复查，现场复查主要包括：存在异议的企业、以往国家和省级数据质量监督检查中发现问题</w:t>
      </w:r>
    </w:p>
    <w:p w14:paraId="BA91C966">
      <w:pP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的企业、省生态环境厅认为有必要现场复查的企业。月度存证审核机构负责按时对重点排放单位信息化存证数据及支撑材料的完整性和规范性进行月度审核。</w:t>
      </w:r>
    </w:p>
    <w:p w14:paraId="EF97364A">
      <w:pP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（二）解决以下重点问题</w:t>
      </w:r>
    </w:p>
    <w:p w14:paraId="789664D2">
      <w:pPr>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1.全面掌握吉林省重点排放单位2024年度温室气体排放情况。</w:t>
      </w:r>
    </w:p>
    <w:p w14:paraId="22ECBBA9">
      <w:pPr>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2.科学核算重点排放单位碳排放数据，确保数据上报的真实、可靠。</w:t>
      </w:r>
    </w:p>
    <w:p w14:paraId="68EBC5AD">
      <w:pPr>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3.为重点排放单位参与全国碳市场交易、分配配额及完成履约提供数据基础。</w:t>
      </w:r>
    </w:p>
    <w:p w14:paraId="8CAD2E38">
      <w:pPr>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4.完成对重点排放单位信息化存证数据及支撑材料进行月度审核监管任务。</w:t>
      </w:r>
    </w:p>
    <w:p w14:paraId="72FF78E0">
      <w:pP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（三）工作成果要求</w:t>
      </w:r>
    </w:p>
    <w:p w14:paraId="381FA6EF">
      <w:pPr>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1.核查机构提交重点排放单位核查报告；</w:t>
      </w:r>
    </w:p>
    <w:p w14:paraId="0CCAE541">
      <w:pPr>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2.复查机构提交对核查报告的复查结论；</w:t>
      </w:r>
    </w:p>
    <w:p w14:paraId="AE4D820D">
      <w:pPr>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3.月度存证审核机构按月提交对重点排放单位信息化存证月度审核意见。</w:t>
      </w:r>
    </w:p>
    <w:p w14:paraId="5442A439">
      <w:pP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提交形式：通过相关系统报送核查数据及电子版正式报告，并提供纸质版正式报告；向省生态环境厅报送月度审核意见电子版及纸质版。</w:t>
      </w:r>
    </w:p>
    <w:p w14:paraId="6AB351B4">
      <w:pPr>
        <w:ind w:firstLine="480" w:firstLineChars="200"/>
        <w:rPr>
          <w:rFonts w:hint="eastAsia" w:ascii="宋体" w:hAnsi="宋体" w:eastAsia="宋体" w:cs="宋体"/>
          <w:b/>
          <w:bCs w:val="0"/>
          <w:color w:val="auto"/>
          <w:sz w:val="36"/>
          <w:szCs w:val="36"/>
          <w:highlight w:val="none"/>
        </w:rPr>
      </w:pPr>
      <w:r>
        <w:rPr>
          <w:rFonts w:hint="eastAsia" w:ascii="宋体" w:hAnsi="宋体" w:cs="宋体"/>
          <w:sz w:val="24"/>
          <w:szCs w:val="24"/>
        </w:rPr>
        <w:t>一、二、三标段</w:t>
      </w:r>
      <w:r>
        <w:rPr>
          <w:rFonts w:hint="eastAsia" w:ascii="宋体" w:hAnsi="宋体" w:cs="宋体"/>
          <w:sz w:val="24"/>
          <w:szCs w:val="24"/>
          <w:lang w:eastAsia="zh-CN"/>
        </w:rPr>
        <w:t>为核查标段，</w:t>
      </w:r>
      <w:r>
        <w:rPr>
          <w:rFonts w:hint="eastAsia" w:ascii="宋体" w:hAnsi="宋体" w:cs="宋体"/>
          <w:sz w:val="24"/>
          <w:szCs w:val="24"/>
        </w:rPr>
        <w:t>分别核查</w:t>
      </w:r>
      <w:r>
        <w:rPr>
          <w:rFonts w:hint="eastAsia" w:ascii="宋体" w:hAnsi="宋体" w:cs="宋体"/>
          <w:sz w:val="24"/>
          <w:szCs w:val="24"/>
          <w:lang w:eastAsia="zh-CN"/>
        </w:rPr>
        <w:t>约</w:t>
      </w:r>
      <w:r>
        <w:rPr>
          <w:rFonts w:hint="eastAsia" w:ascii="宋体" w:hAnsi="宋体" w:cs="宋体"/>
          <w:sz w:val="24"/>
          <w:szCs w:val="24"/>
          <w:lang w:val="en-US" w:eastAsia="zh-CN"/>
        </w:rPr>
        <w:t>33</w:t>
      </w:r>
      <w:r>
        <w:rPr>
          <w:rFonts w:hint="eastAsia" w:ascii="宋体" w:hAnsi="宋体" w:cs="宋体"/>
          <w:sz w:val="24"/>
          <w:szCs w:val="24"/>
        </w:rPr>
        <w:t>家企业</w:t>
      </w:r>
      <w:r>
        <w:rPr>
          <w:rFonts w:hint="eastAsia" w:ascii="宋体" w:hAnsi="宋体" w:cs="宋体"/>
          <w:sz w:val="24"/>
          <w:szCs w:val="24"/>
          <w:lang w:eastAsia="zh-CN"/>
        </w:rPr>
        <w:t>。主要测算依据为任务量和完成时限，</w:t>
      </w:r>
      <w:r>
        <w:rPr>
          <w:rFonts w:hint="eastAsia" w:ascii="宋体" w:hAnsi="宋体" w:cs="宋体"/>
          <w:sz w:val="24"/>
          <w:szCs w:val="24"/>
        </w:rPr>
        <w:t>选定</w:t>
      </w:r>
      <w:r>
        <w:rPr>
          <w:rFonts w:hint="eastAsia" w:ascii="宋体" w:hAnsi="宋体" w:cs="宋体"/>
          <w:sz w:val="24"/>
          <w:szCs w:val="24"/>
          <w:lang w:val="en-US" w:eastAsia="zh-CN"/>
        </w:rPr>
        <w:t>3</w:t>
      </w:r>
      <w:r>
        <w:rPr>
          <w:rFonts w:hint="eastAsia" w:ascii="宋体" w:hAnsi="宋体" w:cs="宋体"/>
          <w:sz w:val="24"/>
          <w:szCs w:val="24"/>
        </w:rPr>
        <w:t>家核查机构、每家机构安排约</w:t>
      </w:r>
      <w:r>
        <w:rPr>
          <w:rFonts w:hint="eastAsia" w:ascii="宋体" w:hAnsi="宋体" w:cs="宋体"/>
          <w:sz w:val="24"/>
          <w:szCs w:val="24"/>
          <w:lang w:val="en-US" w:eastAsia="zh-CN"/>
        </w:rPr>
        <w:t>12-</w:t>
      </w:r>
      <w:r>
        <w:rPr>
          <w:rFonts w:hint="eastAsia" w:ascii="宋体" w:hAnsi="宋体" w:cs="宋体"/>
          <w:sz w:val="24"/>
          <w:szCs w:val="24"/>
        </w:rPr>
        <w:t>15名核查人员</w:t>
      </w:r>
      <w:r>
        <w:rPr>
          <w:rFonts w:hint="eastAsia" w:ascii="宋体" w:hAnsi="宋体" w:cs="宋体"/>
          <w:sz w:val="24"/>
          <w:szCs w:val="24"/>
          <w:lang w:eastAsia="zh-CN"/>
        </w:rPr>
        <w:t>，组成</w:t>
      </w:r>
      <w:r>
        <w:rPr>
          <w:rFonts w:hint="eastAsia" w:ascii="宋体" w:hAnsi="宋体" w:cs="宋体"/>
          <w:sz w:val="24"/>
          <w:szCs w:val="24"/>
          <w:lang w:val="en-US" w:eastAsia="zh-CN"/>
        </w:rPr>
        <w:t>4-</w:t>
      </w:r>
      <w:r>
        <w:rPr>
          <w:rFonts w:hint="eastAsia" w:ascii="宋体" w:hAnsi="宋体" w:cs="宋体"/>
          <w:sz w:val="24"/>
          <w:szCs w:val="24"/>
        </w:rPr>
        <w:t>5个现场核查小组，</w:t>
      </w:r>
      <w:r>
        <w:rPr>
          <w:rFonts w:hint="eastAsia" w:ascii="宋体" w:hAnsi="宋体" w:cs="宋体"/>
          <w:sz w:val="24"/>
          <w:szCs w:val="24"/>
          <w:lang w:eastAsia="zh-CN"/>
        </w:rPr>
        <w:t>可满足</w:t>
      </w:r>
      <w:r>
        <w:rPr>
          <w:rFonts w:hint="eastAsia" w:ascii="宋体" w:hAnsi="宋体" w:cs="宋体"/>
          <w:sz w:val="24"/>
          <w:szCs w:val="24"/>
          <w:lang w:val="en-US" w:eastAsia="zh-CN"/>
        </w:rPr>
        <w:t>每一</w:t>
      </w:r>
      <w:r>
        <w:rPr>
          <w:rFonts w:hint="eastAsia" w:ascii="宋体" w:hAnsi="宋体" w:cs="宋体"/>
          <w:sz w:val="24"/>
          <w:szCs w:val="24"/>
        </w:rPr>
        <w:t>阶段完成核查的</w:t>
      </w:r>
      <w:r>
        <w:rPr>
          <w:rFonts w:hint="eastAsia" w:ascii="宋体" w:hAnsi="宋体" w:cs="宋体"/>
          <w:sz w:val="24"/>
          <w:szCs w:val="24"/>
          <w:lang w:eastAsia="zh-CN"/>
        </w:rPr>
        <w:t>时限</w:t>
      </w:r>
      <w:r>
        <w:rPr>
          <w:rFonts w:hint="eastAsia" w:ascii="宋体" w:hAnsi="宋体" w:cs="宋体"/>
          <w:sz w:val="24"/>
          <w:szCs w:val="24"/>
        </w:rPr>
        <w:t>需求</w:t>
      </w:r>
      <w:r>
        <w:rPr>
          <w:rFonts w:hint="eastAsia" w:ascii="宋体" w:hAnsi="宋体" w:cs="宋体"/>
          <w:sz w:val="24"/>
          <w:szCs w:val="24"/>
          <w:lang w:eastAsia="zh-CN"/>
        </w:rPr>
        <w:t>。</w:t>
      </w:r>
      <w:r>
        <w:rPr>
          <w:rFonts w:hint="eastAsia" w:ascii="宋体" w:hAnsi="宋体" w:cs="宋体"/>
          <w:sz w:val="24"/>
          <w:szCs w:val="24"/>
        </w:rPr>
        <w:t>四标段</w:t>
      </w:r>
      <w:r>
        <w:rPr>
          <w:rFonts w:hint="eastAsia" w:ascii="宋体" w:hAnsi="宋体" w:cs="宋体"/>
          <w:sz w:val="24"/>
          <w:szCs w:val="24"/>
          <w:lang w:eastAsia="zh-CN"/>
        </w:rPr>
        <w:t>为</w:t>
      </w:r>
      <w:r>
        <w:rPr>
          <w:rFonts w:hint="eastAsia" w:ascii="宋体" w:hAnsi="宋体" w:cs="宋体"/>
          <w:sz w:val="24"/>
          <w:szCs w:val="24"/>
          <w:lang w:val="en-US" w:eastAsia="zh-CN"/>
        </w:rPr>
        <w:t>复查</w:t>
      </w:r>
      <w:r>
        <w:rPr>
          <w:rFonts w:hint="eastAsia" w:ascii="宋体" w:hAnsi="宋体" w:cs="宋体"/>
          <w:sz w:val="24"/>
          <w:szCs w:val="24"/>
          <w:lang w:eastAsia="zh-CN"/>
        </w:rPr>
        <w:t>标段，</w:t>
      </w:r>
      <w:r>
        <w:rPr>
          <w:rFonts w:hint="eastAsia" w:ascii="宋体" w:hAnsi="宋体" w:cs="宋体"/>
          <w:sz w:val="24"/>
          <w:szCs w:val="24"/>
          <w:lang w:val="en-US" w:eastAsia="zh-CN"/>
        </w:rPr>
        <w:t>对全部企业进行书面复查，同时按照不低于30%的比例进行现场复查。五标段月度存证审核标段，选定1家月度存证审核机构，按时对约50家重点排放单位每月的存证数据及支撑材料进行审核，另外按照国家有关工作安排，预计今年将对水泥、钢铁行业开展月度存证审核工作，届时约25家水泥、钢铁重点排放单位纳入月度存证审核范围。</w:t>
      </w:r>
      <w:r>
        <w:rPr>
          <w:rFonts w:hint="eastAsia" w:ascii="宋体" w:hAnsi="宋体" w:eastAsia="宋体" w:cs="宋体"/>
          <w:b w:val="0"/>
          <w:bCs/>
          <w:color w:val="auto"/>
          <w:sz w:val="24"/>
          <w:szCs w:val="24"/>
          <w:highlight w:val="none"/>
        </w:rPr>
        <w:br w:type="page"/>
      </w:r>
    </w:p>
    <w:p w14:paraId="C87D01C9">
      <w:pPr>
        <w:pStyle w:val="3"/>
        <w:pageBreakBefore w:val="0"/>
        <w:widowControl w:val="0"/>
        <w:kinsoku/>
        <w:wordWrap/>
        <w:overflowPunct/>
        <w:topLinePunct w:val="0"/>
        <w:autoSpaceDE/>
        <w:autoSpaceDN/>
        <w:bidi w:val="0"/>
        <w:adjustRightInd/>
        <w:snapToGrid/>
        <w:spacing w:line="400" w:lineRule="exact"/>
        <w:ind w:right="0" w:rightChars="0"/>
        <w:jc w:val="center"/>
        <w:textAlignment w:val="auto"/>
        <w:outlineLvl w:val="0"/>
        <w:rPr>
          <w:rFonts w:hint="eastAsia" w:ascii="宋体" w:hAnsi="宋体" w:eastAsia="宋体" w:cs="宋体"/>
          <w:b/>
          <w:bCs w:val="0"/>
          <w:color w:val="auto"/>
          <w:sz w:val="36"/>
          <w:szCs w:val="36"/>
          <w:highlight w:val="none"/>
        </w:rPr>
      </w:pPr>
      <w:bookmarkStart w:id="44" w:name="_Toc12871"/>
      <w:r>
        <w:rPr>
          <w:rFonts w:hint="eastAsia" w:ascii="宋体" w:hAnsi="宋体" w:eastAsia="宋体" w:cs="宋体"/>
          <w:b/>
          <w:bCs w:val="0"/>
          <w:color w:val="auto"/>
          <w:sz w:val="36"/>
          <w:szCs w:val="36"/>
          <w:highlight w:val="none"/>
        </w:rPr>
        <w:t>第六章  投标文件构成、要求及格式</w:t>
      </w:r>
      <w:bookmarkEnd w:id="42"/>
      <w:bookmarkEnd w:id="43"/>
      <w:bookmarkEnd w:id="44"/>
    </w:p>
    <w:p w14:paraId="57D5345E">
      <w:pPr>
        <w:autoSpaceDE w:val="0"/>
        <w:autoSpaceDN w:val="0"/>
        <w:adjustRightInd w:val="0"/>
        <w:spacing w:line="520" w:lineRule="exact"/>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特别声明:</w:t>
      </w:r>
    </w:p>
    <w:p w14:paraId="61BEC3ED">
      <w:pPr>
        <w:tabs>
          <w:tab w:val="left" w:pos="709"/>
        </w:tabs>
        <w:autoSpaceDE w:val="0"/>
        <w:autoSpaceDN w:val="0"/>
        <w:adjustRightInd w:val="0"/>
        <w:spacing w:line="520" w:lineRule="exact"/>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1、投标人必须按照招标文件的规定投标文件分数提交投标文件，若有缺失、无效或者不符合招标文件要求，将导致其投标被拒绝。</w:t>
      </w:r>
    </w:p>
    <w:p w14:paraId="C4207CB1">
      <w:pPr>
        <w:tabs>
          <w:tab w:val="left" w:pos="709"/>
        </w:tabs>
        <w:autoSpaceDE w:val="0"/>
        <w:autoSpaceDN w:val="0"/>
        <w:adjustRightInd w:val="0"/>
        <w:spacing w:line="520" w:lineRule="exact"/>
        <w:ind w:firstLine="540" w:firstLineChars="225"/>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2、投标人提交的全部文件均须统一装订在投标文件中，其中原件装订在正本中，复印件装订在副本中。</w:t>
      </w:r>
      <w:r>
        <w:rPr>
          <w:rFonts w:hint="eastAsia" w:ascii="宋体" w:hAnsi="宋体" w:eastAsia="宋体" w:cs="宋体"/>
          <w:color w:val="auto"/>
          <w:kern w:val="0"/>
          <w:sz w:val="24"/>
          <w:highlight w:val="none"/>
          <w:lang w:val="zh-CN"/>
        </w:rPr>
        <w:t>投标人提交的文件材料均不予退还。</w:t>
      </w:r>
    </w:p>
    <w:p w14:paraId="7F97F56D">
      <w:pPr>
        <w:tabs>
          <w:tab w:val="left" w:pos="709"/>
        </w:tabs>
        <w:autoSpaceDE w:val="0"/>
        <w:autoSpaceDN w:val="0"/>
        <w:adjustRightInd w:val="0"/>
        <w:spacing w:line="520" w:lineRule="exact"/>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3、投标人提交的全部文件均须按招标文件的规定有效签署和/或加盖公章。</w:t>
      </w:r>
    </w:p>
    <w:p w14:paraId="7E042513">
      <w:pPr>
        <w:tabs>
          <w:tab w:val="left" w:pos="709"/>
        </w:tabs>
        <w:autoSpaceDE w:val="0"/>
        <w:autoSpaceDN w:val="0"/>
        <w:adjustRightInd w:val="0"/>
        <w:spacing w:line="520" w:lineRule="exact"/>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4、投标人应编制投标文件目录。</w:t>
      </w:r>
    </w:p>
    <w:p w14:paraId="111450CB">
      <w:pPr>
        <w:tabs>
          <w:tab w:val="left" w:pos="709"/>
        </w:tabs>
        <w:autoSpaceDE w:val="0"/>
        <w:autoSpaceDN w:val="0"/>
        <w:adjustRightInd w:val="0"/>
        <w:spacing w:line="520" w:lineRule="exact"/>
        <w:ind w:firstLine="48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5、评标委员会将根据投标人提交的文件资料和自己的判断，决定投标人履行合同的合格性及能力。</w:t>
      </w:r>
    </w:p>
    <w:p w14:paraId="28C9A619">
      <w:pPr>
        <w:autoSpaceDE w:val="0"/>
        <w:autoSpaceDN w:val="0"/>
        <w:adjustRightInd w:val="0"/>
        <w:spacing w:line="520" w:lineRule="exact"/>
        <w:rPr>
          <w:rFonts w:hint="eastAsia" w:ascii="宋体" w:hAnsi="宋体" w:eastAsia="宋体" w:cs="宋体"/>
          <w:color w:val="auto"/>
          <w:highlight w:val="none"/>
        </w:rPr>
      </w:pPr>
    </w:p>
    <w:p w14:paraId="2D2E7B4A">
      <w:pPr>
        <w:autoSpaceDE w:val="0"/>
        <w:autoSpaceDN w:val="0"/>
        <w:adjustRightInd w:val="0"/>
        <w:spacing w:line="520" w:lineRule="exact"/>
        <w:rPr>
          <w:rFonts w:hint="eastAsia" w:ascii="宋体" w:hAnsi="宋体" w:eastAsia="宋体" w:cs="宋体"/>
          <w:color w:val="auto"/>
          <w:highlight w:val="none"/>
        </w:rPr>
      </w:pPr>
    </w:p>
    <w:p w14:paraId="3B9665F6">
      <w:pPr>
        <w:autoSpaceDE w:val="0"/>
        <w:autoSpaceDN w:val="0"/>
        <w:adjustRightInd w:val="0"/>
        <w:spacing w:line="520" w:lineRule="exact"/>
        <w:jc w:val="center"/>
        <w:rPr>
          <w:rFonts w:hint="eastAsia" w:ascii="宋体" w:hAnsi="宋体" w:eastAsia="宋体" w:cs="宋体"/>
          <w:b/>
          <w:color w:val="auto"/>
          <w:sz w:val="32"/>
          <w:highlight w:val="none"/>
          <w:lang w:val="zh-CN"/>
        </w:rPr>
      </w:pPr>
    </w:p>
    <w:p w14:paraId="8C986AD5">
      <w:pPr>
        <w:autoSpaceDE w:val="0"/>
        <w:autoSpaceDN w:val="0"/>
        <w:adjustRightInd w:val="0"/>
        <w:spacing w:line="520" w:lineRule="exact"/>
        <w:jc w:val="center"/>
        <w:rPr>
          <w:rFonts w:hint="eastAsia" w:ascii="宋体" w:hAnsi="宋体" w:eastAsia="宋体" w:cs="宋体"/>
          <w:b/>
          <w:color w:val="auto"/>
          <w:sz w:val="32"/>
          <w:highlight w:val="none"/>
          <w:lang w:val="zh-CN"/>
        </w:rPr>
      </w:pPr>
    </w:p>
    <w:p w14:paraId="04E88BAF">
      <w:pPr>
        <w:autoSpaceDE w:val="0"/>
        <w:autoSpaceDN w:val="0"/>
        <w:adjustRightInd w:val="0"/>
        <w:spacing w:line="520" w:lineRule="exact"/>
        <w:jc w:val="center"/>
        <w:rPr>
          <w:rFonts w:hint="eastAsia" w:ascii="宋体" w:hAnsi="宋体" w:eastAsia="宋体" w:cs="宋体"/>
          <w:b/>
          <w:color w:val="auto"/>
          <w:sz w:val="32"/>
          <w:highlight w:val="none"/>
          <w:lang w:val="zh-CN"/>
        </w:rPr>
      </w:pPr>
    </w:p>
    <w:p w14:paraId="F73906D6">
      <w:pPr>
        <w:autoSpaceDE w:val="0"/>
        <w:autoSpaceDN w:val="0"/>
        <w:adjustRightInd w:val="0"/>
        <w:spacing w:line="520" w:lineRule="exact"/>
        <w:jc w:val="center"/>
        <w:rPr>
          <w:rFonts w:hint="eastAsia" w:ascii="宋体" w:hAnsi="宋体" w:eastAsia="宋体" w:cs="宋体"/>
          <w:b/>
          <w:color w:val="auto"/>
          <w:sz w:val="32"/>
          <w:highlight w:val="none"/>
          <w:lang w:val="zh-CN"/>
        </w:rPr>
      </w:pPr>
    </w:p>
    <w:p w14:paraId="3919319C">
      <w:pPr>
        <w:autoSpaceDE w:val="0"/>
        <w:autoSpaceDN w:val="0"/>
        <w:adjustRightInd w:val="0"/>
        <w:spacing w:line="520" w:lineRule="exact"/>
        <w:jc w:val="center"/>
        <w:rPr>
          <w:rFonts w:hint="eastAsia" w:ascii="宋体" w:hAnsi="宋体" w:eastAsia="宋体" w:cs="宋体"/>
          <w:b/>
          <w:color w:val="auto"/>
          <w:sz w:val="32"/>
          <w:highlight w:val="none"/>
          <w:lang w:val="zh-CN"/>
        </w:rPr>
      </w:pPr>
    </w:p>
    <w:p w14:paraId="9F6D897C">
      <w:pPr>
        <w:autoSpaceDE w:val="0"/>
        <w:autoSpaceDN w:val="0"/>
        <w:adjustRightInd w:val="0"/>
        <w:spacing w:line="520" w:lineRule="exact"/>
        <w:jc w:val="center"/>
        <w:rPr>
          <w:rFonts w:hint="eastAsia" w:ascii="宋体" w:hAnsi="宋体" w:eastAsia="宋体" w:cs="宋体"/>
          <w:b/>
          <w:color w:val="auto"/>
          <w:sz w:val="32"/>
          <w:highlight w:val="none"/>
          <w:lang w:val="zh-CN"/>
        </w:rPr>
      </w:pPr>
    </w:p>
    <w:p w14:paraId="E9E9EE26">
      <w:pPr>
        <w:autoSpaceDE w:val="0"/>
        <w:autoSpaceDN w:val="0"/>
        <w:adjustRightInd w:val="0"/>
        <w:spacing w:line="520" w:lineRule="exact"/>
        <w:jc w:val="center"/>
        <w:rPr>
          <w:rFonts w:hint="eastAsia" w:ascii="宋体" w:hAnsi="宋体" w:eastAsia="宋体" w:cs="宋体"/>
          <w:b/>
          <w:color w:val="auto"/>
          <w:sz w:val="32"/>
          <w:highlight w:val="none"/>
          <w:lang w:val="zh-CN"/>
        </w:rPr>
      </w:pPr>
    </w:p>
    <w:p w14:paraId="98F1CC20">
      <w:pPr>
        <w:autoSpaceDE w:val="0"/>
        <w:autoSpaceDN w:val="0"/>
        <w:adjustRightInd w:val="0"/>
        <w:spacing w:line="520" w:lineRule="exact"/>
        <w:jc w:val="center"/>
        <w:rPr>
          <w:rFonts w:hint="eastAsia" w:ascii="宋体" w:hAnsi="宋体" w:eastAsia="宋体" w:cs="宋体"/>
          <w:b/>
          <w:color w:val="auto"/>
          <w:sz w:val="32"/>
          <w:highlight w:val="none"/>
          <w:lang w:val="zh-CN"/>
        </w:rPr>
      </w:pPr>
    </w:p>
    <w:p w14:paraId="95CD70B9">
      <w:pPr>
        <w:autoSpaceDE w:val="0"/>
        <w:autoSpaceDN w:val="0"/>
        <w:adjustRightInd w:val="0"/>
        <w:spacing w:line="520" w:lineRule="exact"/>
        <w:jc w:val="center"/>
        <w:rPr>
          <w:rFonts w:hint="eastAsia" w:ascii="宋体" w:hAnsi="宋体" w:eastAsia="宋体" w:cs="宋体"/>
          <w:b/>
          <w:color w:val="auto"/>
          <w:sz w:val="32"/>
          <w:highlight w:val="none"/>
          <w:lang w:val="zh-CN"/>
        </w:rPr>
      </w:pPr>
    </w:p>
    <w:p w14:paraId="0F0C0207">
      <w:pPr>
        <w:autoSpaceDE w:val="0"/>
        <w:autoSpaceDN w:val="0"/>
        <w:adjustRightInd w:val="0"/>
        <w:spacing w:line="520" w:lineRule="exact"/>
        <w:jc w:val="center"/>
        <w:rPr>
          <w:rFonts w:hint="eastAsia" w:ascii="宋体" w:hAnsi="宋体" w:eastAsia="宋体" w:cs="宋体"/>
          <w:b/>
          <w:color w:val="auto"/>
          <w:sz w:val="32"/>
          <w:highlight w:val="none"/>
          <w:lang w:val="zh-CN"/>
        </w:rPr>
      </w:pPr>
    </w:p>
    <w:p w14:paraId="7CCDF63F">
      <w:pPr>
        <w:autoSpaceDE w:val="0"/>
        <w:autoSpaceDN w:val="0"/>
        <w:adjustRightInd w:val="0"/>
        <w:spacing w:line="520" w:lineRule="exact"/>
        <w:jc w:val="center"/>
        <w:rPr>
          <w:rFonts w:hint="eastAsia" w:ascii="宋体" w:hAnsi="宋体" w:eastAsia="宋体" w:cs="宋体"/>
          <w:b/>
          <w:color w:val="auto"/>
          <w:sz w:val="32"/>
          <w:highlight w:val="none"/>
          <w:lang w:val="zh-CN"/>
        </w:rPr>
      </w:pPr>
    </w:p>
    <w:p w14:paraId="D6438B4D">
      <w:pPr>
        <w:autoSpaceDE w:val="0"/>
        <w:autoSpaceDN w:val="0"/>
        <w:adjustRightInd w:val="0"/>
        <w:spacing w:line="520" w:lineRule="exact"/>
        <w:jc w:val="center"/>
        <w:rPr>
          <w:rFonts w:hint="eastAsia" w:ascii="宋体" w:hAnsi="宋体" w:eastAsia="宋体" w:cs="宋体"/>
          <w:b/>
          <w:color w:val="auto"/>
          <w:sz w:val="32"/>
          <w:highlight w:val="none"/>
          <w:lang w:val="zh-CN"/>
        </w:rPr>
      </w:pPr>
    </w:p>
    <w:p w14:paraId="CFBECCC2">
      <w:pPr>
        <w:pStyle w:val="32"/>
        <w:rPr>
          <w:rFonts w:hint="eastAsia"/>
          <w:color w:val="auto"/>
          <w:highlight w:val="none"/>
          <w:lang w:val="zh-CN"/>
        </w:rPr>
      </w:pPr>
    </w:p>
    <w:p w14:paraId="D0E662C9">
      <w:pPr>
        <w:pStyle w:val="9"/>
        <w:rPr>
          <w:rFonts w:hint="eastAsia"/>
          <w:lang w:val="zh-CN"/>
        </w:rPr>
      </w:pPr>
    </w:p>
    <w:p w14:paraId="EEC03B7B">
      <w:pPr>
        <w:spacing w:before="200"/>
        <w:rPr>
          <w:rFonts w:hint="eastAsia" w:ascii="宋体"/>
          <w:b/>
          <w:color w:val="auto"/>
          <w:sz w:val="28"/>
          <w:highlight w:val="none"/>
        </w:rPr>
      </w:pPr>
      <w:r>
        <w:rPr>
          <w:rFonts w:hint="eastAsia" w:ascii="宋体"/>
          <w:b/>
          <w:color w:val="auto"/>
          <w:sz w:val="24"/>
          <w:highlight w:val="none"/>
        </w:rPr>
        <w:t xml:space="preserve">格式1 </w:t>
      </w:r>
      <w:r>
        <w:rPr>
          <w:rFonts w:hint="eastAsia" w:ascii="宋体"/>
          <w:b/>
          <w:color w:val="auto"/>
          <w:sz w:val="28"/>
          <w:highlight w:val="none"/>
        </w:rPr>
        <w:t xml:space="preserve">                </w:t>
      </w:r>
    </w:p>
    <w:p w14:paraId="25A5B24E">
      <w:pPr>
        <w:spacing w:before="200"/>
        <w:jc w:val="center"/>
        <w:rPr>
          <w:rFonts w:hint="eastAsia" w:ascii="宋体"/>
          <w:b/>
          <w:color w:val="auto"/>
          <w:sz w:val="30"/>
          <w:szCs w:val="30"/>
          <w:highlight w:val="none"/>
        </w:rPr>
      </w:pPr>
      <w:bookmarkStart w:id="45" w:name="_Toc3739_WPSOffice_Level1"/>
      <w:bookmarkStart w:id="46" w:name="_Toc48199907"/>
      <w:bookmarkStart w:id="47" w:name="_Toc98580425"/>
      <w:r>
        <w:rPr>
          <w:rFonts w:hint="eastAsia" w:ascii="宋体"/>
          <w:b/>
          <w:color w:val="auto"/>
          <w:sz w:val="30"/>
          <w:szCs w:val="30"/>
          <w:highlight w:val="none"/>
        </w:rPr>
        <w:t>开标一览表</w:t>
      </w:r>
      <w:bookmarkEnd w:id="45"/>
    </w:p>
    <w:p w14:paraId="1A59BEB5">
      <w:pPr>
        <w:jc w:val="center"/>
        <w:rPr>
          <w:rFonts w:hint="eastAsia" w:ascii="宋体" w:eastAsia="宋体"/>
          <w:b/>
          <w:color w:val="auto"/>
          <w:sz w:val="24"/>
          <w:szCs w:val="24"/>
          <w:highlight w:val="none"/>
          <w:lang w:eastAsia="zh-CN"/>
        </w:rPr>
      </w:pPr>
      <w:r>
        <w:rPr>
          <w:rFonts w:hint="eastAsia" w:ascii="宋体"/>
          <w:b/>
          <w:color w:val="auto"/>
          <w:sz w:val="24"/>
          <w:szCs w:val="24"/>
          <w:highlight w:val="none"/>
          <w:lang w:eastAsia="zh-CN"/>
        </w:rPr>
        <w:t>此表格式以政采云系统为准</w:t>
      </w:r>
    </w:p>
    <w:p w14:paraId="C262E991">
      <w:pPr>
        <w:autoSpaceDE w:val="0"/>
        <w:autoSpaceDN w:val="0"/>
        <w:adjustRightInd w:val="0"/>
        <w:spacing w:line="460" w:lineRule="exact"/>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项目名称：</w:t>
      </w:r>
    </w:p>
    <w:p w14:paraId="4D383564">
      <w:pPr>
        <w:spacing w:line="460" w:lineRule="exact"/>
        <w:rPr>
          <w:rFonts w:hint="eastAsia" w:ascii="宋体" w:hAnsi="宋体" w:cs="宋体"/>
          <w:bCs/>
          <w:color w:val="auto"/>
          <w:sz w:val="24"/>
          <w:szCs w:val="24"/>
          <w:highlight w:val="none"/>
        </w:rPr>
      </w:pPr>
      <w:r>
        <w:rPr>
          <w:rFonts w:hint="eastAsia" w:ascii="宋体" w:hAnsi="宋体" w:cs="宋体"/>
          <w:bCs/>
          <w:color w:val="auto"/>
          <w:sz w:val="24"/>
          <w:szCs w:val="24"/>
          <w:highlight w:val="none"/>
        </w:rPr>
        <w:t>投标单位全称（公章）：</w:t>
      </w:r>
    </w:p>
    <w:p w14:paraId="6F4CC641">
      <w:pPr>
        <w:spacing w:line="460" w:lineRule="exact"/>
        <w:rPr>
          <w:rFonts w:hint="eastAsia" w:ascii="宋体" w:hAnsi="宋体" w:cs="宋体"/>
          <w:bCs/>
          <w:color w:val="auto"/>
          <w:sz w:val="24"/>
          <w:szCs w:val="24"/>
          <w:highlight w:val="none"/>
        </w:rPr>
      </w:pPr>
      <w:r>
        <w:rPr>
          <w:rFonts w:hint="eastAsia" w:ascii="宋体" w:hAnsi="宋体" w:cs="宋体"/>
          <w:bCs/>
          <w:color w:val="auto"/>
          <w:sz w:val="24"/>
          <w:szCs w:val="24"/>
          <w:highlight w:val="none"/>
        </w:rPr>
        <w:t>法定代表人或授权代理人（签字）：</w:t>
      </w:r>
    </w:p>
    <w:p w14:paraId="519A6322">
      <w:pPr>
        <w:autoSpaceDE w:val="0"/>
        <w:autoSpaceDN w:val="0"/>
        <w:adjustRightInd w:val="0"/>
        <w:spacing w:line="460" w:lineRule="exact"/>
        <w:rPr>
          <w:rFonts w:hint="eastAsia" w:ascii="宋体" w:hAnsi="宋体" w:cs="宋体"/>
          <w:color w:val="auto"/>
          <w:sz w:val="24"/>
          <w:szCs w:val="24"/>
          <w:highlight w:val="none"/>
          <w:lang w:val="zh-CN"/>
        </w:rPr>
      </w:pPr>
      <w:r>
        <w:rPr>
          <w:rFonts w:hint="eastAsia" w:ascii="宋体" w:hAnsi="宋体" w:cs="宋体"/>
          <w:bCs/>
          <w:color w:val="auto"/>
          <w:sz w:val="24"/>
          <w:szCs w:val="24"/>
          <w:highlight w:val="none"/>
          <w:lang w:val="zh-CN"/>
        </w:rPr>
        <w:t xml:space="preserve">标段号： </w:t>
      </w:r>
      <w:r>
        <w:rPr>
          <w:rFonts w:hint="eastAsia" w:ascii="宋体" w:hAnsi="宋体" w:cs="宋体"/>
          <w:b/>
          <w:bCs/>
          <w:color w:val="auto"/>
          <w:sz w:val="24"/>
          <w:szCs w:val="24"/>
          <w:highlight w:val="none"/>
          <w:lang w:val="zh-CN"/>
        </w:rPr>
        <w:t xml:space="preserve"> </w:t>
      </w:r>
      <w:r>
        <w:rPr>
          <w:rFonts w:hint="eastAsia" w:ascii="宋体" w:hAnsi="宋体" w:cs="宋体"/>
          <w:color w:val="auto"/>
          <w:sz w:val="24"/>
          <w:szCs w:val="24"/>
          <w:highlight w:val="none"/>
          <w:lang w:val="zh-CN"/>
        </w:rPr>
        <w:t xml:space="preserve">                                                 </w:t>
      </w:r>
      <w:r>
        <w:rPr>
          <w:rFonts w:hint="eastAsia" w:ascii="宋体" w:hAnsi="宋体" w:cs="宋体"/>
          <w:color w:val="auto"/>
          <w:sz w:val="24"/>
          <w:szCs w:val="24"/>
          <w:highlight w:val="none"/>
        </w:rPr>
        <w:t>2025</w:t>
      </w:r>
      <w:r>
        <w:rPr>
          <w:rFonts w:hint="eastAsia" w:ascii="宋体" w:hAnsi="宋体" w:cs="宋体"/>
          <w:color w:val="auto"/>
          <w:sz w:val="24"/>
          <w:szCs w:val="24"/>
          <w:highlight w:val="none"/>
          <w:lang w:val="zh-CN"/>
        </w:rPr>
        <w:t>年  月  日</w:t>
      </w:r>
    </w:p>
    <w:tbl>
      <w:tblPr>
        <w:tblStyle w:val="16"/>
        <w:tblW w:w="9798" w:type="dxa"/>
        <w:jc w:val="center"/>
        <w:tblLayout w:type="fixed"/>
        <w:tblCellMar>
          <w:top w:w="0" w:type="dxa"/>
          <w:left w:w="108" w:type="dxa"/>
          <w:bottom w:w="0" w:type="dxa"/>
          <w:right w:w="108" w:type="dxa"/>
        </w:tblCellMar>
      </w:tblPr>
      <w:tblGrid>
        <w:gridCol w:w="922"/>
        <w:gridCol w:w="2528"/>
        <w:gridCol w:w="2770"/>
        <w:gridCol w:w="2007"/>
        <w:gridCol w:w="1571"/>
      </w:tblGrid>
      <w:tr w14:paraId="8DC9E75A">
        <w:tblPrEx>
          <w:tblCellMar>
            <w:top w:w="0" w:type="dxa"/>
            <w:left w:w="108" w:type="dxa"/>
            <w:bottom w:w="0" w:type="dxa"/>
            <w:right w:w="108" w:type="dxa"/>
          </w:tblCellMar>
        </w:tblPrEx>
        <w:trPr>
          <w:trHeight w:val="566" w:hRule="atLeast"/>
          <w:jc w:val="center"/>
        </w:trPr>
        <w:tc>
          <w:tcPr>
            <w:tcW w:w="922" w:type="dxa"/>
            <w:tcBorders>
              <w:top w:val="single" w:color="auto" w:sz="6" w:space="0"/>
              <w:left w:val="single" w:color="auto" w:sz="6" w:space="0"/>
              <w:bottom w:val="single" w:color="auto" w:sz="6" w:space="0"/>
              <w:right w:val="single" w:color="auto" w:sz="6" w:space="0"/>
            </w:tcBorders>
            <w:vAlign w:val="center"/>
          </w:tcPr>
          <w:p w14:paraId="5847CAF0">
            <w:pPr>
              <w:autoSpaceDE w:val="0"/>
              <w:autoSpaceDN w:val="0"/>
              <w:adjustRightInd w:val="0"/>
              <w:jc w:val="center"/>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序号</w:t>
            </w:r>
          </w:p>
        </w:tc>
        <w:tc>
          <w:tcPr>
            <w:tcW w:w="2528" w:type="dxa"/>
            <w:tcBorders>
              <w:top w:val="single" w:color="auto" w:sz="6" w:space="0"/>
              <w:left w:val="single" w:color="auto" w:sz="6" w:space="0"/>
              <w:bottom w:val="single" w:color="auto" w:sz="6" w:space="0"/>
              <w:right w:val="single" w:color="auto" w:sz="6" w:space="0"/>
            </w:tcBorders>
            <w:vAlign w:val="center"/>
          </w:tcPr>
          <w:p w14:paraId="A7151356">
            <w:pPr>
              <w:autoSpaceDE w:val="0"/>
              <w:autoSpaceDN w:val="0"/>
              <w:adjustRightInd w:val="0"/>
              <w:jc w:val="center"/>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投标总价（万元）</w:t>
            </w:r>
          </w:p>
        </w:tc>
        <w:tc>
          <w:tcPr>
            <w:tcW w:w="2770" w:type="dxa"/>
            <w:tcBorders>
              <w:top w:val="single" w:color="auto" w:sz="6" w:space="0"/>
              <w:left w:val="single" w:color="auto" w:sz="6" w:space="0"/>
              <w:bottom w:val="single" w:color="auto" w:sz="6" w:space="0"/>
              <w:right w:val="single" w:color="auto" w:sz="6" w:space="0"/>
            </w:tcBorders>
            <w:vAlign w:val="center"/>
          </w:tcPr>
          <w:p w14:paraId="2BB7A6C0">
            <w:pPr>
              <w:autoSpaceDE w:val="0"/>
              <w:autoSpaceDN w:val="0"/>
              <w:adjustRightInd w:val="0"/>
              <w:jc w:val="center"/>
              <w:rPr>
                <w:rFonts w:hint="eastAsia" w:ascii="宋体" w:hAnsi="宋体" w:cs="宋体"/>
                <w:b/>
                <w:bCs/>
                <w:color w:val="auto"/>
                <w:sz w:val="24"/>
                <w:szCs w:val="24"/>
                <w:highlight w:val="none"/>
                <w:lang w:val="zh-CN"/>
              </w:rPr>
            </w:pPr>
            <w:r>
              <w:rPr>
                <w:rFonts w:hint="eastAsia" w:ascii="宋体" w:hAnsi="宋体" w:cs="宋体"/>
                <w:color w:val="auto"/>
                <w:sz w:val="24"/>
                <w:szCs w:val="24"/>
                <w:highlight w:val="none"/>
                <w:lang w:val="zh-CN"/>
              </w:rPr>
              <w:t>服务期限</w:t>
            </w:r>
          </w:p>
        </w:tc>
        <w:tc>
          <w:tcPr>
            <w:tcW w:w="2007" w:type="dxa"/>
            <w:tcBorders>
              <w:top w:val="single" w:color="auto" w:sz="6" w:space="0"/>
              <w:left w:val="single" w:color="auto" w:sz="6" w:space="0"/>
              <w:bottom w:val="single" w:color="auto" w:sz="6" w:space="0"/>
              <w:right w:val="single" w:color="auto" w:sz="6" w:space="0"/>
            </w:tcBorders>
            <w:vAlign w:val="center"/>
          </w:tcPr>
          <w:p w14:paraId="6E66C351">
            <w:pPr>
              <w:autoSpaceDE w:val="0"/>
              <w:autoSpaceDN w:val="0"/>
              <w:adjustRightInd w:val="0"/>
              <w:jc w:val="center"/>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投标保证金（元）</w:t>
            </w:r>
          </w:p>
        </w:tc>
        <w:tc>
          <w:tcPr>
            <w:tcW w:w="1571" w:type="dxa"/>
            <w:tcBorders>
              <w:top w:val="single" w:color="auto" w:sz="6" w:space="0"/>
              <w:left w:val="single" w:color="auto" w:sz="6" w:space="0"/>
              <w:bottom w:val="single" w:color="auto" w:sz="6" w:space="0"/>
              <w:right w:val="single" w:color="auto" w:sz="6" w:space="0"/>
            </w:tcBorders>
            <w:vAlign w:val="center"/>
          </w:tcPr>
          <w:p w14:paraId="2B817228">
            <w:pPr>
              <w:autoSpaceDE w:val="0"/>
              <w:autoSpaceDN w:val="0"/>
              <w:adjustRightInd w:val="0"/>
              <w:jc w:val="center"/>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备注</w:t>
            </w:r>
          </w:p>
        </w:tc>
      </w:tr>
      <w:tr w14:paraId="C67ECB06">
        <w:tblPrEx>
          <w:tblCellMar>
            <w:top w:w="0" w:type="dxa"/>
            <w:left w:w="108" w:type="dxa"/>
            <w:bottom w:w="0" w:type="dxa"/>
            <w:right w:w="108" w:type="dxa"/>
          </w:tblCellMar>
        </w:tblPrEx>
        <w:trPr>
          <w:trHeight w:val="538" w:hRule="atLeast"/>
          <w:jc w:val="center"/>
        </w:trPr>
        <w:tc>
          <w:tcPr>
            <w:tcW w:w="922" w:type="dxa"/>
            <w:tcBorders>
              <w:top w:val="single" w:color="auto" w:sz="6" w:space="0"/>
              <w:left w:val="single" w:color="auto" w:sz="6" w:space="0"/>
              <w:bottom w:val="single" w:color="auto" w:sz="6" w:space="0"/>
              <w:right w:val="single" w:color="auto" w:sz="6" w:space="0"/>
            </w:tcBorders>
            <w:vAlign w:val="center"/>
          </w:tcPr>
          <w:p w14:paraId="4BD147E0">
            <w:pPr>
              <w:autoSpaceDE w:val="0"/>
              <w:autoSpaceDN w:val="0"/>
              <w:adjustRightInd w:val="0"/>
              <w:jc w:val="center"/>
              <w:rPr>
                <w:rFonts w:hint="eastAsia" w:ascii="宋体" w:hAnsi="宋体" w:cs="宋体"/>
                <w:b/>
                <w:bCs/>
                <w:color w:val="auto"/>
                <w:sz w:val="24"/>
                <w:szCs w:val="24"/>
                <w:highlight w:val="none"/>
                <w:lang w:val="zh-CN"/>
              </w:rPr>
            </w:pPr>
          </w:p>
        </w:tc>
        <w:tc>
          <w:tcPr>
            <w:tcW w:w="2528" w:type="dxa"/>
            <w:tcBorders>
              <w:top w:val="single" w:color="auto" w:sz="6" w:space="0"/>
              <w:left w:val="single" w:color="auto" w:sz="6" w:space="0"/>
              <w:bottom w:val="single" w:color="auto" w:sz="6" w:space="0"/>
              <w:right w:val="single" w:color="auto" w:sz="6" w:space="0"/>
            </w:tcBorders>
            <w:vAlign w:val="center"/>
          </w:tcPr>
          <w:p w14:paraId="7DCD16BE">
            <w:pPr>
              <w:autoSpaceDE w:val="0"/>
              <w:autoSpaceDN w:val="0"/>
              <w:adjustRightInd w:val="0"/>
              <w:jc w:val="center"/>
              <w:rPr>
                <w:rFonts w:hint="eastAsia" w:ascii="宋体" w:hAnsi="宋体" w:cs="宋体"/>
                <w:b/>
                <w:bCs/>
                <w:color w:val="auto"/>
                <w:sz w:val="24"/>
                <w:szCs w:val="24"/>
                <w:highlight w:val="none"/>
                <w:lang w:val="zh-CN"/>
              </w:rPr>
            </w:pPr>
          </w:p>
        </w:tc>
        <w:tc>
          <w:tcPr>
            <w:tcW w:w="2770" w:type="dxa"/>
            <w:tcBorders>
              <w:top w:val="single" w:color="auto" w:sz="6" w:space="0"/>
              <w:left w:val="single" w:color="auto" w:sz="6" w:space="0"/>
              <w:bottom w:val="single" w:color="auto" w:sz="6" w:space="0"/>
              <w:right w:val="single" w:color="auto" w:sz="6" w:space="0"/>
            </w:tcBorders>
            <w:vAlign w:val="center"/>
          </w:tcPr>
          <w:p w14:paraId="C332FB9A">
            <w:pPr>
              <w:autoSpaceDE w:val="0"/>
              <w:autoSpaceDN w:val="0"/>
              <w:adjustRightInd w:val="0"/>
              <w:jc w:val="center"/>
              <w:rPr>
                <w:rFonts w:hint="eastAsia" w:ascii="宋体" w:hAnsi="宋体" w:cs="宋体"/>
                <w:bCs/>
                <w:color w:val="auto"/>
                <w:sz w:val="24"/>
                <w:szCs w:val="24"/>
                <w:highlight w:val="none"/>
                <w:lang w:val="zh-CN"/>
              </w:rPr>
            </w:pPr>
          </w:p>
        </w:tc>
        <w:tc>
          <w:tcPr>
            <w:tcW w:w="2007" w:type="dxa"/>
            <w:tcBorders>
              <w:top w:val="single" w:color="auto" w:sz="6" w:space="0"/>
              <w:left w:val="single" w:color="auto" w:sz="6" w:space="0"/>
              <w:bottom w:val="single" w:color="auto" w:sz="6" w:space="0"/>
              <w:right w:val="single" w:color="auto" w:sz="6" w:space="0"/>
            </w:tcBorders>
            <w:vAlign w:val="center"/>
          </w:tcPr>
          <w:p w14:paraId="A654AA21">
            <w:pPr>
              <w:autoSpaceDE w:val="0"/>
              <w:autoSpaceDN w:val="0"/>
              <w:adjustRightInd w:val="0"/>
              <w:jc w:val="center"/>
              <w:rPr>
                <w:rFonts w:hint="eastAsia" w:ascii="宋体" w:hAnsi="宋体" w:cs="宋体"/>
                <w:b/>
                <w:bCs/>
                <w:color w:val="auto"/>
                <w:sz w:val="24"/>
                <w:szCs w:val="24"/>
                <w:highlight w:val="none"/>
                <w:lang w:val="zh-CN"/>
              </w:rPr>
            </w:pPr>
          </w:p>
        </w:tc>
        <w:tc>
          <w:tcPr>
            <w:tcW w:w="1571" w:type="dxa"/>
            <w:tcBorders>
              <w:top w:val="single" w:color="auto" w:sz="6" w:space="0"/>
              <w:left w:val="single" w:color="auto" w:sz="6" w:space="0"/>
              <w:bottom w:val="single" w:color="auto" w:sz="6" w:space="0"/>
              <w:right w:val="single" w:color="auto" w:sz="6" w:space="0"/>
            </w:tcBorders>
            <w:vAlign w:val="center"/>
          </w:tcPr>
          <w:p w14:paraId="9B832160">
            <w:pPr>
              <w:autoSpaceDE w:val="0"/>
              <w:autoSpaceDN w:val="0"/>
              <w:adjustRightInd w:val="0"/>
              <w:jc w:val="center"/>
              <w:rPr>
                <w:rFonts w:hint="eastAsia" w:ascii="宋体" w:hAnsi="宋体" w:cs="宋体"/>
                <w:b/>
                <w:bCs/>
                <w:color w:val="auto"/>
                <w:sz w:val="24"/>
                <w:szCs w:val="24"/>
                <w:highlight w:val="none"/>
                <w:lang w:val="zh-CN"/>
              </w:rPr>
            </w:pPr>
          </w:p>
        </w:tc>
      </w:tr>
    </w:tbl>
    <w:p w14:paraId="D5875590">
      <w:pPr>
        <w:autoSpaceDE w:val="0"/>
        <w:autoSpaceDN w:val="0"/>
        <w:adjustRightInd w:val="0"/>
        <w:spacing w:line="460" w:lineRule="exact"/>
        <w:rPr>
          <w:rFonts w:hint="eastAsia"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投标要求：</w:t>
      </w:r>
    </w:p>
    <w:p w14:paraId="746B65D9">
      <w:pPr>
        <w:autoSpaceDE w:val="0"/>
        <w:autoSpaceDN w:val="0"/>
        <w:adjustRightInd w:val="0"/>
        <w:spacing w:line="460" w:lineRule="exact"/>
        <w:ind w:firstLine="48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1</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开标一览表</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用于开标时唱标使用。投标人应按投标人须知对投标文件密封、标记的规定单独密封和标记，另做一份与投标文件同时递交。</w:t>
      </w:r>
    </w:p>
    <w:p w14:paraId="CD9950D1">
      <w:pPr>
        <w:autoSpaceDE w:val="0"/>
        <w:autoSpaceDN w:val="0"/>
        <w:adjustRightInd w:val="0"/>
        <w:spacing w:line="460" w:lineRule="exact"/>
        <w:ind w:firstLine="480"/>
        <w:rPr>
          <w:rFonts w:hint="eastAsia"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2如果给予价格折扣，必须在</w:t>
      </w:r>
      <w:r>
        <w:rPr>
          <w:rFonts w:hint="eastAsia" w:ascii="宋体" w:hAnsi="宋体" w:cs="宋体"/>
          <w:bCs/>
          <w:color w:val="auto"/>
          <w:sz w:val="24"/>
          <w:szCs w:val="24"/>
          <w:highlight w:val="none"/>
        </w:rPr>
        <w:t>“</w:t>
      </w:r>
      <w:r>
        <w:rPr>
          <w:rFonts w:hint="eastAsia" w:ascii="宋体" w:hAnsi="宋体" w:cs="宋体"/>
          <w:bCs/>
          <w:color w:val="auto"/>
          <w:sz w:val="24"/>
          <w:szCs w:val="24"/>
          <w:highlight w:val="none"/>
          <w:lang w:val="zh-CN"/>
        </w:rPr>
        <w:t>开标一览表</w:t>
      </w:r>
      <w:r>
        <w:rPr>
          <w:rFonts w:hint="eastAsia" w:ascii="宋体" w:hAnsi="宋体" w:cs="宋体"/>
          <w:bCs/>
          <w:color w:val="auto"/>
          <w:sz w:val="24"/>
          <w:szCs w:val="24"/>
          <w:highlight w:val="none"/>
        </w:rPr>
        <w:t>”中填报，否则，不作为评标依据。</w:t>
      </w:r>
    </w:p>
    <w:p w14:paraId="5D4A22A1">
      <w:pPr>
        <w:autoSpaceDE w:val="0"/>
        <w:autoSpaceDN w:val="0"/>
        <w:adjustRightInd w:val="0"/>
        <w:spacing w:line="460" w:lineRule="exact"/>
        <w:ind w:firstLine="480"/>
        <w:rPr>
          <w:rFonts w:hint="eastAsia" w:ascii="宋体" w:hAnsi="宋体" w:cs="宋体"/>
          <w:bCs/>
          <w:color w:val="auto"/>
          <w:sz w:val="24"/>
          <w:szCs w:val="24"/>
          <w:highlight w:val="none"/>
          <w:lang w:val="zh-CN"/>
        </w:rPr>
      </w:pPr>
      <w:r>
        <w:rPr>
          <w:rFonts w:hint="eastAsia" w:ascii="宋体" w:hAnsi="宋体" w:cs="宋体"/>
          <w:color w:val="auto"/>
          <w:sz w:val="24"/>
          <w:szCs w:val="24"/>
          <w:highlight w:val="none"/>
          <w:lang w:val="zh-CN"/>
        </w:rPr>
        <w:t>3</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开标一览表</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的内容应与</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投标报价明细表</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以及投标文件的其他相关内容一致。</w:t>
      </w:r>
      <w:r>
        <w:rPr>
          <w:rFonts w:hint="eastAsia" w:ascii="宋体" w:hAnsi="宋体" w:cs="宋体"/>
          <w:bCs/>
          <w:color w:val="auto"/>
          <w:sz w:val="24"/>
          <w:szCs w:val="24"/>
          <w:highlight w:val="none"/>
          <w:lang w:val="zh-CN"/>
        </w:rPr>
        <w:t>如果</w:t>
      </w:r>
      <w:r>
        <w:rPr>
          <w:rFonts w:hint="eastAsia" w:ascii="宋体" w:hAnsi="宋体" w:cs="宋体"/>
          <w:bCs/>
          <w:color w:val="auto"/>
          <w:sz w:val="24"/>
          <w:szCs w:val="24"/>
          <w:highlight w:val="none"/>
        </w:rPr>
        <w:t>“</w:t>
      </w:r>
      <w:r>
        <w:rPr>
          <w:rFonts w:hint="eastAsia" w:ascii="宋体" w:hAnsi="宋体" w:cs="宋体"/>
          <w:bCs/>
          <w:color w:val="auto"/>
          <w:sz w:val="24"/>
          <w:szCs w:val="24"/>
          <w:highlight w:val="none"/>
          <w:lang w:val="zh-CN"/>
        </w:rPr>
        <w:t>开标一览表</w:t>
      </w:r>
      <w:r>
        <w:rPr>
          <w:rFonts w:hint="eastAsia" w:ascii="宋体" w:hAnsi="宋体" w:cs="宋体"/>
          <w:bCs/>
          <w:color w:val="auto"/>
          <w:sz w:val="24"/>
          <w:szCs w:val="24"/>
          <w:highlight w:val="none"/>
        </w:rPr>
        <w:t>”</w:t>
      </w:r>
      <w:r>
        <w:rPr>
          <w:rFonts w:hint="eastAsia" w:ascii="宋体" w:hAnsi="宋体" w:cs="宋体"/>
          <w:bCs/>
          <w:color w:val="auto"/>
          <w:sz w:val="24"/>
          <w:szCs w:val="24"/>
          <w:highlight w:val="none"/>
          <w:lang w:val="zh-CN"/>
        </w:rPr>
        <w:t>的内容与</w:t>
      </w:r>
      <w:r>
        <w:rPr>
          <w:rFonts w:hint="eastAsia" w:ascii="宋体" w:hAnsi="宋体" w:cs="宋体"/>
          <w:bCs/>
          <w:color w:val="auto"/>
          <w:sz w:val="24"/>
          <w:szCs w:val="24"/>
          <w:highlight w:val="none"/>
        </w:rPr>
        <w:t>“</w:t>
      </w:r>
      <w:r>
        <w:rPr>
          <w:rFonts w:hint="eastAsia" w:ascii="宋体" w:hAnsi="宋体" w:cs="宋体"/>
          <w:bCs/>
          <w:color w:val="auto"/>
          <w:sz w:val="24"/>
          <w:szCs w:val="24"/>
          <w:highlight w:val="none"/>
          <w:lang w:val="zh-CN"/>
        </w:rPr>
        <w:t>投标报价明细表</w:t>
      </w:r>
      <w:r>
        <w:rPr>
          <w:rFonts w:hint="eastAsia" w:ascii="宋体" w:hAnsi="宋体" w:cs="宋体"/>
          <w:bCs/>
          <w:color w:val="auto"/>
          <w:sz w:val="24"/>
          <w:szCs w:val="24"/>
          <w:highlight w:val="none"/>
        </w:rPr>
        <w:t>”</w:t>
      </w:r>
      <w:r>
        <w:rPr>
          <w:rFonts w:hint="eastAsia" w:ascii="宋体" w:hAnsi="宋体" w:cs="宋体"/>
          <w:bCs/>
          <w:color w:val="auto"/>
          <w:sz w:val="24"/>
          <w:szCs w:val="24"/>
          <w:highlight w:val="none"/>
          <w:lang w:val="zh-CN"/>
        </w:rPr>
        <w:t>以及投标文件的其他相关内容不一致，则以</w:t>
      </w:r>
      <w:r>
        <w:rPr>
          <w:rFonts w:hint="eastAsia" w:ascii="宋体" w:hAnsi="宋体" w:cs="宋体"/>
          <w:bCs/>
          <w:color w:val="auto"/>
          <w:sz w:val="24"/>
          <w:szCs w:val="24"/>
          <w:highlight w:val="none"/>
        </w:rPr>
        <w:t>“</w:t>
      </w:r>
      <w:r>
        <w:rPr>
          <w:rFonts w:hint="eastAsia" w:ascii="宋体" w:hAnsi="宋体" w:cs="宋体"/>
          <w:bCs/>
          <w:color w:val="auto"/>
          <w:sz w:val="24"/>
          <w:szCs w:val="24"/>
          <w:highlight w:val="none"/>
          <w:lang w:val="zh-CN"/>
        </w:rPr>
        <w:t>开标一览表</w:t>
      </w:r>
      <w:r>
        <w:rPr>
          <w:rFonts w:hint="eastAsia" w:ascii="宋体" w:hAnsi="宋体" w:cs="宋体"/>
          <w:bCs/>
          <w:color w:val="auto"/>
          <w:sz w:val="24"/>
          <w:szCs w:val="24"/>
          <w:highlight w:val="none"/>
        </w:rPr>
        <w:t>”</w:t>
      </w:r>
      <w:r>
        <w:rPr>
          <w:rFonts w:hint="eastAsia" w:ascii="宋体" w:hAnsi="宋体" w:cs="宋体"/>
          <w:bCs/>
          <w:color w:val="auto"/>
          <w:sz w:val="24"/>
          <w:szCs w:val="24"/>
          <w:highlight w:val="none"/>
          <w:lang w:val="zh-CN"/>
        </w:rPr>
        <w:t>的内容为准。</w:t>
      </w:r>
    </w:p>
    <w:p w14:paraId="D0168901">
      <w:pPr>
        <w:autoSpaceDE w:val="0"/>
        <w:autoSpaceDN w:val="0"/>
        <w:adjustRightInd w:val="0"/>
        <w:spacing w:line="460" w:lineRule="exact"/>
        <w:ind w:firstLine="480"/>
        <w:rPr>
          <w:rFonts w:hint="eastAsia" w:ascii="宋体" w:hAnsi="宋体" w:cs="宋体"/>
          <w:bCs/>
          <w:color w:val="auto"/>
          <w:sz w:val="24"/>
          <w:szCs w:val="24"/>
          <w:highlight w:val="none"/>
          <w:lang w:val="zh-CN"/>
        </w:rPr>
      </w:pPr>
      <w:r>
        <w:rPr>
          <w:rFonts w:hint="eastAsia" w:ascii="宋体" w:hAnsi="宋体" w:cs="宋体"/>
          <w:color w:val="auto"/>
          <w:sz w:val="24"/>
          <w:szCs w:val="24"/>
          <w:highlight w:val="none"/>
          <w:lang w:val="zh-CN"/>
        </w:rPr>
        <w:t>4</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开标一览表</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中各个栏目都必须完整、准确填写。</w:t>
      </w:r>
      <w:r>
        <w:rPr>
          <w:rFonts w:hint="eastAsia" w:ascii="宋体" w:hAnsi="宋体" w:cs="宋体"/>
          <w:bCs/>
          <w:color w:val="auto"/>
          <w:sz w:val="24"/>
          <w:szCs w:val="24"/>
          <w:highlight w:val="none"/>
          <w:lang w:val="zh-CN"/>
        </w:rPr>
        <w:t>开标时，</w:t>
      </w:r>
      <w:r>
        <w:rPr>
          <w:rFonts w:hint="eastAsia" w:ascii="宋体" w:hAnsi="宋体" w:cs="宋体"/>
          <w:bCs/>
          <w:color w:val="auto"/>
          <w:sz w:val="24"/>
          <w:szCs w:val="24"/>
          <w:highlight w:val="none"/>
        </w:rPr>
        <w:t>“</w:t>
      </w:r>
      <w:r>
        <w:rPr>
          <w:rFonts w:hint="eastAsia" w:ascii="宋体" w:hAnsi="宋体" w:cs="宋体"/>
          <w:bCs/>
          <w:color w:val="auto"/>
          <w:sz w:val="24"/>
          <w:szCs w:val="24"/>
          <w:highlight w:val="none"/>
          <w:lang w:val="zh-CN"/>
        </w:rPr>
        <w:t>开标一览表</w:t>
      </w:r>
      <w:r>
        <w:rPr>
          <w:rFonts w:hint="eastAsia" w:ascii="宋体" w:hAnsi="宋体" w:cs="宋体"/>
          <w:bCs/>
          <w:color w:val="auto"/>
          <w:sz w:val="24"/>
          <w:szCs w:val="24"/>
          <w:highlight w:val="none"/>
        </w:rPr>
        <w:t>”</w:t>
      </w:r>
      <w:r>
        <w:rPr>
          <w:rFonts w:hint="eastAsia" w:ascii="宋体" w:hAnsi="宋体" w:cs="宋体"/>
          <w:bCs/>
          <w:color w:val="auto"/>
          <w:sz w:val="24"/>
          <w:szCs w:val="24"/>
          <w:highlight w:val="none"/>
          <w:lang w:val="zh-CN"/>
        </w:rPr>
        <w:t>的所有内容都不允许补充或者修改。</w:t>
      </w:r>
    </w:p>
    <w:p w14:paraId="006A0F50">
      <w:pPr>
        <w:autoSpaceDE w:val="0"/>
        <w:autoSpaceDN w:val="0"/>
        <w:adjustRightInd w:val="0"/>
        <w:spacing w:line="460" w:lineRule="exact"/>
        <w:ind w:firstLine="480"/>
        <w:rPr>
          <w:rFonts w:hint="eastAsia" w:ascii="宋体" w:hAnsi="宋体" w:cs="宋体"/>
          <w:color w:val="auto"/>
          <w:sz w:val="24"/>
          <w:szCs w:val="24"/>
          <w:highlight w:val="none"/>
        </w:rPr>
        <w:sectPr>
          <w:headerReference r:id="rId5" w:type="default"/>
          <w:pgSz w:w="11905" w:h="16838"/>
          <w:pgMar w:top="1417" w:right="1417" w:bottom="1417" w:left="1417" w:header="680" w:footer="907" w:gutter="0"/>
          <w:pgNumType w:fmt="decimal"/>
          <w:cols w:space="720" w:num="1"/>
          <w:titlePg/>
          <w:docGrid w:type="lines" w:linePitch="286" w:charSpace="0"/>
        </w:sectPr>
      </w:pPr>
      <w:r>
        <w:rPr>
          <w:rFonts w:hint="eastAsia" w:ascii="宋体" w:hAnsi="宋体" w:cs="宋体"/>
          <w:color w:val="auto"/>
          <w:sz w:val="24"/>
          <w:szCs w:val="24"/>
          <w:highlight w:val="none"/>
        </w:rPr>
        <w:t>5未按招标文件要求密封、签字盖章递交的开标一览表视为无效投标。</w:t>
      </w:r>
    </w:p>
    <w:p w14:paraId="D3FF2D11">
      <w:pPr>
        <w:rPr>
          <w:rFonts w:hint="eastAsia"/>
          <w:color w:val="auto"/>
          <w:highlight w:val="none"/>
        </w:rPr>
      </w:pPr>
      <w:r>
        <w:rPr>
          <w:rFonts w:hint="eastAsia" w:ascii="宋体"/>
          <w:b/>
          <w:color w:val="auto"/>
          <w:sz w:val="24"/>
          <w:szCs w:val="24"/>
          <w:highlight w:val="none"/>
        </w:rPr>
        <w:t xml:space="preserve">格式2   </w:t>
      </w:r>
      <w:r>
        <w:rPr>
          <w:rFonts w:hint="eastAsia" w:ascii="宋体"/>
          <w:color w:val="auto"/>
          <w:sz w:val="24"/>
          <w:szCs w:val="24"/>
          <w:highlight w:val="none"/>
        </w:rPr>
        <w:t xml:space="preserve">     　</w:t>
      </w:r>
      <w:r>
        <w:rPr>
          <w:rFonts w:hint="eastAsia" w:ascii="宋体"/>
          <w:color w:val="auto"/>
          <w:sz w:val="28"/>
          <w:highlight w:val="none"/>
        </w:rPr>
        <w:t xml:space="preserve">  </w:t>
      </w:r>
    </w:p>
    <w:p w14:paraId="4C228A2D">
      <w:pPr>
        <w:jc w:val="center"/>
        <w:rPr>
          <w:rFonts w:hint="eastAsia" w:eastAsia="宋体"/>
          <w:b/>
          <w:color w:val="auto"/>
          <w:sz w:val="30"/>
          <w:szCs w:val="30"/>
          <w:highlight w:val="none"/>
          <w:lang w:eastAsia="zh-CN"/>
        </w:rPr>
      </w:pPr>
      <w:r>
        <w:rPr>
          <w:rFonts w:hint="eastAsia"/>
          <w:b/>
          <w:color w:val="auto"/>
          <w:sz w:val="30"/>
          <w:szCs w:val="30"/>
          <w:highlight w:val="none"/>
        </w:rPr>
        <w:t>分项报价表</w:t>
      </w:r>
      <w:bookmarkEnd w:id="46"/>
      <w:bookmarkEnd w:id="47"/>
      <w:r>
        <w:rPr>
          <w:rFonts w:hint="eastAsia"/>
          <w:b/>
          <w:color w:val="auto"/>
          <w:sz w:val="30"/>
          <w:szCs w:val="30"/>
          <w:highlight w:val="none"/>
          <w:lang w:eastAsia="zh-CN"/>
        </w:rPr>
        <w:t>（标段号）</w:t>
      </w:r>
    </w:p>
    <w:p w14:paraId="87D7BD7F">
      <w:pPr>
        <w:jc w:val="center"/>
        <w:rPr>
          <w:rFonts w:hint="eastAsia" w:ascii="宋体"/>
          <w:b/>
          <w:color w:val="auto"/>
          <w:sz w:val="32"/>
          <w:highlight w:val="none"/>
          <w:lang w:eastAsia="zh-CN"/>
        </w:rPr>
      </w:pPr>
    </w:p>
    <w:p w14:paraId="6B6C5B12">
      <w:pPr>
        <w:jc w:val="center"/>
        <w:rPr>
          <w:rFonts w:hint="eastAsia" w:ascii="宋体" w:eastAsia="宋体"/>
          <w:b/>
          <w:color w:val="auto"/>
          <w:sz w:val="32"/>
          <w:highlight w:val="none"/>
          <w:lang w:eastAsia="zh-CN"/>
        </w:rPr>
      </w:pPr>
      <w:r>
        <w:rPr>
          <w:rFonts w:hint="eastAsia" w:ascii="宋体"/>
          <w:b/>
          <w:color w:val="auto"/>
          <w:sz w:val="32"/>
          <w:highlight w:val="none"/>
          <w:lang w:eastAsia="zh-CN"/>
        </w:rPr>
        <w:t>格式自拟</w:t>
      </w:r>
    </w:p>
    <w:p w14:paraId="F21BBCB8">
      <w:pPr>
        <w:rPr>
          <w:rFonts w:hint="eastAsia" w:ascii="宋体"/>
          <w:color w:val="auto"/>
          <w:highlight w:val="none"/>
        </w:rPr>
      </w:pPr>
    </w:p>
    <w:p w14:paraId="0C8E1787">
      <w:pPr>
        <w:rPr>
          <w:rFonts w:hint="eastAsia"/>
          <w:color w:val="auto"/>
          <w:sz w:val="24"/>
          <w:szCs w:val="24"/>
          <w:highlight w:val="none"/>
        </w:rPr>
      </w:pPr>
      <w:r>
        <w:rPr>
          <w:rFonts w:hint="eastAsia"/>
          <w:color w:val="auto"/>
          <w:sz w:val="24"/>
          <w:szCs w:val="24"/>
          <w:highlight w:val="none"/>
        </w:rPr>
        <w:t>投标单位：（印刷体及公章）</w:t>
      </w:r>
    </w:p>
    <w:p w14:paraId="4FEF8657">
      <w:pPr>
        <w:rPr>
          <w:rFonts w:hint="eastAsia"/>
          <w:color w:val="auto"/>
          <w:sz w:val="24"/>
          <w:szCs w:val="24"/>
          <w:highlight w:val="none"/>
        </w:rPr>
      </w:pPr>
    </w:p>
    <w:p w14:paraId="69D74FFC">
      <w:pPr>
        <w:rPr>
          <w:rFonts w:hint="eastAsia"/>
          <w:color w:val="auto"/>
          <w:sz w:val="24"/>
          <w:szCs w:val="24"/>
          <w:highlight w:val="none"/>
        </w:rPr>
      </w:pPr>
      <w:r>
        <w:rPr>
          <w:rFonts w:hint="eastAsia"/>
          <w:color w:val="auto"/>
          <w:sz w:val="24"/>
          <w:szCs w:val="24"/>
          <w:highlight w:val="none"/>
        </w:rPr>
        <w:t>法定代表人或其授权代表人：（签字）</w:t>
      </w:r>
    </w:p>
    <w:p w14:paraId="BD88B49B">
      <w:pPr>
        <w:rPr>
          <w:rFonts w:hint="eastAsia" w:ascii="宋体"/>
          <w:color w:val="auto"/>
          <w:sz w:val="24"/>
          <w:highlight w:val="none"/>
        </w:rPr>
      </w:pPr>
    </w:p>
    <w:p w14:paraId="3403DE19">
      <w:pPr>
        <w:rPr>
          <w:rFonts w:hint="eastAsia" w:ascii="宋体"/>
          <w:color w:val="auto"/>
          <w:highlight w:val="none"/>
        </w:rPr>
      </w:pPr>
    </w:p>
    <w:p w14:paraId="66725677">
      <w:pPr>
        <w:rPr>
          <w:rFonts w:hint="eastAsia"/>
          <w:b/>
          <w:color w:val="auto"/>
          <w:sz w:val="24"/>
          <w:szCs w:val="24"/>
          <w:highlight w:val="none"/>
        </w:rPr>
      </w:pPr>
      <w:r>
        <w:rPr>
          <w:rFonts w:hint="eastAsia" w:ascii="宋体"/>
          <w:color w:val="auto"/>
          <w:highlight w:val="none"/>
        </w:rPr>
        <w:br w:type="page"/>
      </w:r>
      <w:r>
        <w:rPr>
          <w:rFonts w:hint="eastAsia"/>
          <w:b/>
          <w:color w:val="auto"/>
          <w:sz w:val="24"/>
          <w:szCs w:val="24"/>
          <w:highlight w:val="none"/>
        </w:rPr>
        <w:t xml:space="preserve">格式3　　　     </w:t>
      </w:r>
    </w:p>
    <w:p w14:paraId="8DA867E6">
      <w:pPr>
        <w:jc w:val="center"/>
        <w:rPr>
          <w:rFonts w:hint="eastAsia" w:ascii="宋体"/>
          <w:color w:val="auto"/>
          <w:highlight w:val="none"/>
        </w:rPr>
      </w:pPr>
      <w:r>
        <w:rPr>
          <w:rFonts w:hint="eastAsia"/>
          <w:b/>
          <w:color w:val="auto"/>
          <w:sz w:val="30"/>
          <w:szCs w:val="30"/>
          <w:highlight w:val="none"/>
        </w:rPr>
        <w:t>投标函</w:t>
      </w:r>
    </w:p>
    <w:p w14:paraId="11AE27CE">
      <w:pPr>
        <w:autoSpaceDE w:val="0"/>
        <w:autoSpaceDN w:val="0"/>
        <w:adjustRightInd w:val="0"/>
        <w:spacing w:line="520" w:lineRule="exact"/>
        <w:rPr>
          <w:rFonts w:hint="eastAsia" w:ascii="宋体" w:hAnsi="宋体" w:eastAsia="宋体" w:cs="宋体"/>
          <w:color w:val="auto"/>
          <w:kern w:val="0"/>
          <w:sz w:val="24"/>
          <w:highlight w:val="none"/>
          <w:u w:val="single"/>
          <w:lang w:val="zh-CN"/>
        </w:rPr>
      </w:pPr>
      <w:r>
        <w:rPr>
          <w:rFonts w:hint="eastAsia" w:ascii="宋体" w:hAnsi="宋体" w:eastAsia="宋体" w:cs="宋体"/>
          <w:color w:val="auto"/>
          <w:kern w:val="0"/>
          <w:sz w:val="24"/>
          <w:highlight w:val="none"/>
          <w:u w:val="single"/>
          <w:lang w:val="zh-CN"/>
        </w:rPr>
        <w:t>华春建设工程项目管理有限责任公司</w:t>
      </w:r>
      <w:r>
        <w:rPr>
          <w:rFonts w:hint="eastAsia" w:ascii="宋体" w:hAnsi="宋体" w:eastAsia="宋体" w:cs="宋体"/>
          <w:color w:val="auto"/>
          <w:kern w:val="0"/>
          <w:sz w:val="24"/>
          <w:highlight w:val="none"/>
          <w:u w:val="none"/>
          <w:lang w:val="zh-CN"/>
        </w:rPr>
        <w:t>：</w:t>
      </w:r>
    </w:p>
    <w:p w14:paraId="2000B1A5">
      <w:pPr>
        <w:autoSpaceDE w:val="0"/>
        <w:autoSpaceDN w:val="0"/>
        <w:adjustRightInd w:val="0"/>
        <w:spacing w:line="52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根据你方采购</w:t>
      </w:r>
      <w:r>
        <w:rPr>
          <w:rFonts w:hint="eastAsia" w:ascii="宋体" w:hAnsi="宋体" w:eastAsia="宋体" w:cs="宋体"/>
          <w:color w:val="auto"/>
          <w:sz w:val="24"/>
          <w:highlight w:val="none"/>
          <w:u w:val="single"/>
          <w:lang w:val="zh-CN"/>
        </w:rPr>
        <w:t xml:space="preserve">  （项目名称） </w:t>
      </w:r>
      <w:r>
        <w:rPr>
          <w:rFonts w:hint="eastAsia" w:ascii="宋体" w:hAnsi="宋体" w:eastAsia="宋体" w:cs="宋体"/>
          <w:color w:val="auto"/>
          <w:sz w:val="24"/>
          <w:highlight w:val="none"/>
          <w:lang w:val="zh-CN"/>
        </w:rPr>
        <w:t>项目</w:t>
      </w:r>
      <w:r>
        <w:rPr>
          <w:rFonts w:hint="eastAsia" w:ascii="宋体" w:hAnsi="宋体" w:eastAsia="宋体" w:cs="宋体"/>
          <w:color w:val="auto"/>
          <w:sz w:val="24"/>
          <w:highlight w:val="none"/>
          <w:u w:val="single"/>
          <w:lang w:val="zh-CN"/>
        </w:rPr>
        <w:t xml:space="preserve">  </w:t>
      </w:r>
      <w:r>
        <w:rPr>
          <w:rFonts w:hint="eastAsia" w:ascii="宋体" w:hAnsi="宋体" w:cs="宋体"/>
          <w:color w:val="auto"/>
          <w:sz w:val="24"/>
          <w:highlight w:val="none"/>
          <w:u w:val="single"/>
          <w:lang w:val="zh-CN"/>
        </w:rPr>
        <w:t>（标段号）</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编号为</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招标文件，我方正式授权的下述签字人</w:t>
      </w:r>
      <w:r>
        <w:rPr>
          <w:rFonts w:hint="eastAsia" w:ascii="宋体" w:hAnsi="宋体" w:eastAsia="宋体" w:cs="宋体"/>
          <w:color w:val="auto"/>
          <w:sz w:val="24"/>
          <w:highlight w:val="none"/>
          <w:u w:val="single"/>
          <w:lang w:val="zh-CN"/>
        </w:rPr>
        <w:t xml:space="preserve">  （姓名和职务）  </w:t>
      </w:r>
      <w:r>
        <w:rPr>
          <w:rFonts w:hint="eastAsia" w:ascii="宋体" w:hAnsi="宋体" w:eastAsia="宋体" w:cs="宋体"/>
          <w:color w:val="auto"/>
          <w:sz w:val="24"/>
          <w:highlight w:val="none"/>
          <w:lang w:val="zh-CN"/>
        </w:rPr>
        <w:t>代表我方</w:t>
      </w:r>
      <w:r>
        <w:rPr>
          <w:rFonts w:hint="eastAsia" w:ascii="宋体" w:hAnsi="宋体" w:eastAsia="宋体" w:cs="宋体"/>
          <w:color w:val="auto"/>
          <w:sz w:val="24"/>
          <w:highlight w:val="none"/>
          <w:u w:val="single"/>
          <w:lang w:val="zh-CN"/>
        </w:rPr>
        <w:t xml:space="preserve">  （投标人的名称）  </w:t>
      </w:r>
      <w:r>
        <w:rPr>
          <w:rFonts w:hint="eastAsia" w:ascii="宋体" w:hAnsi="宋体" w:eastAsia="宋体" w:cs="宋体"/>
          <w:color w:val="auto"/>
          <w:sz w:val="24"/>
          <w:highlight w:val="none"/>
          <w:lang w:val="zh-CN"/>
        </w:rPr>
        <w:t>，按照你方招标文件的规定，提交《投标人须知》</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投标文件构成</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要求的全部文件正本</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份、副本</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份，并保证所提供的全部文件是真实的、有效的和准确的。</w:t>
      </w:r>
    </w:p>
    <w:p w14:paraId="EDF03F46">
      <w:pPr>
        <w:autoSpaceDE w:val="0"/>
        <w:autoSpaceDN w:val="0"/>
        <w:adjustRightInd w:val="0"/>
        <w:spacing w:line="52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据此函，签字人兹宣布同意如下：</w:t>
      </w:r>
    </w:p>
    <w:p w14:paraId="73B1FA69">
      <w:pPr>
        <w:tabs>
          <w:tab w:val="left" w:pos="8175"/>
        </w:tabs>
        <w:autoSpaceDE w:val="0"/>
        <w:autoSpaceDN w:val="0"/>
        <w:adjustRightInd w:val="0"/>
        <w:spacing w:line="520" w:lineRule="exact"/>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1.按招标文件规定提供货物及服务的投标报价为</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万元。</w:t>
      </w:r>
    </w:p>
    <w:p w14:paraId="140B608C">
      <w:pPr>
        <w:tabs>
          <w:tab w:val="left" w:pos="8175"/>
        </w:tabs>
        <w:autoSpaceDE w:val="0"/>
        <w:autoSpaceDN w:val="0"/>
        <w:adjustRightInd w:val="0"/>
        <w:spacing w:line="520" w:lineRule="exact"/>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2.如果我方中标，我们保证根据招标文件规定履行合同责任和义务。具体交货</w:t>
      </w:r>
      <w:r>
        <w:rPr>
          <w:rFonts w:hint="eastAsia" w:ascii="宋体" w:hAnsi="宋体" w:eastAsia="宋体" w:cs="宋体"/>
          <w:color w:val="auto"/>
          <w:sz w:val="24"/>
          <w:highlight w:val="none"/>
          <w:lang w:val="en-US" w:eastAsia="zh-CN"/>
        </w:rPr>
        <w:t>/服务</w:t>
      </w:r>
      <w:r>
        <w:rPr>
          <w:rFonts w:hint="eastAsia" w:ascii="宋体" w:hAnsi="宋体" w:cs="宋体"/>
          <w:color w:val="auto"/>
          <w:sz w:val="24"/>
          <w:highlight w:val="none"/>
          <w:lang w:val="zh-CN"/>
        </w:rPr>
        <w:t>期限</w:t>
      </w:r>
      <w:r>
        <w:rPr>
          <w:rFonts w:hint="eastAsia" w:ascii="宋体" w:hAnsi="宋体" w:eastAsia="宋体" w:cs="宋体"/>
          <w:color w:val="auto"/>
          <w:sz w:val="24"/>
          <w:highlight w:val="none"/>
          <w:lang w:val="zh-CN"/>
        </w:rPr>
        <w:t>承诺如下</w:t>
      </w:r>
      <w:r>
        <w:rPr>
          <w:rFonts w:hint="eastAsia" w:ascii="宋体" w:hAnsi="宋体" w:eastAsia="宋体" w:cs="宋体"/>
          <w:color w:val="auto"/>
          <w:sz w:val="24"/>
          <w:highlight w:val="none"/>
          <w:u w:val="single"/>
          <w:lang w:val="zh-CN"/>
        </w:rPr>
        <w:t>：</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lang w:val="zh-CN"/>
        </w:rPr>
        <w:t>。</w:t>
      </w:r>
    </w:p>
    <w:p w14:paraId="BFB7C19F">
      <w:pPr>
        <w:autoSpaceDE w:val="0"/>
        <w:autoSpaceDN w:val="0"/>
        <w:adjustRightInd w:val="0"/>
        <w:spacing w:line="52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3.我方人民币</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元的投标保证金与本投标文件同时提交。</w:t>
      </w:r>
    </w:p>
    <w:p w14:paraId="C739CF9F">
      <w:pPr>
        <w:autoSpaceDE w:val="0"/>
        <w:autoSpaceDN w:val="0"/>
        <w:adjustRightInd w:val="0"/>
        <w:spacing w:line="52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4.如果我方中标，我方保证按照招标文件规定提交履约保证金，承担履约责任。</w:t>
      </w:r>
    </w:p>
    <w:p w14:paraId="E27FBA50">
      <w:pPr>
        <w:autoSpaceDE w:val="0"/>
        <w:autoSpaceDN w:val="0"/>
        <w:adjustRightInd w:val="0"/>
        <w:spacing w:line="52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5.我们已详细阅读了全部招标文件，包括招标文件的修改、补充文件、参考资料及有关的附件，我们接受招标文件的全部条款和条件，我们知道必须放弃提出含糊不清或误解的问题的权利。</w:t>
      </w:r>
    </w:p>
    <w:p w14:paraId="306CA56C">
      <w:pPr>
        <w:autoSpaceDE w:val="0"/>
        <w:autoSpaceDN w:val="0"/>
        <w:adjustRightInd w:val="0"/>
        <w:spacing w:line="52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6.我们对招标文件关于时限、程序方面的规定没有异议，保证按照招标文件规定的时限和程序参加投标活动。</w:t>
      </w:r>
    </w:p>
    <w:p w14:paraId="D0AE0830">
      <w:pPr>
        <w:autoSpaceDE w:val="0"/>
        <w:autoSpaceDN w:val="0"/>
        <w:adjustRightInd w:val="0"/>
        <w:spacing w:line="52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7.我们同意在投标人须知规定的开标时间起遵循本投标书，并在投标人须知规定的投标有效期满之前均具有约束力，并有可能中标。</w:t>
      </w:r>
    </w:p>
    <w:p w14:paraId="729C6A37">
      <w:pPr>
        <w:autoSpaceDE w:val="0"/>
        <w:autoSpaceDN w:val="0"/>
        <w:adjustRightInd w:val="0"/>
        <w:spacing w:line="52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8.我们如果在规定的投标有效期内撤回投标，则你方可不予退还我们的投标保证金。</w:t>
      </w:r>
    </w:p>
    <w:p w14:paraId="D0257E74">
      <w:pPr>
        <w:autoSpaceDE w:val="0"/>
        <w:autoSpaceDN w:val="0"/>
        <w:adjustRightInd w:val="0"/>
        <w:spacing w:line="52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9.我们保证向你方提供你方可能要求的与本投标有关的任何证据或资料。</w:t>
      </w:r>
    </w:p>
    <w:p w14:paraId="77BB2984">
      <w:pPr>
        <w:autoSpaceDE w:val="0"/>
        <w:autoSpaceDN w:val="0"/>
        <w:adjustRightInd w:val="0"/>
        <w:spacing w:line="52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10.我们完全理解你方不一定要接受最低报价的投标或收到的任何投标。</w:t>
      </w:r>
    </w:p>
    <w:p w14:paraId="C7AC785F">
      <w:pPr>
        <w:autoSpaceDE w:val="0"/>
        <w:autoSpaceDN w:val="0"/>
        <w:adjustRightInd w:val="0"/>
        <w:spacing w:line="52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11.本投标自开标之时起</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lang w:val="zh-CN"/>
        </w:rPr>
        <w:t>天内有效。</w:t>
      </w:r>
    </w:p>
    <w:p w14:paraId="C0F82781">
      <w:pPr>
        <w:tabs>
          <w:tab w:val="left" w:pos="709"/>
        </w:tabs>
        <w:autoSpaceDE w:val="0"/>
        <w:autoSpaceDN w:val="0"/>
        <w:adjustRightInd w:val="0"/>
        <w:spacing w:line="520" w:lineRule="exact"/>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12.我方保证严格遵守《中华人民共和国政府采购法》的有关规定，若有下列情形之一的，我方将被处不予退还投标保证金，列入不良行为记录名单，在一至三年内禁止参加政府采购活动，并予以公告：</w:t>
      </w:r>
    </w:p>
    <w:p w14:paraId="3289048E">
      <w:pPr>
        <w:autoSpaceDE w:val="0"/>
        <w:autoSpaceDN w:val="0"/>
        <w:adjustRightInd w:val="0"/>
        <w:spacing w:line="52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zh-CN"/>
        </w:rPr>
        <w:t>）提供虚假材料谋取中标、成交的；</w:t>
      </w:r>
    </w:p>
    <w:p w14:paraId="E8549EE6">
      <w:pPr>
        <w:autoSpaceDE w:val="0"/>
        <w:autoSpaceDN w:val="0"/>
        <w:adjustRightInd w:val="0"/>
        <w:spacing w:line="52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）采取不正当手段诋毁、排挤其他投标人的；</w:t>
      </w:r>
    </w:p>
    <w:p w14:paraId="3467F6F7">
      <w:pPr>
        <w:autoSpaceDE w:val="0"/>
        <w:autoSpaceDN w:val="0"/>
        <w:adjustRightInd w:val="0"/>
        <w:spacing w:line="52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zh-CN"/>
        </w:rPr>
        <w:t>）与其他投标人、招标机构或者采购单位人员或者其他有关人员恶意串通的；</w:t>
      </w:r>
    </w:p>
    <w:p w14:paraId="28A2EB0B">
      <w:pPr>
        <w:autoSpaceDE w:val="0"/>
        <w:autoSpaceDN w:val="0"/>
        <w:adjustRightInd w:val="0"/>
        <w:spacing w:line="52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4</w:t>
      </w:r>
      <w:r>
        <w:rPr>
          <w:rFonts w:hint="eastAsia" w:ascii="宋体" w:hAnsi="宋体" w:eastAsia="宋体" w:cs="宋体"/>
          <w:color w:val="auto"/>
          <w:sz w:val="24"/>
          <w:highlight w:val="none"/>
          <w:lang w:val="zh-CN"/>
        </w:rPr>
        <w:t>）向评标委员会成员、招标机构或者采购单位人员或者其他有关人员行贿或者提供其他不正当利益的；</w:t>
      </w:r>
    </w:p>
    <w:p w14:paraId="E09B5A03">
      <w:pPr>
        <w:autoSpaceDE w:val="0"/>
        <w:autoSpaceDN w:val="0"/>
        <w:adjustRightInd w:val="0"/>
        <w:spacing w:line="52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zh-CN"/>
        </w:rPr>
        <w:t>）被评定中标后无正当理由不与采购人或者采购代理机构订立合同，或者中标后不按招标文件和中标供应商的投标文件订立合同，或者与采购人另行订立背离合同实质性内容的协议的；</w:t>
      </w:r>
    </w:p>
    <w:p w14:paraId="5CD592CB">
      <w:pPr>
        <w:autoSpaceDE w:val="0"/>
        <w:autoSpaceDN w:val="0"/>
        <w:adjustRightInd w:val="0"/>
        <w:spacing w:line="52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6</w:t>
      </w:r>
      <w:r>
        <w:rPr>
          <w:rFonts w:hint="eastAsia" w:ascii="宋体" w:hAnsi="宋体" w:eastAsia="宋体" w:cs="宋体"/>
          <w:color w:val="auto"/>
          <w:sz w:val="24"/>
          <w:highlight w:val="none"/>
          <w:lang w:val="zh-CN"/>
        </w:rPr>
        <w:t>）将中标项目转让给他人或者将中标项目分包给他人的；</w:t>
      </w:r>
    </w:p>
    <w:p w14:paraId="F829579A">
      <w:pPr>
        <w:autoSpaceDE w:val="0"/>
        <w:autoSpaceDN w:val="0"/>
        <w:adjustRightInd w:val="0"/>
        <w:spacing w:line="52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7</w:t>
      </w:r>
      <w:r>
        <w:rPr>
          <w:rFonts w:hint="eastAsia" w:ascii="宋体" w:hAnsi="宋体" w:eastAsia="宋体" w:cs="宋体"/>
          <w:color w:val="auto"/>
          <w:sz w:val="24"/>
          <w:highlight w:val="none"/>
          <w:lang w:val="zh-CN"/>
        </w:rPr>
        <w:t>）签订合同后拒绝履行合同义务的；</w:t>
      </w:r>
    </w:p>
    <w:p w14:paraId="A5C63893">
      <w:pPr>
        <w:autoSpaceDE w:val="0"/>
        <w:autoSpaceDN w:val="0"/>
        <w:adjustRightInd w:val="0"/>
        <w:spacing w:line="52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）拒绝有关部门监督检查或提供虚假情况的。</w:t>
      </w:r>
    </w:p>
    <w:p w14:paraId="49F6CF30">
      <w:pPr>
        <w:autoSpaceDE w:val="0"/>
        <w:autoSpaceDN w:val="0"/>
        <w:adjustRightInd w:val="0"/>
        <w:spacing w:line="520" w:lineRule="exact"/>
        <w:ind w:firstLine="482"/>
        <w:rPr>
          <w:rFonts w:hint="eastAsia" w:ascii="宋体" w:hAnsi="宋体" w:eastAsia="宋体" w:cs="宋体"/>
          <w:color w:val="auto"/>
          <w:sz w:val="24"/>
          <w:highlight w:val="none"/>
          <w:u w:val="single"/>
          <w:lang w:val="zh-CN"/>
        </w:rPr>
      </w:pPr>
      <w:r>
        <w:rPr>
          <w:rFonts w:hint="eastAsia" w:ascii="宋体" w:hAnsi="宋体" w:eastAsia="宋体" w:cs="宋体"/>
          <w:color w:val="auto"/>
          <w:sz w:val="24"/>
          <w:highlight w:val="none"/>
          <w:lang w:val="zh-CN"/>
        </w:rPr>
        <w:t>投标人名称（加盖公章）：</w:t>
      </w:r>
      <w:r>
        <w:rPr>
          <w:rFonts w:hint="eastAsia" w:ascii="宋体" w:hAnsi="宋体" w:eastAsia="宋体" w:cs="宋体"/>
          <w:color w:val="auto"/>
          <w:sz w:val="24"/>
          <w:highlight w:val="none"/>
          <w:u w:val="single"/>
          <w:lang w:val="zh-CN"/>
        </w:rPr>
        <w:t xml:space="preserve">                      </w:t>
      </w:r>
    </w:p>
    <w:p w14:paraId="46F9BBBC">
      <w:pPr>
        <w:autoSpaceDE w:val="0"/>
        <w:autoSpaceDN w:val="0"/>
        <w:adjustRightInd w:val="0"/>
        <w:spacing w:line="520" w:lineRule="exact"/>
        <w:ind w:firstLine="48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投标人代表姓名：</w:t>
      </w:r>
      <w:r>
        <w:rPr>
          <w:rFonts w:hint="eastAsia" w:ascii="宋体" w:hAnsi="宋体" w:eastAsia="宋体" w:cs="宋体"/>
          <w:color w:val="auto"/>
          <w:sz w:val="24"/>
          <w:highlight w:val="none"/>
          <w:u w:val="single"/>
          <w:lang w:val="zh-CN"/>
        </w:rPr>
        <w:t xml:space="preserve">                  </w:t>
      </w:r>
    </w:p>
    <w:p w14:paraId="1F9466E2">
      <w:pPr>
        <w:autoSpaceDE w:val="0"/>
        <w:autoSpaceDN w:val="0"/>
        <w:adjustRightInd w:val="0"/>
        <w:spacing w:line="520" w:lineRule="exact"/>
        <w:ind w:firstLine="480"/>
        <w:rPr>
          <w:rFonts w:hint="eastAsia" w:ascii="宋体" w:hAnsi="宋体" w:eastAsia="宋体" w:cs="宋体"/>
          <w:color w:val="auto"/>
          <w:sz w:val="24"/>
          <w:highlight w:val="none"/>
          <w:u w:val="single"/>
          <w:lang w:val="zh-CN"/>
        </w:rPr>
      </w:pPr>
      <w:r>
        <w:rPr>
          <w:rFonts w:hint="eastAsia" w:ascii="宋体" w:hAnsi="宋体" w:eastAsia="宋体" w:cs="宋体"/>
          <w:color w:val="auto"/>
          <w:sz w:val="24"/>
          <w:highlight w:val="none"/>
          <w:lang w:val="zh-CN"/>
        </w:rPr>
        <w:t>地址：</w:t>
      </w:r>
      <w:r>
        <w:rPr>
          <w:rFonts w:hint="eastAsia" w:ascii="宋体" w:hAnsi="宋体" w:eastAsia="宋体" w:cs="宋体"/>
          <w:color w:val="auto"/>
          <w:sz w:val="24"/>
          <w:highlight w:val="none"/>
          <w:u w:val="single"/>
          <w:lang w:val="zh-CN"/>
        </w:rPr>
        <w:t xml:space="preserve">                                       </w:t>
      </w:r>
    </w:p>
    <w:p w14:paraId="92E22ADC">
      <w:pPr>
        <w:autoSpaceDE w:val="0"/>
        <w:autoSpaceDN w:val="0"/>
        <w:adjustRightInd w:val="0"/>
        <w:spacing w:line="520" w:lineRule="exact"/>
        <w:ind w:firstLine="480"/>
        <w:rPr>
          <w:rFonts w:hint="eastAsia" w:ascii="宋体" w:hAnsi="宋体" w:eastAsia="宋体" w:cs="宋体"/>
          <w:color w:val="auto"/>
          <w:sz w:val="24"/>
          <w:highlight w:val="none"/>
          <w:u w:val="single"/>
          <w:lang w:val="zh-CN"/>
        </w:rPr>
      </w:pPr>
      <w:r>
        <w:rPr>
          <w:rFonts w:hint="eastAsia" w:ascii="宋体" w:hAnsi="宋体" w:eastAsia="宋体" w:cs="宋体"/>
          <w:color w:val="auto"/>
          <w:sz w:val="24"/>
          <w:highlight w:val="none"/>
          <w:lang w:val="zh-CN"/>
        </w:rPr>
        <w:t>电话、传真或电传：</w:t>
      </w:r>
      <w:r>
        <w:rPr>
          <w:rFonts w:hint="eastAsia" w:ascii="宋体" w:hAnsi="宋体" w:eastAsia="宋体" w:cs="宋体"/>
          <w:color w:val="auto"/>
          <w:sz w:val="24"/>
          <w:highlight w:val="none"/>
          <w:u w:val="single"/>
          <w:lang w:val="zh-CN"/>
        </w:rPr>
        <w:t xml:space="preserve">                           </w:t>
      </w:r>
    </w:p>
    <w:p w14:paraId="1D5E290B">
      <w:pPr>
        <w:autoSpaceDE w:val="0"/>
        <w:autoSpaceDN w:val="0"/>
        <w:adjustRightInd w:val="0"/>
        <w:spacing w:line="520" w:lineRule="exact"/>
        <w:ind w:firstLine="480"/>
        <w:rPr>
          <w:rFonts w:hint="eastAsia" w:ascii="宋体" w:hAnsi="宋体" w:eastAsia="宋体" w:cs="宋体"/>
          <w:color w:val="auto"/>
          <w:sz w:val="24"/>
          <w:highlight w:val="none"/>
          <w:u w:val="single"/>
          <w:lang w:val="zh-CN"/>
        </w:rPr>
      </w:pPr>
      <w:r>
        <w:rPr>
          <w:rFonts w:hint="eastAsia" w:ascii="宋体" w:hAnsi="宋体" w:eastAsia="宋体" w:cs="宋体"/>
          <w:color w:val="auto"/>
          <w:sz w:val="24"/>
          <w:highlight w:val="none"/>
          <w:lang w:val="zh-CN"/>
        </w:rPr>
        <w:t>邮政编码：</w:t>
      </w:r>
      <w:r>
        <w:rPr>
          <w:rFonts w:hint="eastAsia" w:ascii="宋体" w:hAnsi="宋体" w:eastAsia="宋体" w:cs="宋体"/>
          <w:color w:val="auto"/>
          <w:sz w:val="24"/>
          <w:highlight w:val="none"/>
          <w:u w:val="single"/>
          <w:lang w:val="zh-CN"/>
        </w:rPr>
        <w:t xml:space="preserve">                                   </w:t>
      </w:r>
    </w:p>
    <w:p w14:paraId="C08B6CF2">
      <w:pPr>
        <w:autoSpaceDE w:val="0"/>
        <w:autoSpaceDN w:val="0"/>
        <w:adjustRightInd w:val="0"/>
        <w:spacing w:line="520" w:lineRule="exact"/>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日期：</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年</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日</w:t>
      </w:r>
    </w:p>
    <w:p w14:paraId="BA48F8EF">
      <w:pPr>
        <w:autoSpaceDE w:val="0"/>
        <w:autoSpaceDN w:val="0"/>
        <w:adjustRightInd w:val="0"/>
        <w:spacing w:line="520" w:lineRule="exact"/>
        <w:ind w:firstLine="480"/>
        <w:rPr>
          <w:rFonts w:hint="eastAsia" w:ascii="宋体" w:hAnsi="宋体" w:eastAsia="宋体" w:cs="宋体"/>
          <w:color w:val="auto"/>
          <w:sz w:val="24"/>
          <w:highlight w:val="none"/>
          <w:lang w:val="zh-CN"/>
        </w:rPr>
      </w:pPr>
    </w:p>
    <w:p w14:paraId="2DCAB51B">
      <w:pPr>
        <w:autoSpaceDE w:val="0"/>
        <w:autoSpaceDN w:val="0"/>
        <w:adjustRightInd w:val="0"/>
        <w:spacing w:line="520" w:lineRule="exact"/>
        <w:ind w:firstLine="472"/>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请投标人注意：投标函必须按规定有效签署和加盖公章。</w:t>
      </w:r>
    </w:p>
    <w:p w14:paraId="0384C782">
      <w:pPr>
        <w:autoSpaceDE w:val="0"/>
        <w:autoSpaceDN w:val="0"/>
        <w:adjustRightInd w:val="0"/>
        <w:spacing w:line="520" w:lineRule="exact"/>
        <w:rPr>
          <w:rFonts w:hint="eastAsia" w:ascii="宋体" w:hAnsi="宋体" w:eastAsia="宋体" w:cs="宋体"/>
          <w:color w:val="auto"/>
          <w:sz w:val="24"/>
          <w:highlight w:val="none"/>
          <w:lang w:val="zh-CN"/>
        </w:rPr>
      </w:pPr>
    </w:p>
    <w:p w14:paraId="C34012B2">
      <w:pPr>
        <w:tabs>
          <w:tab w:val="left" w:pos="-525"/>
          <w:tab w:val="left" w:pos="420"/>
        </w:tabs>
        <w:spacing w:line="408" w:lineRule="auto"/>
        <w:ind w:left="-525" w:hanging="45"/>
        <w:rPr>
          <w:rFonts w:hint="eastAsia" w:ascii="宋体"/>
          <w:color w:val="auto"/>
          <w:sz w:val="24"/>
          <w:szCs w:val="24"/>
          <w:highlight w:val="none"/>
        </w:rPr>
      </w:pPr>
      <w:r>
        <w:rPr>
          <w:rFonts w:hint="eastAsia" w:ascii="宋体"/>
          <w:color w:val="auto"/>
          <w:sz w:val="24"/>
          <w:szCs w:val="24"/>
          <w:highlight w:val="none"/>
        </w:rPr>
        <w:t xml:space="preserve">                      </w:t>
      </w:r>
    </w:p>
    <w:p w14:paraId="DA59468D">
      <w:pPr>
        <w:tabs>
          <w:tab w:val="left" w:pos="420"/>
        </w:tabs>
        <w:spacing w:line="360" w:lineRule="auto"/>
        <w:rPr>
          <w:rFonts w:hint="eastAsia" w:ascii="宋体"/>
          <w:color w:val="auto"/>
          <w:sz w:val="24"/>
          <w:highlight w:val="none"/>
        </w:rPr>
      </w:pPr>
    </w:p>
    <w:p w14:paraId="A5A90F5C">
      <w:pPr>
        <w:tabs>
          <w:tab w:val="left" w:pos="420"/>
        </w:tabs>
        <w:spacing w:line="360" w:lineRule="auto"/>
        <w:rPr>
          <w:rFonts w:hint="eastAsia" w:ascii="宋体"/>
          <w:color w:val="auto"/>
          <w:sz w:val="24"/>
          <w:highlight w:val="none"/>
        </w:rPr>
      </w:pPr>
    </w:p>
    <w:p w14:paraId="6F55D636">
      <w:pPr>
        <w:rPr>
          <w:rFonts w:hint="eastAsia" w:ascii="宋体"/>
          <w:b/>
          <w:color w:val="auto"/>
          <w:sz w:val="24"/>
          <w:szCs w:val="24"/>
          <w:highlight w:val="none"/>
        </w:rPr>
      </w:pPr>
      <w:r>
        <w:rPr>
          <w:rFonts w:hint="eastAsia" w:ascii="宋体"/>
          <w:b/>
          <w:color w:val="auto"/>
          <w:sz w:val="24"/>
          <w:szCs w:val="24"/>
          <w:highlight w:val="none"/>
        </w:rPr>
        <w:t>格式4</w:t>
      </w:r>
    </w:p>
    <w:p w14:paraId="2604CA87">
      <w:pPr>
        <w:jc w:val="center"/>
        <w:rPr>
          <w:rFonts w:hint="eastAsia" w:ascii="宋体"/>
          <w:b/>
          <w:color w:val="auto"/>
          <w:sz w:val="30"/>
          <w:szCs w:val="30"/>
          <w:highlight w:val="none"/>
        </w:rPr>
      </w:pPr>
      <w:r>
        <w:rPr>
          <w:rFonts w:hint="eastAsia" w:ascii="宋体"/>
          <w:b/>
          <w:color w:val="auto"/>
          <w:sz w:val="30"/>
          <w:szCs w:val="30"/>
          <w:highlight w:val="none"/>
        </w:rPr>
        <w:t>投标保证金</w:t>
      </w:r>
    </w:p>
    <w:p w14:paraId="BF858B5F">
      <w:pPr>
        <w:jc w:val="center"/>
        <w:rPr>
          <w:rFonts w:hint="eastAsia" w:ascii="宋体"/>
          <w:b/>
          <w:color w:val="auto"/>
          <w:sz w:val="30"/>
          <w:szCs w:val="30"/>
          <w:highlight w:val="none"/>
        </w:rPr>
      </w:pPr>
    </w:p>
    <w:p w14:paraId="E2A45742">
      <w:pPr>
        <w:jc w:val="center"/>
        <w:rPr>
          <w:rFonts w:hint="eastAsia" w:ascii="宋体"/>
          <w:b/>
          <w:color w:val="auto"/>
          <w:sz w:val="30"/>
          <w:szCs w:val="30"/>
          <w:highlight w:val="none"/>
        </w:rPr>
      </w:pPr>
      <w:r>
        <w:rPr>
          <w:rFonts w:hint="eastAsia" w:ascii="宋体"/>
          <w:b/>
          <w:color w:val="auto"/>
          <w:sz w:val="30"/>
          <w:szCs w:val="30"/>
          <w:highlight w:val="none"/>
        </w:rPr>
        <w:t>递交凭证</w:t>
      </w:r>
    </w:p>
    <w:tbl>
      <w:tblPr>
        <w:tblStyle w:val="16"/>
        <w:tblW w:w="89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0"/>
      </w:tblGrid>
      <w:tr w14:paraId="7712D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8" w:hRule="atLeast"/>
          <w:jc w:val="center"/>
        </w:trPr>
        <w:tc>
          <w:tcPr>
            <w:tcW w:w="8970" w:type="dxa"/>
          </w:tcPr>
          <w:p w14:paraId="526D8695">
            <w:pPr>
              <w:rPr>
                <w:rFonts w:hint="eastAsia" w:ascii="宋体"/>
                <w:color w:val="auto"/>
                <w:highlight w:val="none"/>
              </w:rPr>
            </w:pPr>
          </w:p>
        </w:tc>
      </w:tr>
    </w:tbl>
    <w:p w14:paraId="861FA5FB">
      <w:pPr>
        <w:rPr>
          <w:rFonts w:hint="eastAsia" w:ascii="宋体"/>
          <w:b/>
          <w:color w:val="auto"/>
          <w:highlight w:val="none"/>
        </w:rPr>
      </w:pPr>
      <w:r>
        <w:rPr>
          <w:rFonts w:hint="eastAsia" w:ascii="宋体"/>
          <w:b/>
          <w:color w:val="auto"/>
          <w:highlight w:val="none"/>
        </w:rPr>
        <w:t>注：后附开户许可证复印件</w:t>
      </w:r>
    </w:p>
    <w:p w14:paraId="099D1B29">
      <w:pPr>
        <w:rPr>
          <w:rFonts w:hint="eastAsia" w:ascii="宋体"/>
          <w:color w:val="auto"/>
          <w:highlight w:val="none"/>
        </w:rPr>
      </w:pPr>
    </w:p>
    <w:p w14:paraId="D247EFE8">
      <w:pPr>
        <w:rPr>
          <w:rFonts w:hint="eastAsia" w:ascii="宋体"/>
          <w:color w:val="auto"/>
          <w:highlight w:val="none"/>
        </w:rPr>
      </w:pPr>
    </w:p>
    <w:p w14:paraId="A09A219A">
      <w:pPr>
        <w:rPr>
          <w:rFonts w:hint="eastAsia" w:ascii="宋体"/>
          <w:color w:val="auto"/>
          <w:highlight w:val="none"/>
        </w:rPr>
      </w:pPr>
    </w:p>
    <w:p w14:paraId="E1AD4014">
      <w:pPr>
        <w:rPr>
          <w:rFonts w:hint="eastAsia" w:ascii="宋体"/>
          <w:color w:val="auto"/>
          <w:highlight w:val="none"/>
        </w:rPr>
      </w:pPr>
    </w:p>
    <w:p w14:paraId="27F68928">
      <w:pPr>
        <w:rPr>
          <w:rFonts w:hint="eastAsia" w:ascii="宋体"/>
          <w:color w:val="auto"/>
          <w:highlight w:val="none"/>
        </w:rPr>
      </w:pPr>
    </w:p>
    <w:p w14:paraId="902D61B6">
      <w:pPr>
        <w:rPr>
          <w:rFonts w:hint="eastAsia" w:ascii="宋体"/>
          <w:color w:val="auto"/>
          <w:highlight w:val="none"/>
        </w:rPr>
      </w:pPr>
    </w:p>
    <w:p w14:paraId="5837DA49">
      <w:pPr>
        <w:rPr>
          <w:rFonts w:hint="eastAsia" w:ascii="宋体"/>
          <w:color w:val="auto"/>
          <w:highlight w:val="none"/>
        </w:rPr>
      </w:pPr>
    </w:p>
    <w:p w14:paraId="0A93F7C2">
      <w:pPr>
        <w:rPr>
          <w:rFonts w:hint="eastAsia" w:ascii="宋体"/>
          <w:color w:val="auto"/>
          <w:highlight w:val="none"/>
        </w:rPr>
      </w:pPr>
    </w:p>
    <w:p w14:paraId="6991E061">
      <w:pPr>
        <w:rPr>
          <w:rFonts w:hint="eastAsia" w:ascii="宋体"/>
          <w:color w:val="auto"/>
          <w:highlight w:val="none"/>
        </w:rPr>
      </w:pPr>
    </w:p>
    <w:p w14:paraId="ABD98A4C">
      <w:pPr>
        <w:rPr>
          <w:rFonts w:hint="eastAsia" w:ascii="宋体"/>
          <w:color w:val="auto"/>
          <w:highlight w:val="none"/>
        </w:rPr>
      </w:pPr>
    </w:p>
    <w:p w14:paraId="C640B3C8">
      <w:pPr>
        <w:rPr>
          <w:rFonts w:hint="eastAsia" w:ascii="宋体"/>
          <w:color w:val="auto"/>
          <w:highlight w:val="none"/>
        </w:rPr>
      </w:pPr>
    </w:p>
    <w:p w14:paraId="64B97FD0">
      <w:pPr>
        <w:rPr>
          <w:rFonts w:hint="eastAsia" w:ascii="宋体"/>
          <w:color w:val="auto"/>
          <w:highlight w:val="none"/>
        </w:rPr>
      </w:pPr>
    </w:p>
    <w:p w14:paraId="923EF40B">
      <w:pPr>
        <w:rPr>
          <w:rFonts w:hint="eastAsia" w:ascii="宋体"/>
          <w:b/>
          <w:color w:val="auto"/>
          <w:sz w:val="24"/>
          <w:highlight w:val="none"/>
        </w:rPr>
      </w:pPr>
      <w:r>
        <w:rPr>
          <w:rFonts w:hint="eastAsia" w:ascii="宋体"/>
          <w:b/>
          <w:color w:val="auto"/>
          <w:sz w:val="24"/>
          <w:highlight w:val="none"/>
        </w:rPr>
        <w:t>格式5</w:t>
      </w:r>
    </w:p>
    <w:p w14:paraId="5FA195CB">
      <w:pPr>
        <w:jc w:val="center"/>
        <w:rPr>
          <w:rFonts w:hint="eastAsia"/>
          <w:b/>
          <w:color w:val="auto"/>
          <w:sz w:val="30"/>
          <w:szCs w:val="30"/>
          <w:highlight w:val="none"/>
        </w:rPr>
      </w:pPr>
      <w:bookmarkStart w:id="48" w:name="_Toc362678354"/>
      <w:bookmarkStart w:id="49" w:name="_Toc369620788"/>
      <w:bookmarkStart w:id="50" w:name="_Toc362678237"/>
      <w:bookmarkStart w:id="51" w:name="_Toc321313718"/>
    </w:p>
    <w:p w14:paraId="B307779A">
      <w:pPr>
        <w:jc w:val="center"/>
        <w:rPr>
          <w:rFonts w:hint="eastAsia"/>
          <w:b/>
          <w:color w:val="auto"/>
          <w:sz w:val="30"/>
          <w:szCs w:val="30"/>
          <w:highlight w:val="none"/>
        </w:rPr>
      </w:pPr>
      <w:r>
        <w:rPr>
          <w:rFonts w:hint="eastAsia"/>
          <w:b/>
          <w:color w:val="auto"/>
          <w:sz w:val="30"/>
          <w:szCs w:val="30"/>
          <w:highlight w:val="none"/>
        </w:rPr>
        <w:t>法定代表人身份证明</w:t>
      </w:r>
      <w:bookmarkEnd w:id="48"/>
      <w:bookmarkEnd w:id="49"/>
      <w:bookmarkEnd w:id="50"/>
      <w:bookmarkEnd w:id="51"/>
    </w:p>
    <w:p w14:paraId="8042F503">
      <w:pPr>
        <w:spacing w:line="480" w:lineRule="auto"/>
        <w:jc w:val="center"/>
        <w:rPr>
          <w:rFonts w:hint="eastAsia"/>
          <w:b/>
          <w:color w:val="auto"/>
          <w:sz w:val="30"/>
          <w:szCs w:val="30"/>
          <w:highlight w:val="none"/>
        </w:rPr>
      </w:pPr>
    </w:p>
    <w:p w14:paraId="CDD192C7">
      <w:pPr>
        <w:spacing w:line="240" w:lineRule="auto"/>
        <w:rPr>
          <w:color w:val="auto"/>
          <w:sz w:val="24"/>
          <w:szCs w:val="24"/>
          <w:highlight w:val="none"/>
        </w:rPr>
      </w:pPr>
      <w:r>
        <w:rPr>
          <w:color w:val="auto"/>
          <w:sz w:val="24"/>
          <w:szCs w:val="24"/>
          <w:highlight w:val="none"/>
        </w:rPr>
        <w:t>投标人名称：</w:t>
      </w:r>
      <w:r>
        <w:rPr>
          <w:color w:val="auto"/>
          <w:sz w:val="24"/>
          <w:szCs w:val="24"/>
          <w:highlight w:val="none"/>
          <w:u w:val="single"/>
        </w:rPr>
        <w:t xml:space="preserve">                            </w:t>
      </w:r>
      <w:r>
        <w:rPr>
          <w:color w:val="auto"/>
          <w:sz w:val="24"/>
          <w:szCs w:val="24"/>
          <w:highlight w:val="none"/>
        </w:rPr>
        <w:t xml:space="preserve"> </w:t>
      </w:r>
    </w:p>
    <w:p w14:paraId="251A79AC">
      <w:pPr>
        <w:spacing w:line="240" w:lineRule="auto"/>
        <w:rPr>
          <w:color w:val="auto"/>
          <w:sz w:val="24"/>
          <w:szCs w:val="24"/>
          <w:highlight w:val="none"/>
        </w:rPr>
      </w:pPr>
      <w:r>
        <w:rPr>
          <w:color w:val="auto"/>
          <w:sz w:val="24"/>
          <w:szCs w:val="24"/>
          <w:highlight w:val="none"/>
        </w:rPr>
        <w:t>单位性质：</w:t>
      </w:r>
      <w:r>
        <w:rPr>
          <w:color w:val="auto"/>
          <w:sz w:val="24"/>
          <w:szCs w:val="24"/>
          <w:highlight w:val="none"/>
          <w:u w:val="single"/>
        </w:rPr>
        <w:t xml:space="preserve">                               </w:t>
      </w:r>
      <w:r>
        <w:rPr>
          <w:color w:val="auto"/>
          <w:sz w:val="24"/>
          <w:szCs w:val="24"/>
          <w:highlight w:val="none"/>
        </w:rPr>
        <w:t xml:space="preserve"> </w:t>
      </w:r>
    </w:p>
    <w:p w14:paraId="7F2B2C09">
      <w:pPr>
        <w:spacing w:line="240" w:lineRule="auto"/>
        <w:rPr>
          <w:color w:val="auto"/>
          <w:sz w:val="24"/>
          <w:szCs w:val="24"/>
          <w:highlight w:val="none"/>
        </w:rPr>
      </w:pPr>
      <w:r>
        <w:rPr>
          <w:color w:val="auto"/>
          <w:sz w:val="24"/>
          <w:szCs w:val="24"/>
          <w:highlight w:val="none"/>
        </w:rPr>
        <w:t>地址：</w:t>
      </w:r>
      <w:r>
        <w:rPr>
          <w:color w:val="auto"/>
          <w:sz w:val="24"/>
          <w:szCs w:val="24"/>
          <w:highlight w:val="none"/>
          <w:u w:val="single"/>
        </w:rPr>
        <w:t xml:space="preserve">                                   </w:t>
      </w:r>
    </w:p>
    <w:p w14:paraId="DBE2A157">
      <w:pPr>
        <w:spacing w:line="240" w:lineRule="auto"/>
        <w:rPr>
          <w:color w:val="auto"/>
          <w:sz w:val="24"/>
          <w:szCs w:val="24"/>
          <w:highlight w:val="none"/>
        </w:rPr>
      </w:pPr>
      <w:r>
        <w:rPr>
          <w:color w:val="auto"/>
          <w:sz w:val="24"/>
          <w:szCs w:val="24"/>
          <w:highlight w:val="none"/>
        </w:rPr>
        <w:t>成立时间：</w:t>
      </w:r>
      <w:r>
        <w:rPr>
          <w:color w:val="auto"/>
          <w:sz w:val="24"/>
          <w:szCs w:val="24"/>
          <w:highlight w:val="none"/>
          <w:u w:val="single"/>
        </w:rPr>
        <w:t xml:space="preserve">          </w:t>
      </w:r>
      <w:r>
        <w:rPr>
          <w:color w:val="auto"/>
          <w:sz w:val="24"/>
          <w:szCs w:val="24"/>
          <w:highlight w:val="none"/>
        </w:rPr>
        <w:t>年</w:t>
      </w:r>
      <w:r>
        <w:rPr>
          <w:color w:val="auto"/>
          <w:sz w:val="24"/>
          <w:szCs w:val="24"/>
          <w:highlight w:val="none"/>
          <w:u w:val="single"/>
        </w:rPr>
        <w:t xml:space="preserve">        </w:t>
      </w:r>
      <w:r>
        <w:rPr>
          <w:color w:val="auto"/>
          <w:sz w:val="24"/>
          <w:szCs w:val="24"/>
          <w:highlight w:val="none"/>
        </w:rPr>
        <w:t>月</w:t>
      </w:r>
      <w:r>
        <w:rPr>
          <w:color w:val="auto"/>
          <w:sz w:val="24"/>
          <w:szCs w:val="24"/>
          <w:highlight w:val="none"/>
          <w:u w:val="single"/>
        </w:rPr>
        <w:t xml:space="preserve">        </w:t>
      </w:r>
      <w:r>
        <w:rPr>
          <w:color w:val="auto"/>
          <w:sz w:val="24"/>
          <w:szCs w:val="24"/>
          <w:highlight w:val="none"/>
        </w:rPr>
        <w:t>日</w:t>
      </w:r>
    </w:p>
    <w:p w14:paraId="5657F146">
      <w:pPr>
        <w:spacing w:line="240" w:lineRule="auto"/>
        <w:rPr>
          <w:color w:val="auto"/>
          <w:sz w:val="24"/>
          <w:szCs w:val="24"/>
          <w:highlight w:val="none"/>
        </w:rPr>
      </w:pPr>
      <w:r>
        <w:rPr>
          <w:color w:val="auto"/>
          <w:sz w:val="24"/>
          <w:szCs w:val="24"/>
          <w:highlight w:val="none"/>
        </w:rPr>
        <w:t>经营期限：</w:t>
      </w:r>
      <w:r>
        <w:rPr>
          <w:color w:val="auto"/>
          <w:sz w:val="24"/>
          <w:szCs w:val="24"/>
          <w:highlight w:val="none"/>
          <w:u w:val="single"/>
        </w:rPr>
        <w:t xml:space="preserve">                               </w:t>
      </w:r>
    </w:p>
    <w:p w14:paraId="A5002DEB">
      <w:pPr>
        <w:spacing w:line="240" w:lineRule="auto"/>
        <w:rPr>
          <w:color w:val="auto"/>
          <w:sz w:val="24"/>
          <w:szCs w:val="24"/>
          <w:highlight w:val="none"/>
        </w:rPr>
      </w:pPr>
      <w:r>
        <w:rPr>
          <w:color w:val="auto"/>
          <w:sz w:val="24"/>
          <w:szCs w:val="24"/>
          <w:highlight w:val="none"/>
        </w:rPr>
        <w:t>姓名：</w:t>
      </w:r>
      <w:r>
        <w:rPr>
          <w:color w:val="auto"/>
          <w:sz w:val="24"/>
          <w:szCs w:val="24"/>
          <w:highlight w:val="none"/>
          <w:u w:val="single"/>
        </w:rPr>
        <w:t xml:space="preserve">        </w:t>
      </w:r>
      <w:r>
        <w:rPr>
          <w:rFonts w:hint="eastAsia"/>
          <w:color w:val="auto"/>
          <w:sz w:val="24"/>
          <w:szCs w:val="24"/>
          <w:highlight w:val="none"/>
          <w:u w:val="single"/>
        </w:rPr>
        <w:t xml:space="preserve"> </w:t>
      </w:r>
      <w:r>
        <w:rPr>
          <w:color w:val="auto"/>
          <w:sz w:val="24"/>
          <w:szCs w:val="24"/>
          <w:highlight w:val="none"/>
        </w:rPr>
        <w:t xml:space="preserve"> 性别：</w:t>
      </w:r>
      <w:r>
        <w:rPr>
          <w:color w:val="auto"/>
          <w:sz w:val="24"/>
          <w:szCs w:val="24"/>
          <w:highlight w:val="none"/>
          <w:u w:val="single"/>
        </w:rPr>
        <w:t xml:space="preserve">         </w:t>
      </w:r>
      <w:r>
        <w:rPr>
          <w:color w:val="auto"/>
          <w:sz w:val="24"/>
          <w:szCs w:val="24"/>
          <w:highlight w:val="none"/>
        </w:rPr>
        <w:t>年龄：</w:t>
      </w:r>
      <w:r>
        <w:rPr>
          <w:color w:val="auto"/>
          <w:sz w:val="24"/>
          <w:szCs w:val="24"/>
          <w:highlight w:val="none"/>
          <w:u w:val="single"/>
        </w:rPr>
        <w:t xml:space="preserve">        </w:t>
      </w:r>
      <w:r>
        <w:rPr>
          <w:color w:val="auto"/>
          <w:sz w:val="24"/>
          <w:szCs w:val="24"/>
          <w:highlight w:val="none"/>
        </w:rPr>
        <w:t>职务：</w:t>
      </w:r>
      <w:r>
        <w:rPr>
          <w:color w:val="auto"/>
          <w:sz w:val="24"/>
          <w:szCs w:val="24"/>
          <w:highlight w:val="none"/>
          <w:u w:val="single"/>
        </w:rPr>
        <w:t xml:space="preserve">        </w:t>
      </w:r>
    </w:p>
    <w:p w14:paraId="DDFBD401">
      <w:pPr>
        <w:spacing w:line="240" w:lineRule="auto"/>
        <w:rPr>
          <w:color w:val="auto"/>
          <w:sz w:val="24"/>
          <w:szCs w:val="24"/>
          <w:highlight w:val="none"/>
        </w:rPr>
      </w:pPr>
      <w:r>
        <w:rPr>
          <w:color w:val="auto"/>
          <w:sz w:val="24"/>
          <w:szCs w:val="24"/>
          <w:highlight w:val="none"/>
        </w:rPr>
        <w:t>系</w:t>
      </w:r>
      <w:r>
        <w:rPr>
          <w:color w:val="auto"/>
          <w:sz w:val="24"/>
          <w:szCs w:val="24"/>
          <w:highlight w:val="none"/>
          <w:u w:val="single"/>
        </w:rPr>
        <w:t xml:space="preserve">                             </w:t>
      </w:r>
      <w:r>
        <w:rPr>
          <w:color w:val="auto"/>
          <w:sz w:val="24"/>
          <w:szCs w:val="24"/>
          <w:highlight w:val="none"/>
        </w:rPr>
        <w:t xml:space="preserve"> </w:t>
      </w:r>
      <w:r>
        <w:rPr>
          <w:rFonts w:hint="eastAsia"/>
          <w:color w:val="auto"/>
          <w:sz w:val="24"/>
          <w:szCs w:val="24"/>
          <w:highlight w:val="none"/>
        </w:rPr>
        <w:t>（</w:t>
      </w:r>
      <w:r>
        <w:rPr>
          <w:color w:val="auto"/>
          <w:sz w:val="24"/>
          <w:szCs w:val="24"/>
          <w:highlight w:val="none"/>
        </w:rPr>
        <w:t>投标人名称</w:t>
      </w:r>
      <w:r>
        <w:rPr>
          <w:rFonts w:hint="eastAsia"/>
          <w:color w:val="auto"/>
          <w:sz w:val="24"/>
          <w:szCs w:val="24"/>
          <w:highlight w:val="none"/>
        </w:rPr>
        <w:t>）</w:t>
      </w:r>
      <w:r>
        <w:rPr>
          <w:color w:val="auto"/>
          <w:sz w:val="24"/>
          <w:szCs w:val="24"/>
          <w:highlight w:val="none"/>
        </w:rPr>
        <w:t>的法定代表人。</w:t>
      </w:r>
    </w:p>
    <w:p w14:paraId="10256D80">
      <w:pPr>
        <w:spacing w:line="240" w:lineRule="auto"/>
        <w:ind w:firstLine="480" w:firstLineChars="200"/>
        <w:rPr>
          <w:color w:val="auto"/>
          <w:sz w:val="24"/>
          <w:szCs w:val="24"/>
          <w:highlight w:val="none"/>
        </w:rPr>
      </w:pPr>
      <w:r>
        <w:rPr>
          <w:color w:val="auto"/>
          <w:sz w:val="24"/>
          <w:szCs w:val="24"/>
          <w:highlight w:val="none"/>
        </w:rPr>
        <w:t>特此证明。</w:t>
      </w:r>
    </w:p>
    <w:p w14:paraId="41F91B4D">
      <w:pPr>
        <w:spacing w:line="480" w:lineRule="auto"/>
        <w:rPr>
          <w:color w:val="auto"/>
          <w:sz w:val="24"/>
          <w:szCs w:val="24"/>
          <w:highlight w:val="none"/>
        </w:rPr>
      </w:pPr>
    </w:p>
    <w:p w14:paraId="1042CB58">
      <w:pPr>
        <w:spacing w:line="480" w:lineRule="auto"/>
        <w:rPr>
          <w:color w:val="auto"/>
          <w:sz w:val="24"/>
          <w:szCs w:val="24"/>
          <w:highlight w:val="none"/>
        </w:rPr>
      </w:pPr>
    </w:p>
    <w:p w14:paraId="B56BC651">
      <w:pPr>
        <w:rPr>
          <w:color w:val="auto"/>
          <w:sz w:val="24"/>
          <w:szCs w:val="24"/>
          <w:highlight w:val="none"/>
        </w:rPr>
      </w:pPr>
      <w:r>
        <w:rPr>
          <w:color w:val="auto"/>
          <w:sz w:val="24"/>
          <w:szCs w:val="24"/>
          <w:highlight w:val="none"/>
        </w:rPr>
        <w:t xml:space="preserve">                          投标人：</w:t>
      </w:r>
      <w:r>
        <w:rPr>
          <w:color w:val="auto"/>
          <w:sz w:val="24"/>
          <w:szCs w:val="24"/>
          <w:highlight w:val="none"/>
          <w:u w:val="single"/>
        </w:rPr>
        <w:t xml:space="preserve">                 </w:t>
      </w:r>
      <w:r>
        <w:rPr>
          <w:color w:val="auto"/>
          <w:sz w:val="24"/>
          <w:szCs w:val="24"/>
          <w:highlight w:val="none"/>
        </w:rPr>
        <w:t>（</w:t>
      </w:r>
      <w:r>
        <w:rPr>
          <w:rFonts w:hint="eastAsia"/>
          <w:color w:val="auto"/>
          <w:sz w:val="24"/>
          <w:szCs w:val="24"/>
          <w:highlight w:val="none"/>
        </w:rPr>
        <w:t>印刷体及公章</w:t>
      </w:r>
      <w:r>
        <w:rPr>
          <w:color w:val="auto"/>
          <w:sz w:val="24"/>
          <w:szCs w:val="24"/>
          <w:highlight w:val="none"/>
        </w:rPr>
        <w:t>盖单位章）</w:t>
      </w:r>
    </w:p>
    <w:p w14:paraId="ED33E268">
      <w:pPr>
        <w:spacing w:line="240" w:lineRule="auto"/>
        <w:rPr>
          <w:rFonts w:hint="eastAsia"/>
          <w:color w:val="auto"/>
          <w:sz w:val="24"/>
          <w:szCs w:val="24"/>
          <w:highlight w:val="none"/>
        </w:rPr>
      </w:pPr>
      <w:r>
        <w:rPr>
          <w:color w:val="auto"/>
          <w:highlight w:val="none"/>
        </w:rPr>
        <w:t xml:space="preserve">                                </w:t>
      </w:r>
      <w:r>
        <w:rPr>
          <w:rFonts w:hint="eastAsia"/>
          <w:color w:val="auto"/>
          <w:sz w:val="24"/>
          <w:szCs w:val="24"/>
          <w:highlight w:val="none"/>
        </w:rPr>
        <w:t xml:space="preserve">   </w:t>
      </w:r>
      <w:r>
        <w:rPr>
          <w:color w:val="auto"/>
          <w:sz w:val="24"/>
          <w:szCs w:val="24"/>
          <w:highlight w:val="none"/>
          <w:u w:val="single"/>
        </w:rPr>
        <w:t xml:space="preserve">       </w:t>
      </w:r>
      <w:r>
        <w:rPr>
          <w:color w:val="auto"/>
          <w:sz w:val="24"/>
          <w:szCs w:val="24"/>
          <w:highlight w:val="none"/>
        </w:rPr>
        <w:t>年</w:t>
      </w:r>
      <w:r>
        <w:rPr>
          <w:color w:val="auto"/>
          <w:sz w:val="24"/>
          <w:szCs w:val="24"/>
          <w:highlight w:val="none"/>
          <w:u w:val="single"/>
        </w:rPr>
        <w:t xml:space="preserve">       </w:t>
      </w:r>
      <w:r>
        <w:rPr>
          <w:color w:val="auto"/>
          <w:sz w:val="24"/>
          <w:szCs w:val="24"/>
          <w:highlight w:val="none"/>
        </w:rPr>
        <w:t>月</w:t>
      </w:r>
      <w:r>
        <w:rPr>
          <w:color w:val="auto"/>
          <w:sz w:val="24"/>
          <w:szCs w:val="24"/>
          <w:highlight w:val="none"/>
          <w:u w:val="single"/>
        </w:rPr>
        <w:t xml:space="preserve">       </w:t>
      </w:r>
      <w:r>
        <w:rPr>
          <w:color w:val="auto"/>
          <w:sz w:val="24"/>
          <w:szCs w:val="24"/>
          <w:highlight w:val="none"/>
        </w:rPr>
        <w:t xml:space="preserve">日        </w:t>
      </w:r>
      <w:r>
        <w:rPr>
          <w:color w:val="auto"/>
          <w:highlight w:val="none"/>
        </w:rPr>
        <w:t xml:space="preserve">   </w:t>
      </w:r>
      <w:r>
        <w:rPr>
          <w:color w:val="auto"/>
          <w:sz w:val="28"/>
          <w:szCs w:val="28"/>
          <w:highlight w:val="none"/>
        </w:rPr>
        <w:br w:type="page"/>
      </w:r>
      <w:r>
        <w:rPr>
          <w:rFonts w:hint="eastAsia"/>
          <w:b/>
          <w:color w:val="auto"/>
          <w:sz w:val="24"/>
          <w:szCs w:val="24"/>
          <w:highlight w:val="none"/>
        </w:rPr>
        <w:t>格式6</w:t>
      </w:r>
    </w:p>
    <w:p w14:paraId="E4BA175F">
      <w:pPr>
        <w:jc w:val="center"/>
        <w:rPr>
          <w:b/>
          <w:color w:val="auto"/>
          <w:sz w:val="30"/>
          <w:szCs w:val="30"/>
          <w:highlight w:val="none"/>
        </w:rPr>
      </w:pPr>
      <w:r>
        <w:rPr>
          <w:rFonts w:hint="eastAsia"/>
          <w:b/>
          <w:color w:val="auto"/>
          <w:sz w:val="30"/>
          <w:szCs w:val="30"/>
          <w:highlight w:val="none"/>
        </w:rPr>
        <w:t>法定代表人授权委托书</w:t>
      </w:r>
    </w:p>
    <w:p w14:paraId="B7BE173C">
      <w:pPr>
        <w:spacing w:line="440" w:lineRule="exact"/>
        <w:rPr>
          <w:rFonts w:eastAsia="黑体"/>
          <w:color w:val="auto"/>
          <w:szCs w:val="21"/>
          <w:highlight w:val="none"/>
        </w:rPr>
      </w:pPr>
    </w:p>
    <w:p w14:paraId="E055A012">
      <w:pPr>
        <w:topLinePunct/>
        <w:spacing w:line="240" w:lineRule="auto"/>
        <w:ind w:firstLine="480" w:firstLineChars="200"/>
        <w:rPr>
          <w:color w:val="auto"/>
          <w:sz w:val="24"/>
          <w:szCs w:val="24"/>
          <w:highlight w:val="none"/>
        </w:rPr>
      </w:pPr>
      <w:r>
        <w:rPr>
          <w:color w:val="auto"/>
          <w:sz w:val="24"/>
          <w:szCs w:val="24"/>
          <w:highlight w:val="none"/>
        </w:rPr>
        <w:t>本人</w:t>
      </w:r>
      <w:r>
        <w:rPr>
          <w:color w:val="auto"/>
          <w:sz w:val="24"/>
          <w:szCs w:val="24"/>
          <w:highlight w:val="none"/>
          <w:u w:val="single"/>
        </w:rPr>
        <w:t xml:space="preserve">       </w:t>
      </w:r>
      <w:r>
        <w:rPr>
          <w:color w:val="auto"/>
          <w:sz w:val="24"/>
          <w:szCs w:val="24"/>
          <w:highlight w:val="none"/>
        </w:rPr>
        <w:t>（姓名）系</w:t>
      </w:r>
      <w:r>
        <w:rPr>
          <w:color w:val="auto"/>
          <w:sz w:val="24"/>
          <w:szCs w:val="24"/>
          <w:highlight w:val="none"/>
          <w:u w:val="single"/>
        </w:rPr>
        <w:t xml:space="preserve">        </w:t>
      </w:r>
      <w:r>
        <w:rPr>
          <w:color w:val="auto"/>
          <w:sz w:val="24"/>
          <w:szCs w:val="24"/>
          <w:highlight w:val="none"/>
        </w:rPr>
        <w:t>（投标人名称）的法定代表人，现委托</w:t>
      </w:r>
      <w:r>
        <w:rPr>
          <w:color w:val="auto"/>
          <w:sz w:val="24"/>
          <w:szCs w:val="24"/>
          <w:highlight w:val="none"/>
          <w:u w:val="single"/>
        </w:rPr>
        <w:t xml:space="preserve">        </w:t>
      </w:r>
      <w:r>
        <w:rPr>
          <w:color w:val="auto"/>
          <w:sz w:val="24"/>
          <w:szCs w:val="24"/>
          <w:highlight w:val="none"/>
        </w:rPr>
        <w:t>（姓名）为我方代理人。代理人根据授权，以我方名义签署、澄清</w:t>
      </w:r>
      <w:r>
        <w:rPr>
          <w:rFonts w:hint="eastAsia"/>
          <w:color w:val="auto"/>
          <w:sz w:val="24"/>
          <w:szCs w:val="24"/>
          <w:highlight w:val="none"/>
        </w:rPr>
        <w:t>、说明、补正</w:t>
      </w:r>
      <w:r>
        <w:rPr>
          <w:color w:val="auto"/>
          <w:sz w:val="24"/>
          <w:szCs w:val="24"/>
          <w:highlight w:val="none"/>
        </w:rPr>
        <w:t>、递交、撤回、修改</w:t>
      </w:r>
      <w:r>
        <w:rPr>
          <w:color w:val="auto"/>
          <w:sz w:val="24"/>
          <w:szCs w:val="24"/>
          <w:highlight w:val="none"/>
          <w:u w:val="single"/>
        </w:rPr>
        <w:t xml:space="preserve">         </w:t>
      </w:r>
      <w:r>
        <w:rPr>
          <w:rFonts w:hint="eastAsia"/>
          <w:color w:val="auto"/>
          <w:sz w:val="24"/>
          <w:szCs w:val="24"/>
          <w:highlight w:val="none"/>
          <w:u w:val="single"/>
        </w:rPr>
        <w:t xml:space="preserve">    </w:t>
      </w:r>
      <w:r>
        <w:rPr>
          <w:color w:val="auto"/>
          <w:sz w:val="24"/>
          <w:szCs w:val="24"/>
          <w:highlight w:val="none"/>
          <w:u w:val="single"/>
        </w:rPr>
        <w:t xml:space="preserve">  </w:t>
      </w:r>
      <w:r>
        <w:rPr>
          <w:color w:val="auto"/>
          <w:sz w:val="24"/>
          <w:szCs w:val="24"/>
          <w:highlight w:val="none"/>
        </w:rPr>
        <w:t>（项目名称）投标文件、签订合同和处理有关事宜，其法律后果由我方承担。</w:t>
      </w:r>
    </w:p>
    <w:p w14:paraId="D4C07B9E">
      <w:pPr>
        <w:spacing w:line="240" w:lineRule="auto"/>
        <w:rPr>
          <w:color w:val="auto"/>
          <w:sz w:val="24"/>
          <w:szCs w:val="24"/>
          <w:highlight w:val="none"/>
        </w:rPr>
      </w:pPr>
      <w:r>
        <w:rPr>
          <w:color w:val="auto"/>
          <w:sz w:val="24"/>
          <w:szCs w:val="24"/>
          <w:highlight w:val="none"/>
        </w:rPr>
        <w:t xml:space="preserve">    委托期限：</w:t>
      </w:r>
      <w:r>
        <w:rPr>
          <w:color w:val="auto"/>
          <w:sz w:val="24"/>
          <w:szCs w:val="24"/>
          <w:highlight w:val="none"/>
          <w:u w:val="single"/>
        </w:rPr>
        <w:t xml:space="preserve">      </w:t>
      </w:r>
      <w:r>
        <w:rPr>
          <w:rFonts w:hint="eastAsia"/>
          <w:color w:val="auto"/>
          <w:sz w:val="24"/>
          <w:szCs w:val="24"/>
          <w:highlight w:val="none"/>
          <w:u w:val="single"/>
        </w:rPr>
        <w:t xml:space="preserve">           </w:t>
      </w:r>
      <w:r>
        <w:rPr>
          <w:color w:val="auto"/>
          <w:sz w:val="24"/>
          <w:szCs w:val="24"/>
          <w:highlight w:val="none"/>
          <w:u w:val="single"/>
        </w:rPr>
        <w:t xml:space="preserve">    </w:t>
      </w:r>
      <w:r>
        <w:rPr>
          <w:rFonts w:hint="eastAsia"/>
          <w:color w:val="auto"/>
          <w:sz w:val="24"/>
          <w:szCs w:val="24"/>
          <w:highlight w:val="none"/>
        </w:rPr>
        <w:t>。</w:t>
      </w:r>
    </w:p>
    <w:p w14:paraId="799CB9A8">
      <w:pPr>
        <w:spacing w:line="240" w:lineRule="auto"/>
        <w:ind w:firstLine="480" w:firstLineChars="200"/>
        <w:rPr>
          <w:rFonts w:hint="eastAsia"/>
          <w:color w:val="auto"/>
          <w:sz w:val="24"/>
          <w:szCs w:val="24"/>
          <w:highlight w:val="none"/>
        </w:rPr>
      </w:pPr>
      <w:r>
        <w:rPr>
          <w:color w:val="auto"/>
          <w:sz w:val="24"/>
          <w:szCs w:val="24"/>
          <w:highlight w:val="none"/>
        </w:rPr>
        <w:t>代理人无转委托权。</w:t>
      </w:r>
    </w:p>
    <w:p w14:paraId="5453946C">
      <w:pPr>
        <w:spacing w:line="240" w:lineRule="auto"/>
        <w:ind w:firstLine="480" w:firstLineChars="200"/>
        <w:rPr>
          <w:rFonts w:hint="eastAsia"/>
          <w:color w:val="auto"/>
          <w:sz w:val="24"/>
          <w:szCs w:val="24"/>
          <w:highlight w:val="none"/>
        </w:rPr>
      </w:pPr>
    </w:p>
    <w:p w14:paraId="3949EFD2">
      <w:pPr>
        <w:spacing w:line="240" w:lineRule="auto"/>
        <w:ind w:firstLine="480" w:firstLineChars="200"/>
        <w:rPr>
          <w:rFonts w:hint="eastAsia"/>
          <w:color w:val="auto"/>
          <w:sz w:val="24"/>
          <w:szCs w:val="24"/>
          <w:highlight w:val="none"/>
        </w:rPr>
      </w:pPr>
    </w:p>
    <w:p w14:paraId="95DB8AA6">
      <w:pPr>
        <w:spacing w:line="240" w:lineRule="auto"/>
        <w:ind w:firstLine="480" w:firstLineChars="200"/>
        <w:rPr>
          <w:rFonts w:hint="eastAsia"/>
          <w:color w:val="auto"/>
          <w:sz w:val="24"/>
          <w:szCs w:val="24"/>
          <w:highlight w:val="none"/>
        </w:rPr>
      </w:pPr>
      <w:r>
        <w:rPr>
          <w:rFonts w:hint="eastAsia"/>
          <w:color w:val="auto"/>
          <w:sz w:val="24"/>
          <w:szCs w:val="24"/>
          <w:highlight w:val="none"/>
        </w:rPr>
        <w:t>附：法定代表人身份证复印件</w:t>
      </w:r>
    </w:p>
    <w:p w14:paraId="4CE659CE">
      <w:pPr>
        <w:spacing w:line="240" w:lineRule="auto"/>
        <w:ind w:firstLine="480" w:firstLineChars="200"/>
        <w:rPr>
          <w:rFonts w:hint="eastAsia"/>
          <w:color w:val="auto"/>
          <w:sz w:val="24"/>
          <w:szCs w:val="24"/>
          <w:highlight w:val="none"/>
        </w:rPr>
      </w:pPr>
      <w:r>
        <w:rPr>
          <w:rFonts w:hint="eastAsia"/>
          <w:color w:val="auto"/>
          <w:sz w:val="24"/>
          <w:szCs w:val="24"/>
          <w:highlight w:val="none"/>
        </w:rPr>
        <w:t xml:space="preserve">    授权代表人身份证复印件</w:t>
      </w:r>
    </w:p>
    <w:p w14:paraId="3E9D1166">
      <w:pPr>
        <w:spacing w:line="240" w:lineRule="auto"/>
        <w:ind w:firstLine="120" w:firstLineChars="50"/>
        <w:rPr>
          <w:rFonts w:hint="eastAsia"/>
          <w:color w:val="auto"/>
          <w:sz w:val="24"/>
          <w:szCs w:val="24"/>
          <w:highlight w:val="none"/>
        </w:rPr>
      </w:pPr>
      <w:r>
        <w:rPr>
          <w:rFonts w:hint="eastAsia"/>
          <w:color w:val="auto"/>
          <w:sz w:val="24"/>
          <w:szCs w:val="24"/>
          <w:highlight w:val="none"/>
        </w:rPr>
        <w:t>（如法定代表人全权代表无需填写此表，仅需附法定代表人身份证复印件。）</w:t>
      </w:r>
    </w:p>
    <w:p w14:paraId="B61B9997">
      <w:pPr>
        <w:spacing w:line="240" w:lineRule="auto"/>
        <w:rPr>
          <w:color w:val="auto"/>
          <w:sz w:val="24"/>
          <w:szCs w:val="24"/>
          <w:highlight w:val="none"/>
        </w:rPr>
      </w:pPr>
    </w:p>
    <w:p w14:paraId="AEB91939">
      <w:pPr>
        <w:spacing w:line="240" w:lineRule="auto"/>
        <w:rPr>
          <w:color w:val="auto"/>
          <w:sz w:val="24"/>
          <w:szCs w:val="24"/>
          <w:highlight w:val="none"/>
        </w:rPr>
      </w:pPr>
    </w:p>
    <w:p w14:paraId="FA128CD7">
      <w:pPr>
        <w:spacing w:line="240" w:lineRule="auto"/>
        <w:rPr>
          <w:color w:val="auto"/>
          <w:sz w:val="24"/>
          <w:szCs w:val="24"/>
          <w:highlight w:val="none"/>
        </w:rPr>
      </w:pPr>
      <w:r>
        <w:rPr>
          <w:color w:val="auto"/>
          <w:sz w:val="24"/>
          <w:szCs w:val="24"/>
          <w:highlight w:val="none"/>
        </w:rPr>
        <w:t>投标人：</w:t>
      </w:r>
      <w:r>
        <w:rPr>
          <w:color w:val="auto"/>
          <w:sz w:val="24"/>
          <w:szCs w:val="24"/>
          <w:highlight w:val="none"/>
          <w:u w:val="single"/>
        </w:rPr>
        <w:t xml:space="preserve">                               </w:t>
      </w:r>
      <w:r>
        <w:rPr>
          <w:color w:val="auto"/>
          <w:sz w:val="24"/>
          <w:szCs w:val="24"/>
          <w:highlight w:val="none"/>
        </w:rPr>
        <w:t>（</w:t>
      </w:r>
      <w:r>
        <w:rPr>
          <w:rFonts w:hint="eastAsia"/>
          <w:color w:val="auto"/>
          <w:sz w:val="24"/>
          <w:szCs w:val="24"/>
          <w:highlight w:val="none"/>
        </w:rPr>
        <w:t>印刷体加公章</w:t>
      </w:r>
      <w:r>
        <w:rPr>
          <w:color w:val="auto"/>
          <w:sz w:val="24"/>
          <w:szCs w:val="24"/>
          <w:highlight w:val="none"/>
        </w:rPr>
        <w:t>）</w:t>
      </w:r>
    </w:p>
    <w:p w14:paraId="D3C115AD">
      <w:pPr>
        <w:spacing w:line="240" w:lineRule="auto"/>
        <w:rPr>
          <w:color w:val="auto"/>
          <w:sz w:val="24"/>
          <w:szCs w:val="24"/>
          <w:highlight w:val="none"/>
        </w:rPr>
      </w:pPr>
      <w:r>
        <w:rPr>
          <w:color w:val="auto"/>
          <w:sz w:val="24"/>
          <w:szCs w:val="24"/>
          <w:highlight w:val="none"/>
        </w:rPr>
        <w:t>法定代表人：</w:t>
      </w:r>
      <w:r>
        <w:rPr>
          <w:color w:val="auto"/>
          <w:sz w:val="24"/>
          <w:szCs w:val="24"/>
          <w:highlight w:val="none"/>
          <w:u w:val="single"/>
        </w:rPr>
        <w:t xml:space="preserve">                               </w:t>
      </w:r>
      <w:r>
        <w:rPr>
          <w:color w:val="auto"/>
          <w:sz w:val="24"/>
          <w:szCs w:val="24"/>
          <w:highlight w:val="none"/>
        </w:rPr>
        <w:t>（签字</w:t>
      </w:r>
      <w:r>
        <w:rPr>
          <w:rFonts w:hint="eastAsia"/>
          <w:color w:val="auto"/>
          <w:sz w:val="24"/>
          <w:szCs w:val="24"/>
          <w:highlight w:val="none"/>
        </w:rPr>
        <w:t>或盖章</w:t>
      </w:r>
      <w:r>
        <w:rPr>
          <w:color w:val="auto"/>
          <w:sz w:val="24"/>
          <w:szCs w:val="24"/>
          <w:highlight w:val="none"/>
        </w:rPr>
        <w:t>）</w:t>
      </w:r>
    </w:p>
    <w:p w14:paraId="CF2C353E">
      <w:pPr>
        <w:spacing w:line="240" w:lineRule="auto"/>
        <w:rPr>
          <w:color w:val="auto"/>
          <w:sz w:val="24"/>
          <w:szCs w:val="24"/>
          <w:highlight w:val="none"/>
        </w:rPr>
      </w:pPr>
      <w:r>
        <w:rPr>
          <w:color w:val="auto"/>
          <w:sz w:val="24"/>
          <w:szCs w:val="24"/>
          <w:highlight w:val="none"/>
        </w:rPr>
        <w:t>身份证号码：</w:t>
      </w:r>
      <w:r>
        <w:rPr>
          <w:color w:val="auto"/>
          <w:sz w:val="24"/>
          <w:szCs w:val="24"/>
          <w:highlight w:val="none"/>
          <w:u w:val="single"/>
        </w:rPr>
        <w:t xml:space="preserve">                                     </w:t>
      </w:r>
    </w:p>
    <w:p w14:paraId="084E471B">
      <w:pPr>
        <w:spacing w:line="240" w:lineRule="auto"/>
        <w:rPr>
          <w:color w:val="auto"/>
          <w:sz w:val="24"/>
          <w:szCs w:val="24"/>
          <w:highlight w:val="none"/>
        </w:rPr>
      </w:pPr>
      <w:r>
        <w:rPr>
          <w:color w:val="auto"/>
          <w:sz w:val="24"/>
          <w:szCs w:val="24"/>
          <w:highlight w:val="none"/>
        </w:rPr>
        <w:t>委托代理人：</w:t>
      </w:r>
      <w:r>
        <w:rPr>
          <w:color w:val="auto"/>
          <w:sz w:val="24"/>
          <w:szCs w:val="24"/>
          <w:highlight w:val="none"/>
          <w:u w:val="single"/>
        </w:rPr>
        <w:t xml:space="preserve">                                   </w:t>
      </w:r>
      <w:r>
        <w:rPr>
          <w:color w:val="auto"/>
          <w:sz w:val="24"/>
          <w:szCs w:val="24"/>
          <w:highlight w:val="none"/>
        </w:rPr>
        <w:t>（</w:t>
      </w:r>
      <w:r>
        <w:rPr>
          <w:rFonts w:hint="eastAsia"/>
          <w:color w:val="auto"/>
          <w:sz w:val="24"/>
          <w:szCs w:val="24"/>
          <w:highlight w:val="none"/>
          <w:lang w:eastAsia="zh-CN"/>
        </w:rPr>
        <w:t>印刷体</w:t>
      </w:r>
      <w:r>
        <w:rPr>
          <w:color w:val="auto"/>
          <w:sz w:val="24"/>
          <w:szCs w:val="24"/>
          <w:highlight w:val="none"/>
        </w:rPr>
        <w:t>签字</w:t>
      </w:r>
      <w:r>
        <w:rPr>
          <w:rFonts w:hint="eastAsia"/>
          <w:color w:val="auto"/>
          <w:sz w:val="24"/>
          <w:szCs w:val="24"/>
          <w:highlight w:val="none"/>
          <w:lang w:eastAsia="zh-CN"/>
        </w:rPr>
        <w:t>或盖章</w:t>
      </w:r>
      <w:r>
        <w:rPr>
          <w:color w:val="auto"/>
          <w:sz w:val="24"/>
          <w:szCs w:val="24"/>
          <w:highlight w:val="none"/>
        </w:rPr>
        <w:t xml:space="preserve">） </w:t>
      </w:r>
    </w:p>
    <w:p w14:paraId="E330846F">
      <w:pPr>
        <w:spacing w:line="240" w:lineRule="auto"/>
        <w:rPr>
          <w:color w:val="auto"/>
          <w:sz w:val="24"/>
          <w:szCs w:val="24"/>
          <w:highlight w:val="none"/>
        </w:rPr>
      </w:pPr>
      <w:r>
        <w:rPr>
          <w:color w:val="auto"/>
          <w:sz w:val="24"/>
          <w:szCs w:val="24"/>
          <w:highlight w:val="none"/>
        </w:rPr>
        <w:t>身份证号码：</w:t>
      </w:r>
      <w:r>
        <w:rPr>
          <w:color w:val="auto"/>
          <w:sz w:val="24"/>
          <w:szCs w:val="24"/>
          <w:highlight w:val="none"/>
          <w:u w:val="single"/>
        </w:rPr>
        <w:t xml:space="preserve">                                      </w:t>
      </w:r>
    </w:p>
    <w:p w14:paraId="011946E5">
      <w:pPr>
        <w:spacing w:line="240" w:lineRule="auto"/>
        <w:rPr>
          <w:color w:val="auto"/>
          <w:sz w:val="24"/>
          <w:szCs w:val="24"/>
          <w:highlight w:val="none"/>
        </w:rPr>
      </w:pPr>
    </w:p>
    <w:p w14:paraId="3569FE9B">
      <w:pPr>
        <w:spacing w:line="240" w:lineRule="auto"/>
        <w:rPr>
          <w:rFonts w:eastAsia="黑体"/>
          <w:color w:val="auto"/>
          <w:sz w:val="24"/>
          <w:szCs w:val="24"/>
          <w:highlight w:val="none"/>
        </w:rPr>
      </w:pPr>
      <w:r>
        <w:rPr>
          <w:color w:val="auto"/>
          <w:sz w:val="24"/>
          <w:szCs w:val="24"/>
          <w:highlight w:val="none"/>
          <w:u w:val="single"/>
        </w:rPr>
        <w:t xml:space="preserve">       </w:t>
      </w:r>
      <w:r>
        <w:rPr>
          <w:color w:val="auto"/>
          <w:sz w:val="24"/>
          <w:szCs w:val="24"/>
          <w:highlight w:val="none"/>
        </w:rPr>
        <w:t>年</w:t>
      </w:r>
      <w:r>
        <w:rPr>
          <w:color w:val="auto"/>
          <w:sz w:val="24"/>
          <w:szCs w:val="24"/>
          <w:highlight w:val="none"/>
          <w:u w:val="single"/>
        </w:rPr>
        <w:t xml:space="preserve">       </w:t>
      </w:r>
      <w:r>
        <w:rPr>
          <w:color w:val="auto"/>
          <w:sz w:val="24"/>
          <w:szCs w:val="24"/>
          <w:highlight w:val="none"/>
        </w:rPr>
        <w:t>月</w:t>
      </w:r>
      <w:r>
        <w:rPr>
          <w:color w:val="auto"/>
          <w:sz w:val="24"/>
          <w:szCs w:val="24"/>
          <w:highlight w:val="none"/>
          <w:u w:val="single"/>
        </w:rPr>
        <w:t xml:space="preserve">       </w:t>
      </w:r>
      <w:r>
        <w:rPr>
          <w:color w:val="auto"/>
          <w:sz w:val="24"/>
          <w:szCs w:val="24"/>
          <w:highlight w:val="none"/>
        </w:rPr>
        <w:t>日</w:t>
      </w:r>
    </w:p>
    <w:p w14:paraId="8E805F25">
      <w:pPr>
        <w:spacing w:line="240" w:lineRule="auto"/>
        <w:rPr>
          <w:rFonts w:hint="eastAsia"/>
          <w:b/>
          <w:color w:val="auto"/>
          <w:sz w:val="24"/>
          <w:szCs w:val="24"/>
          <w:highlight w:val="none"/>
        </w:rPr>
      </w:pPr>
      <w:r>
        <w:rPr>
          <w:rFonts w:hint="eastAsia"/>
          <w:color w:val="auto"/>
          <w:sz w:val="24"/>
          <w:szCs w:val="24"/>
          <w:highlight w:val="none"/>
        </w:rPr>
        <w:br w:type="page"/>
      </w:r>
      <w:r>
        <w:rPr>
          <w:rFonts w:hint="eastAsia"/>
          <w:b/>
          <w:color w:val="auto"/>
          <w:sz w:val="24"/>
          <w:szCs w:val="24"/>
          <w:highlight w:val="none"/>
        </w:rPr>
        <w:t>格式7</w:t>
      </w:r>
    </w:p>
    <w:p w14:paraId="9F824376">
      <w:pPr>
        <w:jc w:val="center"/>
        <w:rPr>
          <w:rFonts w:hint="eastAsia" w:ascii="宋体"/>
          <w:b/>
          <w:color w:val="auto"/>
          <w:sz w:val="30"/>
          <w:szCs w:val="30"/>
          <w:highlight w:val="none"/>
        </w:rPr>
      </w:pPr>
      <w:r>
        <w:rPr>
          <w:rFonts w:hint="eastAsia"/>
          <w:b/>
          <w:color w:val="auto"/>
          <w:sz w:val="30"/>
          <w:szCs w:val="30"/>
          <w:highlight w:val="none"/>
        </w:rPr>
        <w:t>投标单位基本情况表</w:t>
      </w:r>
    </w:p>
    <w:p w14:paraId="818636EC">
      <w:pPr>
        <w:pStyle w:val="5"/>
        <w:ind w:firstLine="0"/>
        <w:rPr>
          <w:rFonts w:hint="eastAsia" w:ascii="宋体"/>
          <w:color w:val="auto"/>
          <w:sz w:val="24"/>
          <w:highlight w:val="none"/>
        </w:rPr>
      </w:pPr>
    </w:p>
    <w:tbl>
      <w:tblPr>
        <w:tblStyle w:val="16"/>
        <w:tblW w:w="94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5"/>
        <w:gridCol w:w="1042"/>
        <w:gridCol w:w="554"/>
        <w:gridCol w:w="1445"/>
        <w:gridCol w:w="282"/>
        <w:gridCol w:w="1460"/>
        <w:gridCol w:w="29"/>
        <w:gridCol w:w="1151"/>
        <w:gridCol w:w="2022"/>
      </w:tblGrid>
      <w:tr w14:paraId="DC130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1475" w:type="dxa"/>
            <w:vAlign w:val="center"/>
          </w:tcPr>
          <w:p w14:paraId="CA7EE360">
            <w:pPr>
              <w:widowControl w:val="0"/>
              <w:spacing w:line="240" w:lineRule="auto"/>
              <w:jc w:val="center"/>
              <w:rPr>
                <w:rFonts w:hint="eastAsia" w:ascii="宋体"/>
                <w:color w:val="auto"/>
                <w:sz w:val="24"/>
                <w:highlight w:val="none"/>
              </w:rPr>
            </w:pPr>
            <w:r>
              <w:rPr>
                <w:rFonts w:hint="eastAsia" w:ascii="宋体"/>
                <w:color w:val="auto"/>
                <w:sz w:val="24"/>
                <w:highlight w:val="none"/>
              </w:rPr>
              <w:t>企业名称</w:t>
            </w:r>
          </w:p>
        </w:tc>
        <w:tc>
          <w:tcPr>
            <w:tcW w:w="3041" w:type="dxa"/>
            <w:gridSpan w:val="3"/>
            <w:vAlign w:val="center"/>
          </w:tcPr>
          <w:p w14:paraId="FBA41D47">
            <w:pPr>
              <w:widowControl w:val="0"/>
              <w:spacing w:line="240" w:lineRule="auto"/>
              <w:jc w:val="center"/>
              <w:rPr>
                <w:rFonts w:hint="eastAsia" w:ascii="宋体"/>
                <w:color w:val="auto"/>
                <w:sz w:val="24"/>
                <w:highlight w:val="none"/>
              </w:rPr>
            </w:pPr>
          </w:p>
        </w:tc>
        <w:tc>
          <w:tcPr>
            <w:tcW w:w="1771" w:type="dxa"/>
            <w:gridSpan w:val="3"/>
            <w:vAlign w:val="center"/>
          </w:tcPr>
          <w:p w14:paraId="8AD2E823">
            <w:pPr>
              <w:widowControl w:val="0"/>
              <w:spacing w:line="240" w:lineRule="auto"/>
              <w:jc w:val="center"/>
              <w:rPr>
                <w:rFonts w:hint="eastAsia" w:ascii="宋体"/>
                <w:color w:val="auto"/>
                <w:sz w:val="24"/>
                <w:highlight w:val="none"/>
              </w:rPr>
            </w:pPr>
            <w:r>
              <w:rPr>
                <w:rFonts w:hint="eastAsia" w:ascii="宋体"/>
                <w:color w:val="auto"/>
                <w:sz w:val="24"/>
                <w:highlight w:val="none"/>
              </w:rPr>
              <w:t>主管部门</w:t>
            </w:r>
          </w:p>
        </w:tc>
        <w:tc>
          <w:tcPr>
            <w:tcW w:w="3173" w:type="dxa"/>
            <w:gridSpan w:val="2"/>
            <w:vAlign w:val="center"/>
          </w:tcPr>
          <w:p w14:paraId="424DA7C9">
            <w:pPr>
              <w:widowControl w:val="0"/>
              <w:spacing w:line="240" w:lineRule="auto"/>
              <w:jc w:val="center"/>
              <w:rPr>
                <w:rFonts w:hint="eastAsia" w:ascii="宋体"/>
                <w:color w:val="auto"/>
                <w:sz w:val="24"/>
                <w:highlight w:val="none"/>
              </w:rPr>
            </w:pPr>
          </w:p>
        </w:tc>
      </w:tr>
      <w:tr w14:paraId="7E217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1475" w:type="dxa"/>
            <w:vAlign w:val="center"/>
          </w:tcPr>
          <w:p w14:paraId="9653E5E6">
            <w:pPr>
              <w:widowControl w:val="0"/>
              <w:spacing w:line="240" w:lineRule="auto"/>
              <w:jc w:val="center"/>
              <w:rPr>
                <w:rFonts w:hint="eastAsia" w:ascii="宋体"/>
                <w:color w:val="auto"/>
                <w:sz w:val="24"/>
                <w:highlight w:val="none"/>
              </w:rPr>
            </w:pPr>
            <w:r>
              <w:rPr>
                <w:rFonts w:hint="eastAsia" w:ascii="宋体"/>
                <w:color w:val="auto"/>
                <w:sz w:val="24"/>
                <w:highlight w:val="none"/>
              </w:rPr>
              <w:t>公司类型</w:t>
            </w:r>
          </w:p>
        </w:tc>
        <w:tc>
          <w:tcPr>
            <w:tcW w:w="3041" w:type="dxa"/>
            <w:gridSpan w:val="3"/>
            <w:vAlign w:val="center"/>
          </w:tcPr>
          <w:p w14:paraId="2D6091EC">
            <w:pPr>
              <w:widowControl w:val="0"/>
              <w:spacing w:line="240" w:lineRule="auto"/>
              <w:jc w:val="center"/>
              <w:rPr>
                <w:rFonts w:hint="eastAsia" w:ascii="宋体"/>
                <w:color w:val="auto"/>
                <w:sz w:val="24"/>
                <w:highlight w:val="none"/>
              </w:rPr>
            </w:pPr>
          </w:p>
        </w:tc>
        <w:tc>
          <w:tcPr>
            <w:tcW w:w="1771" w:type="dxa"/>
            <w:gridSpan w:val="3"/>
            <w:vAlign w:val="center"/>
          </w:tcPr>
          <w:p w14:paraId="CB9B9221">
            <w:pPr>
              <w:widowControl w:val="0"/>
              <w:spacing w:line="240" w:lineRule="auto"/>
              <w:jc w:val="center"/>
              <w:rPr>
                <w:rFonts w:hint="eastAsia" w:ascii="宋体"/>
                <w:color w:val="auto"/>
                <w:sz w:val="24"/>
                <w:highlight w:val="none"/>
              </w:rPr>
            </w:pPr>
            <w:r>
              <w:rPr>
                <w:rFonts w:hint="eastAsia" w:ascii="宋体"/>
                <w:color w:val="auto"/>
                <w:sz w:val="24"/>
                <w:highlight w:val="none"/>
              </w:rPr>
              <w:t>法定代表人</w:t>
            </w:r>
          </w:p>
        </w:tc>
        <w:tc>
          <w:tcPr>
            <w:tcW w:w="3173" w:type="dxa"/>
            <w:gridSpan w:val="2"/>
            <w:vAlign w:val="center"/>
          </w:tcPr>
          <w:p w14:paraId="FECB738B">
            <w:pPr>
              <w:widowControl w:val="0"/>
              <w:spacing w:line="240" w:lineRule="auto"/>
              <w:jc w:val="center"/>
              <w:rPr>
                <w:rFonts w:hint="eastAsia" w:ascii="宋体"/>
                <w:color w:val="auto"/>
                <w:sz w:val="24"/>
                <w:highlight w:val="none"/>
              </w:rPr>
            </w:pPr>
          </w:p>
        </w:tc>
      </w:tr>
      <w:tr w14:paraId="5795E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1475" w:type="dxa"/>
            <w:vAlign w:val="center"/>
          </w:tcPr>
          <w:p w14:paraId="D1D720D6">
            <w:pPr>
              <w:widowControl w:val="0"/>
              <w:spacing w:line="240" w:lineRule="auto"/>
              <w:jc w:val="center"/>
              <w:rPr>
                <w:rFonts w:hint="eastAsia" w:ascii="宋体"/>
                <w:color w:val="auto"/>
                <w:sz w:val="24"/>
                <w:highlight w:val="none"/>
              </w:rPr>
            </w:pPr>
            <w:r>
              <w:rPr>
                <w:rFonts w:hint="eastAsia" w:ascii="宋体"/>
                <w:color w:val="auto"/>
                <w:sz w:val="24"/>
                <w:highlight w:val="none"/>
              </w:rPr>
              <w:t>单位简介</w:t>
            </w:r>
          </w:p>
        </w:tc>
        <w:tc>
          <w:tcPr>
            <w:tcW w:w="7985" w:type="dxa"/>
            <w:gridSpan w:val="8"/>
            <w:vAlign w:val="center"/>
          </w:tcPr>
          <w:p w14:paraId="4080C161">
            <w:pPr>
              <w:widowControl w:val="0"/>
              <w:spacing w:line="240" w:lineRule="auto"/>
              <w:jc w:val="center"/>
              <w:rPr>
                <w:rFonts w:hint="eastAsia" w:ascii="宋体"/>
                <w:color w:val="auto"/>
                <w:sz w:val="24"/>
                <w:highlight w:val="none"/>
              </w:rPr>
            </w:pPr>
          </w:p>
        </w:tc>
      </w:tr>
      <w:tr w14:paraId="644E8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8" w:hRule="atLeast"/>
          <w:jc w:val="center"/>
        </w:trPr>
        <w:tc>
          <w:tcPr>
            <w:tcW w:w="1475" w:type="dxa"/>
            <w:vAlign w:val="center"/>
          </w:tcPr>
          <w:p w14:paraId="19BF94D1">
            <w:pPr>
              <w:widowControl w:val="0"/>
              <w:spacing w:line="240" w:lineRule="auto"/>
              <w:jc w:val="center"/>
              <w:rPr>
                <w:rFonts w:hint="eastAsia" w:ascii="宋体"/>
                <w:color w:val="auto"/>
                <w:sz w:val="24"/>
                <w:highlight w:val="none"/>
              </w:rPr>
            </w:pPr>
            <w:r>
              <w:rPr>
                <w:rFonts w:hint="eastAsia" w:ascii="宋体"/>
                <w:color w:val="auto"/>
                <w:sz w:val="24"/>
                <w:highlight w:val="none"/>
              </w:rPr>
              <w:t>单位优势</w:t>
            </w:r>
          </w:p>
          <w:p w14:paraId="07B6F9B4">
            <w:pPr>
              <w:widowControl w:val="0"/>
              <w:spacing w:line="240" w:lineRule="auto"/>
              <w:jc w:val="center"/>
              <w:rPr>
                <w:rFonts w:hint="eastAsia" w:ascii="宋体"/>
                <w:color w:val="auto"/>
                <w:sz w:val="24"/>
                <w:highlight w:val="none"/>
              </w:rPr>
            </w:pPr>
            <w:r>
              <w:rPr>
                <w:rFonts w:hint="eastAsia" w:ascii="宋体"/>
                <w:color w:val="auto"/>
                <w:sz w:val="24"/>
                <w:highlight w:val="none"/>
              </w:rPr>
              <w:t>及 特 长</w:t>
            </w:r>
          </w:p>
        </w:tc>
        <w:tc>
          <w:tcPr>
            <w:tcW w:w="7985" w:type="dxa"/>
            <w:gridSpan w:val="8"/>
            <w:vAlign w:val="center"/>
          </w:tcPr>
          <w:p w14:paraId="A1C7A11B">
            <w:pPr>
              <w:pStyle w:val="12"/>
              <w:widowControl w:val="0"/>
              <w:tabs>
                <w:tab w:val="right" w:leader="dot" w:pos="8636"/>
              </w:tabs>
              <w:spacing w:before="0" w:after="0" w:line="240" w:lineRule="auto"/>
              <w:rPr>
                <w:color w:val="auto"/>
                <w:highlight w:val="none"/>
              </w:rPr>
            </w:pPr>
          </w:p>
        </w:tc>
      </w:tr>
      <w:tr w14:paraId="66B71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3" w:hRule="atLeast"/>
          <w:jc w:val="center"/>
        </w:trPr>
        <w:tc>
          <w:tcPr>
            <w:tcW w:w="1475" w:type="dxa"/>
            <w:vMerge w:val="restart"/>
            <w:textDirection w:val="tbRlV"/>
            <w:vAlign w:val="center"/>
          </w:tcPr>
          <w:p w14:paraId="619C12B3">
            <w:pPr>
              <w:widowControl w:val="0"/>
              <w:spacing w:line="240" w:lineRule="auto"/>
              <w:jc w:val="center"/>
              <w:rPr>
                <w:rFonts w:hint="eastAsia" w:ascii="宋体"/>
                <w:color w:val="auto"/>
                <w:sz w:val="24"/>
                <w:highlight w:val="none"/>
              </w:rPr>
            </w:pPr>
            <w:r>
              <w:rPr>
                <w:rFonts w:hint="eastAsia" w:ascii="宋体"/>
                <w:color w:val="auto"/>
                <w:sz w:val="24"/>
                <w:highlight w:val="none"/>
              </w:rPr>
              <w:t>单 位 概 况</w:t>
            </w:r>
          </w:p>
        </w:tc>
        <w:tc>
          <w:tcPr>
            <w:tcW w:w="1596" w:type="dxa"/>
            <w:gridSpan w:val="2"/>
            <w:vAlign w:val="center"/>
          </w:tcPr>
          <w:p w14:paraId="88CE3947">
            <w:pPr>
              <w:widowControl w:val="0"/>
              <w:spacing w:line="240" w:lineRule="auto"/>
              <w:jc w:val="center"/>
              <w:rPr>
                <w:rFonts w:hint="eastAsia" w:ascii="宋体"/>
                <w:color w:val="auto"/>
                <w:sz w:val="24"/>
                <w:highlight w:val="none"/>
              </w:rPr>
            </w:pPr>
            <w:r>
              <w:rPr>
                <w:rFonts w:hint="eastAsia" w:ascii="宋体"/>
                <w:color w:val="auto"/>
                <w:sz w:val="24"/>
                <w:highlight w:val="none"/>
              </w:rPr>
              <w:t>职工总人数</w:t>
            </w:r>
          </w:p>
        </w:tc>
        <w:tc>
          <w:tcPr>
            <w:tcW w:w="1727" w:type="dxa"/>
            <w:gridSpan w:val="2"/>
            <w:vAlign w:val="center"/>
          </w:tcPr>
          <w:p w14:paraId="53AFA498">
            <w:pPr>
              <w:widowControl w:val="0"/>
              <w:spacing w:line="240" w:lineRule="auto"/>
              <w:jc w:val="center"/>
              <w:rPr>
                <w:rFonts w:hint="eastAsia" w:ascii="宋体"/>
                <w:color w:val="auto"/>
                <w:sz w:val="24"/>
                <w:highlight w:val="none"/>
              </w:rPr>
            </w:pPr>
            <w:r>
              <w:rPr>
                <w:rFonts w:hint="eastAsia" w:ascii="宋体"/>
                <w:color w:val="auto"/>
                <w:sz w:val="24"/>
                <w:highlight w:val="none"/>
              </w:rPr>
              <w:t>人</w:t>
            </w:r>
          </w:p>
        </w:tc>
        <w:tc>
          <w:tcPr>
            <w:tcW w:w="2640" w:type="dxa"/>
            <w:gridSpan w:val="3"/>
            <w:vAlign w:val="center"/>
          </w:tcPr>
          <w:p w14:paraId="98E831AA">
            <w:pPr>
              <w:widowControl w:val="0"/>
              <w:spacing w:line="240" w:lineRule="auto"/>
              <w:jc w:val="center"/>
              <w:rPr>
                <w:rFonts w:hint="eastAsia" w:ascii="宋体"/>
                <w:color w:val="auto"/>
                <w:sz w:val="24"/>
                <w:highlight w:val="none"/>
              </w:rPr>
            </w:pPr>
            <w:r>
              <w:rPr>
                <w:rFonts w:hint="eastAsia" w:ascii="宋体"/>
                <w:color w:val="auto"/>
                <w:sz w:val="24"/>
                <w:highlight w:val="none"/>
              </w:rPr>
              <w:t>工程技术人员</w:t>
            </w:r>
          </w:p>
        </w:tc>
        <w:tc>
          <w:tcPr>
            <w:tcW w:w="2022" w:type="dxa"/>
            <w:vAlign w:val="center"/>
          </w:tcPr>
          <w:p w14:paraId="729D9FE7">
            <w:pPr>
              <w:widowControl w:val="0"/>
              <w:spacing w:line="240" w:lineRule="auto"/>
              <w:jc w:val="center"/>
              <w:rPr>
                <w:rFonts w:hint="eastAsia" w:ascii="宋体"/>
                <w:color w:val="auto"/>
                <w:sz w:val="24"/>
                <w:highlight w:val="none"/>
              </w:rPr>
            </w:pPr>
            <w:r>
              <w:rPr>
                <w:rFonts w:hint="eastAsia" w:ascii="宋体"/>
                <w:color w:val="auto"/>
                <w:sz w:val="24"/>
                <w:highlight w:val="none"/>
              </w:rPr>
              <w:t>人</w:t>
            </w:r>
          </w:p>
        </w:tc>
      </w:tr>
      <w:tr w14:paraId="9892C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3" w:hRule="atLeast"/>
          <w:jc w:val="center"/>
        </w:trPr>
        <w:tc>
          <w:tcPr>
            <w:tcW w:w="1475" w:type="dxa"/>
            <w:vMerge w:val="continue"/>
            <w:vAlign w:val="center"/>
          </w:tcPr>
          <w:p w14:paraId="F43404C7">
            <w:pPr>
              <w:widowControl w:val="0"/>
              <w:spacing w:line="240" w:lineRule="auto"/>
              <w:jc w:val="center"/>
              <w:rPr>
                <w:color w:val="auto"/>
                <w:highlight w:val="none"/>
              </w:rPr>
            </w:pPr>
          </w:p>
        </w:tc>
        <w:tc>
          <w:tcPr>
            <w:tcW w:w="1596" w:type="dxa"/>
            <w:gridSpan w:val="2"/>
            <w:vAlign w:val="center"/>
          </w:tcPr>
          <w:p w14:paraId="6EFBB093">
            <w:pPr>
              <w:widowControl w:val="0"/>
              <w:spacing w:line="240" w:lineRule="auto"/>
              <w:jc w:val="center"/>
              <w:rPr>
                <w:rFonts w:hint="eastAsia" w:ascii="宋体"/>
                <w:color w:val="auto"/>
                <w:sz w:val="24"/>
                <w:highlight w:val="none"/>
              </w:rPr>
            </w:pPr>
            <w:r>
              <w:rPr>
                <w:rFonts w:hint="eastAsia" w:ascii="宋体"/>
                <w:color w:val="auto"/>
                <w:sz w:val="24"/>
                <w:highlight w:val="none"/>
              </w:rPr>
              <w:t>生产工人</w:t>
            </w:r>
          </w:p>
        </w:tc>
        <w:tc>
          <w:tcPr>
            <w:tcW w:w="1727" w:type="dxa"/>
            <w:gridSpan w:val="2"/>
            <w:vAlign w:val="center"/>
          </w:tcPr>
          <w:p w14:paraId="00BA7020">
            <w:pPr>
              <w:widowControl w:val="0"/>
              <w:spacing w:line="240" w:lineRule="auto"/>
              <w:jc w:val="center"/>
              <w:rPr>
                <w:rFonts w:hint="eastAsia" w:ascii="宋体"/>
                <w:color w:val="auto"/>
                <w:sz w:val="24"/>
                <w:highlight w:val="none"/>
              </w:rPr>
            </w:pPr>
            <w:r>
              <w:rPr>
                <w:rFonts w:hint="eastAsia" w:ascii="宋体"/>
                <w:color w:val="auto"/>
                <w:sz w:val="24"/>
                <w:highlight w:val="none"/>
              </w:rPr>
              <w:t>人</w:t>
            </w:r>
          </w:p>
        </w:tc>
        <w:tc>
          <w:tcPr>
            <w:tcW w:w="2640" w:type="dxa"/>
            <w:gridSpan w:val="3"/>
            <w:vAlign w:val="center"/>
          </w:tcPr>
          <w:p w14:paraId="F5A2B828">
            <w:pPr>
              <w:widowControl w:val="0"/>
              <w:spacing w:line="240" w:lineRule="auto"/>
              <w:jc w:val="center"/>
              <w:rPr>
                <w:rFonts w:hint="eastAsia" w:ascii="宋体"/>
                <w:color w:val="auto"/>
                <w:sz w:val="24"/>
                <w:highlight w:val="none"/>
              </w:rPr>
            </w:pPr>
            <w:r>
              <w:rPr>
                <w:rFonts w:hint="eastAsia" w:ascii="宋体"/>
                <w:color w:val="auto"/>
                <w:sz w:val="24"/>
                <w:highlight w:val="none"/>
              </w:rPr>
              <w:t>销售人员</w:t>
            </w:r>
          </w:p>
        </w:tc>
        <w:tc>
          <w:tcPr>
            <w:tcW w:w="2022" w:type="dxa"/>
            <w:vAlign w:val="center"/>
          </w:tcPr>
          <w:p w14:paraId="63ED0418">
            <w:pPr>
              <w:widowControl w:val="0"/>
              <w:spacing w:line="240" w:lineRule="auto"/>
              <w:jc w:val="center"/>
              <w:rPr>
                <w:rFonts w:hint="eastAsia" w:ascii="宋体"/>
                <w:color w:val="auto"/>
                <w:sz w:val="24"/>
                <w:highlight w:val="none"/>
              </w:rPr>
            </w:pPr>
            <w:r>
              <w:rPr>
                <w:rFonts w:hint="eastAsia" w:ascii="宋体"/>
                <w:color w:val="auto"/>
                <w:sz w:val="24"/>
                <w:highlight w:val="none"/>
              </w:rPr>
              <w:t>人</w:t>
            </w:r>
          </w:p>
        </w:tc>
      </w:tr>
      <w:tr w14:paraId="8F407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18" w:hRule="atLeast"/>
          <w:jc w:val="center"/>
        </w:trPr>
        <w:tc>
          <w:tcPr>
            <w:tcW w:w="1475" w:type="dxa"/>
            <w:vMerge w:val="continue"/>
            <w:vAlign w:val="center"/>
          </w:tcPr>
          <w:p w14:paraId="8A990D64">
            <w:pPr>
              <w:widowControl w:val="0"/>
              <w:spacing w:line="240" w:lineRule="auto"/>
              <w:jc w:val="center"/>
              <w:rPr>
                <w:color w:val="auto"/>
                <w:highlight w:val="none"/>
              </w:rPr>
            </w:pPr>
          </w:p>
        </w:tc>
        <w:tc>
          <w:tcPr>
            <w:tcW w:w="1042" w:type="dxa"/>
            <w:vAlign w:val="center"/>
          </w:tcPr>
          <w:p w14:paraId="BEB9C558">
            <w:pPr>
              <w:widowControl w:val="0"/>
              <w:spacing w:line="240" w:lineRule="auto"/>
              <w:jc w:val="center"/>
              <w:rPr>
                <w:rFonts w:hint="eastAsia" w:ascii="宋体"/>
                <w:color w:val="auto"/>
                <w:sz w:val="24"/>
                <w:highlight w:val="none"/>
              </w:rPr>
            </w:pPr>
            <w:r>
              <w:rPr>
                <w:rFonts w:hint="eastAsia" w:ascii="宋体"/>
                <w:color w:val="auto"/>
                <w:sz w:val="24"/>
                <w:highlight w:val="none"/>
              </w:rPr>
              <w:t>固定</w:t>
            </w:r>
          </w:p>
          <w:p w14:paraId="229F8586">
            <w:pPr>
              <w:widowControl w:val="0"/>
              <w:spacing w:line="240" w:lineRule="auto"/>
              <w:jc w:val="center"/>
              <w:rPr>
                <w:rFonts w:hint="eastAsia" w:ascii="宋体"/>
                <w:color w:val="auto"/>
                <w:sz w:val="24"/>
                <w:highlight w:val="none"/>
              </w:rPr>
            </w:pPr>
            <w:r>
              <w:rPr>
                <w:rFonts w:hint="eastAsia" w:ascii="宋体"/>
                <w:color w:val="auto"/>
                <w:sz w:val="24"/>
                <w:highlight w:val="none"/>
              </w:rPr>
              <w:t>资产</w:t>
            </w:r>
          </w:p>
        </w:tc>
        <w:tc>
          <w:tcPr>
            <w:tcW w:w="2281" w:type="dxa"/>
            <w:gridSpan w:val="3"/>
            <w:vAlign w:val="center"/>
          </w:tcPr>
          <w:p w14:paraId="97E4C167">
            <w:pPr>
              <w:widowControl w:val="0"/>
              <w:spacing w:line="240" w:lineRule="auto"/>
              <w:jc w:val="center"/>
              <w:rPr>
                <w:rFonts w:hint="eastAsia" w:ascii="宋体"/>
                <w:color w:val="auto"/>
                <w:sz w:val="24"/>
                <w:highlight w:val="none"/>
              </w:rPr>
            </w:pPr>
            <w:r>
              <w:rPr>
                <w:rFonts w:hint="eastAsia" w:ascii="宋体"/>
                <w:color w:val="auto"/>
                <w:sz w:val="24"/>
                <w:highlight w:val="none"/>
              </w:rPr>
              <w:t>万元</w:t>
            </w:r>
          </w:p>
        </w:tc>
        <w:tc>
          <w:tcPr>
            <w:tcW w:w="1460" w:type="dxa"/>
            <w:vAlign w:val="center"/>
          </w:tcPr>
          <w:p w14:paraId="E483B196">
            <w:pPr>
              <w:widowControl w:val="0"/>
              <w:spacing w:line="240" w:lineRule="auto"/>
              <w:jc w:val="center"/>
              <w:rPr>
                <w:rFonts w:hint="eastAsia" w:ascii="宋体"/>
                <w:color w:val="auto"/>
                <w:sz w:val="24"/>
                <w:highlight w:val="none"/>
              </w:rPr>
            </w:pPr>
            <w:r>
              <w:rPr>
                <w:rFonts w:hint="eastAsia" w:ascii="宋体"/>
                <w:color w:val="auto"/>
                <w:sz w:val="24"/>
                <w:highlight w:val="none"/>
              </w:rPr>
              <w:t>流动</w:t>
            </w:r>
          </w:p>
          <w:p w14:paraId="7F546115">
            <w:pPr>
              <w:widowControl w:val="0"/>
              <w:spacing w:line="240" w:lineRule="auto"/>
              <w:jc w:val="center"/>
              <w:rPr>
                <w:rFonts w:hint="eastAsia" w:ascii="宋体"/>
                <w:color w:val="auto"/>
                <w:sz w:val="24"/>
                <w:highlight w:val="none"/>
              </w:rPr>
            </w:pPr>
            <w:r>
              <w:rPr>
                <w:rFonts w:hint="eastAsia" w:ascii="宋体"/>
                <w:color w:val="auto"/>
                <w:sz w:val="24"/>
                <w:highlight w:val="none"/>
              </w:rPr>
              <w:t>资金</w:t>
            </w:r>
          </w:p>
        </w:tc>
        <w:tc>
          <w:tcPr>
            <w:tcW w:w="3202" w:type="dxa"/>
            <w:gridSpan w:val="3"/>
            <w:vAlign w:val="center"/>
          </w:tcPr>
          <w:p w14:paraId="37D072A9">
            <w:pPr>
              <w:widowControl w:val="0"/>
              <w:spacing w:line="240" w:lineRule="auto"/>
              <w:jc w:val="center"/>
              <w:rPr>
                <w:rFonts w:hint="eastAsia" w:ascii="宋体"/>
                <w:color w:val="auto"/>
                <w:sz w:val="24"/>
                <w:highlight w:val="none"/>
              </w:rPr>
            </w:pPr>
            <w:r>
              <w:rPr>
                <w:rFonts w:hint="eastAsia" w:ascii="宋体"/>
                <w:color w:val="auto"/>
                <w:sz w:val="24"/>
                <w:highlight w:val="none"/>
              </w:rPr>
              <w:t>万元</w:t>
            </w:r>
          </w:p>
        </w:tc>
      </w:tr>
      <w:tr w14:paraId="9DDFB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18" w:hRule="atLeast"/>
          <w:jc w:val="center"/>
        </w:trPr>
        <w:tc>
          <w:tcPr>
            <w:tcW w:w="1475" w:type="dxa"/>
            <w:vAlign w:val="center"/>
          </w:tcPr>
          <w:p w14:paraId="7F9C9F1B">
            <w:pPr>
              <w:widowControl w:val="0"/>
              <w:spacing w:line="240" w:lineRule="auto"/>
              <w:jc w:val="center"/>
              <w:rPr>
                <w:rFonts w:hint="eastAsia" w:ascii="宋体" w:eastAsia="宋体"/>
                <w:color w:val="auto"/>
                <w:sz w:val="24"/>
                <w:highlight w:val="none"/>
                <w:lang w:eastAsia="zh-CN"/>
              </w:rPr>
            </w:pPr>
            <w:r>
              <w:rPr>
                <w:rFonts w:hint="eastAsia" w:ascii="宋体"/>
                <w:color w:val="auto"/>
                <w:sz w:val="24"/>
                <w:highlight w:val="none"/>
                <w:lang w:eastAsia="zh-CN"/>
              </w:rPr>
              <w:t>企业资质</w:t>
            </w:r>
          </w:p>
        </w:tc>
        <w:tc>
          <w:tcPr>
            <w:tcW w:w="7985" w:type="dxa"/>
            <w:gridSpan w:val="8"/>
            <w:vAlign w:val="center"/>
          </w:tcPr>
          <w:p w14:paraId="DB260A50">
            <w:pPr>
              <w:widowControl w:val="0"/>
              <w:spacing w:line="240" w:lineRule="auto"/>
              <w:jc w:val="center"/>
              <w:rPr>
                <w:rFonts w:hint="eastAsia" w:ascii="宋体"/>
                <w:color w:val="auto"/>
                <w:sz w:val="24"/>
                <w:highlight w:val="none"/>
              </w:rPr>
            </w:pPr>
          </w:p>
          <w:p w14:paraId="6B8A6B50">
            <w:pPr>
              <w:widowControl w:val="0"/>
              <w:spacing w:line="240" w:lineRule="auto"/>
              <w:jc w:val="center"/>
              <w:rPr>
                <w:rFonts w:hint="eastAsia" w:ascii="宋体"/>
                <w:color w:val="auto"/>
                <w:sz w:val="24"/>
                <w:highlight w:val="none"/>
              </w:rPr>
            </w:pPr>
          </w:p>
        </w:tc>
      </w:tr>
      <w:tr w14:paraId="3BEE3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5" w:hRule="atLeast"/>
          <w:jc w:val="center"/>
        </w:trPr>
        <w:tc>
          <w:tcPr>
            <w:tcW w:w="1475" w:type="dxa"/>
            <w:vAlign w:val="center"/>
          </w:tcPr>
          <w:p w14:paraId="1CCD3AF8">
            <w:pPr>
              <w:widowControl w:val="0"/>
              <w:spacing w:line="240" w:lineRule="auto"/>
              <w:jc w:val="center"/>
              <w:rPr>
                <w:rFonts w:hint="eastAsia" w:ascii="宋体"/>
                <w:color w:val="auto"/>
                <w:sz w:val="24"/>
                <w:highlight w:val="none"/>
              </w:rPr>
            </w:pPr>
            <w:r>
              <w:rPr>
                <w:rFonts w:hint="eastAsia" w:ascii="宋体"/>
                <w:color w:val="auto"/>
                <w:sz w:val="24"/>
                <w:highlight w:val="none"/>
                <w:lang w:eastAsia="zh-CN"/>
              </w:rPr>
              <w:t>经营范围</w:t>
            </w:r>
          </w:p>
        </w:tc>
        <w:tc>
          <w:tcPr>
            <w:tcW w:w="7985" w:type="dxa"/>
            <w:gridSpan w:val="8"/>
            <w:vAlign w:val="center"/>
          </w:tcPr>
          <w:p w14:paraId="F1683A2F">
            <w:pPr>
              <w:widowControl w:val="0"/>
              <w:spacing w:line="240" w:lineRule="auto"/>
              <w:jc w:val="center"/>
              <w:rPr>
                <w:rFonts w:hint="eastAsia" w:ascii="宋体"/>
                <w:color w:val="auto"/>
                <w:sz w:val="24"/>
                <w:highlight w:val="none"/>
              </w:rPr>
            </w:pPr>
          </w:p>
        </w:tc>
      </w:tr>
    </w:tbl>
    <w:p w14:paraId="8E10CD87">
      <w:pPr>
        <w:widowControl w:val="0"/>
        <w:spacing w:line="480" w:lineRule="auto"/>
        <w:ind w:left="422" w:hanging="422" w:hangingChars="200"/>
        <w:jc w:val="both"/>
        <w:rPr>
          <w:rFonts w:hint="eastAsia" w:ascii="宋体" w:eastAsia="宋体"/>
          <w:b/>
          <w:color w:val="auto"/>
          <w:sz w:val="21"/>
          <w:szCs w:val="21"/>
          <w:highlight w:val="none"/>
          <w:lang w:eastAsia="zh-CN"/>
        </w:rPr>
      </w:pPr>
      <w:r>
        <w:rPr>
          <w:rFonts w:hint="eastAsia" w:ascii="宋体"/>
          <w:b/>
          <w:color w:val="auto"/>
          <w:sz w:val="21"/>
          <w:szCs w:val="21"/>
          <w:highlight w:val="none"/>
        </w:rPr>
        <w:t>注：后附营业执照复印件</w:t>
      </w:r>
      <w:r>
        <w:rPr>
          <w:rFonts w:hint="eastAsia" w:ascii="宋体"/>
          <w:b/>
          <w:color w:val="auto"/>
          <w:sz w:val="21"/>
          <w:szCs w:val="21"/>
          <w:highlight w:val="none"/>
          <w:lang w:eastAsia="zh-CN"/>
        </w:rPr>
        <w:t>、</w:t>
      </w:r>
      <w:r>
        <w:rPr>
          <w:rFonts w:hint="eastAsia" w:ascii="宋体"/>
          <w:b/>
          <w:color w:val="auto"/>
          <w:sz w:val="21"/>
          <w:szCs w:val="21"/>
          <w:highlight w:val="none"/>
        </w:rPr>
        <w:t>资质证书复印件</w:t>
      </w:r>
      <w:r>
        <w:rPr>
          <w:rFonts w:hint="eastAsia" w:ascii="宋体"/>
          <w:b/>
          <w:color w:val="auto"/>
          <w:sz w:val="21"/>
          <w:szCs w:val="21"/>
          <w:highlight w:val="none"/>
          <w:lang w:eastAsia="zh-CN"/>
        </w:rPr>
        <w:t>（如有）</w:t>
      </w:r>
    </w:p>
    <w:p w14:paraId="F79CABBE">
      <w:pPr>
        <w:rPr>
          <w:rFonts w:hint="eastAsia"/>
          <w:color w:val="auto"/>
          <w:sz w:val="24"/>
          <w:szCs w:val="24"/>
          <w:highlight w:val="none"/>
        </w:rPr>
      </w:pPr>
      <w:r>
        <w:rPr>
          <w:rFonts w:hint="eastAsia"/>
          <w:color w:val="auto"/>
          <w:sz w:val="24"/>
          <w:szCs w:val="24"/>
          <w:highlight w:val="none"/>
        </w:rPr>
        <w:t>投标单位：（印刷体及公章）</w:t>
      </w:r>
    </w:p>
    <w:p w14:paraId="2BC8D87C">
      <w:pPr>
        <w:rPr>
          <w:rFonts w:hint="eastAsia"/>
          <w:color w:val="auto"/>
          <w:sz w:val="24"/>
          <w:szCs w:val="24"/>
          <w:highlight w:val="none"/>
        </w:rPr>
      </w:pPr>
      <w:r>
        <w:rPr>
          <w:rFonts w:hint="eastAsia"/>
          <w:color w:val="auto"/>
          <w:sz w:val="24"/>
          <w:szCs w:val="24"/>
          <w:highlight w:val="none"/>
        </w:rPr>
        <w:t>法定代表人或其授权代表人：（签字</w:t>
      </w:r>
      <w:r>
        <w:rPr>
          <w:rFonts w:hint="eastAsia"/>
          <w:color w:val="auto"/>
          <w:sz w:val="24"/>
          <w:szCs w:val="24"/>
          <w:highlight w:val="none"/>
          <w:lang w:eastAsia="zh-CN"/>
        </w:rPr>
        <w:t>并盖章</w:t>
      </w:r>
      <w:r>
        <w:rPr>
          <w:rFonts w:hint="eastAsia"/>
          <w:color w:val="auto"/>
          <w:sz w:val="24"/>
          <w:szCs w:val="24"/>
          <w:highlight w:val="none"/>
        </w:rPr>
        <w:t>）</w:t>
      </w:r>
    </w:p>
    <w:p w14:paraId="DAB2DDEE">
      <w:pPr>
        <w:pStyle w:val="5"/>
        <w:ind w:left="0" w:leftChars="0" w:firstLine="0" w:firstLineChars="0"/>
        <w:rPr>
          <w:rFonts w:hint="eastAsia"/>
          <w:color w:val="auto"/>
          <w:highlight w:val="none"/>
        </w:rPr>
      </w:pPr>
    </w:p>
    <w:p w14:paraId="F62BACA4">
      <w:pPr>
        <w:pStyle w:val="5"/>
        <w:ind w:left="0" w:leftChars="0" w:firstLine="0" w:firstLineChars="0"/>
        <w:rPr>
          <w:rFonts w:hint="eastAsia"/>
          <w:color w:val="auto"/>
          <w:highlight w:val="none"/>
        </w:rPr>
      </w:pPr>
    </w:p>
    <w:p w14:paraId="A58E445E">
      <w:pPr>
        <w:spacing w:line="360" w:lineRule="auto"/>
        <w:rPr>
          <w:rFonts w:hint="eastAsia" w:ascii="宋体"/>
          <w:b/>
          <w:color w:val="auto"/>
          <w:sz w:val="24"/>
          <w:highlight w:val="none"/>
        </w:rPr>
      </w:pPr>
    </w:p>
    <w:p w14:paraId="33FB896B">
      <w:pPr>
        <w:spacing w:line="240" w:lineRule="auto"/>
        <w:rPr>
          <w:rFonts w:hint="eastAsia" w:ascii="宋体"/>
          <w:b/>
          <w:color w:val="auto"/>
          <w:sz w:val="24"/>
          <w:highlight w:val="none"/>
        </w:rPr>
      </w:pPr>
      <w:r>
        <w:rPr>
          <w:rFonts w:hint="eastAsia" w:ascii="宋体"/>
          <w:b/>
          <w:color w:val="auto"/>
          <w:sz w:val="24"/>
          <w:highlight w:val="none"/>
        </w:rPr>
        <w:t>格式8</w:t>
      </w:r>
    </w:p>
    <w:p w14:paraId="A48EC9CD">
      <w:pPr>
        <w:spacing w:line="360" w:lineRule="auto"/>
        <w:jc w:val="center"/>
        <w:rPr>
          <w:rFonts w:hint="eastAsia" w:ascii="宋体"/>
          <w:b/>
          <w:color w:val="auto"/>
          <w:sz w:val="30"/>
          <w:szCs w:val="30"/>
          <w:highlight w:val="none"/>
        </w:rPr>
      </w:pPr>
      <w:r>
        <w:rPr>
          <w:rFonts w:hint="eastAsia" w:ascii="宋体"/>
          <w:b/>
          <w:color w:val="auto"/>
          <w:sz w:val="30"/>
          <w:szCs w:val="30"/>
          <w:highlight w:val="none"/>
          <w:lang w:eastAsia="zh-CN"/>
        </w:rPr>
        <w:t>类似项目</w:t>
      </w:r>
      <w:r>
        <w:rPr>
          <w:rFonts w:hint="eastAsia" w:ascii="宋体"/>
          <w:b/>
          <w:color w:val="auto"/>
          <w:sz w:val="30"/>
          <w:szCs w:val="30"/>
          <w:highlight w:val="none"/>
        </w:rPr>
        <w:t>业绩</w:t>
      </w:r>
    </w:p>
    <w:tbl>
      <w:tblPr>
        <w:tblStyle w:val="16"/>
        <w:tblW w:w="96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3746"/>
        <w:gridCol w:w="2506"/>
        <w:gridCol w:w="2501"/>
      </w:tblGrid>
      <w:tr w14:paraId="3799F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5C8FC998">
            <w:pPr>
              <w:spacing w:before="312" w:beforeLines="100" w:line="360" w:lineRule="auto"/>
              <w:jc w:val="center"/>
              <w:rPr>
                <w:rFonts w:hint="eastAsia" w:ascii="宋体"/>
                <w:color w:val="auto"/>
                <w:sz w:val="24"/>
                <w:highlight w:val="none"/>
              </w:rPr>
            </w:pPr>
            <w:r>
              <w:rPr>
                <w:rFonts w:hint="eastAsia" w:ascii="宋体"/>
                <w:color w:val="auto"/>
                <w:sz w:val="24"/>
                <w:highlight w:val="none"/>
              </w:rPr>
              <w:t>序号</w:t>
            </w:r>
          </w:p>
        </w:tc>
        <w:tc>
          <w:tcPr>
            <w:tcW w:w="3746" w:type="dxa"/>
            <w:vAlign w:val="center"/>
          </w:tcPr>
          <w:p w14:paraId="519AC454">
            <w:pPr>
              <w:spacing w:before="312" w:beforeLines="100" w:line="360" w:lineRule="auto"/>
              <w:jc w:val="center"/>
              <w:rPr>
                <w:rFonts w:hint="eastAsia" w:ascii="宋体"/>
                <w:color w:val="auto"/>
                <w:sz w:val="24"/>
                <w:highlight w:val="none"/>
              </w:rPr>
            </w:pPr>
            <w:r>
              <w:rPr>
                <w:rFonts w:hint="eastAsia" w:ascii="宋体"/>
                <w:color w:val="auto"/>
                <w:sz w:val="24"/>
                <w:highlight w:val="none"/>
              </w:rPr>
              <w:t>合同名称/内容</w:t>
            </w:r>
          </w:p>
        </w:tc>
        <w:tc>
          <w:tcPr>
            <w:tcW w:w="2506" w:type="dxa"/>
            <w:vAlign w:val="center"/>
          </w:tcPr>
          <w:p w14:paraId="D66014D2">
            <w:pPr>
              <w:spacing w:before="312" w:beforeLines="100" w:line="360" w:lineRule="auto"/>
              <w:jc w:val="center"/>
              <w:rPr>
                <w:rFonts w:hint="eastAsia" w:ascii="宋体"/>
                <w:color w:val="auto"/>
                <w:sz w:val="24"/>
                <w:highlight w:val="none"/>
              </w:rPr>
            </w:pPr>
            <w:r>
              <w:rPr>
                <w:rFonts w:hint="eastAsia" w:ascii="宋体"/>
                <w:color w:val="auto"/>
                <w:sz w:val="24"/>
                <w:highlight w:val="none"/>
              </w:rPr>
              <w:t>合同金额</w:t>
            </w:r>
          </w:p>
        </w:tc>
        <w:tc>
          <w:tcPr>
            <w:tcW w:w="2501" w:type="dxa"/>
            <w:vAlign w:val="center"/>
          </w:tcPr>
          <w:p w14:paraId="12251684">
            <w:pPr>
              <w:spacing w:before="312" w:beforeLines="100" w:line="360" w:lineRule="auto"/>
              <w:jc w:val="center"/>
              <w:rPr>
                <w:rFonts w:hint="eastAsia" w:ascii="宋体"/>
                <w:color w:val="auto"/>
                <w:sz w:val="24"/>
                <w:highlight w:val="none"/>
              </w:rPr>
            </w:pPr>
            <w:r>
              <w:rPr>
                <w:rFonts w:hint="eastAsia" w:ascii="宋体"/>
                <w:color w:val="auto"/>
                <w:sz w:val="24"/>
                <w:highlight w:val="none"/>
              </w:rPr>
              <w:t>合同签订日期（年）</w:t>
            </w:r>
          </w:p>
        </w:tc>
      </w:tr>
      <w:tr w14:paraId="10990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3419C4BF">
            <w:pPr>
              <w:spacing w:line="360" w:lineRule="auto"/>
              <w:jc w:val="center"/>
              <w:rPr>
                <w:rFonts w:hint="eastAsia" w:ascii="宋体"/>
                <w:color w:val="auto"/>
                <w:sz w:val="24"/>
                <w:highlight w:val="none"/>
              </w:rPr>
            </w:pPr>
          </w:p>
        </w:tc>
        <w:tc>
          <w:tcPr>
            <w:tcW w:w="3746" w:type="dxa"/>
            <w:vAlign w:val="center"/>
          </w:tcPr>
          <w:p w14:paraId="538EF09D">
            <w:pPr>
              <w:spacing w:line="360" w:lineRule="auto"/>
              <w:jc w:val="center"/>
              <w:rPr>
                <w:rFonts w:hint="eastAsia" w:ascii="宋体"/>
                <w:color w:val="auto"/>
                <w:sz w:val="24"/>
                <w:highlight w:val="none"/>
              </w:rPr>
            </w:pPr>
          </w:p>
        </w:tc>
        <w:tc>
          <w:tcPr>
            <w:tcW w:w="2506" w:type="dxa"/>
            <w:vAlign w:val="center"/>
          </w:tcPr>
          <w:p w14:paraId="D2A72E54">
            <w:pPr>
              <w:spacing w:line="360" w:lineRule="auto"/>
              <w:jc w:val="center"/>
              <w:rPr>
                <w:rFonts w:hint="eastAsia" w:ascii="宋体"/>
                <w:color w:val="auto"/>
                <w:sz w:val="24"/>
                <w:highlight w:val="none"/>
              </w:rPr>
            </w:pPr>
          </w:p>
        </w:tc>
        <w:tc>
          <w:tcPr>
            <w:tcW w:w="2501" w:type="dxa"/>
            <w:vAlign w:val="center"/>
          </w:tcPr>
          <w:p w14:paraId="66E2720A">
            <w:pPr>
              <w:spacing w:line="360" w:lineRule="auto"/>
              <w:jc w:val="center"/>
              <w:rPr>
                <w:rFonts w:hint="eastAsia" w:ascii="宋体"/>
                <w:color w:val="auto"/>
                <w:sz w:val="24"/>
                <w:highlight w:val="none"/>
              </w:rPr>
            </w:pPr>
          </w:p>
        </w:tc>
      </w:tr>
      <w:tr w14:paraId="5AB5F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48211A42">
            <w:pPr>
              <w:spacing w:line="360" w:lineRule="auto"/>
              <w:jc w:val="center"/>
              <w:rPr>
                <w:rFonts w:hint="eastAsia" w:ascii="宋体"/>
                <w:color w:val="auto"/>
                <w:sz w:val="24"/>
                <w:highlight w:val="none"/>
              </w:rPr>
            </w:pPr>
          </w:p>
        </w:tc>
        <w:tc>
          <w:tcPr>
            <w:tcW w:w="3746" w:type="dxa"/>
            <w:vAlign w:val="center"/>
          </w:tcPr>
          <w:p w14:paraId="324F5FC2">
            <w:pPr>
              <w:spacing w:line="360" w:lineRule="auto"/>
              <w:jc w:val="center"/>
              <w:rPr>
                <w:rFonts w:hint="eastAsia" w:ascii="宋体"/>
                <w:color w:val="auto"/>
                <w:sz w:val="24"/>
                <w:highlight w:val="none"/>
              </w:rPr>
            </w:pPr>
          </w:p>
        </w:tc>
        <w:tc>
          <w:tcPr>
            <w:tcW w:w="2506" w:type="dxa"/>
            <w:vAlign w:val="center"/>
          </w:tcPr>
          <w:p w14:paraId="9FEF10BC">
            <w:pPr>
              <w:spacing w:line="360" w:lineRule="auto"/>
              <w:jc w:val="center"/>
              <w:rPr>
                <w:rFonts w:hint="eastAsia" w:ascii="宋体"/>
                <w:color w:val="auto"/>
                <w:sz w:val="24"/>
                <w:highlight w:val="none"/>
              </w:rPr>
            </w:pPr>
          </w:p>
        </w:tc>
        <w:tc>
          <w:tcPr>
            <w:tcW w:w="2501" w:type="dxa"/>
            <w:vAlign w:val="center"/>
          </w:tcPr>
          <w:p w14:paraId="C24FFB24">
            <w:pPr>
              <w:spacing w:line="360" w:lineRule="auto"/>
              <w:jc w:val="center"/>
              <w:rPr>
                <w:rFonts w:hint="eastAsia" w:ascii="宋体"/>
                <w:color w:val="auto"/>
                <w:sz w:val="24"/>
                <w:highlight w:val="none"/>
              </w:rPr>
            </w:pPr>
          </w:p>
        </w:tc>
      </w:tr>
      <w:tr w14:paraId="5A8E2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CE3AA327">
            <w:pPr>
              <w:spacing w:line="360" w:lineRule="auto"/>
              <w:jc w:val="center"/>
              <w:rPr>
                <w:rFonts w:hint="eastAsia" w:ascii="宋体"/>
                <w:color w:val="auto"/>
                <w:sz w:val="24"/>
                <w:highlight w:val="none"/>
              </w:rPr>
            </w:pPr>
          </w:p>
        </w:tc>
        <w:tc>
          <w:tcPr>
            <w:tcW w:w="3746" w:type="dxa"/>
            <w:vAlign w:val="center"/>
          </w:tcPr>
          <w:p w14:paraId="41E3F82D">
            <w:pPr>
              <w:spacing w:line="360" w:lineRule="auto"/>
              <w:jc w:val="center"/>
              <w:rPr>
                <w:rFonts w:hint="eastAsia" w:ascii="宋体"/>
                <w:color w:val="auto"/>
                <w:sz w:val="24"/>
                <w:highlight w:val="none"/>
              </w:rPr>
            </w:pPr>
          </w:p>
        </w:tc>
        <w:tc>
          <w:tcPr>
            <w:tcW w:w="2506" w:type="dxa"/>
            <w:vAlign w:val="center"/>
          </w:tcPr>
          <w:p w14:paraId="78BD3C13">
            <w:pPr>
              <w:spacing w:line="360" w:lineRule="auto"/>
              <w:jc w:val="center"/>
              <w:rPr>
                <w:rFonts w:hint="eastAsia" w:ascii="宋体"/>
                <w:color w:val="auto"/>
                <w:sz w:val="24"/>
                <w:highlight w:val="none"/>
              </w:rPr>
            </w:pPr>
          </w:p>
        </w:tc>
        <w:tc>
          <w:tcPr>
            <w:tcW w:w="2501" w:type="dxa"/>
            <w:vAlign w:val="center"/>
          </w:tcPr>
          <w:p w14:paraId="238E1466">
            <w:pPr>
              <w:spacing w:line="360" w:lineRule="auto"/>
              <w:jc w:val="center"/>
              <w:rPr>
                <w:rFonts w:hint="eastAsia" w:ascii="宋体"/>
                <w:color w:val="auto"/>
                <w:sz w:val="24"/>
                <w:highlight w:val="none"/>
              </w:rPr>
            </w:pPr>
          </w:p>
        </w:tc>
      </w:tr>
      <w:tr w14:paraId="58B6B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50791852">
            <w:pPr>
              <w:spacing w:line="360" w:lineRule="auto"/>
              <w:jc w:val="center"/>
              <w:rPr>
                <w:rFonts w:hint="eastAsia" w:ascii="宋体"/>
                <w:color w:val="auto"/>
                <w:sz w:val="24"/>
                <w:highlight w:val="none"/>
              </w:rPr>
            </w:pPr>
          </w:p>
        </w:tc>
        <w:tc>
          <w:tcPr>
            <w:tcW w:w="3746" w:type="dxa"/>
            <w:vAlign w:val="center"/>
          </w:tcPr>
          <w:p w14:paraId="762199D4">
            <w:pPr>
              <w:spacing w:line="360" w:lineRule="auto"/>
              <w:jc w:val="center"/>
              <w:rPr>
                <w:rFonts w:hint="eastAsia" w:ascii="宋体"/>
                <w:color w:val="auto"/>
                <w:sz w:val="24"/>
                <w:highlight w:val="none"/>
              </w:rPr>
            </w:pPr>
          </w:p>
        </w:tc>
        <w:tc>
          <w:tcPr>
            <w:tcW w:w="2506" w:type="dxa"/>
            <w:vAlign w:val="center"/>
          </w:tcPr>
          <w:p w14:paraId="92473C6F">
            <w:pPr>
              <w:spacing w:line="360" w:lineRule="auto"/>
              <w:jc w:val="center"/>
              <w:rPr>
                <w:rFonts w:hint="eastAsia" w:ascii="宋体"/>
                <w:color w:val="auto"/>
                <w:sz w:val="24"/>
                <w:highlight w:val="none"/>
              </w:rPr>
            </w:pPr>
          </w:p>
        </w:tc>
        <w:tc>
          <w:tcPr>
            <w:tcW w:w="2501" w:type="dxa"/>
            <w:vAlign w:val="center"/>
          </w:tcPr>
          <w:p w14:paraId="34FE154D">
            <w:pPr>
              <w:spacing w:line="360" w:lineRule="auto"/>
              <w:jc w:val="center"/>
              <w:rPr>
                <w:rFonts w:hint="eastAsia" w:ascii="宋体"/>
                <w:color w:val="auto"/>
                <w:sz w:val="24"/>
                <w:highlight w:val="none"/>
              </w:rPr>
            </w:pPr>
          </w:p>
        </w:tc>
      </w:tr>
      <w:tr w14:paraId="4DF86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0C036CA2">
            <w:pPr>
              <w:spacing w:line="360" w:lineRule="auto"/>
              <w:jc w:val="center"/>
              <w:rPr>
                <w:rFonts w:hint="eastAsia" w:ascii="宋体"/>
                <w:color w:val="auto"/>
                <w:sz w:val="24"/>
                <w:highlight w:val="none"/>
              </w:rPr>
            </w:pPr>
          </w:p>
        </w:tc>
        <w:tc>
          <w:tcPr>
            <w:tcW w:w="3746" w:type="dxa"/>
            <w:vAlign w:val="center"/>
          </w:tcPr>
          <w:p w14:paraId="0BC0AC05">
            <w:pPr>
              <w:spacing w:line="360" w:lineRule="auto"/>
              <w:jc w:val="center"/>
              <w:rPr>
                <w:rFonts w:hint="eastAsia" w:ascii="宋体"/>
                <w:color w:val="auto"/>
                <w:sz w:val="24"/>
                <w:highlight w:val="none"/>
              </w:rPr>
            </w:pPr>
          </w:p>
        </w:tc>
        <w:tc>
          <w:tcPr>
            <w:tcW w:w="2506" w:type="dxa"/>
            <w:vAlign w:val="center"/>
          </w:tcPr>
          <w:p w14:paraId="8D463E82">
            <w:pPr>
              <w:spacing w:line="360" w:lineRule="auto"/>
              <w:jc w:val="center"/>
              <w:rPr>
                <w:rFonts w:hint="eastAsia" w:ascii="宋体"/>
                <w:color w:val="auto"/>
                <w:sz w:val="24"/>
                <w:highlight w:val="none"/>
              </w:rPr>
            </w:pPr>
          </w:p>
        </w:tc>
        <w:tc>
          <w:tcPr>
            <w:tcW w:w="2501" w:type="dxa"/>
            <w:vAlign w:val="center"/>
          </w:tcPr>
          <w:p w14:paraId="7CEA3FFF">
            <w:pPr>
              <w:spacing w:line="360" w:lineRule="auto"/>
              <w:jc w:val="center"/>
              <w:rPr>
                <w:rFonts w:hint="eastAsia" w:ascii="宋体"/>
                <w:color w:val="auto"/>
                <w:sz w:val="24"/>
                <w:highlight w:val="none"/>
              </w:rPr>
            </w:pPr>
          </w:p>
        </w:tc>
      </w:tr>
      <w:tr w14:paraId="8A7FA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B554668C">
            <w:pPr>
              <w:spacing w:line="360" w:lineRule="auto"/>
              <w:jc w:val="center"/>
              <w:rPr>
                <w:rFonts w:hint="eastAsia" w:ascii="宋体"/>
                <w:color w:val="auto"/>
                <w:sz w:val="24"/>
                <w:highlight w:val="none"/>
              </w:rPr>
            </w:pPr>
          </w:p>
        </w:tc>
        <w:tc>
          <w:tcPr>
            <w:tcW w:w="3746" w:type="dxa"/>
            <w:vAlign w:val="center"/>
          </w:tcPr>
          <w:p w14:paraId="650C6C96">
            <w:pPr>
              <w:adjustRightInd w:val="0"/>
              <w:snapToGrid w:val="0"/>
              <w:spacing w:line="360" w:lineRule="auto"/>
              <w:jc w:val="center"/>
              <w:rPr>
                <w:rFonts w:hint="eastAsia" w:ascii="宋体"/>
                <w:color w:val="auto"/>
                <w:sz w:val="24"/>
                <w:highlight w:val="none"/>
              </w:rPr>
            </w:pPr>
          </w:p>
        </w:tc>
        <w:tc>
          <w:tcPr>
            <w:tcW w:w="2506" w:type="dxa"/>
            <w:vAlign w:val="center"/>
          </w:tcPr>
          <w:p w14:paraId="E8313921">
            <w:pPr>
              <w:spacing w:line="360" w:lineRule="auto"/>
              <w:jc w:val="center"/>
              <w:rPr>
                <w:rFonts w:hint="eastAsia" w:ascii="宋体"/>
                <w:color w:val="auto"/>
                <w:sz w:val="24"/>
                <w:highlight w:val="none"/>
              </w:rPr>
            </w:pPr>
          </w:p>
        </w:tc>
        <w:tc>
          <w:tcPr>
            <w:tcW w:w="2501" w:type="dxa"/>
            <w:vAlign w:val="center"/>
          </w:tcPr>
          <w:p w14:paraId="F14FD853">
            <w:pPr>
              <w:spacing w:line="360" w:lineRule="auto"/>
              <w:jc w:val="center"/>
              <w:rPr>
                <w:rFonts w:hint="eastAsia" w:ascii="宋体"/>
                <w:color w:val="auto"/>
                <w:sz w:val="24"/>
                <w:highlight w:val="none"/>
              </w:rPr>
            </w:pPr>
          </w:p>
        </w:tc>
      </w:tr>
      <w:tr w14:paraId="AF7B3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A8CA342B">
            <w:pPr>
              <w:spacing w:line="360" w:lineRule="auto"/>
              <w:jc w:val="center"/>
              <w:rPr>
                <w:rFonts w:hint="eastAsia" w:ascii="宋体"/>
                <w:color w:val="auto"/>
                <w:sz w:val="24"/>
                <w:highlight w:val="none"/>
              </w:rPr>
            </w:pPr>
          </w:p>
        </w:tc>
        <w:tc>
          <w:tcPr>
            <w:tcW w:w="3746" w:type="dxa"/>
            <w:vAlign w:val="center"/>
          </w:tcPr>
          <w:p w14:paraId="7F2969E1">
            <w:pPr>
              <w:spacing w:line="360" w:lineRule="auto"/>
              <w:jc w:val="center"/>
              <w:rPr>
                <w:rFonts w:hint="eastAsia" w:ascii="宋体"/>
                <w:color w:val="auto"/>
                <w:sz w:val="24"/>
                <w:highlight w:val="none"/>
              </w:rPr>
            </w:pPr>
          </w:p>
        </w:tc>
        <w:tc>
          <w:tcPr>
            <w:tcW w:w="2506" w:type="dxa"/>
            <w:vAlign w:val="center"/>
          </w:tcPr>
          <w:p w14:paraId="2AFA829E">
            <w:pPr>
              <w:spacing w:line="360" w:lineRule="auto"/>
              <w:jc w:val="center"/>
              <w:rPr>
                <w:rFonts w:hint="eastAsia" w:ascii="宋体"/>
                <w:color w:val="auto"/>
                <w:sz w:val="24"/>
                <w:highlight w:val="none"/>
              </w:rPr>
            </w:pPr>
          </w:p>
        </w:tc>
        <w:tc>
          <w:tcPr>
            <w:tcW w:w="2501" w:type="dxa"/>
            <w:vAlign w:val="center"/>
          </w:tcPr>
          <w:p w14:paraId="E0DD71DE">
            <w:pPr>
              <w:spacing w:line="360" w:lineRule="auto"/>
              <w:jc w:val="center"/>
              <w:rPr>
                <w:rFonts w:hint="eastAsia" w:ascii="宋体"/>
                <w:color w:val="auto"/>
                <w:sz w:val="24"/>
                <w:highlight w:val="none"/>
              </w:rPr>
            </w:pPr>
          </w:p>
        </w:tc>
      </w:tr>
      <w:tr w14:paraId="5662E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FDC36069">
            <w:pPr>
              <w:spacing w:line="360" w:lineRule="auto"/>
              <w:jc w:val="center"/>
              <w:rPr>
                <w:rFonts w:hint="eastAsia" w:ascii="宋体"/>
                <w:color w:val="auto"/>
                <w:sz w:val="24"/>
                <w:highlight w:val="none"/>
              </w:rPr>
            </w:pPr>
          </w:p>
        </w:tc>
        <w:tc>
          <w:tcPr>
            <w:tcW w:w="3746" w:type="dxa"/>
            <w:vAlign w:val="center"/>
          </w:tcPr>
          <w:p w14:paraId="BB03AB85">
            <w:pPr>
              <w:spacing w:line="360" w:lineRule="auto"/>
              <w:jc w:val="center"/>
              <w:rPr>
                <w:rFonts w:hint="eastAsia" w:ascii="宋体"/>
                <w:color w:val="auto"/>
                <w:sz w:val="24"/>
                <w:highlight w:val="none"/>
              </w:rPr>
            </w:pPr>
          </w:p>
        </w:tc>
        <w:tc>
          <w:tcPr>
            <w:tcW w:w="2506" w:type="dxa"/>
            <w:vAlign w:val="center"/>
          </w:tcPr>
          <w:p w14:paraId="35775CB6">
            <w:pPr>
              <w:spacing w:line="360" w:lineRule="auto"/>
              <w:jc w:val="center"/>
              <w:rPr>
                <w:rFonts w:hint="eastAsia" w:ascii="宋体"/>
                <w:color w:val="auto"/>
                <w:sz w:val="24"/>
                <w:highlight w:val="none"/>
              </w:rPr>
            </w:pPr>
          </w:p>
        </w:tc>
        <w:tc>
          <w:tcPr>
            <w:tcW w:w="2501" w:type="dxa"/>
            <w:vAlign w:val="center"/>
          </w:tcPr>
          <w:p w14:paraId="1AD9BCEE">
            <w:pPr>
              <w:spacing w:line="360" w:lineRule="auto"/>
              <w:jc w:val="center"/>
              <w:rPr>
                <w:rFonts w:hint="eastAsia" w:ascii="宋体"/>
                <w:color w:val="auto"/>
                <w:sz w:val="24"/>
                <w:highlight w:val="none"/>
              </w:rPr>
            </w:pPr>
          </w:p>
        </w:tc>
      </w:tr>
    </w:tbl>
    <w:p w14:paraId="72B2828E">
      <w:pPr>
        <w:spacing w:line="360" w:lineRule="auto"/>
        <w:rPr>
          <w:rFonts w:hint="eastAsia" w:ascii="宋体"/>
          <w:b/>
          <w:color w:val="auto"/>
          <w:sz w:val="24"/>
          <w:szCs w:val="24"/>
          <w:highlight w:val="none"/>
        </w:rPr>
      </w:pPr>
    </w:p>
    <w:p w14:paraId="6CF5C167">
      <w:pPr>
        <w:spacing w:line="360" w:lineRule="auto"/>
        <w:rPr>
          <w:rFonts w:hint="eastAsia" w:ascii="宋体" w:eastAsia="宋体" w:cs="宋体"/>
          <w:b/>
          <w:color w:val="auto"/>
          <w:sz w:val="24"/>
          <w:szCs w:val="24"/>
          <w:highlight w:val="none"/>
          <w:lang w:eastAsia="zh-CN"/>
        </w:rPr>
      </w:pPr>
      <w:r>
        <w:rPr>
          <w:rFonts w:hint="eastAsia" w:ascii="宋体"/>
          <w:b/>
          <w:color w:val="auto"/>
          <w:sz w:val="24"/>
          <w:szCs w:val="24"/>
          <w:highlight w:val="none"/>
        </w:rPr>
        <w:t>注：附中标通知书或</w:t>
      </w:r>
      <w:r>
        <w:rPr>
          <w:rFonts w:hint="eastAsia" w:ascii="宋体"/>
          <w:b/>
          <w:color w:val="auto"/>
          <w:sz w:val="24"/>
          <w:szCs w:val="24"/>
          <w:highlight w:val="none"/>
          <w:lang w:eastAsia="zh-CN"/>
        </w:rPr>
        <w:t>服务</w:t>
      </w:r>
      <w:r>
        <w:rPr>
          <w:rFonts w:hint="eastAsia" w:ascii="宋体"/>
          <w:b/>
          <w:color w:val="auto"/>
          <w:sz w:val="24"/>
          <w:szCs w:val="24"/>
          <w:highlight w:val="none"/>
        </w:rPr>
        <w:t>合同</w:t>
      </w:r>
      <w:r>
        <w:rPr>
          <w:rFonts w:hint="eastAsia" w:ascii="宋体"/>
          <w:b/>
          <w:color w:val="auto"/>
          <w:sz w:val="24"/>
          <w:szCs w:val="24"/>
          <w:highlight w:val="none"/>
          <w:lang w:eastAsia="zh-CN"/>
        </w:rPr>
        <w:t>等证明材料，证明材料中</w:t>
      </w:r>
      <w:r>
        <w:rPr>
          <w:rFonts w:hint="eastAsia" w:ascii="宋体" w:eastAsia="宋体" w:cs="宋体"/>
          <w:b/>
          <w:color w:val="auto"/>
          <w:sz w:val="24"/>
          <w:szCs w:val="24"/>
          <w:highlight w:val="none"/>
          <w:lang w:eastAsia="zh-CN"/>
        </w:rPr>
        <w:t>应包含与本项目相关服务内容但不限于），否则业绩视为无效，不予计分。</w:t>
      </w:r>
    </w:p>
    <w:p w14:paraId="EB5A6762">
      <w:pPr>
        <w:spacing w:line="360" w:lineRule="auto"/>
        <w:rPr>
          <w:rFonts w:hint="eastAsia" w:ascii="宋体"/>
          <w:color w:val="auto"/>
          <w:sz w:val="24"/>
          <w:highlight w:val="none"/>
        </w:rPr>
      </w:pPr>
    </w:p>
    <w:p w14:paraId="25B1BE3F">
      <w:pPr>
        <w:spacing w:line="360" w:lineRule="auto"/>
        <w:rPr>
          <w:rFonts w:hint="eastAsia" w:ascii="宋体"/>
          <w:color w:val="auto"/>
          <w:sz w:val="24"/>
          <w:highlight w:val="none"/>
        </w:rPr>
      </w:pPr>
    </w:p>
    <w:p w14:paraId="399A716A">
      <w:pPr>
        <w:spacing w:line="360" w:lineRule="auto"/>
        <w:rPr>
          <w:rFonts w:hint="eastAsia" w:ascii="宋体"/>
          <w:b/>
          <w:color w:val="auto"/>
          <w:sz w:val="24"/>
          <w:highlight w:val="none"/>
        </w:rPr>
      </w:pPr>
    </w:p>
    <w:p w14:paraId="911F2D21">
      <w:pPr>
        <w:spacing w:line="360" w:lineRule="auto"/>
        <w:rPr>
          <w:rFonts w:hint="eastAsia" w:ascii="宋体"/>
          <w:b/>
          <w:color w:val="auto"/>
          <w:sz w:val="24"/>
          <w:highlight w:val="none"/>
        </w:rPr>
      </w:pPr>
    </w:p>
    <w:p w14:paraId="7DB04B66">
      <w:pPr>
        <w:spacing w:line="360" w:lineRule="auto"/>
        <w:rPr>
          <w:rFonts w:hint="eastAsia" w:ascii="宋体"/>
          <w:b/>
          <w:color w:val="auto"/>
          <w:sz w:val="24"/>
          <w:highlight w:val="none"/>
        </w:rPr>
      </w:pPr>
      <w:r>
        <w:rPr>
          <w:rFonts w:hint="eastAsia" w:ascii="宋体"/>
          <w:b/>
          <w:color w:val="auto"/>
          <w:sz w:val="24"/>
          <w:highlight w:val="none"/>
        </w:rPr>
        <w:t>格式9</w:t>
      </w:r>
    </w:p>
    <w:p w14:paraId="DEED64E6">
      <w:pPr>
        <w:spacing w:line="360" w:lineRule="auto"/>
        <w:jc w:val="center"/>
        <w:rPr>
          <w:rFonts w:hint="eastAsia" w:ascii="宋体"/>
          <w:b/>
          <w:color w:val="auto"/>
          <w:sz w:val="30"/>
          <w:szCs w:val="30"/>
          <w:highlight w:val="none"/>
        </w:rPr>
      </w:pPr>
      <w:r>
        <w:rPr>
          <w:rFonts w:hint="eastAsia" w:ascii="宋体"/>
          <w:b/>
          <w:color w:val="auto"/>
          <w:sz w:val="30"/>
          <w:szCs w:val="30"/>
          <w:highlight w:val="none"/>
        </w:rPr>
        <w:t>无政府不良行为记录承诺</w:t>
      </w:r>
    </w:p>
    <w:p w14:paraId="8B6589D1">
      <w:pPr>
        <w:spacing w:line="240" w:lineRule="auto"/>
        <w:rPr>
          <w:rFonts w:hint="eastAsia" w:ascii="宋体"/>
          <w:color w:val="auto"/>
          <w:sz w:val="28"/>
          <w:szCs w:val="28"/>
          <w:highlight w:val="none"/>
        </w:rPr>
      </w:pPr>
    </w:p>
    <w:p w14:paraId="EBE28E06">
      <w:pPr>
        <w:spacing w:line="240" w:lineRule="auto"/>
        <w:ind w:firstLine="480" w:firstLineChars="200"/>
        <w:rPr>
          <w:rFonts w:hint="eastAsia" w:ascii="宋体"/>
          <w:color w:val="auto"/>
          <w:sz w:val="24"/>
          <w:szCs w:val="24"/>
          <w:highlight w:val="none"/>
        </w:rPr>
      </w:pPr>
      <w:r>
        <w:rPr>
          <w:rFonts w:hint="eastAsia" w:ascii="宋体"/>
          <w:color w:val="auto"/>
          <w:sz w:val="24"/>
          <w:szCs w:val="24"/>
          <w:highlight w:val="none"/>
        </w:rPr>
        <w:t>致：</w:t>
      </w:r>
      <w:r>
        <w:rPr>
          <w:rFonts w:hint="eastAsia"/>
          <w:color w:val="auto"/>
          <w:sz w:val="24"/>
          <w:szCs w:val="24"/>
          <w:highlight w:val="none"/>
          <w:lang w:eastAsia="zh-CN"/>
        </w:rPr>
        <w:t>华春建设工程项目管理有限责任公司</w:t>
      </w:r>
    </w:p>
    <w:p w14:paraId="AB474F1F">
      <w:pPr>
        <w:spacing w:line="240" w:lineRule="auto"/>
        <w:ind w:firstLine="480" w:firstLineChars="200"/>
        <w:rPr>
          <w:rFonts w:hint="eastAsia" w:ascii="宋体"/>
          <w:color w:val="auto"/>
          <w:sz w:val="24"/>
          <w:szCs w:val="24"/>
          <w:highlight w:val="none"/>
        </w:rPr>
      </w:pPr>
    </w:p>
    <w:p w14:paraId="BCCF2EC7">
      <w:pPr>
        <w:spacing w:line="240" w:lineRule="auto"/>
        <w:rPr>
          <w:rFonts w:hint="eastAsia" w:ascii="宋体"/>
          <w:color w:val="auto"/>
          <w:sz w:val="24"/>
          <w:szCs w:val="24"/>
          <w:highlight w:val="none"/>
        </w:rPr>
      </w:pPr>
      <w:r>
        <w:rPr>
          <w:rFonts w:hint="eastAsia" w:ascii="宋体"/>
          <w:color w:val="auto"/>
          <w:sz w:val="24"/>
          <w:szCs w:val="24"/>
          <w:highlight w:val="none"/>
        </w:rPr>
        <w:t xml:space="preserve">    本公司具有履行合同、项目执行能力的保障能力，且公司成立至今无重大质量事故，现经营阶段无重大经济纠纷，无商业贿赂、投标期间没有列入政府不良行为记录等不良行为记录。现本公司自愿作出以上郑重承诺，如承诺虚假，本公司愿意承担一切法律后果。</w:t>
      </w:r>
    </w:p>
    <w:p w14:paraId="FD376157">
      <w:pPr>
        <w:spacing w:line="240" w:lineRule="auto"/>
        <w:rPr>
          <w:rFonts w:hint="eastAsia" w:ascii="宋体"/>
          <w:color w:val="auto"/>
          <w:sz w:val="24"/>
          <w:szCs w:val="24"/>
          <w:highlight w:val="none"/>
        </w:rPr>
      </w:pPr>
    </w:p>
    <w:p w14:paraId="4AE01B55">
      <w:pPr>
        <w:spacing w:line="240" w:lineRule="auto"/>
        <w:rPr>
          <w:rFonts w:hint="eastAsia" w:ascii="宋体"/>
          <w:color w:val="auto"/>
          <w:sz w:val="24"/>
          <w:szCs w:val="24"/>
          <w:highlight w:val="none"/>
        </w:rPr>
      </w:pPr>
    </w:p>
    <w:p w14:paraId="37C15A3D">
      <w:pPr>
        <w:spacing w:line="240" w:lineRule="auto"/>
        <w:rPr>
          <w:rFonts w:hint="eastAsia"/>
          <w:color w:val="auto"/>
          <w:sz w:val="24"/>
          <w:szCs w:val="24"/>
          <w:highlight w:val="none"/>
        </w:rPr>
      </w:pPr>
      <w:r>
        <w:rPr>
          <w:rFonts w:hint="eastAsia"/>
          <w:color w:val="auto"/>
          <w:sz w:val="24"/>
          <w:szCs w:val="24"/>
          <w:highlight w:val="none"/>
        </w:rPr>
        <w:t>投标单位：（印刷体及公章）</w:t>
      </w:r>
    </w:p>
    <w:p w14:paraId="A35F0A03">
      <w:pPr>
        <w:spacing w:line="240" w:lineRule="auto"/>
        <w:rPr>
          <w:rFonts w:hint="eastAsia"/>
          <w:color w:val="auto"/>
          <w:sz w:val="24"/>
          <w:szCs w:val="24"/>
          <w:highlight w:val="none"/>
        </w:rPr>
      </w:pPr>
    </w:p>
    <w:p w14:paraId="489AE0C5">
      <w:pPr>
        <w:spacing w:line="240" w:lineRule="auto"/>
        <w:rPr>
          <w:rFonts w:hint="eastAsia"/>
          <w:color w:val="auto"/>
          <w:sz w:val="24"/>
          <w:szCs w:val="24"/>
          <w:highlight w:val="none"/>
        </w:rPr>
      </w:pPr>
    </w:p>
    <w:p w14:paraId="73AB60BA">
      <w:pPr>
        <w:spacing w:line="240" w:lineRule="auto"/>
        <w:rPr>
          <w:rFonts w:hint="eastAsia"/>
          <w:color w:val="auto"/>
          <w:sz w:val="24"/>
          <w:szCs w:val="24"/>
          <w:highlight w:val="none"/>
        </w:rPr>
      </w:pPr>
      <w:r>
        <w:rPr>
          <w:rFonts w:hint="eastAsia"/>
          <w:color w:val="auto"/>
          <w:sz w:val="24"/>
          <w:szCs w:val="24"/>
          <w:highlight w:val="none"/>
        </w:rPr>
        <w:t>法定代表人或其授权代表人：（签字）</w:t>
      </w:r>
    </w:p>
    <w:p w14:paraId="2AE1F664">
      <w:pPr>
        <w:spacing w:line="240" w:lineRule="auto"/>
        <w:rPr>
          <w:rFonts w:hint="eastAsia"/>
          <w:color w:val="auto"/>
          <w:sz w:val="24"/>
          <w:szCs w:val="24"/>
          <w:highlight w:val="none"/>
        </w:rPr>
      </w:pPr>
    </w:p>
    <w:p w14:paraId="1B66EAB8">
      <w:pPr>
        <w:spacing w:line="240" w:lineRule="auto"/>
        <w:rPr>
          <w:rFonts w:hint="eastAsia"/>
          <w:color w:val="auto"/>
          <w:sz w:val="24"/>
          <w:szCs w:val="24"/>
          <w:highlight w:val="none"/>
        </w:rPr>
      </w:pPr>
    </w:p>
    <w:p w14:paraId="E64698A6">
      <w:pPr>
        <w:spacing w:line="240" w:lineRule="auto"/>
        <w:rPr>
          <w:rFonts w:hint="eastAsia" w:ascii="宋体"/>
          <w:color w:val="auto"/>
          <w:sz w:val="24"/>
          <w:highlight w:val="none"/>
        </w:rPr>
      </w:pPr>
      <w:r>
        <w:rPr>
          <w:rFonts w:hint="eastAsia" w:ascii="宋体"/>
          <w:color w:val="auto"/>
          <w:sz w:val="24"/>
          <w:highlight w:val="none"/>
        </w:rPr>
        <w:t>日期：</w:t>
      </w:r>
    </w:p>
    <w:p w14:paraId="C76136CB">
      <w:pPr>
        <w:spacing w:line="240" w:lineRule="auto"/>
        <w:rPr>
          <w:rFonts w:hint="eastAsia" w:ascii="宋体"/>
          <w:color w:val="auto"/>
          <w:sz w:val="24"/>
          <w:highlight w:val="none"/>
        </w:rPr>
      </w:pPr>
    </w:p>
    <w:p w14:paraId="7145F24B">
      <w:pPr>
        <w:spacing w:line="360" w:lineRule="auto"/>
        <w:rPr>
          <w:rFonts w:hint="eastAsia" w:ascii="宋体"/>
          <w:color w:val="auto"/>
          <w:sz w:val="24"/>
          <w:highlight w:val="none"/>
        </w:rPr>
      </w:pPr>
    </w:p>
    <w:p w14:paraId="36D781F5">
      <w:pPr>
        <w:spacing w:line="240" w:lineRule="auto"/>
        <w:rPr>
          <w:rFonts w:hint="eastAsia" w:ascii="宋体"/>
          <w:b/>
          <w:color w:val="auto"/>
          <w:sz w:val="24"/>
          <w:highlight w:val="none"/>
        </w:rPr>
      </w:pPr>
    </w:p>
    <w:p w14:paraId="E52B5314">
      <w:pPr>
        <w:spacing w:line="240" w:lineRule="auto"/>
        <w:rPr>
          <w:rFonts w:hint="eastAsia" w:ascii="宋体"/>
          <w:b/>
          <w:color w:val="auto"/>
          <w:sz w:val="24"/>
          <w:highlight w:val="none"/>
        </w:rPr>
      </w:pPr>
    </w:p>
    <w:p w14:paraId="2765F4BC">
      <w:pPr>
        <w:spacing w:line="240" w:lineRule="auto"/>
        <w:rPr>
          <w:rFonts w:hint="eastAsia" w:ascii="宋体"/>
          <w:b/>
          <w:color w:val="auto"/>
          <w:sz w:val="24"/>
          <w:highlight w:val="none"/>
        </w:rPr>
      </w:pPr>
    </w:p>
    <w:p w14:paraId="7CC77608">
      <w:pPr>
        <w:spacing w:line="240" w:lineRule="auto"/>
        <w:rPr>
          <w:rFonts w:hint="eastAsia" w:ascii="宋体"/>
          <w:b/>
          <w:color w:val="auto"/>
          <w:sz w:val="24"/>
          <w:highlight w:val="none"/>
        </w:rPr>
      </w:pPr>
    </w:p>
    <w:p w14:paraId="C7DC6366">
      <w:pPr>
        <w:spacing w:line="240" w:lineRule="auto"/>
        <w:rPr>
          <w:rFonts w:hint="eastAsia" w:ascii="宋体"/>
          <w:b/>
          <w:color w:val="auto"/>
          <w:sz w:val="24"/>
          <w:highlight w:val="none"/>
        </w:rPr>
      </w:pPr>
    </w:p>
    <w:p w14:paraId="20872CBE">
      <w:pPr>
        <w:spacing w:line="240" w:lineRule="auto"/>
        <w:rPr>
          <w:rFonts w:hint="eastAsia" w:ascii="宋体"/>
          <w:b/>
          <w:color w:val="auto"/>
          <w:sz w:val="24"/>
          <w:highlight w:val="none"/>
        </w:rPr>
      </w:pPr>
    </w:p>
    <w:p w14:paraId="23098C95">
      <w:pPr>
        <w:spacing w:line="240" w:lineRule="auto"/>
        <w:rPr>
          <w:rFonts w:hint="eastAsia" w:ascii="宋体"/>
          <w:b/>
          <w:color w:val="auto"/>
          <w:sz w:val="24"/>
          <w:highlight w:val="none"/>
        </w:rPr>
      </w:pPr>
      <w:r>
        <w:rPr>
          <w:rFonts w:hint="eastAsia" w:ascii="宋体"/>
          <w:b/>
          <w:color w:val="auto"/>
          <w:sz w:val="24"/>
          <w:highlight w:val="none"/>
        </w:rPr>
        <w:t>格式10</w:t>
      </w:r>
    </w:p>
    <w:p w14:paraId="AB7C4044">
      <w:pPr>
        <w:spacing w:line="240" w:lineRule="auto"/>
        <w:jc w:val="center"/>
        <w:rPr>
          <w:rFonts w:hint="eastAsia" w:ascii="宋体"/>
          <w:color w:val="auto"/>
          <w:sz w:val="24"/>
          <w:highlight w:val="none"/>
        </w:rPr>
      </w:pPr>
      <w:r>
        <w:rPr>
          <w:rFonts w:hint="eastAsia" w:ascii="宋体"/>
          <w:b/>
          <w:color w:val="auto"/>
          <w:sz w:val="30"/>
          <w:szCs w:val="30"/>
          <w:highlight w:val="none"/>
        </w:rPr>
        <w:t>政府采购供应商诚信承诺书</w:t>
      </w:r>
    </w:p>
    <w:p w14:paraId="C1BC94FB">
      <w:pPr>
        <w:spacing w:line="240" w:lineRule="auto"/>
        <w:rPr>
          <w:rFonts w:hint="eastAsia" w:ascii="宋体" w:hAnsi="宋体"/>
          <w:color w:val="auto"/>
          <w:sz w:val="24"/>
          <w:szCs w:val="24"/>
          <w:highlight w:val="none"/>
        </w:rPr>
      </w:pPr>
      <w:r>
        <w:rPr>
          <w:rFonts w:hint="eastAsia"/>
          <w:color w:val="auto"/>
          <w:sz w:val="24"/>
          <w:szCs w:val="24"/>
          <w:highlight w:val="none"/>
          <w:lang w:eastAsia="zh-CN"/>
        </w:rPr>
        <w:t>华春建设工程项目管理有限责任公司</w:t>
      </w:r>
      <w:r>
        <w:rPr>
          <w:rFonts w:hint="eastAsia" w:ascii="宋体" w:hAnsi="宋体"/>
          <w:color w:val="auto"/>
          <w:sz w:val="24"/>
          <w:szCs w:val="24"/>
          <w:highlight w:val="none"/>
        </w:rPr>
        <w:t>：</w:t>
      </w:r>
    </w:p>
    <w:p w14:paraId="A7B1A229">
      <w:pPr>
        <w:spacing w:line="240" w:lineRule="auto"/>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我公司自愿参与贵公司组织的</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项目采购活动，严格遵守《中华人民共和国政府采购法》等相关法律法规的规定，坚守公平竞争，并无条件地遵守本次采购活动各项规定。我们郑重承诺：如果在本次招标活动中有以下情形的，愿接受政府采购监管等部门给予相关处罚并承担法律责任。</w:t>
      </w:r>
    </w:p>
    <w:p w14:paraId="A26C6D78">
      <w:pPr>
        <w:spacing w:line="240" w:lineRule="auto"/>
        <w:rPr>
          <w:rFonts w:ascii="宋体" w:hAnsi="宋体"/>
          <w:color w:val="auto"/>
          <w:sz w:val="24"/>
          <w:szCs w:val="24"/>
          <w:highlight w:val="none"/>
        </w:rPr>
      </w:pPr>
      <w:r>
        <w:rPr>
          <w:rFonts w:ascii="宋体" w:hAnsi="宋体"/>
          <w:color w:val="auto"/>
          <w:sz w:val="24"/>
          <w:szCs w:val="24"/>
          <w:highlight w:val="none"/>
        </w:rPr>
        <w:t> </w:t>
      </w:r>
      <w:r>
        <w:rPr>
          <w:rFonts w:hint="eastAsia" w:ascii="宋体" w:hAnsi="宋体"/>
          <w:color w:val="auto"/>
          <w:sz w:val="24"/>
          <w:szCs w:val="24"/>
          <w:highlight w:val="none"/>
        </w:rPr>
        <w:t>（一）提供虚假材料谋取中标(成交)的；</w:t>
      </w:r>
    </w:p>
    <w:p w14:paraId="54F50C27">
      <w:pPr>
        <w:spacing w:line="240" w:lineRule="auto"/>
        <w:rPr>
          <w:rFonts w:ascii="宋体" w:hAnsi="宋体"/>
          <w:color w:val="auto"/>
          <w:sz w:val="24"/>
          <w:szCs w:val="24"/>
          <w:highlight w:val="none"/>
        </w:rPr>
      </w:pPr>
      <w:r>
        <w:rPr>
          <w:rFonts w:ascii="宋体" w:hAnsi="宋体"/>
          <w:color w:val="auto"/>
          <w:sz w:val="24"/>
          <w:szCs w:val="24"/>
          <w:highlight w:val="none"/>
        </w:rPr>
        <w:t> </w:t>
      </w:r>
      <w:r>
        <w:rPr>
          <w:rFonts w:hint="eastAsia" w:ascii="宋体" w:hAnsi="宋体"/>
          <w:color w:val="auto"/>
          <w:sz w:val="24"/>
          <w:szCs w:val="24"/>
          <w:highlight w:val="none"/>
        </w:rPr>
        <w:t>（二）采取不正当手段诋毁、排挤其他供应商的；</w:t>
      </w:r>
    </w:p>
    <w:p w14:paraId="362F0AFA">
      <w:pPr>
        <w:spacing w:line="240" w:lineRule="auto"/>
        <w:rPr>
          <w:rFonts w:ascii="宋体" w:hAnsi="宋体"/>
          <w:color w:val="auto"/>
          <w:sz w:val="24"/>
          <w:szCs w:val="24"/>
          <w:highlight w:val="none"/>
        </w:rPr>
      </w:pPr>
      <w:r>
        <w:rPr>
          <w:rFonts w:ascii="宋体" w:hAnsi="宋体"/>
          <w:color w:val="auto"/>
          <w:sz w:val="24"/>
          <w:szCs w:val="24"/>
          <w:highlight w:val="none"/>
        </w:rPr>
        <w:t> </w:t>
      </w:r>
      <w:r>
        <w:rPr>
          <w:rFonts w:hint="eastAsia" w:ascii="宋体" w:hAnsi="宋体"/>
          <w:color w:val="auto"/>
          <w:sz w:val="24"/>
          <w:szCs w:val="24"/>
          <w:highlight w:val="none"/>
        </w:rPr>
        <w:t>（三）与招标采购单位、其他投标人恶意串通的；</w:t>
      </w:r>
    </w:p>
    <w:p w14:paraId="D7689426">
      <w:pPr>
        <w:spacing w:line="240" w:lineRule="auto"/>
        <w:rPr>
          <w:rFonts w:ascii="宋体" w:hAnsi="宋体"/>
          <w:color w:val="auto"/>
          <w:sz w:val="24"/>
          <w:szCs w:val="24"/>
          <w:highlight w:val="none"/>
        </w:rPr>
      </w:pPr>
      <w:r>
        <w:rPr>
          <w:rFonts w:ascii="宋体" w:hAnsi="宋体"/>
          <w:color w:val="auto"/>
          <w:sz w:val="24"/>
          <w:szCs w:val="24"/>
          <w:highlight w:val="none"/>
        </w:rPr>
        <w:t> </w:t>
      </w:r>
      <w:r>
        <w:rPr>
          <w:rFonts w:hint="eastAsia" w:ascii="宋体" w:hAnsi="宋体"/>
          <w:color w:val="auto"/>
          <w:sz w:val="24"/>
          <w:szCs w:val="24"/>
          <w:highlight w:val="none"/>
        </w:rPr>
        <w:t>（四）向招标采购单位行贿或提供其他不正当利益的；</w:t>
      </w:r>
    </w:p>
    <w:p w14:paraId="AED5BC1D">
      <w:pPr>
        <w:spacing w:line="240" w:lineRule="auto"/>
        <w:rPr>
          <w:rFonts w:ascii="宋体" w:hAnsi="宋体"/>
          <w:color w:val="auto"/>
          <w:sz w:val="24"/>
          <w:szCs w:val="24"/>
          <w:highlight w:val="none"/>
        </w:rPr>
      </w:pPr>
      <w:r>
        <w:rPr>
          <w:rFonts w:ascii="宋体" w:hAnsi="宋体"/>
          <w:color w:val="auto"/>
          <w:sz w:val="24"/>
          <w:szCs w:val="24"/>
          <w:highlight w:val="none"/>
        </w:rPr>
        <w:t> </w:t>
      </w:r>
      <w:r>
        <w:rPr>
          <w:rFonts w:hint="eastAsia" w:ascii="宋体" w:hAnsi="宋体"/>
          <w:color w:val="auto"/>
          <w:sz w:val="24"/>
          <w:szCs w:val="24"/>
          <w:highlight w:val="none"/>
        </w:rPr>
        <w:t>（五）在招标过程中与招标采购单位进行协商谈判、不按照招标文件和投标文件订立合同，或者与采购人另立背离合同实质性内容协议的；</w:t>
      </w:r>
    </w:p>
    <w:p w14:paraId="675D3C4E">
      <w:pPr>
        <w:spacing w:line="240" w:lineRule="auto"/>
        <w:ind w:firstLine="120" w:firstLineChars="50"/>
        <w:rPr>
          <w:rFonts w:ascii="宋体" w:hAnsi="宋体"/>
          <w:color w:val="auto"/>
          <w:sz w:val="24"/>
          <w:szCs w:val="24"/>
          <w:highlight w:val="none"/>
        </w:rPr>
      </w:pPr>
      <w:r>
        <w:rPr>
          <w:rFonts w:hint="eastAsia" w:ascii="宋体" w:hAnsi="宋体"/>
          <w:color w:val="auto"/>
          <w:sz w:val="24"/>
          <w:szCs w:val="24"/>
          <w:highlight w:val="none"/>
        </w:rPr>
        <w:t>（六）开标后擅自撤销投标，影响招标继续进行的或领取招标文件缴纳投标保证金后不投标导致废标的；</w:t>
      </w:r>
    </w:p>
    <w:p w14:paraId="FBFA568A">
      <w:pPr>
        <w:spacing w:line="240" w:lineRule="auto"/>
        <w:rPr>
          <w:rFonts w:ascii="宋体" w:hAnsi="宋体"/>
          <w:color w:val="auto"/>
          <w:sz w:val="24"/>
          <w:szCs w:val="24"/>
          <w:highlight w:val="none"/>
        </w:rPr>
      </w:pPr>
      <w:r>
        <w:rPr>
          <w:rFonts w:ascii="宋体" w:hAnsi="宋体"/>
          <w:color w:val="auto"/>
          <w:sz w:val="24"/>
          <w:szCs w:val="24"/>
          <w:highlight w:val="none"/>
        </w:rPr>
        <w:t> </w:t>
      </w:r>
      <w:r>
        <w:rPr>
          <w:rFonts w:hint="eastAsia" w:ascii="宋体" w:hAnsi="宋体"/>
          <w:color w:val="auto"/>
          <w:sz w:val="24"/>
          <w:szCs w:val="24"/>
          <w:highlight w:val="none"/>
        </w:rPr>
        <w:t>（七）中标后无正当理由，在规定时间内不与采购单位签订合同的；</w:t>
      </w:r>
    </w:p>
    <w:p w14:paraId="F526D406">
      <w:pPr>
        <w:spacing w:line="240" w:lineRule="auto"/>
        <w:rPr>
          <w:rFonts w:ascii="宋体" w:hAnsi="宋体"/>
          <w:color w:val="auto"/>
          <w:sz w:val="24"/>
          <w:szCs w:val="24"/>
          <w:highlight w:val="none"/>
        </w:rPr>
      </w:pPr>
      <w:r>
        <w:rPr>
          <w:rFonts w:ascii="宋体" w:hAnsi="宋体"/>
          <w:color w:val="auto"/>
          <w:sz w:val="24"/>
          <w:szCs w:val="24"/>
          <w:highlight w:val="none"/>
        </w:rPr>
        <w:t> </w:t>
      </w:r>
      <w:r>
        <w:rPr>
          <w:rFonts w:hint="eastAsia" w:ascii="宋体" w:hAnsi="宋体"/>
          <w:color w:val="auto"/>
          <w:sz w:val="24"/>
          <w:szCs w:val="24"/>
          <w:highlight w:val="none"/>
        </w:rPr>
        <w:t>（八）将中标项目转让给他人或非法分包他人的；</w:t>
      </w:r>
    </w:p>
    <w:p w14:paraId="FF8A817C">
      <w:pPr>
        <w:spacing w:line="240" w:lineRule="auto"/>
        <w:rPr>
          <w:rFonts w:ascii="宋体" w:hAnsi="宋体"/>
          <w:color w:val="auto"/>
          <w:sz w:val="24"/>
          <w:szCs w:val="24"/>
          <w:highlight w:val="none"/>
        </w:rPr>
      </w:pPr>
      <w:r>
        <w:rPr>
          <w:rFonts w:ascii="宋体" w:hAnsi="宋体"/>
          <w:color w:val="auto"/>
          <w:sz w:val="24"/>
          <w:szCs w:val="24"/>
          <w:highlight w:val="none"/>
        </w:rPr>
        <w:t> </w:t>
      </w:r>
      <w:r>
        <w:rPr>
          <w:rFonts w:hint="eastAsia" w:ascii="宋体" w:hAnsi="宋体"/>
          <w:color w:val="auto"/>
          <w:sz w:val="24"/>
          <w:szCs w:val="24"/>
          <w:highlight w:val="none"/>
        </w:rPr>
        <w:t>（九）无正当理由，拒绝履行合同义务的；</w:t>
      </w:r>
    </w:p>
    <w:p w14:paraId="FAD15B06">
      <w:pPr>
        <w:spacing w:line="240" w:lineRule="auto"/>
        <w:rPr>
          <w:rFonts w:ascii="宋体" w:hAnsi="宋体"/>
          <w:color w:val="auto"/>
          <w:sz w:val="24"/>
          <w:szCs w:val="24"/>
          <w:highlight w:val="none"/>
        </w:rPr>
      </w:pPr>
      <w:r>
        <w:rPr>
          <w:rFonts w:ascii="宋体" w:hAnsi="宋体"/>
          <w:color w:val="auto"/>
          <w:sz w:val="24"/>
          <w:szCs w:val="24"/>
          <w:highlight w:val="none"/>
        </w:rPr>
        <w:t> </w:t>
      </w:r>
      <w:r>
        <w:rPr>
          <w:rFonts w:hint="eastAsia" w:ascii="宋体" w:hAnsi="宋体"/>
          <w:color w:val="auto"/>
          <w:sz w:val="24"/>
          <w:szCs w:val="24"/>
          <w:highlight w:val="none"/>
        </w:rPr>
        <w:t>（十）无正当理由放弃中标（成交）项目的；</w:t>
      </w:r>
    </w:p>
    <w:p w14:paraId="E78AFA57">
      <w:pPr>
        <w:spacing w:line="240" w:lineRule="auto"/>
        <w:rPr>
          <w:rFonts w:ascii="宋体" w:hAnsi="宋体"/>
          <w:color w:val="auto"/>
          <w:sz w:val="24"/>
          <w:szCs w:val="24"/>
          <w:highlight w:val="none"/>
        </w:rPr>
      </w:pPr>
      <w:r>
        <w:rPr>
          <w:rFonts w:ascii="宋体" w:hAnsi="宋体"/>
          <w:color w:val="auto"/>
          <w:sz w:val="24"/>
          <w:szCs w:val="24"/>
          <w:highlight w:val="none"/>
        </w:rPr>
        <w:t> </w:t>
      </w:r>
      <w:r>
        <w:rPr>
          <w:rFonts w:hint="eastAsia" w:ascii="宋体" w:hAnsi="宋体"/>
          <w:color w:val="auto"/>
          <w:sz w:val="24"/>
          <w:szCs w:val="24"/>
          <w:highlight w:val="none"/>
        </w:rPr>
        <w:t>（十一）擅自或与采购人串通或接受采购人要求，在履约合同中通过减少货物数量，更换品牌、降低配置、技术要求、质量和服务标准等，却仍按原合同进行虚假验收或终止政府采购合同的；</w:t>
      </w:r>
    </w:p>
    <w:p w14:paraId="5650BADE">
      <w:pPr>
        <w:spacing w:line="240" w:lineRule="auto"/>
        <w:rPr>
          <w:rFonts w:ascii="宋体" w:hAnsi="宋体"/>
          <w:color w:val="auto"/>
          <w:sz w:val="24"/>
          <w:szCs w:val="24"/>
          <w:highlight w:val="none"/>
        </w:rPr>
      </w:pPr>
      <w:r>
        <w:rPr>
          <w:rFonts w:ascii="宋体" w:hAnsi="宋体"/>
          <w:color w:val="auto"/>
          <w:sz w:val="24"/>
          <w:szCs w:val="24"/>
          <w:highlight w:val="none"/>
        </w:rPr>
        <w:t> </w:t>
      </w:r>
      <w:r>
        <w:rPr>
          <w:rFonts w:hint="eastAsia" w:ascii="宋体" w:hAnsi="宋体"/>
          <w:color w:val="auto"/>
          <w:sz w:val="24"/>
          <w:szCs w:val="24"/>
          <w:highlight w:val="none"/>
        </w:rPr>
        <w:t>（十二）与采购人串通，对尚未履约完毕的采购项目出具虚假验收报告的；</w:t>
      </w:r>
    </w:p>
    <w:p w14:paraId="F4150E59">
      <w:pPr>
        <w:spacing w:line="240" w:lineRule="auto"/>
        <w:rPr>
          <w:rFonts w:ascii="宋体" w:hAnsi="宋体"/>
          <w:color w:val="auto"/>
          <w:sz w:val="24"/>
          <w:szCs w:val="24"/>
          <w:highlight w:val="none"/>
        </w:rPr>
      </w:pPr>
      <w:r>
        <w:rPr>
          <w:rFonts w:ascii="宋体" w:hAnsi="宋体"/>
          <w:color w:val="auto"/>
          <w:sz w:val="24"/>
          <w:szCs w:val="24"/>
          <w:highlight w:val="none"/>
        </w:rPr>
        <w:t> </w:t>
      </w:r>
      <w:r>
        <w:rPr>
          <w:rFonts w:hint="eastAsia" w:ascii="宋体" w:hAnsi="宋体"/>
          <w:color w:val="auto"/>
          <w:sz w:val="24"/>
          <w:szCs w:val="24"/>
          <w:highlight w:val="none"/>
        </w:rPr>
        <w:t>（十三）无不可抗力因素，拒绝提供售后服务、售后服务态度恶劣、故意提高维修配件价格（高于市场平均价）的；</w:t>
      </w:r>
    </w:p>
    <w:p w14:paraId="D313102C">
      <w:pPr>
        <w:spacing w:line="240" w:lineRule="auto"/>
        <w:ind w:firstLine="240" w:firstLineChars="100"/>
        <w:rPr>
          <w:rFonts w:ascii="宋体" w:hAnsi="宋体"/>
          <w:color w:val="auto"/>
          <w:sz w:val="24"/>
          <w:szCs w:val="24"/>
          <w:highlight w:val="none"/>
        </w:rPr>
      </w:pPr>
      <w:r>
        <w:rPr>
          <w:rFonts w:hint="eastAsia" w:ascii="宋体" w:hAnsi="宋体"/>
          <w:color w:val="auto"/>
          <w:sz w:val="24"/>
          <w:szCs w:val="24"/>
          <w:highlight w:val="none"/>
        </w:rPr>
        <w:t>（十四）开标后对招标文件的相关内容再进行质疑的；</w:t>
      </w:r>
    </w:p>
    <w:p w14:paraId="5C6B9FC2">
      <w:pPr>
        <w:spacing w:line="240" w:lineRule="auto"/>
        <w:rPr>
          <w:rFonts w:ascii="宋体" w:hAnsi="宋体"/>
          <w:color w:val="auto"/>
          <w:sz w:val="24"/>
          <w:szCs w:val="24"/>
          <w:highlight w:val="none"/>
        </w:rPr>
      </w:pPr>
      <w:r>
        <w:rPr>
          <w:rFonts w:ascii="宋体" w:hAnsi="宋体"/>
          <w:color w:val="auto"/>
          <w:sz w:val="24"/>
          <w:szCs w:val="24"/>
          <w:highlight w:val="none"/>
        </w:rPr>
        <w:t> </w:t>
      </w:r>
      <w:r>
        <w:rPr>
          <w:rFonts w:hint="eastAsia" w:ascii="宋体" w:hAnsi="宋体"/>
          <w:color w:val="auto"/>
          <w:sz w:val="24"/>
          <w:szCs w:val="24"/>
          <w:highlight w:val="none"/>
        </w:rPr>
        <w:t>（十五）恶意投诉的行为：投诉经查无实据的、捏造事实或者提供虚假投诉材的；</w:t>
      </w:r>
    </w:p>
    <w:p w14:paraId="848243AA">
      <w:pPr>
        <w:spacing w:line="240" w:lineRule="auto"/>
        <w:rPr>
          <w:rFonts w:ascii="宋体" w:hAnsi="宋体"/>
          <w:color w:val="auto"/>
          <w:sz w:val="24"/>
          <w:szCs w:val="24"/>
          <w:highlight w:val="none"/>
        </w:rPr>
      </w:pPr>
      <w:r>
        <w:rPr>
          <w:rFonts w:ascii="宋体" w:hAnsi="宋体"/>
          <w:color w:val="auto"/>
          <w:sz w:val="24"/>
          <w:szCs w:val="24"/>
          <w:highlight w:val="none"/>
        </w:rPr>
        <w:t> </w:t>
      </w:r>
      <w:r>
        <w:rPr>
          <w:rFonts w:hint="eastAsia" w:ascii="宋体" w:hAnsi="宋体"/>
          <w:color w:val="auto"/>
          <w:sz w:val="24"/>
          <w:szCs w:val="24"/>
          <w:highlight w:val="none"/>
        </w:rPr>
        <w:t>（十六）拒绝有关部门监督检查或者提供虚假情况的；</w:t>
      </w:r>
    </w:p>
    <w:p w14:paraId="663F7FAA">
      <w:pPr>
        <w:spacing w:line="240" w:lineRule="auto"/>
        <w:rPr>
          <w:rFonts w:ascii="宋体" w:hAnsi="宋体"/>
          <w:color w:val="auto"/>
          <w:sz w:val="24"/>
          <w:szCs w:val="24"/>
          <w:highlight w:val="none"/>
        </w:rPr>
      </w:pPr>
      <w:r>
        <w:rPr>
          <w:rFonts w:ascii="宋体" w:hAnsi="宋体"/>
          <w:color w:val="auto"/>
          <w:sz w:val="24"/>
          <w:szCs w:val="24"/>
          <w:highlight w:val="none"/>
        </w:rPr>
        <w:t> </w:t>
      </w:r>
      <w:r>
        <w:rPr>
          <w:rFonts w:hint="eastAsia" w:ascii="宋体" w:hAnsi="宋体"/>
          <w:color w:val="auto"/>
          <w:sz w:val="24"/>
          <w:szCs w:val="24"/>
          <w:highlight w:val="none"/>
        </w:rPr>
        <w:t>（十七）财政、监察部门和政府采购中心认定的其他不诚信行为。</w:t>
      </w:r>
    </w:p>
    <w:p w14:paraId="4E9FE16B">
      <w:pPr>
        <w:spacing w:line="240" w:lineRule="auto"/>
        <w:rPr>
          <w:rFonts w:hint="eastAsia" w:ascii="宋体"/>
          <w:color w:val="auto"/>
          <w:sz w:val="24"/>
          <w:highlight w:val="none"/>
        </w:rPr>
      </w:pPr>
    </w:p>
    <w:p w14:paraId="3C2252A3">
      <w:pPr>
        <w:spacing w:line="240" w:lineRule="auto"/>
        <w:rPr>
          <w:rFonts w:hint="eastAsia"/>
          <w:color w:val="auto"/>
          <w:sz w:val="24"/>
          <w:szCs w:val="24"/>
          <w:highlight w:val="none"/>
        </w:rPr>
      </w:pPr>
      <w:r>
        <w:rPr>
          <w:rFonts w:hint="eastAsia"/>
          <w:color w:val="auto"/>
          <w:sz w:val="24"/>
          <w:szCs w:val="24"/>
          <w:highlight w:val="none"/>
        </w:rPr>
        <w:t>投标单位：（印刷体及公章）</w:t>
      </w:r>
    </w:p>
    <w:p w14:paraId="34A4F7A9">
      <w:pPr>
        <w:spacing w:line="240" w:lineRule="auto"/>
        <w:rPr>
          <w:rFonts w:hint="eastAsia"/>
          <w:color w:val="auto"/>
          <w:sz w:val="24"/>
          <w:szCs w:val="24"/>
          <w:highlight w:val="none"/>
        </w:rPr>
      </w:pPr>
      <w:r>
        <w:rPr>
          <w:rFonts w:hint="eastAsia"/>
          <w:color w:val="auto"/>
          <w:sz w:val="24"/>
          <w:szCs w:val="24"/>
          <w:highlight w:val="none"/>
        </w:rPr>
        <w:t>法定代表人或其授权代表人：（签字）</w:t>
      </w:r>
    </w:p>
    <w:p w14:paraId="B9BAAFDB">
      <w:pPr>
        <w:spacing w:line="240" w:lineRule="auto"/>
        <w:rPr>
          <w:rFonts w:hint="eastAsia" w:ascii="宋体"/>
          <w:color w:val="auto"/>
          <w:sz w:val="24"/>
          <w:highlight w:val="none"/>
        </w:rPr>
      </w:pPr>
      <w:r>
        <w:rPr>
          <w:rFonts w:hint="eastAsia" w:ascii="宋体"/>
          <w:color w:val="auto"/>
          <w:sz w:val="24"/>
          <w:highlight w:val="none"/>
        </w:rPr>
        <w:t>日期：</w:t>
      </w:r>
    </w:p>
    <w:p w14:paraId="97394B6D">
      <w:pPr>
        <w:spacing w:line="360" w:lineRule="auto"/>
        <w:rPr>
          <w:rFonts w:hint="eastAsia" w:ascii="宋体"/>
          <w:color w:val="auto"/>
          <w:sz w:val="24"/>
          <w:highlight w:val="none"/>
        </w:rPr>
      </w:pPr>
    </w:p>
    <w:p w14:paraId="7CB90310">
      <w:pPr>
        <w:spacing w:line="360" w:lineRule="auto"/>
        <w:rPr>
          <w:rFonts w:hint="eastAsia" w:ascii="宋体"/>
          <w:b/>
          <w:color w:val="auto"/>
          <w:sz w:val="24"/>
          <w:highlight w:val="none"/>
        </w:rPr>
      </w:pPr>
      <w:r>
        <w:rPr>
          <w:rFonts w:hint="eastAsia" w:ascii="宋体"/>
          <w:b/>
          <w:color w:val="auto"/>
          <w:sz w:val="24"/>
          <w:highlight w:val="none"/>
        </w:rPr>
        <w:br w:type="page"/>
      </w:r>
      <w:r>
        <w:rPr>
          <w:rFonts w:hint="eastAsia" w:ascii="宋体"/>
          <w:b/>
          <w:color w:val="auto"/>
          <w:sz w:val="24"/>
          <w:highlight w:val="none"/>
        </w:rPr>
        <w:t>格式11</w:t>
      </w:r>
    </w:p>
    <w:p w14:paraId="DE8C32DE">
      <w:pPr>
        <w:spacing w:line="360" w:lineRule="auto"/>
        <w:jc w:val="center"/>
        <w:rPr>
          <w:rFonts w:hint="eastAsia" w:ascii="宋体"/>
          <w:color w:val="auto"/>
          <w:sz w:val="24"/>
          <w:highlight w:val="none"/>
        </w:rPr>
      </w:pPr>
      <w:r>
        <w:rPr>
          <w:rFonts w:hint="eastAsia" w:ascii="宋体"/>
          <w:b/>
          <w:color w:val="auto"/>
          <w:sz w:val="30"/>
          <w:szCs w:val="30"/>
          <w:highlight w:val="none"/>
        </w:rPr>
        <w:t>投标技术响应情况</w:t>
      </w:r>
    </w:p>
    <w:p w14:paraId="23AE6FA0">
      <w:pPr>
        <w:spacing w:line="360" w:lineRule="auto"/>
        <w:rPr>
          <w:rFonts w:hint="eastAsia" w:ascii="宋体"/>
          <w:b/>
          <w:color w:val="auto"/>
          <w:sz w:val="28"/>
          <w:highlight w:val="none"/>
        </w:rPr>
      </w:pPr>
      <w:r>
        <w:rPr>
          <w:rFonts w:hint="eastAsia" w:ascii="宋体"/>
          <w:color w:val="auto"/>
          <w:sz w:val="24"/>
          <w:highlight w:val="none"/>
        </w:rPr>
        <w:t>招标编号：</w:t>
      </w:r>
    </w:p>
    <w:tbl>
      <w:tblPr>
        <w:tblStyle w:val="16"/>
        <w:tblW w:w="98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1381"/>
        <w:gridCol w:w="1858"/>
        <w:gridCol w:w="4059"/>
        <w:gridCol w:w="1731"/>
      </w:tblGrid>
      <w:tr w14:paraId="113E1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1" w:hRule="atLeast"/>
          <w:jc w:val="center"/>
        </w:trPr>
        <w:tc>
          <w:tcPr>
            <w:tcW w:w="788" w:type="dxa"/>
            <w:vMerge w:val="restart"/>
            <w:vAlign w:val="center"/>
          </w:tcPr>
          <w:p w14:paraId="14A6CFE8">
            <w:pPr>
              <w:spacing w:before="120" w:line="240" w:lineRule="auto"/>
              <w:jc w:val="center"/>
              <w:rPr>
                <w:rFonts w:hint="eastAsia" w:ascii="宋体"/>
                <w:color w:val="auto"/>
                <w:sz w:val="24"/>
                <w:highlight w:val="none"/>
              </w:rPr>
            </w:pPr>
            <w:r>
              <w:rPr>
                <w:rFonts w:hint="eastAsia" w:ascii="宋体"/>
                <w:color w:val="auto"/>
                <w:sz w:val="24"/>
                <w:highlight w:val="none"/>
              </w:rPr>
              <w:t>序号</w:t>
            </w:r>
          </w:p>
        </w:tc>
        <w:tc>
          <w:tcPr>
            <w:tcW w:w="3239" w:type="dxa"/>
            <w:gridSpan w:val="2"/>
            <w:vAlign w:val="center"/>
          </w:tcPr>
          <w:p w14:paraId="1283B68C">
            <w:pPr>
              <w:spacing w:before="120" w:after="120" w:line="240" w:lineRule="auto"/>
              <w:jc w:val="center"/>
              <w:rPr>
                <w:rFonts w:hint="eastAsia" w:ascii="宋体"/>
                <w:color w:val="auto"/>
                <w:sz w:val="24"/>
                <w:highlight w:val="none"/>
              </w:rPr>
            </w:pPr>
            <w:r>
              <w:rPr>
                <w:rFonts w:hint="eastAsia" w:ascii="宋体"/>
                <w:color w:val="auto"/>
                <w:sz w:val="24"/>
                <w:highlight w:val="none"/>
              </w:rPr>
              <w:t>招标文件要求</w:t>
            </w:r>
          </w:p>
        </w:tc>
        <w:tc>
          <w:tcPr>
            <w:tcW w:w="4059" w:type="dxa"/>
            <w:vAlign w:val="center"/>
          </w:tcPr>
          <w:p w14:paraId="5AD25D4A">
            <w:pPr>
              <w:spacing w:before="120" w:after="120" w:line="240" w:lineRule="auto"/>
              <w:jc w:val="center"/>
              <w:rPr>
                <w:rFonts w:hint="eastAsia" w:ascii="宋体"/>
                <w:color w:val="auto"/>
                <w:sz w:val="24"/>
                <w:highlight w:val="none"/>
              </w:rPr>
            </w:pPr>
            <w:r>
              <w:rPr>
                <w:rFonts w:hint="eastAsia" w:ascii="宋体"/>
                <w:color w:val="auto"/>
                <w:sz w:val="24"/>
                <w:highlight w:val="none"/>
              </w:rPr>
              <w:t>投标服务目标</w:t>
            </w:r>
          </w:p>
        </w:tc>
        <w:tc>
          <w:tcPr>
            <w:tcW w:w="1731" w:type="dxa"/>
            <w:vMerge w:val="restart"/>
            <w:vAlign w:val="center"/>
          </w:tcPr>
          <w:p w14:paraId="A766B840">
            <w:pPr>
              <w:spacing w:before="120" w:line="240" w:lineRule="auto"/>
              <w:jc w:val="center"/>
              <w:rPr>
                <w:rFonts w:hint="eastAsia" w:ascii="宋体"/>
                <w:color w:val="auto"/>
                <w:sz w:val="24"/>
                <w:highlight w:val="none"/>
              </w:rPr>
            </w:pPr>
            <w:r>
              <w:rPr>
                <w:rFonts w:hint="eastAsia" w:ascii="宋体"/>
                <w:color w:val="auto"/>
                <w:sz w:val="24"/>
                <w:highlight w:val="none"/>
              </w:rPr>
              <w:t>偏差</w:t>
            </w:r>
          </w:p>
        </w:tc>
      </w:tr>
      <w:tr w14:paraId="F4D70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1" w:hRule="atLeast"/>
          <w:jc w:val="center"/>
        </w:trPr>
        <w:tc>
          <w:tcPr>
            <w:tcW w:w="788" w:type="dxa"/>
            <w:vMerge w:val="continue"/>
            <w:vAlign w:val="center"/>
          </w:tcPr>
          <w:p w14:paraId="6EBA241F">
            <w:pPr>
              <w:spacing w:line="240" w:lineRule="auto"/>
              <w:jc w:val="center"/>
              <w:rPr>
                <w:color w:val="auto"/>
                <w:highlight w:val="none"/>
              </w:rPr>
            </w:pPr>
          </w:p>
        </w:tc>
        <w:tc>
          <w:tcPr>
            <w:tcW w:w="1381" w:type="dxa"/>
            <w:vAlign w:val="center"/>
          </w:tcPr>
          <w:p w14:paraId="59EBD3E9">
            <w:pPr>
              <w:spacing w:before="120" w:after="120" w:line="240" w:lineRule="auto"/>
              <w:jc w:val="center"/>
              <w:rPr>
                <w:rFonts w:hint="eastAsia" w:ascii="宋体"/>
                <w:color w:val="auto"/>
                <w:sz w:val="24"/>
                <w:highlight w:val="none"/>
              </w:rPr>
            </w:pPr>
            <w:r>
              <w:rPr>
                <w:rFonts w:hint="eastAsia" w:ascii="宋体"/>
                <w:color w:val="auto"/>
                <w:sz w:val="24"/>
                <w:highlight w:val="none"/>
              </w:rPr>
              <w:t>服务内容</w:t>
            </w:r>
          </w:p>
        </w:tc>
        <w:tc>
          <w:tcPr>
            <w:tcW w:w="1858" w:type="dxa"/>
            <w:vAlign w:val="center"/>
          </w:tcPr>
          <w:p w14:paraId="A3720B5A">
            <w:pPr>
              <w:spacing w:before="120" w:after="120" w:line="240" w:lineRule="auto"/>
              <w:jc w:val="center"/>
              <w:rPr>
                <w:rFonts w:hint="eastAsia" w:ascii="宋体"/>
                <w:color w:val="auto"/>
                <w:sz w:val="24"/>
                <w:highlight w:val="none"/>
              </w:rPr>
            </w:pPr>
            <w:r>
              <w:rPr>
                <w:rFonts w:hint="eastAsia" w:ascii="宋体"/>
                <w:color w:val="auto"/>
                <w:sz w:val="24"/>
                <w:highlight w:val="none"/>
              </w:rPr>
              <w:t>指标要求</w:t>
            </w:r>
          </w:p>
        </w:tc>
        <w:tc>
          <w:tcPr>
            <w:tcW w:w="4059" w:type="dxa"/>
            <w:vAlign w:val="center"/>
          </w:tcPr>
          <w:p w14:paraId="E8034DFC">
            <w:pPr>
              <w:spacing w:before="120" w:after="120" w:line="240" w:lineRule="auto"/>
              <w:jc w:val="center"/>
              <w:rPr>
                <w:rFonts w:hint="eastAsia" w:ascii="宋体"/>
                <w:color w:val="auto"/>
                <w:sz w:val="24"/>
                <w:highlight w:val="none"/>
              </w:rPr>
            </w:pPr>
            <w:r>
              <w:rPr>
                <w:rFonts w:hint="eastAsia" w:ascii="宋体"/>
                <w:color w:val="auto"/>
                <w:sz w:val="24"/>
                <w:highlight w:val="none"/>
              </w:rPr>
              <w:t>目标</w:t>
            </w:r>
          </w:p>
        </w:tc>
        <w:tc>
          <w:tcPr>
            <w:tcW w:w="1731" w:type="dxa"/>
            <w:vMerge w:val="continue"/>
            <w:vAlign w:val="center"/>
          </w:tcPr>
          <w:p w14:paraId="5A02EAD2">
            <w:pPr>
              <w:spacing w:line="240" w:lineRule="auto"/>
              <w:jc w:val="center"/>
              <w:rPr>
                <w:color w:val="auto"/>
                <w:highlight w:val="none"/>
              </w:rPr>
            </w:pPr>
          </w:p>
        </w:tc>
      </w:tr>
      <w:tr w14:paraId="C665A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788" w:type="dxa"/>
            <w:vAlign w:val="center"/>
          </w:tcPr>
          <w:p w14:paraId="512E1DA0">
            <w:pPr>
              <w:spacing w:before="120" w:after="120" w:line="240" w:lineRule="auto"/>
              <w:jc w:val="center"/>
              <w:rPr>
                <w:rFonts w:hint="eastAsia" w:ascii="宋体"/>
                <w:color w:val="auto"/>
                <w:sz w:val="32"/>
                <w:highlight w:val="none"/>
              </w:rPr>
            </w:pPr>
          </w:p>
        </w:tc>
        <w:tc>
          <w:tcPr>
            <w:tcW w:w="1381" w:type="dxa"/>
            <w:vAlign w:val="center"/>
          </w:tcPr>
          <w:p w14:paraId="25C1FE0D">
            <w:pPr>
              <w:spacing w:before="120" w:after="120" w:line="240" w:lineRule="auto"/>
              <w:jc w:val="center"/>
              <w:rPr>
                <w:rFonts w:hint="eastAsia" w:ascii="宋体"/>
                <w:color w:val="auto"/>
                <w:sz w:val="32"/>
                <w:highlight w:val="none"/>
              </w:rPr>
            </w:pPr>
          </w:p>
        </w:tc>
        <w:tc>
          <w:tcPr>
            <w:tcW w:w="1858" w:type="dxa"/>
            <w:vAlign w:val="center"/>
          </w:tcPr>
          <w:p w14:paraId="551DD0A9">
            <w:pPr>
              <w:spacing w:before="120" w:after="120" w:line="240" w:lineRule="auto"/>
              <w:jc w:val="center"/>
              <w:rPr>
                <w:rFonts w:hint="eastAsia" w:ascii="宋体"/>
                <w:color w:val="auto"/>
                <w:sz w:val="32"/>
                <w:highlight w:val="none"/>
              </w:rPr>
            </w:pPr>
          </w:p>
        </w:tc>
        <w:tc>
          <w:tcPr>
            <w:tcW w:w="4059" w:type="dxa"/>
            <w:vAlign w:val="center"/>
          </w:tcPr>
          <w:p w14:paraId="5A000072">
            <w:pPr>
              <w:spacing w:before="120" w:after="120" w:line="240" w:lineRule="auto"/>
              <w:jc w:val="center"/>
              <w:rPr>
                <w:rFonts w:hint="eastAsia" w:ascii="宋体"/>
                <w:color w:val="auto"/>
                <w:sz w:val="32"/>
                <w:highlight w:val="none"/>
              </w:rPr>
            </w:pPr>
          </w:p>
        </w:tc>
        <w:tc>
          <w:tcPr>
            <w:tcW w:w="1731" w:type="dxa"/>
            <w:vAlign w:val="center"/>
          </w:tcPr>
          <w:p w14:paraId="3C038577">
            <w:pPr>
              <w:spacing w:before="120" w:after="120" w:line="240" w:lineRule="auto"/>
              <w:jc w:val="center"/>
              <w:rPr>
                <w:rFonts w:hint="eastAsia" w:ascii="宋体"/>
                <w:color w:val="auto"/>
                <w:sz w:val="32"/>
                <w:highlight w:val="none"/>
              </w:rPr>
            </w:pPr>
          </w:p>
        </w:tc>
      </w:tr>
      <w:tr w14:paraId="B2E7B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788" w:type="dxa"/>
            <w:vAlign w:val="center"/>
          </w:tcPr>
          <w:p w14:paraId="CC616401">
            <w:pPr>
              <w:spacing w:before="120" w:after="120" w:line="240" w:lineRule="auto"/>
              <w:jc w:val="center"/>
              <w:rPr>
                <w:rFonts w:hint="eastAsia" w:ascii="宋体"/>
                <w:color w:val="auto"/>
                <w:sz w:val="32"/>
                <w:highlight w:val="none"/>
              </w:rPr>
            </w:pPr>
          </w:p>
        </w:tc>
        <w:tc>
          <w:tcPr>
            <w:tcW w:w="1381" w:type="dxa"/>
            <w:vAlign w:val="center"/>
          </w:tcPr>
          <w:p w14:paraId="3429BB5F">
            <w:pPr>
              <w:spacing w:before="120" w:after="120" w:line="240" w:lineRule="auto"/>
              <w:jc w:val="center"/>
              <w:rPr>
                <w:rFonts w:hint="eastAsia" w:ascii="宋体"/>
                <w:color w:val="auto"/>
                <w:sz w:val="32"/>
                <w:highlight w:val="none"/>
              </w:rPr>
            </w:pPr>
          </w:p>
        </w:tc>
        <w:tc>
          <w:tcPr>
            <w:tcW w:w="1858" w:type="dxa"/>
            <w:vAlign w:val="center"/>
          </w:tcPr>
          <w:p w14:paraId="9B09A92C">
            <w:pPr>
              <w:spacing w:before="120" w:after="120" w:line="240" w:lineRule="auto"/>
              <w:jc w:val="center"/>
              <w:rPr>
                <w:rFonts w:hint="eastAsia" w:ascii="宋体"/>
                <w:color w:val="auto"/>
                <w:sz w:val="32"/>
                <w:highlight w:val="none"/>
              </w:rPr>
            </w:pPr>
          </w:p>
        </w:tc>
        <w:tc>
          <w:tcPr>
            <w:tcW w:w="4059" w:type="dxa"/>
            <w:vAlign w:val="center"/>
          </w:tcPr>
          <w:p w14:paraId="BFBCC406">
            <w:pPr>
              <w:spacing w:before="120" w:after="120" w:line="240" w:lineRule="auto"/>
              <w:jc w:val="center"/>
              <w:rPr>
                <w:rFonts w:hint="eastAsia" w:ascii="宋体"/>
                <w:color w:val="auto"/>
                <w:sz w:val="32"/>
                <w:highlight w:val="none"/>
              </w:rPr>
            </w:pPr>
          </w:p>
        </w:tc>
        <w:tc>
          <w:tcPr>
            <w:tcW w:w="1731" w:type="dxa"/>
            <w:vAlign w:val="center"/>
          </w:tcPr>
          <w:p w14:paraId="54A66CDA">
            <w:pPr>
              <w:spacing w:before="120" w:after="120" w:line="240" w:lineRule="auto"/>
              <w:jc w:val="center"/>
              <w:rPr>
                <w:rFonts w:hint="eastAsia" w:ascii="宋体"/>
                <w:color w:val="auto"/>
                <w:sz w:val="32"/>
                <w:highlight w:val="none"/>
              </w:rPr>
            </w:pPr>
          </w:p>
        </w:tc>
      </w:tr>
      <w:tr w14:paraId="74E97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788" w:type="dxa"/>
            <w:vAlign w:val="center"/>
          </w:tcPr>
          <w:p w14:paraId="493D95F1">
            <w:pPr>
              <w:spacing w:before="120" w:after="120" w:line="240" w:lineRule="auto"/>
              <w:jc w:val="center"/>
              <w:rPr>
                <w:rFonts w:hint="eastAsia" w:ascii="宋体"/>
                <w:color w:val="auto"/>
                <w:sz w:val="32"/>
                <w:highlight w:val="none"/>
              </w:rPr>
            </w:pPr>
          </w:p>
        </w:tc>
        <w:tc>
          <w:tcPr>
            <w:tcW w:w="1381" w:type="dxa"/>
            <w:vAlign w:val="center"/>
          </w:tcPr>
          <w:p w14:paraId="BFAC986D">
            <w:pPr>
              <w:spacing w:before="120" w:after="120" w:line="240" w:lineRule="auto"/>
              <w:jc w:val="center"/>
              <w:rPr>
                <w:rFonts w:hint="eastAsia" w:ascii="宋体"/>
                <w:color w:val="auto"/>
                <w:sz w:val="32"/>
                <w:highlight w:val="none"/>
              </w:rPr>
            </w:pPr>
          </w:p>
        </w:tc>
        <w:tc>
          <w:tcPr>
            <w:tcW w:w="1858" w:type="dxa"/>
            <w:vAlign w:val="center"/>
          </w:tcPr>
          <w:p w14:paraId="DA66C5E5">
            <w:pPr>
              <w:spacing w:before="120" w:after="120" w:line="240" w:lineRule="auto"/>
              <w:jc w:val="center"/>
              <w:rPr>
                <w:rFonts w:hint="eastAsia" w:ascii="宋体"/>
                <w:color w:val="auto"/>
                <w:sz w:val="32"/>
                <w:highlight w:val="none"/>
              </w:rPr>
            </w:pPr>
          </w:p>
        </w:tc>
        <w:tc>
          <w:tcPr>
            <w:tcW w:w="4059" w:type="dxa"/>
            <w:vAlign w:val="center"/>
          </w:tcPr>
          <w:p w14:paraId="1213B62D">
            <w:pPr>
              <w:spacing w:before="120" w:after="120" w:line="240" w:lineRule="auto"/>
              <w:jc w:val="center"/>
              <w:rPr>
                <w:rFonts w:hint="eastAsia" w:ascii="宋体"/>
                <w:color w:val="auto"/>
                <w:sz w:val="32"/>
                <w:highlight w:val="none"/>
              </w:rPr>
            </w:pPr>
          </w:p>
        </w:tc>
        <w:tc>
          <w:tcPr>
            <w:tcW w:w="1731" w:type="dxa"/>
            <w:vAlign w:val="center"/>
          </w:tcPr>
          <w:p w14:paraId="6EF8F67A">
            <w:pPr>
              <w:spacing w:before="120" w:after="120" w:line="240" w:lineRule="auto"/>
              <w:jc w:val="center"/>
              <w:rPr>
                <w:rFonts w:hint="eastAsia" w:ascii="宋体"/>
                <w:color w:val="auto"/>
                <w:sz w:val="32"/>
                <w:highlight w:val="none"/>
              </w:rPr>
            </w:pPr>
          </w:p>
        </w:tc>
      </w:tr>
      <w:tr w14:paraId="D78B2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788" w:type="dxa"/>
            <w:vAlign w:val="center"/>
          </w:tcPr>
          <w:p w14:paraId="E7B7D92E">
            <w:pPr>
              <w:spacing w:before="120" w:after="120" w:line="240" w:lineRule="auto"/>
              <w:jc w:val="center"/>
              <w:rPr>
                <w:rFonts w:hint="eastAsia" w:ascii="宋体"/>
                <w:color w:val="auto"/>
                <w:sz w:val="32"/>
                <w:highlight w:val="none"/>
              </w:rPr>
            </w:pPr>
          </w:p>
        </w:tc>
        <w:tc>
          <w:tcPr>
            <w:tcW w:w="1381" w:type="dxa"/>
            <w:vAlign w:val="center"/>
          </w:tcPr>
          <w:p w14:paraId="E99A1ECB">
            <w:pPr>
              <w:spacing w:before="120" w:after="120" w:line="240" w:lineRule="auto"/>
              <w:jc w:val="center"/>
              <w:rPr>
                <w:rFonts w:hint="eastAsia" w:ascii="宋体"/>
                <w:color w:val="auto"/>
                <w:sz w:val="32"/>
                <w:highlight w:val="none"/>
              </w:rPr>
            </w:pPr>
          </w:p>
        </w:tc>
        <w:tc>
          <w:tcPr>
            <w:tcW w:w="1858" w:type="dxa"/>
            <w:vAlign w:val="center"/>
          </w:tcPr>
          <w:p w14:paraId="664AF942">
            <w:pPr>
              <w:spacing w:before="120" w:after="120" w:line="240" w:lineRule="auto"/>
              <w:jc w:val="center"/>
              <w:rPr>
                <w:rFonts w:hint="eastAsia" w:ascii="宋体"/>
                <w:color w:val="auto"/>
                <w:sz w:val="32"/>
                <w:highlight w:val="none"/>
              </w:rPr>
            </w:pPr>
          </w:p>
        </w:tc>
        <w:tc>
          <w:tcPr>
            <w:tcW w:w="4059" w:type="dxa"/>
            <w:vAlign w:val="center"/>
          </w:tcPr>
          <w:p w14:paraId="FD42D6AF">
            <w:pPr>
              <w:spacing w:before="120" w:after="120" w:line="240" w:lineRule="auto"/>
              <w:jc w:val="center"/>
              <w:rPr>
                <w:rFonts w:hint="eastAsia" w:ascii="宋体"/>
                <w:color w:val="auto"/>
                <w:sz w:val="32"/>
                <w:highlight w:val="none"/>
              </w:rPr>
            </w:pPr>
          </w:p>
        </w:tc>
        <w:tc>
          <w:tcPr>
            <w:tcW w:w="1731" w:type="dxa"/>
            <w:vAlign w:val="center"/>
          </w:tcPr>
          <w:p w14:paraId="27B37175">
            <w:pPr>
              <w:spacing w:before="120" w:after="120" w:line="240" w:lineRule="auto"/>
              <w:jc w:val="center"/>
              <w:rPr>
                <w:rFonts w:hint="eastAsia" w:ascii="宋体"/>
                <w:color w:val="auto"/>
                <w:sz w:val="32"/>
                <w:highlight w:val="none"/>
              </w:rPr>
            </w:pPr>
          </w:p>
        </w:tc>
      </w:tr>
      <w:tr w14:paraId="11DDC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788" w:type="dxa"/>
            <w:vAlign w:val="center"/>
          </w:tcPr>
          <w:p w14:paraId="21A4F779">
            <w:pPr>
              <w:spacing w:before="120" w:after="120" w:line="240" w:lineRule="auto"/>
              <w:jc w:val="center"/>
              <w:rPr>
                <w:rFonts w:hint="eastAsia" w:ascii="宋体"/>
                <w:color w:val="auto"/>
                <w:sz w:val="32"/>
                <w:highlight w:val="none"/>
              </w:rPr>
            </w:pPr>
          </w:p>
        </w:tc>
        <w:tc>
          <w:tcPr>
            <w:tcW w:w="1381" w:type="dxa"/>
            <w:vAlign w:val="center"/>
          </w:tcPr>
          <w:p w14:paraId="FBF56C2B">
            <w:pPr>
              <w:spacing w:before="120" w:after="120" w:line="240" w:lineRule="auto"/>
              <w:jc w:val="center"/>
              <w:rPr>
                <w:rFonts w:hint="eastAsia" w:ascii="宋体"/>
                <w:color w:val="auto"/>
                <w:sz w:val="32"/>
                <w:highlight w:val="none"/>
              </w:rPr>
            </w:pPr>
          </w:p>
        </w:tc>
        <w:tc>
          <w:tcPr>
            <w:tcW w:w="1858" w:type="dxa"/>
            <w:vAlign w:val="center"/>
          </w:tcPr>
          <w:p w14:paraId="617B3C4D">
            <w:pPr>
              <w:spacing w:before="120" w:after="120" w:line="240" w:lineRule="auto"/>
              <w:jc w:val="center"/>
              <w:rPr>
                <w:rFonts w:hint="eastAsia" w:ascii="宋体"/>
                <w:color w:val="auto"/>
                <w:sz w:val="32"/>
                <w:highlight w:val="none"/>
              </w:rPr>
            </w:pPr>
          </w:p>
        </w:tc>
        <w:tc>
          <w:tcPr>
            <w:tcW w:w="4059" w:type="dxa"/>
            <w:vAlign w:val="center"/>
          </w:tcPr>
          <w:p w14:paraId="C6F14B37">
            <w:pPr>
              <w:spacing w:before="120" w:after="120" w:line="240" w:lineRule="auto"/>
              <w:jc w:val="center"/>
              <w:rPr>
                <w:rFonts w:hint="eastAsia" w:ascii="宋体"/>
                <w:color w:val="auto"/>
                <w:sz w:val="32"/>
                <w:highlight w:val="none"/>
              </w:rPr>
            </w:pPr>
          </w:p>
        </w:tc>
        <w:tc>
          <w:tcPr>
            <w:tcW w:w="1731" w:type="dxa"/>
            <w:vAlign w:val="center"/>
          </w:tcPr>
          <w:p w14:paraId="8510BE34">
            <w:pPr>
              <w:spacing w:before="120" w:after="120" w:line="240" w:lineRule="auto"/>
              <w:jc w:val="center"/>
              <w:rPr>
                <w:rFonts w:hint="eastAsia" w:ascii="宋体"/>
                <w:color w:val="auto"/>
                <w:sz w:val="32"/>
                <w:highlight w:val="none"/>
              </w:rPr>
            </w:pPr>
          </w:p>
        </w:tc>
      </w:tr>
      <w:tr w14:paraId="EFC1D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788" w:type="dxa"/>
            <w:vAlign w:val="center"/>
          </w:tcPr>
          <w:p w14:paraId="D6364CB2">
            <w:pPr>
              <w:spacing w:before="120" w:after="120" w:line="240" w:lineRule="auto"/>
              <w:jc w:val="center"/>
              <w:rPr>
                <w:rFonts w:hint="eastAsia" w:ascii="宋体"/>
                <w:color w:val="auto"/>
                <w:sz w:val="32"/>
                <w:highlight w:val="none"/>
              </w:rPr>
            </w:pPr>
          </w:p>
        </w:tc>
        <w:tc>
          <w:tcPr>
            <w:tcW w:w="1381" w:type="dxa"/>
            <w:vAlign w:val="center"/>
          </w:tcPr>
          <w:p w14:paraId="35B53079">
            <w:pPr>
              <w:spacing w:before="120" w:after="120" w:line="240" w:lineRule="auto"/>
              <w:jc w:val="center"/>
              <w:rPr>
                <w:rFonts w:hint="eastAsia" w:ascii="宋体"/>
                <w:color w:val="auto"/>
                <w:sz w:val="32"/>
                <w:highlight w:val="none"/>
              </w:rPr>
            </w:pPr>
          </w:p>
        </w:tc>
        <w:tc>
          <w:tcPr>
            <w:tcW w:w="1858" w:type="dxa"/>
            <w:vAlign w:val="center"/>
          </w:tcPr>
          <w:p w14:paraId="50D56C5C">
            <w:pPr>
              <w:spacing w:before="120" w:after="120" w:line="240" w:lineRule="auto"/>
              <w:jc w:val="center"/>
              <w:rPr>
                <w:rFonts w:hint="eastAsia" w:ascii="宋体"/>
                <w:color w:val="auto"/>
                <w:sz w:val="32"/>
                <w:highlight w:val="none"/>
              </w:rPr>
            </w:pPr>
          </w:p>
        </w:tc>
        <w:tc>
          <w:tcPr>
            <w:tcW w:w="4059" w:type="dxa"/>
            <w:vAlign w:val="center"/>
          </w:tcPr>
          <w:p w14:paraId="13F30FE0">
            <w:pPr>
              <w:spacing w:before="120" w:after="120" w:line="240" w:lineRule="auto"/>
              <w:jc w:val="center"/>
              <w:rPr>
                <w:rFonts w:hint="eastAsia" w:ascii="宋体"/>
                <w:color w:val="auto"/>
                <w:sz w:val="32"/>
                <w:highlight w:val="none"/>
              </w:rPr>
            </w:pPr>
          </w:p>
        </w:tc>
        <w:tc>
          <w:tcPr>
            <w:tcW w:w="1731" w:type="dxa"/>
            <w:vAlign w:val="center"/>
          </w:tcPr>
          <w:p w14:paraId="EB787079">
            <w:pPr>
              <w:spacing w:before="120" w:after="120" w:line="240" w:lineRule="auto"/>
              <w:jc w:val="center"/>
              <w:rPr>
                <w:rFonts w:hint="eastAsia" w:ascii="宋体"/>
                <w:color w:val="auto"/>
                <w:sz w:val="32"/>
                <w:highlight w:val="none"/>
              </w:rPr>
            </w:pPr>
          </w:p>
        </w:tc>
      </w:tr>
      <w:tr w14:paraId="AF565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788" w:type="dxa"/>
            <w:vAlign w:val="center"/>
          </w:tcPr>
          <w:p w14:paraId="29863E05">
            <w:pPr>
              <w:spacing w:before="120" w:after="120" w:line="240" w:lineRule="auto"/>
              <w:jc w:val="center"/>
              <w:rPr>
                <w:rFonts w:hint="eastAsia" w:ascii="宋体"/>
                <w:color w:val="auto"/>
                <w:sz w:val="32"/>
                <w:highlight w:val="none"/>
              </w:rPr>
            </w:pPr>
          </w:p>
        </w:tc>
        <w:tc>
          <w:tcPr>
            <w:tcW w:w="1381" w:type="dxa"/>
            <w:vAlign w:val="center"/>
          </w:tcPr>
          <w:p w14:paraId="3490A0AA">
            <w:pPr>
              <w:spacing w:before="120" w:after="120" w:line="240" w:lineRule="auto"/>
              <w:jc w:val="center"/>
              <w:rPr>
                <w:rFonts w:hint="eastAsia" w:ascii="宋体"/>
                <w:color w:val="auto"/>
                <w:sz w:val="32"/>
                <w:highlight w:val="none"/>
              </w:rPr>
            </w:pPr>
          </w:p>
        </w:tc>
        <w:tc>
          <w:tcPr>
            <w:tcW w:w="1858" w:type="dxa"/>
            <w:vAlign w:val="center"/>
          </w:tcPr>
          <w:p w14:paraId="B9A5D776">
            <w:pPr>
              <w:spacing w:before="120" w:after="120" w:line="240" w:lineRule="auto"/>
              <w:jc w:val="center"/>
              <w:rPr>
                <w:rFonts w:hint="eastAsia" w:ascii="宋体"/>
                <w:color w:val="auto"/>
                <w:sz w:val="32"/>
                <w:highlight w:val="none"/>
              </w:rPr>
            </w:pPr>
          </w:p>
        </w:tc>
        <w:tc>
          <w:tcPr>
            <w:tcW w:w="4059" w:type="dxa"/>
            <w:vAlign w:val="center"/>
          </w:tcPr>
          <w:p w14:paraId="830AAF94">
            <w:pPr>
              <w:spacing w:before="120" w:after="120" w:line="240" w:lineRule="auto"/>
              <w:jc w:val="center"/>
              <w:rPr>
                <w:rFonts w:hint="eastAsia" w:ascii="宋体"/>
                <w:color w:val="auto"/>
                <w:sz w:val="32"/>
                <w:highlight w:val="none"/>
              </w:rPr>
            </w:pPr>
          </w:p>
        </w:tc>
        <w:tc>
          <w:tcPr>
            <w:tcW w:w="1731" w:type="dxa"/>
            <w:vAlign w:val="center"/>
          </w:tcPr>
          <w:p w14:paraId="4B47C971">
            <w:pPr>
              <w:spacing w:before="120" w:after="120" w:line="240" w:lineRule="auto"/>
              <w:jc w:val="center"/>
              <w:rPr>
                <w:rFonts w:hint="eastAsia" w:ascii="宋体"/>
                <w:color w:val="auto"/>
                <w:sz w:val="32"/>
                <w:highlight w:val="none"/>
              </w:rPr>
            </w:pPr>
          </w:p>
        </w:tc>
      </w:tr>
    </w:tbl>
    <w:p w14:paraId="210C4936">
      <w:pPr>
        <w:rPr>
          <w:rFonts w:hint="eastAsia" w:ascii="宋体"/>
          <w:b/>
          <w:color w:val="auto"/>
          <w:sz w:val="24"/>
          <w:highlight w:val="none"/>
        </w:rPr>
      </w:pPr>
      <w:r>
        <w:rPr>
          <w:rFonts w:hint="eastAsia" w:ascii="宋体"/>
          <w:b/>
          <w:color w:val="auto"/>
          <w:sz w:val="24"/>
          <w:highlight w:val="none"/>
        </w:rPr>
        <w:t>注：1、投标人所提供的文件与招标文件中的要求如有任何偏差，都应在“偏离表”中列出。</w:t>
      </w:r>
    </w:p>
    <w:p w14:paraId="CACA2FB9">
      <w:pPr>
        <w:rPr>
          <w:rFonts w:hint="eastAsia"/>
          <w:color w:val="auto"/>
          <w:sz w:val="24"/>
          <w:szCs w:val="24"/>
          <w:highlight w:val="none"/>
        </w:rPr>
      </w:pPr>
      <w:bookmarkStart w:id="52" w:name="_Toc524834043"/>
      <w:bookmarkStart w:id="53" w:name="_Toc24696157"/>
      <w:r>
        <w:rPr>
          <w:rFonts w:hint="eastAsia"/>
          <w:color w:val="auto"/>
          <w:sz w:val="24"/>
          <w:szCs w:val="24"/>
          <w:highlight w:val="none"/>
        </w:rPr>
        <w:t>投标单位：（印刷体及公章）</w:t>
      </w:r>
    </w:p>
    <w:p w14:paraId="1E2536F1">
      <w:pPr>
        <w:rPr>
          <w:rFonts w:hint="eastAsia"/>
          <w:color w:val="auto"/>
          <w:sz w:val="24"/>
          <w:szCs w:val="24"/>
          <w:highlight w:val="none"/>
        </w:rPr>
      </w:pPr>
    </w:p>
    <w:p w14:paraId="A98EF26E">
      <w:pPr>
        <w:rPr>
          <w:rFonts w:hint="eastAsia"/>
          <w:color w:val="auto"/>
          <w:sz w:val="24"/>
          <w:szCs w:val="24"/>
          <w:highlight w:val="none"/>
        </w:rPr>
      </w:pPr>
      <w:r>
        <w:rPr>
          <w:rFonts w:hint="eastAsia"/>
          <w:color w:val="auto"/>
          <w:sz w:val="24"/>
          <w:szCs w:val="24"/>
          <w:highlight w:val="none"/>
        </w:rPr>
        <w:t>法定代表人或其授权代表人：（签字）</w:t>
      </w:r>
      <w:bookmarkEnd w:id="52"/>
      <w:bookmarkEnd w:id="53"/>
    </w:p>
    <w:p w14:paraId="F7C58174">
      <w:pPr>
        <w:widowControl w:val="0"/>
        <w:spacing w:line="240" w:lineRule="auto"/>
        <w:rPr>
          <w:rFonts w:hint="eastAsia" w:ascii="宋体"/>
          <w:b/>
          <w:color w:val="auto"/>
          <w:sz w:val="28"/>
          <w:highlight w:val="none"/>
        </w:rPr>
      </w:pPr>
      <w:r>
        <w:rPr>
          <w:rFonts w:hint="eastAsia" w:ascii="宋体"/>
          <w:b/>
          <w:color w:val="auto"/>
          <w:sz w:val="28"/>
          <w:highlight w:val="none"/>
        </w:rPr>
        <w:br w:type="page"/>
      </w:r>
      <w:r>
        <w:rPr>
          <w:rFonts w:hint="eastAsia" w:ascii="宋体"/>
          <w:b/>
          <w:color w:val="auto"/>
          <w:sz w:val="28"/>
          <w:highlight w:val="none"/>
        </w:rPr>
        <w:t xml:space="preserve">格式12                  </w:t>
      </w:r>
    </w:p>
    <w:p w14:paraId="4C210FBF">
      <w:pPr>
        <w:widowControl w:val="0"/>
        <w:spacing w:line="480" w:lineRule="auto"/>
        <w:jc w:val="center"/>
        <w:rPr>
          <w:rFonts w:hint="eastAsia" w:ascii="宋体" w:eastAsia="宋体"/>
          <w:b/>
          <w:color w:val="auto"/>
          <w:sz w:val="28"/>
          <w:highlight w:val="none"/>
          <w:lang w:val="en-US" w:eastAsia="zh-CN"/>
        </w:rPr>
      </w:pPr>
      <w:r>
        <w:rPr>
          <w:rFonts w:hint="eastAsia" w:ascii="宋体"/>
          <w:b/>
          <w:color w:val="auto"/>
          <w:sz w:val="28"/>
          <w:highlight w:val="none"/>
          <w:lang w:eastAsia="zh-CN"/>
        </w:rPr>
        <w:t>无</w:t>
      </w:r>
      <w:r>
        <w:rPr>
          <w:rFonts w:hint="eastAsia" w:ascii="宋体"/>
          <w:b/>
          <w:color w:val="auto"/>
          <w:sz w:val="28"/>
          <w:highlight w:val="none"/>
        </w:rPr>
        <w:t>行贿犯罪档案查询记录</w:t>
      </w:r>
      <w:r>
        <w:rPr>
          <w:rFonts w:hint="eastAsia" w:ascii="宋体"/>
          <w:b/>
          <w:color w:val="auto"/>
          <w:sz w:val="28"/>
          <w:highlight w:val="none"/>
          <w:lang w:eastAsia="zh-CN"/>
        </w:rPr>
        <w:t>（裁判文书网截图）</w:t>
      </w:r>
    </w:p>
    <w:p w14:paraId="B857B50D">
      <w:pPr>
        <w:widowControl w:val="0"/>
        <w:spacing w:line="480" w:lineRule="auto"/>
        <w:rPr>
          <w:rFonts w:hint="eastAsia"/>
          <w:b/>
          <w:color w:val="auto"/>
          <w:sz w:val="32"/>
          <w:highlight w:val="none"/>
        </w:rPr>
      </w:pPr>
    </w:p>
    <w:p w14:paraId="A88E78CE">
      <w:pPr>
        <w:widowControl w:val="0"/>
        <w:spacing w:line="480" w:lineRule="auto"/>
        <w:rPr>
          <w:rFonts w:hint="eastAsia"/>
          <w:b/>
          <w:color w:val="auto"/>
          <w:sz w:val="32"/>
          <w:highlight w:val="none"/>
        </w:rPr>
      </w:pPr>
    </w:p>
    <w:p w14:paraId="5C0CBEE5">
      <w:pPr>
        <w:widowControl w:val="0"/>
        <w:spacing w:line="480" w:lineRule="auto"/>
        <w:rPr>
          <w:rFonts w:hint="eastAsia"/>
          <w:b/>
          <w:color w:val="auto"/>
          <w:sz w:val="32"/>
          <w:highlight w:val="none"/>
        </w:rPr>
      </w:pPr>
    </w:p>
    <w:p w14:paraId="2A8AAC6A">
      <w:pPr>
        <w:widowControl w:val="0"/>
        <w:spacing w:line="480" w:lineRule="auto"/>
        <w:rPr>
          <w:rFonts w:hint="eastAsia"/>
          <w:b/>
          <w:color w:val="auto"/>
          <w:sz w:val="32"/>
          <w:highlight w:val="none"/>
        </w:rPr>
      </w:pPr>
    </w:p>
    <w:p w14:paraId="512BB6EF">
      <w:pPr>
        <w:widowControl w:val="0"/>
        <w:spacing w:line="480" w:lineRule="auto"/>
        <w:rPr>
          <w:rFonts w:hint="eastAsia"/>
          <w:b/>
          <w:color w:val="auto"/>
          <w:sz w:val="32"/>
          <w:highlight w:val="none"/>
        </w:rPr>
      </w:pPr>
    </w:p>
    <w:p w14:paraId="3F970FF9">
      <w:pPr>
        <w:widowControl w:val="0"/>
        <w:spacing w:line="480" w:lineRule="auto"/>
        <w:rPr>
          <w:rFonts w:hint="eastAsia"/>
          <w:b/>
          <w:color w:val="auto"/>
          <w:sz w:val="32"/>
          <w:highlight w:val="none"/>
        </w:rPr>
      </w:pPr>
    </w:p>
    <w:p w14:paraId="B5E6C9C2">
      <w:pPr>
        <w:widowControl w:val="0"/>
        <w:spacing w:line="480" w:lineRule="auto"/>
        <w:rPr>
          <w:rFonts w:hint="eastAsia"/>
          <w:b/>
          <w:color w:val="auto"/>
          <w:sz w:val="32"/>
          <w:highlight w:val="none"/>
        </w:rPr>
      </w:pPr>
    </w:p>
    <w:p w14:paraId="772C8DB6">
      <w:pPr>
        <w:widowControl w:val="0"/>
        <w:spacing w:line="480" w:lineRule="auto"/>
        <w:rPr>
          <w:rFonts w:hint="eastAsia"/>
          <w:b/>
          <w:color w:val="auto"/>
          <w:sz w:val="32"/>
          <w:highlight w:val="none"/>
        </w:rPr>
      </w:pPr>
    </w:p>
    <w:p w14:paraId="D6837D4F">
      <w:pPr>
        <w:widowControl w:val="0"/>
        <w:spacing w:line="480" w:lineRule="auto"/>
        <w:rPr>
          <w:rFonts w:hint="eastAsia"/>
          <w:b/>
          <w:color w:val="auto"/>
          <w:sz w:val="32"/>
          <w:highlight w:val="none"/>
        </w:rPr>
      </w:pPr>
    </w:p>
    <w:p w14:paraId="FB514615">
      <w:pPr>
        <w:widowControl w:val="0"/>
        <w:spacing w:line="480" w:lineRule="auto"/>
        <w:rPr>
          <w:rFonts w:hint="eastAsia"/>
          <w:b/>
          <w:color w:val="auto"/>
          <w:sz w:val="32"/>
          <w:highlight w:val="none"/>
        </w:rPr>
      </w:pPr>
    </w:p>
    <w:p w14:paraId="3B88C5AA">
      <w:pPr>
        <w:widowControl w:val="0"/>
        <w:spacing w:line="480" w:lineRule="auto"/>
        <w:rPr>
          <w:rFonts w:hint="eastAsia"/>
          <w:b/>
          <w:color w:val="auto"/>
          <w:sz w:val="32"/>
          <w:highlight w:val="none"/>
        </w:rPr>
      </w:pPr>
    </w:p>
    <w:p w14:paraId="F8835071">
      <w:pPr>
        <w:widowControl w:val="0"/>
        <w:spacing w:line="480" w:lineRule="auto"/>
        <w:rPr>
          <w:rFonts w:hint="eastAsia"/>
          <w:b/>
          <w:color w:val="auto"/>
          <w:sz w:val="32"/>
          <w:highlight w:val="none"/>
        </w:rPr>
      </w:pPr>
    </w:p>
    <w:p w14:paraId="5D6EDA04">
      <w:pPr>
        <w:widowControl w:val="0"/>
        <w:spacing w:line="240" w:lineRule="auto"/>
        <w:rPr>
          <w:rFonts w:hint="eastAsia" w:ascii="宋体"/>
          <w:b/>
          <w:color w:val="auto"/>
          <w:sz w:val="28"/>
          <w:szCs w:val="22"/>
          <w:highlight w:val="none"/>
        </w:rPr>
      </w:pPr>
      <w:r>
        <w:rPr>
          <w:rFonts w:hint="eastAsia" w:ascii="宋体"/>
          <w:b/>
          <w:color w:val="auto"/>
          <w:sz w:val="28"/>
          <w:szCs w:val="22"/>
          <w:highlight w:val="none"/>
        </w:rPr>
        <w:t>格式13</w:t>
      </w:r>
    </w:p>
    <w:p w14:paraId="C2706055">
      <w:pPr>
        <w:widowControl w:val="0"/>
        <w:spacing w:line="480" w:lineRule="auto"/>
        <w:jc w:val="center"/>
        <w:rPr>
          <w:rFonts w:hint="eastAsia"/>
          <w:b/>
          <w:color w:val="auto"/>
          <w:sz w:val="32"/>
          <w:highlight w:val="none"/>
        </w:rPr>
      </w:pPr>
      <w:r>
        <w:rPr>
          <w:rFonts w:hint="eastAsia" w:ascii="宋体"/>
          <w:b/>
          <w:color w:val="auto"/>
          <w:sz w:val="28"/>
          <w:szCs w:val="22"/>
          <w:highlight w:val="none"/>
        </w:rPr>
        <w:t>符合《中华人民共和国政府采购法》第二十二条规定的证明</w:t>
      </w:r>
      <w:r>
        <w:rPr>
          <w:rFonts w:hint="eastAsia" w:ascii="宋体"/>
          <w:b/>
          <w:color w:val="auto"/>
          <w:sz w:val="30"/>
          <w:szCs w:val="30"/>
          <w:highlight w:val="none"/>
        </w:rPr>
        <w:t>材料</w:t>
      </w:r>
    </w:p>
    <w:p w14:paraId="64E21B38">
      <w:pPr>
        <w:widowControl w:val="0"/>
        <w:spacing w:line="480" w:lineRule="auto"/>
        <w:ind w:firstLine="560" w:firstLineChars="200"/>
        <w:jc w:val="left"/>
        <w:rPr>
          <w:rFonts w:hint="eastAsia"/>
          <w:b w:val="0"/>
          <w:bCs/>
          <w:color w:val="auto"/>
          <w:sz w:val="28"/>
          <w:szCs w:val="28"/>
          <w:highlight w:val="none"/>
        </w:rPr>
      </w:pPr>
      <w:r>
        <w:rPr>
          <w:rFonts w:hint="eastAsia"/>
          <w:b w:val="0"/>
          <w:bCs/>
          <w:color w:val="auto"/>
          <w:sz w:val="28"/>
          <w:szCs w:val="28"/>
          <w:highlight w:val="none"/>
          <w:lang w:val="zh-CN"/>
        </w:rPr>
        <w:t>具有良好的商业信誉和健全的财务会计制度，依法缴纳税收和社会保障资金的良好记录，根据[长财采购[2022]2066号文件]关于加强政府采购信用体系建设简化供应商资格条件有关事项的通知提供资格条件承诺函</w:t>
      </w:r>
      <w:r>
        <w:rPr>
          <w:rFonts w:hint="eastAsia"/>
          <w:b w:val="0"/>
          <w:bCs/>
          <w:color w:val="auto"/>
          <w:sz w:val="28"/>
          <w:szCs w:val="28"/>
          <w:highlight w:val="none"/>
        </w:rPr>
        <w:t>加盖公章</w:t>
      </w:r>
    </w:p>
    <w:p w14:paraId="C7A01333">
      <w:pPr>
        <w:widowControl w:val="0"/>
        <w:spacing w:line="480" w:lineRule="auto"/>
        <w:jc w:val="center"/>
        <w:rPr>
          <w:rFonts w:hint="eastAsia"/>
          <w:b/>
          <w:color w:val="auto"/>
          <w:sz w:val="32"/>
          <w:highlight w:val="none"/>
        </w:rPr>
      </w:pPr>
    </w:p>
    <w:p w14:paraId="40B4AEAF">
      <w:pPr>
        <w:widowControl w:val="0"/>
        <w:spacing w:line="480" w:lineRule="auto"/>
        <w:jc w:val="center"/>
        <w:rPr>
          <w:rFonts w:hint="eastAsia"/>
          <w:b/>
          <w:color w:val="auto"/>
          <w:sz w:val="32"/>
          <w:highlight w:val="none"/>
        </w:rPr>
      </w:pPr>
    </w:p>
    <w:p w14:paraId="E1D73199">
      <w:pPr>
        <w:widowControl w:val="0"/>
        <w:spacing w:line="480" w:lineRule="auto"/>
        <w:jc w:val="center"/>
        <w:rPr>
          <w:rFonts w:hint="eastAsia"/>
          <w:b/>
          <w:color w:val="auto"/>
          <w:sz w:val="32"/>
          <w:highlight w:val="none"/>
        </w:rPr>
      </w:pPr>
    </w:p>
    <w:p w14:paraId="772C2DFB">
      <w:pPr>
        <w:widowControl w:val="0"/>
        <w:spacing w:line="480" w:lineRule="auto"/>
        <w:jc w:val="center"/>
        <w:rPr>
          <w:rFonts w:hint="eastAsia"/>
          <w:b/>
          <w:color w:val="auto"/>
          <w:sz w:val="32"/>
          <w:highlight w:val="none"/>
        </w:rPr>
      </w:pPr>
    </w:p>
    <w:p w14:paraId="826F2E39">
      <w:pPr>
        <w:widowControl w:val="0"/>
        <w:spacing w:line="480" w:lineRule="auto"/>
        <w:jc w:val="center"/>
        <w:rPr>
          <w:rFonts w:hint="eastAsia"/>
          <w:b/>
          <w:color w:val="auto"/>
          <w:sz w:val="32"/>
          <w:highlight w:val="none"/>
        </w:rPr>
      </w:pPr>
    </w:p>
    <w:p w14:paraId="F22695C9">
      <w:pPr>
        <w:widowControl w:val="0"/>
        <w:spacing w:line="480" w:lineRule="auto"/>
        <w:jc w:val="center"/>
        <w:rPr>
          <w:rFonts w:hint="eastAsia"/>
          <w:b/>
          <w:color w:val="auto"/>
          <w:sz w:val="32"/>
          <w:highlight w:val="none"/>
        </w:rPr>
      </w:pPr>
    </w:p>
    <w:p w14:paraId="B7F9389B">
      <w:pPr>
        <w:widowControl w:val="0"/>
        <w:spacing w:line="480" w:lineRule="auto"/>
        <w:jc w:val="center"/>
        <w:rPr>
          <w:rFonts w:hint="eastAsia"/>
          <w:b/>
          <w:color w:val="auto"/>
          <w:sz w:val="32"/>
          <w:highlight w:val="none"/>
        </w:rPr>
      </w:pPr>
    </w:p>
    <w:p w14:paraId="BF329E19">
      <w:pPr>
        <w:widowControl w:val="0"/>
        <w:spacing w:line="480" w:lineRule="auto"/>
        <w:jc w:val="center"/>
        <w:rPr>
          <w:rFonts w:hint="eastAsia"/>
          <w:b/>
          <w:color w:val="auto"/>
          <w:sz w:val="32"/>
          <w:highlight w:val="none"/>
        </w:rPr>
      </w:pPr>
    </w:p>
    <w:p w14:paraId="F6C3A28D">
      <w:pPr>
        <w:widowControl w:val="0"/>
        <w:spacing w:line="240" w:lineRule="auto"/>
        <w:jc w:val="both"/>
        <w:rPr>
          <w:rFonts w:hint="eastAsia"/>
          <w:b/>
          <w:color w:val="auto"/>
          <w:sz w:val="24"/>
          <w:szCs w:val="24"/>
          <w:highlight w:val="none"/>
        </w:rPr>
      </w:pPr>
      <w:r>
        <w:rPr>
          <w:rFonts w:hint="eastAsia"/>
          <w:b/>
          <w:color w:val="auto"/>
          <w:sz w:val="24"/>
          <w:szCs w:val="24"/>
          <w:highlight w:val="none"/>
        </w:rPr>
        <w:t>格式14</w:t>
      </w:r>
    </w:p>
    <w:p w14:paraId="A4528B49">
      <w:pPr>
        <w:spacing w:line="360" w:lineRule="auto"/>
        <w:jc w:val="center"/>
        <w:rPr>
          <w:rFonts w:hint="eastAsia" w:ascii="宋体" w:eastAsia="宋体" w:cs="宋体"/>
          <w:b/>
          <w:color w:val="auto"/>
          <w:sz w:val="28"/>
          <w:szCs w:val="28"/>
          <w:highlight w:val="none"/>
          <w:lang w:bidi="ar-SA"/>
        </w:rPr>
      </w:pPr>
      <w:r>
        <w:rPr>
          <w:rFonts w:hint="eastAsia" w:ascii="宋体" w:eastAsia="宋体" w:cs="宋体"/>
          <w:b/>
          <w:color w:val="auto"/>
          <w:sz w:val="28"/>
          <w:szCs w:val="28"/>
          <w:highlight w:val="none"/>
          <w:lang w:bidi="ar-SA"/>
        </w:rPr>
        <w:t>中小企业声明函</w:t>
      </w:r>
    </w:p>
    <w:p w14:paraId="ADAAE51E">
      <w:pPr>
        <w:keepNext w:val="0"/>
        <w:keepLines w:val="0"/>
        <w:pageBreakBefore w:val="0"/>
        <w:widowControl/>
        <w:kinsoku/>
        <w:wordWrap/>
        <w:overflowPunct/>
        <w:topLinePunct w:val="0"/>
        <w:autoSpaceDE w:val="0"/>
        <w:autoSpaceDN w:val="0"/>
        <w:bidi w:val="0"/>
        <w:adjustRightInd w:val="0"/>
        <w:snapToGrid/>
        <w:spacing w:beforeAutospacing="0" w:afterAutospacing="0" w:line="24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本公司（联合体）郑重声明，根据《政府采购促进中小企业发展管理办法》（财库﹝2020﹞46 号）的规定，本公司（联合体）参加</w:t>
      </w:r>
      <w:r>
        <w:rPr>
          <w:rFonts w:hint="eastAsia" w:ascii="宋体" w:hAnsi="宋体" w:eastAsia="宋体" w:cs="宋体"/>
          <w:color w:val="auto"/>
          <w:kern w:val="0"/>
          <w:sz w:val="24"/>
          <w:szCs w:val="24"/>
          <w:highlight w:val="none"/>
          <w:u w:val="single"/>
        </w:rPr>
        <w:t xml:space="preserve">     （单位名称）</w:t>
      </w:r>
      <w:r>
        <w:rPr>
          <w:rFonts w:hint="eastAsia" w:ascii="宋体" w:hAnsi="宋体" w:eastAsia="宋体" w:cs="宋体"/>
          <w:color w:val="auto"/>
          <w:kern w:val="0"/>
          <w:sz w:val="24"/>
          <w:szCs w:val="24"/>
          <w:highlight w:val="none"/>
        </w:rPr>
        <w:t>的</w:t>
      </w:r>
      <w:r>
        <w:rPr>
          <w:rFonts w:hint="eastAsia" w:ascii="宋体" w:hAnsi="宋体" w:eastAsia="宋体" w:cs="宋体"/>
          <w:color w:val="auto"/>
          <w:kern w:val="0"/>
          <w:sz w:val="24"/>
          <w:szCs w:val="24"/>
          <w:highlight w:val="none"/>
          <w:u w:val="single"/>
        </w:rPr>
        <w:t xml:space="preserve">    （项目名称）</w:t>
      </w:r>
      <w:r>
        <w:rPr>
          <w:rFonts w:hint="eastAsia" w:ascii="宋体" w:hAnsi="宋体" w:eastAsia="宋体" w:cs="宋体"/>
          <w:color w:val="auto"/>
          <w:kern w:val="0"/>
          <w:sz w:val="24"/>
          <w:szCs w:val="24"/>
          <w:highlight w:val="none"/>
        </w:rPr>
        <w:t>采购活动，提供的货物全部由符合政策要求的中小企业制造。相关企业（含联合体中的中小企业、签订分包意向协议的中小企业）的具体情况如下：</w:t>
      </w:r>
    </w:p>
    <w:p w14:paraId="49BCAA99">
      <w:pPr>
        <w:keepNext w:val="0"/>
        <w:keepLines w:val="0"/>
        <w:pageBreakBefore w:val="0"/>
        <w:widowControl/>
        <w:kinsoku/>
        <w:wordWrap/>
        <w:overflowPunct/>
        <w:topLinePunct w:val="0"/>
        <w:autoSpaceDE w:val="0"/>
        <w:autoSpaceDN w:val="0"/>
        <w:bidi w:val="0"/>
        <w:adjustRightInd w:val="0"/>
        <w:snapToGrid/>
        <w:spacing w:beforeAutospacing="0" w:afterAutospacing="0" w:line="24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u w:val="single"/>
        </w:rPr>
        <w:t xml:space="preserve">     （标的名称）</w:t>
      </w:r>
      <w:r>
        <w:rPr>
          <w:rFonts w:hint="eastAsia" w:ascii="宋体" w:hAnsi="宋体" w:eastAsia="宋体" w:cs="宋体"/>
          <w:color w:val="auto"/>
          <w:kern w:val="0"/>
          <w:sz w:val="24"/>
          <w:szCs w:val="24"/>
          <w:highlight w:val="none"/>
        </w:rPr>
        <w:t>，属于</w:t>
      </w:r>
      <w:r>
        <w:rPr>
          <w:rFonts w:hint="eastAsia" w:ascii="宋体" w:hAnsi="宋体" w:eastAsia="宋体" w:cs="宋体"/>
          <w:color w:val="auto"/>
          <w:kern w:val="0"/>
          <w:sz w:val="24"/>
          <w:szCs w:val="24"/>
          <w:highlight w:val="none"/>
          <w:u w:val="single"/>
        </w:rPr>
        <w:t xml:space="preserve">     （采购文件中明确的所属行业）</w:t>
      </w:r>
      <w:r>
        <w:rPr>
          <w:rFonts w:hint="eastAsia" w:ascii="宋体" w:hAnsi="宋体" w:eastAsia="宋体" w:cs="宋体"/>
          <w:color w:val="auto"/>
          <w:kern w:val="0"/>
          <w:sz w:val="24"/>
          <w:szCs w:val="24"/>
          <w:highlight w:val="none"/>
        </w:rPr>
        <w:t>行业；制造商为</w:t>
      </w:r>
      <w:r>
        <w:rPr>
          <w:rFonts w:hint="eastAsia" w:ascii="宋体" w:hAnsi="宋体" w:eastAsia="宋体" w:cs="宋体"/>
          <w:color w:val="auto"/>
          <w:kern w:val="0"/>
          <w:sz w:val="24"/>
          <w:szCs w:val="24"/>
          <w:highlight w:val="none"/>
          <w:u w:val="single"/>
        </w:rPr>
        <w:t xml:space="preserve">       （企业名称）</w:t>
      </w:r>
      <w:r>
        <w:rPr>
          <w:rFonts w:hint="eastAsia" w:ascii="宋体" w:hAnsi="宋体" w:eastAsia="宋体" w:cs="宋体"/>
          <w:color w:val="auto"/>
          <w:kern w:val="0"/>
          <w:sz w:val="24"/>
          <w:szCs w:val="24"/>
          <w:highlight w:val="none"/>
        </w:rPr>
        <w:t>，从业人员</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人，营业收入为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万元，资产总额为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万元</w:t>
      </w:r>
      <w:r>
        <w:rPr>
          <w:rFonts w:hint="eastAsia" w:ascii="宋体" w:hAnsi="宋体" w:eastAsia="宋体" w:cs="宋体"/>
          <w:color w:val="auto"/>
          <w:kern w:val="0"/>
          <w:sz w:val="24"/>
          <w:szCs w:val="24"/>
          <w:highlight w:val="none"/>
          <w:vertAlign w:val="superscript"/>
        </w:rPr>
        <w:t>1</w:t>
      </w:r>
      <w:r>
        <w:rPr>
          <w:rFonts w:hint="eastAsia" w:ascii="宋体" w:hAnsi="宋体" w:eastAsia="宋体" w:cs="宋体"/>
          <w:color w:val="auto"/>
          <w:kern w:val="0"/>
          <w:sz w:val="24"/>
          <w:szCs w:val="24"/>
          <w:highlight w:val="none"/>
        </w:rPr>
        <w:t>，属于</w:t>
      </w:r>
      <w:r>
        <w:rPr>
          <w:rFonts w:hint="eastAsia" w:ascii="宋体" w:hAnsi="宋体" w:eastAsia="宋体" w:cs="宋体"/>
          <w:color w:val="auto"/>
          <w:kern w:val="0"/>
          <w:sz w:val="24"/>
          <w:szCs w:val="24"/>
          <w:highlight w:val="none"/>
          <w:u w:val="single"/>
        </w:rPr>
        <w:t xml:space="preserve">     （中型企业、小型企业、微型企业）</w:t>
      </w:r>
      <w:r>
        <w:rPr>
          <w:rFonts w:hint="eastAsia" w:ascii="宋体" w:hAnsi="宋体" w:eastAsia="宋体" w:cs="宋体"/>
          <w:color w:val="auto"/>
          <w:kern w:val="0"/>
          <w:sz w:val="24"/>
          <w:szCs w:val="24"/>
          <w:highlight w:val="none"/>
        </w:rPr>
        <w:t>；</w:t>
      </w:r>
    </w:p>
    <w:p w14:paraId="642628F3">
      <w:pPr>
        <w:keepNext w:val="0"/>
        <w:keepLines w:val="0"/>
        <w:pageBreakBefore w:val="0"/>
        <w:widowControl/>
        <w:kinsoku/>
        <w:wordWrap/>
        <w:overflowPunct/>
        <w:topLinePunct w:val="0"/>
        <w:autoSpaceDE w:val="0"/>
        <w:autoSpaceDN w:val="0"/>
        <w:bidi w:val="0"/>
        <w:adjustRightInd w:val="0"/>
        <w:snapToGrid/>
        <w:spacing w:beforeAutospacing="0" w:afterAutospacing="0" w:line="24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u w:val="single"/>
        </w:rPr>
        <w:t xml:space="preserve">     （标的名称）</w:t>
      </w:r>
      <w:r>
        <w:rPr>
          <w:rFonts w:hint="eastAsia" w:ascii="宋体" w:hAnsi="宋体" w:eastAsia="宋体" w:cs="宋体"/>
          <w:color w:val="auto"/>
          <w:kern w:val="0"/>
          <w:sz w:val="24"/>
          <w:szCs w:val="24"/>
          <w:highlight w:val="none"/>
        </w:rPr>
        <w:t>，属于</w:t>
      </w:r>
      <w:r>
        <w:rPr>
          <w:rFonts w:hint="eastAsia" w:ascii="宋体" w:hAnsi="宋体" w:eastAsia="宋体" w:cs="宋体"/>
          <w:color w:val="auto"/>
          <w:kern w:val="0"/>
          <w:sz w:val="24"/>
          <w:szCs w:val="24"/>
          <w:highlight w:val="none"/>
          <w:u w:val="single"/>
        </w:rPr>
        <w:t xml:space="preserve">     （采购文件中明确的所属行业）</w:t>
      </w:r>
      <w:r>
        <w:rPr>
          <w:rFonts w:hint="eastAsia" w:ascii="宋体" w:hAnsi="宋体" w:eastAsia="宋体" w:cs="宋体"/>
          <w:color w:val="auto"/>
          <w:kern w:val="0"/>
          <w:sz w:val="24"/>
          <w:szCs w:val="24"/>
          <w:highlight w:val="none"/>
        </w:rPr>
        <w:t>行业；制造商为</w:t>
      </w:r>
      <w:r>
        <w:rPr>
          <w:rFonts w:hint="eastAsia" w:ascii="宋体" w:hAnsi="宋体" w:eastAsia="宋体" w:cs="宋体"/>
          <w:color w:val="auto"/>
          <w:kern w:val="0"/>
          <w:sz w:val="24"/>
          <w:szCs w:val="24"/>
          <w:highlight w:val="none"/>
          <w:u w:val="single"/>
        </w:rPr>
        <w:t xml:space="preserve">       （企业名称）</w:t>
      </w:r>
      <w:r>
        <w:rPr>
          <w:rFonts w:hint="eastAsia" w:ascii="宋体" w:hAnsi="宋体" w:eastAsia="宋体" w:cs="宋体"/>
          <w:color w:val="auto"/>
          <w:kern w:val="0"/>
          <w:sz w:val="24"/>
          <w:szCs w:val="24"/>
          <w:highlight w:val="none"/>
        </w:rPr>
        <w:t>，从业人员</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人，营业收入为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万元，资产总额为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万元</w:t>
      </w:r>
      <w:r>
        <w:rPr>
          <w:rFonts w:hint="eastAsia" w:ascii="宋体" w:hAnsi="宋体" w:eastAsia="宋体" w:cs="宋体"/>
          <w:color w:val="auto"/>
          <w:kern w:val="0"/>
          <w:sz w:val="24"/>
          <w:szCs w:val="24"/>
          <w:highlight w:val="none"/>
          <w:vertAlign w:val="superscript"/>
        </w:rPr>
        <w:t>1</w:t>
      </w:r>
      <w:r>
        <w:rPr>
          <w:rFonts w:hint="eastAsia" w:ascii="宋体" w:hAnsi="宋体" w:eastAsia="宋体" w:cs="宋体"/>
          <w:color w:val="auto"/>
          <w:kern w:val="0"/>
          <w:sz w:val="24"/>
          <w:szCs w:val="24"/>
          <w:highlight w:val="none"/>
        </w:rPr>
        <w:t>，属于</w:t>
      </w:r>
      <w:r>
        <w:rPr>
          <w:rFonts w:hint="eastAsia" w:ascii="宋体" w:hAnsi="宋体" w:eastAsia="宋体" w:cs="宋体"/>
          <w:color w:val="auto"/>
          <w:kern w:val="0"/>
          <w:sz w:val="24"/>
          <w:szCs w:val="24"/>
          <w:highlight w:val="none"/>
          <w:u w:val="single"/>
        </w:rPr>
        <w:t xml:space="preserve">     （中型企业、小型企业、微型企业）</w:t>
      </w:r>
      <w:r>
        <w:rPr>
          <w:rFonts w:hint="eastAsia" w:ascii="宋体" w:hAnsi="宋体" w:eastAsia="宋体" w:cs="宋体"/>
          <w:color w:val="auto"/>
          <w:kern w:val="0"/>
          <w:sz w:val="24"/>
          <w:szCs w:val="24"/>
          <w:highlight w:val="none"/>
        </w:rPr>
        <w:t>；</w:t>
      </w:r>
    </w:p>
    <w:p w14:paraId="60791BC9">
      <w:pPr>
        <w:keepNext w:val="0"/>
        <w:keepLines w:val="0"/>
        <w:pageBreakBefore w:val="0"/>
        <w:widowControl/>
        <w:kinsoku/>
        <w:wordWrap/>
        <w:overflowPunct/>
        <w:topLinePunct w:val="0"/>
        <w:autoSpaceDE w:val="0"/>
        <w:autoSpaceDN w:val="0"/>
        <w:bidi w:val="0"/>
        <w:adjustRightInd w:val="0"/>
        <w:snapToGrid/>
        <w:spacing w:beforeAutospacing="0" w:afterAutospacing="0" w:line="24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135CFE5B">
      <w:pPr>
        <w:keepNext w:val="0"/>
        <w:keepLines w:val="0"/>
        <w:pageBreakBefore w:val="0"/>
        <w:widowControl/>
        <w:kinsoku/>
        <w:wordWrap/>
        <w:overflowPunct/>
        <w:topLinePunct w:val="0"/>
        <w:autoSpaceDE w:val="0"/>
        <w:autoSpaceDN w:val="0"/>
        <w:bidi w:val="0"/>
        <w:adjustRightInd w:val="0"/>
        <w:snapToGrid/>
        <w:spacing w:beforeAutospacing="0" w:afterAutospacing="0" w:line="24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以上企业，不属于大企业的分支机构，不存在控股股东为大企业的情形，也不存在与大企业的负责人为同一人的情形。</w:t>
      </w:r>
    </w:p>
    <w:p w14:paraId="BD042809">
      <w:pPr>
        <w:keepNext w:val="0"/>
        <w:keepLines w:val="0"/>
        <w:pageBreakBefore w:val="0"/>
        <w:widowControl/>
        <w:kinsoku/>
        <w:wordWrap/>
        <w:overflowPunct/>
        <w:topLinePunct w:val="0"/>
        <w:autoSpaceDE w:val="0"/>
        <w:autoSpaceDN w:val="0"/>
        <w:bidi w:val="0"/>
        <w:adjustRightInd w:val="0"/>
        <w:snapToGrid/>
        <w:spacing w:beforeAutospacing="0" w:afterAutospacing="0" w:line="24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本企业对上述声明内容的真实性负责。如有虚假，将依法承担相应责任。</w:t>
      </w:r>
    </w:p>
    <w:p w14:paraId="0150F320">
      <w:pPr>
        <w:keepNext w:val="0"/>
        <w:keepLines w:val="0"/>
        <w:pageBreakBefore w:val="0"/>
        <w:widowControl/>
        <w:kinsoku/>
        <w:wordWrap/>
        <w:overflowPunct/>
        <w:topLinePunct w:val="0"/>
        <w:autoSpaceDE w:val="0"/>
        <w:autoSpaceDN w:val="0"/>
        <w:bidi w:val="0"/>
        <w:adjustRightInd w:val="0"/>
        <w:snapToGrid/>
        <w:spacing w:beforeAutospacing="0" w:afterAutospacing="0"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p w14:paraId="87C3B9C0">
      <w:pPr>
        <w:keepNext w:val="0"/>
        <w:keepLines w:val="0"/>
        <w:pageBreakBefore w:val="0"/>
        <w:widowControl/>
        <w:kinsoku/>
        <w:wordWrap/>
        <w:overflowPunct/>
        <w:topLinePunct w:val="0"/>
        <w:autoSpaceDE w:val="0"/>
        <w:autoSpaceDN w:val="0"/>
        <w:bidi w:val="0"/>
        <w:adjustRightInd w:val="0"/>
        <w:snapToGrid/>
        <w:spacing w:beforeAutospacing="0" w:afterAutospacing="0"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p w14:paraId="F415243C">
      <w:pPr>
        <w:keepNext w:val="0"/>
        <w:keepLines w:val="0"/>
        <w:pageBreakBefore w:val="0"/>
        <w:widowControl/>
        <w:kinsoku/>
        <w:wordWrap/>
        <w:overflowPunct/>
        <w:topLinePunct w:val="0"/>
        <w:autoSpaceDE w:val="0"/>
        <w:autoSpaceDN w:val="0"/>
        <w:bidi w:val="0"/>
        <w:adjustRightInd w:val="0"/>
        <w:snapToGrid/>
        <w:spacing w:beforeAutospacing="0" w:afterAutospacing="0" w:line="360" w:lineRule="auto"/>
        <w:ind w:firstLine="5280" w:firstLineChars="2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企业名称（盖章）：</w:t>
      </w:r>
    </w:p>
    <w:p w14:paraId="BCCF7FF1">
      <w:pPr>
        <w:keepNext w:val="0"/>
        <w:keepLines w:val="0"/>
        <w:pageBreakBefore w:val="0"/>
        <w:widowControl/>
        <w:kinsoku/>
        <w:wordWrap/>
        <w:overflowPunct/>
        <w:topLinePunct w:val="0"/>
        <w:autoSpaceDE w:val="0"/>
        <w:autoSpaceDN w:val="0"/>
        <w:bidi w:val="0"/>
        <w:adjustRightInd w:val="0"/>
        <w:snapToGrid/>
        <w:spacing w:beforeAutospacing="0" w:afterAutospacing="0" w:line="360" w:lineRule="auto"/>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p w14:paraId="370A59C1">
      <w:pPr>
        <w:keepNext w:val="0"/>
        <w:keepLines w:val="0"/>
        <w:pageBreakBefore w:val="0"/>
        <w:widowControl/>
        <w:kinsoku/>
        <w:wordWrap/>
        <w:overflowPunct/>
        <w:topLinePunct w:val="0"/>
        <w:autoSpaceDE w:val="0"/>
        <w:autoSpaceDN w:val="0"/>
        <w:bidi w:val="0"/>
        <w:adjustRightInd w:val="0"/>
        <w:snapToGrid/>
        <w:spacing w:beforeAutospacing="0" w:afterAutospacing="0" w:line="360" w:lineRule="auto"/>
        <w:ind w:firstLine="5280" w:firstLineChars="2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日 期：</w:t>
      </w:r>
    </w:p>
    <w:p w14:paraId="19C3FF8C">
      <w:pPr>
        <w:keepNext w:val="0"/>
        <w:keepLines w:val="0"/>
        <w:pageBreakBefore w:val="0"/>
        <w:widowControl/>
        <w:kinsoku/>
        <w:wordWrap/>
        <w:overflowPunct/>
        <w:topLinePunct w:val="0"/>
        <w:autoSpaceDE w:val="0"/>
        <w:autoSpaceDN w:val="0"/>
        <w:bidi w:val="0"/>
        <w:adjustRightInd w:val="0"/>
        <w:snapToGrid/>
        <w:spacing w:beforeAutospacing="0" w:afterAutospacing="0" w:line="24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vertAlign w:val="superscript"/>
        </w:rPr>
        <w:t>1</w:t>
      </w:r>
      <w:r>
        <w:rPr>
          <w:rFonts w:hint="eastAsia" w:ascii="宋体" w:hAnsi="宋体" w:eastAsia="宋体" w:cs="宋体"/>
          <w:color w:val="auto"/>
          <w:kern w:val="0"/>
          <w:sz w:val="24"/>
          <w:szCs w:val="24"/>
          <w:highlight w:val="none"/>
        </w:rPr>
        <w:t>从业人员、营业收入、资产总额填报上一年度数据，无上一年度数据的新成立企业可不填报。</w:t>
      </w:r>
    </w:p>
    <w:p w14:paraId="F451CC50">
      <w:pPr>
        <w:spacing w:line="360" w:lineRule="auto"/>
        <w:rPr>
          <w:rFonts w:hint="eastAsia" w:ascii="宋体"/>
          <w:b/>
          <w:bCs/>
          <w:color w:val="auto"/>
          <w:sz w:val="24"/>
          <w:highlight w:val="none"/>
        </w:rPr>
      </w:pPr>
    </w:p>
    <w:p w14:paraId="47FFA883">
      <w:pPr>
        <w:ind w:firstLine="405"/>
        <w:jc w:val="center"/>
        <w:rPr>
          <w:rFonts w:ascii="宋体" w:hAnsi="宋体" w:eastAsia="宋体" w:cs="宋体"/>
          <w:b/>
          <w:color w:val="auto"/>
          <w:sz w:val="24"/>
          <w:szCs w:val="24"/>
          <w:highlight w:val="none"/>
        </w:rPr>
      </w:pPr>
      <w:r>
        <w:rPr>
          <w:rFonts w:hint="eastAsia"/>
          <w:b/>
          <w:color w:val="auto"/>
          <w:sz w:val="32"/>
          <w:highlight w:val="none"/>
        </w:rPr>
        <w:br w:type="page"/>
      </w:r>
      <w:r>
        <w:rPr>
          <w:rFonts w:hint="eastAsia" w:ascii="宋体" w:hAnsi="宋体" w:eastAsia="宋体" w:cs="宋体"/>
          <w:b/>
          <w:color w:val="auto"/>
          <w:sz w:val="24"/>
          <w:szCs w:val="24"/>
          <w:highlight w:val="none"/>
        </w:rPr>
        <w:t>中小企业划型标准规定</w:t>
      </w:r>
    </w:p>
    <w:p w14:paraId="B7DD4393">
      <w:pPr>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一、根据《中华人民共和国中小企业促进法》和《国务院关于进一步促进中小企业发展的若干意见》(国发〔2009〕36号)，制定本规定。</w:t>
      </w:r>
    </w:p>
    <w:p w14:paraId="3B5D86EF">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二、中小企业划分为中型、小型、微型三种类型，具体标准根据企业从业人员、营业收入、资产总额等指标，结合行业特点制定。</w:t>
      </w:r>
    </w:p>
    <w:p w14:paraId="2810B58E">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AFCD1A7E">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四、各行业划型标准为：</w:t>
      </w:r>
    </w:p>
    <w:p w14:paraId="10CAD704">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（一）农、林、牧、渔业。营业收入20000万元以下的为中小微型企业。其中，营业收入500万元及以上的为中型企业，营业收入50万元及以上的为小型企业，营业收入50万元以下的为微型企业。</w:t>
      </w:r>
    </w:p>
    <w:p w14:paraId="C354BBE0">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1C9D127">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F8355E8">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E11DD9C">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8CE74571">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C50E723C">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9F4CDA76">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D0DEB9DE">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E802E61">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86CB73D4">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07FE4DC">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C55345D4">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120109E6">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5BF6DF0D">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C66158FA">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（十六）其他未列明行业。从业人员300人以下的为中小微型企业。其中，从业人员100人及以上的为中型企业；从业人员10人及以上的为小型企业；从业人员10人以下的为微型企业。</w:t>
      </w:r>
    </w:p>
    <w:p w14:paraId="B049CDFA">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五、企业类型的划分以统计部门的统计数据为依据。</w:t>
      </w:r>
    </w:p>
    <w:p w14:paraId="A5AAD763">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六、本规定适用于在中华人民共和国境内依法设立的各类所有制和各种组织形式的企业。个体工商户和本规定以外的行业，参照本规定进行划型。</w:t>
      </w:r>
    </w:p>
    <w:p w14:paraId="1C775066">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09A16F67">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八、本规定由工业和信息化部、国家统计局会同有关部门根据《国民经济行业分类》修订情况和企业发展变化情况适时修订。</w:t>
      </w:r>
    </w:p>
    <w:p w14:paraId="6E245C82">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九、本规定由工业和信息化部、国家统计局会同有关部门负责解释。</w:t>
      </w:r>
    </w:p>
    <w:p w14:paraId="0D0378E8">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十、本规定自发布之日起执行，原国家经贸委、原国家计委、财政部和国家统计局2003年颁布的《中小企业标准暂行规定》同时废止。</w:t>
      </w:r>
    </w:p>
    <w:p w14:paraId="A94A39D6">
      <w:pPr>
        <w:widowControl w:val="0"/>
        <w:spacing w:line="240" w:lineRule="auto"/>
        <w:rPr>
          <w:rFonts w:hint="eastAsia"/>
          <w:b/>
          <w:color w:val="auto"/>
          <w:sz w:val="24"/>
          <w:szCs w:val="24"/>
          <w:highlight w:val="none"/>
        </w:rPr>
      </w:pPr>
    </w:p>
    <w:p w14:paraId="0CF17A17">
      <w:pPr>
        <w:widowControl w:val="0"/>
        <w:spacing w:line="240" w:lineRule="auto"/>
        <w:rPr>
          <w:rFonts w:hint="eastAsia"/>
          <w:b/>
          <w:color w:val="auto"/>
          <w:sz w:val="24"/>
          <w:szCs w:val="24"/>
          <w:highlight w:val="none"/>
        </w:rPr>
      </w:pPr>
    </w:p>
    <w:p w14:paraId="E0F63272">
      <w:pPr>
        <w:widowControl w:val="0"/>
        <w:spacing w:line="240" w:lineRule="auto"/>
        <w:rPr>
          <w:rFonts w:hint="eastAsia"/>
          <w:b/>
          <w:color w:val="auto"/>
          <w:sz w:val="24"/>
          <w:szCs w:val="24"/>
          <w:highlight w:val="none"/>
        </w:rPr>
      </w:pPr>
    </w:p>
    <w:p w14:paraId="F0D40231">
      <w:pPr>
        <w:widowControl w:val="0"/>
        <w:spacing w:line="240" w:lineRule="auto"/>
        <w:rPr>
          <w:rFonts w:hint="eastAsia"/>
          <w:b/>
          <w:color w:val="auto"/>
          <w:sz w:val="24"/>
          <w:szCs w:val="24"/>
          <w:highlight w:val="none"/>
        </w:rPr>
      </w:pPr>
    </w:p>
    <w:p w14:paraId="CB8AA2FA">
      <w:pPr>
        <w:widowControl w:val="0"/>
        <w:spacing w:line="240" w:lineRule="auto"/>
        <w:rPr>
          <w:rFonts w:hint="eastAsia"/>
          <w:b/>
          <w:color w:val="auto"/>
          <w:sz w:val="24"/>
          <w:szCs w:val="24"/>
          <w:highlight w:val="none"/>
        </w:rPr>
      </w:pPr>
    </w:p>
    <w:p w14:paraId="B70F41CF">
      <w:pPr>
        <w:widowControl w:val="0"/>
        <w:spacing w:line="240" w:lineRule="auto"/>
        <w:rPr>
          <w:rFonts w:hint="eastAsia"/>
          <w:b/>
          <w:color w:val="auto"/>
          <w:sz w:val="24"/>
          <w:szCs w:val="24"/>
          <w:highlight w:val="none"/>
        </w:rPr>
      </w:pPr>
    </w:p>
    <w:p w14:paraId="C19829DE">
      <w:pPr>
        <w:widowControl w:val="0"/>
        <w:spacing w:line="240" w:lineRule="auto"/>
        <w:rPr>
          <w:rFonts w:hint="eastAsia"/>
          <w:b/>
          <w:color w:val="auto"/>
          <w:sz w:val="24"/>
          <w:szCs w:val="24"/>
          <w:highlight w:val="none"/>
        </w:rPr>
      </w:pPr>
    </w:p>
    <w:p w14:paraId="FD08806B">
      <w:pPr>
        <w:widowControl w:val="0"/>
        <w:spacing w:line="240" w:lineRule="auto"/>
        <w:rPr>
          <w:rFonts w:hint="eastAsia"/>
          <w:b/>
          <w:color w:val="auto"/>
          <w:sz w:val="24"/>
          <w:szCs w:val="24"/>
          <w:highlight w:val="none"/>
        </w:rPr>
      </w:pPr>
    </w:p>
    <w:p w14:paraId="7A78DBF2">
      <w:pPr>
        <w:widowControl w:val="0"/>
        <w:spacing w:line="240" w:lineRule="auto"/>
        <w:rPr>
          <w:rFonts w:hint="eastAsia"/>
          <w:b/>
          <w:color w:val="auto"/>
          <w:sz w:val="24"/>
          <w:szCs w:val="24"/>
          <w:highlight w:val="none"/>
        </w:rPr>
      </w:pPr>
    </w:p>
    <w:p w14:paraId="43E33754">
      <w:pPr>
        <w:widowControl w:val="0"/>
        <w:spacing w:line="240" w:lineRule="auto"/>
        <w:rPr>
          <w:rFonts w:hint="eastAsia"/>
          <w:b/>
          <w:color w:val="auto"/>
          <w:sz w:val="24"/>
          <w:szCs w:val="24"/>
          <w:highlight w:val="none"/>
        </w:rPr>
      </w:pPr>
    </w:p>
    <w:p w14:paraId="030FF030">
      <w:pPr>
        <w:widowControl w:val="0"/>
        <w:spacing w:line="240" w:lineRule="auto"/>
        <w:rPr>
          <w:rFonts w:hint="eastAsia"/>
          <w:b/>
          <w:color w:val="auto"/>
          <w:sz w:val="24"/>
          <w:szCs w:val="24"/>
          <w:highlight w:val="none"/>
        </w:rPr>
      </w:pPr>
    </w:p>
    <w:p w14:paraId="283217F4">
      <w:pPr>
        <w:widowControl w:val="0"/>
        <w:spacing w:line="240" w:lineRule="auto"/>
        <w:rPr>
          <w:rFonts w:hint="eastAsia"/>
          <w:b/>
          <w:color w:val="auto"/>
          <w:sz w:val="24"/>
          <w:szCs w:val="24"/>
          <w:highlight w:val="none"/>
        </w:rPr>
      </w:pPr>
    </w:p>
    <w:p w14:paraId="8973C0D0">
      <w:pPr>
        <w:widowControl w:val="0"/>
        <w:spacing w:line="240" w:lineRule="auto"/>
        <w:rPr>
          <w:rFonts w:hint="eastAsia"/>
          <w:b/>
          <w:color w:val="auto"/>
          <w:sz w:val="24"/>
          <w:szCs w:val="24"/>
          <w:highlight w:val="none"/>
        </w:rPr>
      </w:pPr>
    </w:p>
    <w:p w14:paraId="1D97098E">
      <w:pPr>
        <w:widowControl w:val="0"/>
        <w:spacing w:line="240" w:lineRule="auto"/>
        <w:rPr>
          <w:rFonts w:hint="eastAsia"/>
          <w:b/>
          <w:color w:val="auto"/>
          <w:sz w:val="24"/>
          <w:szCs w:val="24"/>
          <w:highlight w:val="none"/>
        </w:rPr>
      </w:pPr>
    </w:p>
    <w:p w14:paraId="C76468D7">
      <w:pPr>
        <w:widowControl w:val="0"/>
        <w:spacing w:line="240" w:lineRule="auto"/>
        <w:rPr>
          <w:rFonts w:hint="eastAsia"/>
          <w:b/>
          <w:color w:val="auto"/>
          <w:sz w:val="24"/>
          <w:szCs w:val="24"/>
          <w:highlight w:val="none"/>
        </w:rPr>
      </w:pPr>
    </w:p>
    <w:p w14:paraId="CB53ABA9">
      <w:pPr>
        <w:widowControl w:val="0"/>
        <w:spacing w:line="240" w:lineRule="auto"/>
        <w:rPr>
          <w:rFonts w:hint="eastAsia"/>
          <w:b/>
          <w:color w:val="auto"/>
          <w:sz w:val="24"/>
          <w:szCs w:val="24"/>
          <w:highlight w:val="none"/>
        </w:rPr>
      </w:pPr>
    </w:p>
    <w:p w14:paraId="9C753031">
      <w:pPr>
        <w:widowControl w:val="0"/>
        <w:spacing w:line="240" w:lineRule="auto"/>
        <w:rPr>
          <w:rFonts w:hint="eastAsia"/>
          <w:b/>
          <w:color w:val="auto"/>
          <w:sz w:val="24"/>
          <w:szCs w:val="24"/>
          <w:highlight w:val="none"/>
        </w:rPr>
      </w:pPr>
    </w:p>
    <w:p w14:paraId="5AD5BD1B">
      <w:pPr>
        <w:widowControl w:val="0"/>
        <w:spacing w:line="240" w:lineRule="auto"/>
        <w:rPr>
          <w:rFonts w:hint="eastAsia"/>
          <w:b/>
          <w:color w:val="auto"/>
          <w:sz w:val="24"/>
          <w:szCs w:val="24"/>
          <w:highlight w:val="none"/>
        </w:rPr>
      </w:pPr>
    </w:p>
    <w:p w14:paraId="A4A0D370">
      <w:pPr>
        <w:widowControl w:val="0"/>
        <w:spacing w:line="240" w:lineRule="auto"/>
        <w:rPr>
          <w:rFonts w:hint="eastAsia"/>
          <w:b/>
          <w:color w:val="auto"/>
          <w:sz w:val="24"/>
          <w:szCs w:val="24"/>
          <w:highlight w:val="none"/>
        </w:rPr>
      </w:pPr>
    </w:p>
    <w:p w14:paraId="14543888">
      <w:pPr>
        <w:widowControl w:val="0"/>
        <w:spacing w:line="240" w:lineRule="auto"/>
        <w:rPr>
          <w:rFonts w:hint="eastAsia"/>
          <w:b/>
          <w:color w:val="auto"/>
          <w:sz w:val="24"/>
          <w:szCs w:val="24"/>
          <w:highlight w:val="none"/>
        </w:rPr>
      </w:pPr>
    </w:p>
    <w:p w14:paraId="6BABD94E">
      <w:pPr>
        <w:widowControl w:val="0"/>
        <w:spacing w:line="240" w:lineRule="auto"/>
        <w:rPr>
          <w:rFonts w:hint="eastAsia"/>
          <w:b/>
          <w:color w:val="auto"/>
          <w:sz w:val="24"/>
          <w:szCs w:val="24"/>
          <w:highlight w:val="none"/>
        </w:rPr>
      </w:pPr>
    </w:p>
    <w:p w14:paraId="B4711054">
      <w:pPr>
        <w:widowControl w:val="0"/>
        <w:spacing w:line="240" w:lineRule="auto"/>
        <w:rPr>
          <w:rFonts w:hint="eastAsia"/>
          <w:b/>
          <w:color w:val="auto"/>
          <w:sz w:val="24"/>
          <w:szCs w:val="24"/>
          <w:highlight w:val="none"/>
        </w:rPr>
      </w:pPr>
    </w:p>
    <w:p w14:paraId="D3FD5026">
      <w:pPr>
        <w:widowControl w:val="0"/>
        <w:spacing w:line="240" w:lineRule="auto"/>
        <w:rPr>
          <w:rFonts w:hint="eastAsia"/>
          <w:b/>
          <w:color w:val="auto"/>
          <w:sz w:val="24"/>
          <w:szCs w:val="24"/>
          <w:highlight w:val="none"/>
        </w:rPr>
      </w:pPr>
    </w:p>
    <w:p w14:paraId="76B212FE">
      <w:pPr>
        <w:widowControl w:val="0"/>
        <w:spacing w:line="240" w:lineRule="auto"/>
        <w:rPr>
          <w:rFonts w:hint="eastAsia"/>
          <w:b/>
          <w:color w:val="auto"/>
          <w:sz w:val="24"/>
          <w:szCs w:val="24"/>
          <w:highlight w:val="none"/>
        </w:rPr>
      </w:pPr>
      <w:r>
        <w:rPr>
          <w:rFonts w:hint="eastAsia"/>
          <w:b/>
          <w:color w:val="auto"/>
          <w:sz w:val="24"/>
          <w:szCs w:val="24"/>
          <w:highlight w:val="none"/>
        </w:rPr>
        <w:t xml:space="preserve">格式15                      </w:t>
      </w:r>
    </w:p>
    <w:p w14:paraId="E7BC20BE">
      <w:pPr>
        <w:widowControl w:val="0"/>
        <w:spacing w:line="480" w:lineRule="auto"/>
        <w:jc w:val="center"/>
        <w:rPr>
          <w:rFonts w:hint="eastAsia"/>
          <w:b/>
          <w:color w:val="auto"/>
          <w:sz w:val="24"/>
          <w:szCs w:val="24"/>
          <w:highlight w:val="none"/>
        </w:rPr>
      </w:pPr>
      <w:r>
        <w:rPr>
          <w:rFonts w:hint="eastAsia"/>
          <w:b/>
          <w:color w:val="auto"/>
          <w:sz w:val="24"/>
          <w:szCs w:val="24"/>
          <w:highlight w:val="none"/>
        </w:rPr>
        <w:t>服务技术实施方案</w:t>
      </w:r>
    </w:p>
    <w:p w14:paraId="4EF58FC2">
      <w:pPr>
        <w:tabs>
          <w:tab w:val="left" w:pos="770"/>
        </w:tabs>
        <w:spacing w:line="360" w:lineRule="auto"/>
        <w:ind w:firstLine="480" w:firstLineChars="200"/>
        <w:jc w:val="both"/>
        <w:rPr>
          <w:rFonts w:hint="eastAsia" w:ascii="宋体"/>
          <w:color w:val="auto"/>
          <w:sz w:val="24"/>
          <w:highlight w:val="none"/>
        </w:rPr>
      </w:pPr>
      <w:r>
        <w:rPr>
          <w:rFonts w:hint="eastAsia" w:ascii="宋体"/>
          <w:color w:val="auto"/>
          <w:sz w:val="24"/>
          <w:highlight w:val="none"/>
        </w:rPr>
        <w:t>（1）技术方案，包括对本项目的理解、定位目标、</w:t>
      </w:r>
      <w:r>
        <w:rPr>
          <w:rFonts w:hint="eastAsia" w:ascii="宋体"/>
          <w:color w:val="auto"/>
          <w:sz w:val="24"/>
          <w:highlight w:val="none"/>
          <w:lang w:eastAsia="zh-CN"/>
        </w:rPr>
        <w:t>服务</w:t>
      </w:r>
      <w:r>
        <w:rPr>
          <w:rFonts w:hint="eastAsia" w:ascii="宋体"/>
          <w:color w:val="auto"/>
          <w:sz w:val="24"/>
          <w:highlight w:val="none"/>
        </w:rPr>
        <w:t>内容、技术方法等</w:t>
      </w:r>
    </w:p>
    <w:p w14:paraId="338EB708">
      <w:pPr>
        <w:tabs>
          <w:tab w:val="left" w:pos="770"/>
        </w:tabs>
        <w:spacing w:line="360" w:lineRule="auto"/>
        <w:ind w:firstLine="480" w:firstLineChars="200"/>
        <w:jc w:val="both"/>
        <w:rPr>
          <w:rFonts w:hint="eastAsia" w:ascii="宋体"/>
          <w:color w:val="auto"/>
          <w:sz w:val="24"/>
          <w:highlight w:val="none"/>
        </w:rPr>
      </w:pPr>
      <w:r>
        <w:rPr>
          <w:rFonts w:hint="eastAsia" w:ascii="宋体"/>
          <w:color w:val="auto"/>
          <w:sz w:val="24"/>
          <w:highlight w:val="none"/>
        </w:rPr>
        <w:t>（2）项目工作计划，包括人员配置、时间进度、实施方案等</w:t>
      </w:r>
    </w:p>
    <w:p w14:paraId="1004E84D">
      <w:pPr>
        <w:tabs>
          <w:tab w:val="left" w:pos="770"/>
        </w:tabs>
        <w:spacing w:line="360" w:lineRule="auto"/>
        <w:ind w:firstLine="480" w:firstLineChars="200"/>
        <w:jc w:val="both"/>
        <w:rPr>
          <w:rFonts w:hint="eastAsia" w:ascii="宋体"/>
          <w:color w:val="auto"/>
          <w:sz w:val="24"/>
          <w:highlight w:val="none"/>
        </w:rPr>
      </w:pPr>
      <w:r>
        <w:rPr>
          <w:rFonts w:hint="eastAsia" w:ascii="宋体"/>
          <w:color w:val="auto"/>
          <w:sz w:val="24"/>
          <w:highlight w:val="none"/>
        </w:rPr>
        <w:t>（3）服务承诺及质量保证措施</w:t>
      </w:r>
    </w:p>
    <w:p w14:paraId="3F69185E">
      <w:pPr>
        <w:tabs>
          <w:tab w:val="left" w:pos="770"/>
        </w:tabs>
        <w:spacing w:line="360" w:lineRule="auto"/>
        <w:ind w:firstLine="480" w:firstLineChars="200"/>
        <w:jc w:val="both"/>
        <w:rPr>
          <w:rFonts w:hint="eastAsia" w:ascii="宋体"/>
          <w:color w:val="auto"/>
          <w:sz w:val="24"/>
          <w:szCs w:val="22"/>
          <w:highlight w:val="none"/>
          <w:lang w:eastAsia="zh-CN"/>
        </w:rPr>
      </w:pPr>
      <w:r>
        <w:rPr>
          <w:rFonts w:hint="eastAsia" w:ascii="宋体"/>
          <w:color w:val="auto"/>
          <w:sz w:val="24"/>
          <w:highlight w:val="none"/>
        </w:rPr>
        <w:t>（</w:t>
      </w:r>
      <w:r>
        <w:rPr>
          <w:rFonts w:hint="eastAsia" w:ascii="宋体"/>
          <w:color w:val="auto"/>
          <w:sz w:val="24"/>
          <w:highlight w:val="none"/>
          <w:lang w:val="en-US" w:eastAsia="zh-CN"/>
        </w:rPr>
        <w:t>4</w:t>
      </w:r>
      <w:r>
        <w:rPr>
          <w:rFonts w:hint="eastAsia" w:ascii="宋体"/>
          <w:color w:val="auto"/>
          <w:sz w:val="24"/>
          <w:highlight w:val="none"/>
        </w:rPr>
        <w:t>）</w:t>
      </w:r>
      <w:r>
        <w:rPr>
          <w:rFonts w:hint="eastAsia" w:ascii="宋体"/>
          <w:color w:val="auto"/>
          <w:sz w:val="24"/>
          <w:szCs w:val="22"/>
          <w:highlight w:val="none"/>
          <w:lang w:eastAsia="zh-CN"/>
        </w:rPr>
        <w:t>投标人可自行增与本项目相关的认为有必要提供的其他方案</w:t>
      </w:r>
    </w:p>
    <w:p w14:paraId="1BA6B3BA">
      <w:pPr>
        <w:widowControl w:val="0"/>
        <w:spacing w:line="480" w:lineRule="auto"/>
        <w:rPr>
          <w:rFonts w:hint="eastAsia"/>
          <w:b/>
          <w:color w:val="auto"/>
          <w:sz w:val="32"/>
          <w:highlight w:val="none"/>
        </w:rPr>
      </w:pPr>
    </w:p>
    <w:p w14:paraId="5D10AA43">
      <w:pPr>
        <w:widowControl w:val="0"/>
        <w:spacing w:line="480" w:lineRule="auto"/>
        <w:rPr>
          <w:rFonts w:hint="eastAsia"/>
          <w:b/>
          <w:color w:val="auto"/>
          <w:sz w:val="32"/>
          <w:highlight w:val="none"/>
        </w:rPr>
      </w:pPr>
    </w:p>
    <w:p w14:paraId="2BC51AC1">
      <w:pPr>
        <w:widowControl w:val="0"/>
        <w:spacing w:line="480" w:lineRule="auto"/>
        <w:rPr>
          <w:rFonts w:hint="eastAsia"/>
          <w:b/>
          <w:color w:val="auto"/>
          <w:sz w:val="32"/>
          <w:highlight w:val="none"/>
        </w:rPr>
      </w:pPr>
    </w:p>
    <w:p w14:paraId="85D97581">
      <w:pPr>
        <w:widowControl w:val="0"/>
        <w:spacing w:line="480" w:lineRule="auto"/>
        <w:rPr>
          <w:rFonts w:hint="eastAsia"/>
          <w:b/>
          <w:color w:val="auto"/>
          <w:sz w:val="32"/>
          <w:highlight w:val="none"/>
        </w:rPr>
      </w:pPr>
    </w:p>
    <w:p w14:paraId="4AAC51AF">
      <w:pPr>
        <w:widowControl w:val="0"/>
        <w:spacing w:line="480" w:lineRule="auto"/>
        <w:rPr>
          <w:rFonts w:hint="eastAsia"/>
          <w:b/>
          <w:color w:val="auto"/>
          <w:sz w:val="32"/>
          <w:highlight w:val="none"/>
        </w:rPr>
      </w:pPr>
    </w:p>
    <w:p w14:paraId="4CB6F36C">
      <w:pPr>
        <w:widowControl w:val="0"/>
        <w:spacing w:line="480" w:lineRule="auto"/>
        <w:rPr>
          <w:rFonts w:hint="eastAsia"/>
          <w:b/>
          <w:color w:val="auto"/>
          <w:sz w:val="32"/>
          <w:highlight w:val="none"/>
        </w:rPr>
      </w:pPr>
    </w:p>
    <w:p w14:paraId="AD9AC9DD">
      <w:pPr>
        <w:widowControl w:val="0"/>
        <w:spacing w:line="480" w:lineRule="auto"/>
        <w:rPr>
          <w:rFonts w:hint="eastAsia"/>
          <w:b/>
          <w:color w:val="auto"/>
          <w:sz w:val="32"/>
          <w:highlight w:val="none"/>
        </w:rPr>
      </w:pPr>
    </w:p>
    <w:p w14:paraId="34EE9200">
      <w:pPr>
        <w:widowControl w:val="0"/>
        <w:spacing w:line="480" w:lineRule="auto"/>
        <w:rPr>
          <w:rFonts w:hint="eastAsia"/>
          <w:b/>
          <w:color w:val="auto"/>
          <w:sz w:val="32"/>
          <w:highlight w:val="none"/>
        </w:rPr>
      </w:pPr>
    </w:p>
    <w:p w14:paraId="A0559AA0">
      <w:pPr>
        <w:widowControl w:val="0"/>
        <w:spacing w:line="480" w:lineRule="auto"/>
        <w:rPr>
          <w:rFonts w:hint="eastAsia"/>
          <w:b/>
          <w:color w:val="auto"/>
          <w:sz w:val="32"/>
          <w:highlight w:val="none"/>
        </w:rPr>
      </w:pPr>
    </w:p>
    <w:p w14:paraId="0DDD1819">
      <w:pPr>
        <w:widowControl w:val="0"/>
        <w:spacing w:line="480" w:lineRule="auto"/>
        <w:jc w:val="center"/>
        <w:outlineLvl w:val="0"/>
        <w:rPr>
          <w:rFonts w:hint="eastAsia" w:eastAsia="宋体"/>
          <w:b/>
          <w:color w:val="auto"/>
          <w:sz w:val="32"/>
          <w:highlight w:val="none"/>
          <w:lang w:eastAsia="zh-CN"/>
        </w:rPr>
      </w:pPr>
      <w:bookmarkStart w:id="54" w:name="_Toc30417"/>
      <w:bookmarkStart w:id="55" w:name="_Toc5729_WPSOffice_Level1"/>
      <w:r>
        <w:rPr>
          <w:rFonts w:hint="eastAsia"/>
          <w:b/>
          <w:color w:val="auto"/>
          <w:sz w:val="32"/>
          <w:highlight w:val="none"/>
        </w:rPr>
        <w:t>第</w:t>
      </w:r>
      <w:r>
        <w:rPr>
          <w:rFonts w:hint="eastAsia"/>
          <w:b/>
          <w:color w:val="auto"/>
          <w:sz w:val="32"/>
          <w:highlight w:val="none"/>
          <w:lang w:eastAsia="zh-CN"/>
        </w:rPr>
        <w:t>七章</w:t>
      </w:r>
      <w:r>
        <w:rPr>
          <w:rFonts w:hint="eastAsia"/>
          <w:b/>
          <w:color w:val="auto"/>
          <w:sz w:val="32"/>
          <w:highlight w:val="none"/>
          <w:lang w:val="en-US" w:eastAsia="zh-CN"/>
        </w:rPr>
        <w:t xml:space="preserve"> </w:t>
      </w:r>
      <w:r>
        <w:rPr>
          <w:rFonts w:hint="eastAsia"/>
          <w:b/>
          <w:color w:val="auto"/>
          <w:sz w:val="32"/>
          <w:highlight w:val="none"/>
        </w:rPr>
        <w:t xml:space="preserve"> </w:t>
      </w:r>
      <w:r>
        <w:rPr>
          <w:rFonts w:hint="eastAsia"/>
          <w:b/>
          <w:color w:val="auto"/>
          <w:sz w:val="32"/>
          <w:highlight w:val="none"/>
          <w:lang w:eastAsia="zh-CN"/>
        </w:rPr>
        <w:t>评标办法</w:t>
      </w:r>
      <w:bookmarkEnd w:id="54"/>
    </w:p>
    <w:p w14:paraId="37943D41">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评标委员会将只对商务和技术（符合性）审查符合招标文件要求的投标进行详细评审。</w:t>
      </w:r>
      <w:r>
        <w:rPr>
          <w:rFonts w:hint="eastAsia" w:ascii="宋体" w:hAnsi="宋体" w:eastAsia="宋体" w:cs="宋体"/>
          <w:b/>
          <w:bCs/>
          <w:color w:val="auto"/>
          <w:sz w:val="24"/>
          <w:szCs w:val="24"/>
          <w:highlight w:val="none"/>
          <w:lang w:val="zh-CN"/>
        </w:rPr>
        <w:t>本项目采用综合评分法评标，</w:t>
      </w:r>
      <w:r>
        <w:rPr>
          <w:rFonts w:hint="eastAsia" w:ascii="宋体" w:hAnsi="宋体" w:eastAsia="宋体" w:cs="宋体"/>
          <w:color w:val="auto"/>
          <w:sz w:val="24"/>
          <w:szCs w:val="24"/>
          <w:highlight w:val="none"/>
          <w:lang w:val="zh-CN"/>
        </w:rPr>
        <w:t>评标委员会将按下述标准评定中标人：按评审后投标人得分由高到低的顺序排列；得分相同的，按投标报价由低到高顺序排列；得分且投标报价相同的并列（中标候选人并列的，由评标委员会按照招标文件规定的方式确定中标人；招标文件未规定的，采取随机抽取的方式确定。）投标文件满足招标文件全部实质性要求，且按照评审因素的量化指标评审得分最高的投标人为排名第一的中标候选人。</w:t>
      </w:r>
    </w:p>
    <w:p w14:paraId="12B69E92">
      <w:pPr>
        <w:autoSpaceDE w:val="0"/>
        <w:autoSpaceDN w:val="0"/>
        <w:adjustRightInd w:val="0"/>
        <w:ind w:firstLine="472" w:firstLineChars="196"/>
        <w:jc w:val="left"/>
        <w:rPr>
          <w:rFonts w:ascii="黑体" w:hAnsi="宋体" w:eastAsia="黑体"/>
          <w:b/>
          <w:bCs/>
          <w:color w:val="auto"/>
          <w:sz w:val="24"/>
          <w:szCs w:val="24"/>
          <w:highlight w:val="none"/>
          <w:lang w:val="zh-CN"/>
        </w:rPr>
      </w:pPr>
    </w:p>
    <w:p w14:paraId="D7A05283">
      <w:pPr>
        <w:widowControl w:val="0"/>
        <w:spacing w:line="480" w:lineRule="auto"/>
        <w:jc w:val="center"/>
        <w:rPr>
          <w:rFonts w:hint="eastAsia"/>
          <w:b/>
          <w:color w:val="auto"/>
          <w:sz w:val="32"/>
          <w:highlight w:val="none"/>
          <w:lang w:eastAsia="zh-CN"/>
        </w:rPr>
      </w:pPr>
    </w:p>
    <w:p w14:paraId="A301038D">
      <w:pPr>
        <w:widowControl w:val="0"/>
        <w:spacing w:line="480" w:lineRule="auto"/>
        <w:jc w:val="center"/>
        <w:rPr>
          <w:rFonts w:hint="eastAsia"/>
          <w:b/>
          <w:color w:val="auto"/>
          <w:sz w:val="32"/>
          <w:highlight w:val="none"/>
          <w:lang w:eastAsia="zh-CN"/>
        </w:rPr>
      </w:pPr>
    </w:p>
    <w:p w14:paraId="6CB30715">
      <w:pPr>
        <w:widowControl w:val="0"/>
        <w:spacing w:line="480" w:lineRule="auto"/>
        <w:jc w:val="center"/>
        <w:rPr>
          <w:rFonts w:hint="eastAsia"/>
          <w:b/>
          <w:color w:val="auto"/>
          <w:sz w:val="32"/>
          <w:highlight w:val="none"/>
          <w:lang w:eastAsia="zh-CN"/>
        </w:rPr>
      </w:pPr>
    </w:p>
    <w:p w14:paraId="FC08E514">
      <w:pPr>
        <w:widowControl w:val="0"/>
        <w:spacing w:line="480" w:lineRule="auto"/>
        <w:jc w:val="center"/>
        <w:rPr>
          <w:rFonts w:hint="eastAsia"/>
          <w:b/>
          <w:color w:val="auto"/>
          <w:sz w:val="32"/>
          <w:highlight w:val="none"/>
          <w:lang w:eastAsia="zh-CN"/>
        </w:rPr>
      </w:pPr>
    </w:p>
    <w:p w14:paraId="A5735F2E">
      <w:pPr>
        <w:widowControl w:val="0"/>
        <w:spacing w:line="480" w:lineRule="auto"/>
        <w:jc w:val="center"/>
        <w:rPr>
          <w:rFonts w:hint="eastAsia"/>
          <w:b/>
          <w:color w:val="auto"/>
          <w:sz w:val="32"/>
          <w:highlight w:val="none"/>
          <w:lang w:eastAsia="zh-CN"/>
        </w:rPr>
      </w:pPr>
    </w:p>
    <w:p w14:paraId="6E20F5EA">
      <w:pPr>
        <w:widowControl w:val="0"/>
        <w:spacing w:line="480" w:lineRule="auto"/>
        <w:jc w:val="center"/>
        <w:rPr>
          <w:rFonts w:hint="eastAsia"/>
          <w:b/>
          <w:color w:val="auto"/>
          <w:sz w:val="32"/>
          <w:highlight w:val="none"/>
          <w:lang w:eastAsia="zh-CN"/>
        </w:rPr>
      </w:pPr>
    </w:p>
    <w:p w14:paraId="77B5391C">
      <w:pPr>
        <w:widowControl w:val="0"/>
        <w:spacing w:line="480" w:lineRule="auto"/>
        <w:jc w:val="center"/>
        <w:rPr>
          <w:rFonts w:hint="eastAsia"/>
          <w:b/>
          <w:color w:val="auto"/>
          <w:sz w:val="32"/>
          <w:highlight w:val="none"/>
          <w:lang w:eastAsia="zh-CN"/>
        </w:rPr>
      </w:pPr>
    </w:p>
    <w:p w14:paraId="3C8F809C">
      <w:pPr>
        <w:widowControl w:val="0"/>
        <w:spacing w:line="480" w:lineRule="auto"/>
        <w:jc w:val="center"/>
        <w:rPr>
          <w:rFonts w:hint="eastAsia"/>
          <w:b/>
          <w:color w:val="auto"/>
          <w:sz w:val="32"/>
          <w:highlight w:val="none"/>
          <w:lang w:eastAsia="zh-CN"/>
        </w:rPr>
      </w:pPr>
    </w:p>
    <w:p w14:paraId="029D225F">
      <w:pPr>
        <w:widowControl w:val="0"/>
        <w:spacing w:line="480" w:lineRule="auto"/>
        <w:jc w:val="center"/>
        <w:rPr>
          <w:rFonts w:hint="eastAsia"/>
          <w:b/>
          <w:color w:val="auto"/>
          <w:sz w:val="32"/>
          <w:highlight w:val="none"/>
          <w:lang w:eastAsia="zh-CN"/>
        </w:rPr>
      </w:pPr>
    </w:p>
    <w:p w14:paraId="FA1059C4">
      <w:pPr>
        <w:widowControl w:val="0"/>
        <w:spacing w:line="480" w:lineRule="auto"/>
        <w:jc w:val="center"/>
        <w:rPr>
          <w:rFonts w:hint="eastAsia"/>
          <w:b/>
          <w:color w:val="auto"/>
          <w:sz w:val="32"/>
          <w:highlight w:val="none"/>
          <w:lang w:eastAsia="zh-CN"/>
        </w:rPr>
      </w:pPr>
      <w:r>
        <w:rPr>
          <w:rFonts w:hint="eastAsia"/>
          <w:b/>
          <w:color w:val="auto"/>
          <w:sz w:val="32"/>
          <w:highlight w:val="none"/>
          <w:lang w:eastAsia="zh-CN"/>
        </w:rPr>
        <w:t>初步评审</w:t>
      </w:r>
    </w:p>
    <w:tbl>
      <w:tblPr>
        <w:tblStyle w:val="16"/>
        <w:tblW w:w="97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1121"/>
        <w:gridCol w:w="1682"/>
        <w:gridCol w:w="6186"/>
      </w:tblGrid>
      <w:tr w14:paraId="25FF8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exact"/>
          <w:jc w:val="center"/>
        </w:trPr>
        <w:tc>
          <w:tcPr>
            <w:tcW w:w="1851" w:type="dxa"/>
            <w:gridSpan w:val="2"/>
            <w:tcMar>
              <w:left w:w="57" w:type="dxa"/>
              <w:right w:w="57" w:type="dxa"/>
            </w:tcMar>
            <w:vAlign w:val="center"/>
          </w:tcPr>
          <w:p w14:paraId="5813B21D">
            <w:pPr>
              <w:keepNext w:val="0"/>
              <w:keepLines w:val="0"/>
              <w:pageBreakBefore w:val="0"/>
              <w:widowControl w:val="0"/>
              <w:kinsoku/>
              <w:wordWrap/>
              <w:overflowPunct/>
              <w:topLinePunct w:val="0"/>
              <w:autoSpaceDE w:val="0"/>
              <w:autoSpaceDN w:val="0"/>
              <w:bidi w:val="0"/>
              <w:snapToGrid/>
              <w:spacing w:line="300" w:lineRule="exact"/>
              <w:jc w:val="center"/>
              <w:textAlignment w:val="auto"/>
              <w:rPr>
                <w:rFonts w:ascii="宋体" w:hAnsi="宋体" w:cs="宋体"/>
                <w:color w:val="auto"/>
                <w:sz w:val="24"/>
                <w:szCs w:val="24"/>
                <w:lang w:val="zh-CN"/>
              </w:rPr>
            </w:pPr>
            <w:r>
              <w:rPr>
                <w:rFonts w:hint="eastAsia" w:ascii="宋体" w:hAnsi="宋体" w:cs="宋体"/>
                <w:color w:val="auto"/>
                <w:sz w:val="24"/>
                <w:szCs w:val="24"/>
                <w:lang w:val="zh-CN"/>
              </w:rPr>
              <w:t>条款号</w:t>
            </w:r>
          </w:p>
        </w:tc>
        <w:tc>
          <w:tcPr>
            <w:tcW w:w="1682" w:type="dxa"/>
            <w:tcMar>
              <w:left w:w="57" w:type="dxa"/>
              <w:right w:w="57" w:type="dxa"/>
            </w:tcMar>
            <w:vAlign w:val="center"/>
          </w:tcPr>
          <w:p w14:paraId="53F142FD">
            <w:pPr>
              <w:keepNext w:val="0"/>
              <w:keepLines w:val="0"/>
              <w:pageBreakBefore w:val="0"/>
              <w:widowControl w:val="0"/>
              <w:kinsoku/>
              <w:wordWrap/>
              <w:overflowPunct/>
              <w:topLinePunct w:val="0"/>
              <w:autoSpaceDE w:val="0"/>
              <w:autoSpaceDN w:val="0"/>
              <w:bidi w:val="0"/>
              <w:snapToGrid/>
              <w:spacing w:line="300" w:lineRule="exact"/>
              <w:jc w:val="center"/>
              <w:textAlignment w:val="auto"/>
              <w:rPr>
                <w:rFonts w:ascii="宋体" w:hAnsi="宋体" w:cs="宋体"/>
                <w:color w:val="auto"/>
                <w:sz w:val="24"/>
                <w:szCs w:val="24"/>
                <w:lang w:val="zh-CN"/>
              </w:rPr>
            </w:pPr>
            <w:r>
              <w:rPr>
                <w:rFonts w:hint="eastAsia" w:ascii="宋体" w:hAnsi="宋体" w:cs="宋体"/>
                <w:color w:val="auto"/>
                <w:sz w:val="24"/>
                <w:szCs w:val="24"/>
                <w:lang w:val="zh-CN"/>
              </w:rPr>
              <w:t>评审因素</w:t>
            </w:r>
          </w:p>
        </w:tc>
        <w:tc>
          <w:tcPr>
            <w:tcW w:w="6186" w:type="dxa"/>
            <w:tcMar>
              <w:left w:w="57" w:type="dxa"/>
              <w:right w:w="57" w:type="dxa"/>
            </w:tcMar>
            <w:vAlign w:val="center"/>
          </w:tcPr>
          <w:p w14:paraId="2E2C2B7E">
            <w:pPr>
              <w:keepNext w:val="0"/>
              <w:keepLines w:val="0"/>
              <w:pageBreakBefore w:val="0"/>
              <w:widowControl w:val="0"/>
              <w:kinsoku/>
              <w:wordWrap/>
              <w:overflowPunct/>
              <w:topLinePunct w:val="0"/>
              <w:autoSpaceDE w:val="0"/>
              <w:autoSpaceDN w:val="0"/>
              <w:bidi w:val="0"/>
              <w:snapToGrid/>
              <w:spacing w:line="300" w:lineRule="exact"/>
              <w:jc w:val="center"/>
              <w:textAlignment w:val="auto"/>
              <w:rPr>
                <w:rFonts w:ascii="宋体" w:hAnsi="宋体" w:cs="宋体"/>
                <w:color w:val="auto"/>
                <w:sz w:val="24"/>
                <w:szCs w:val="24"/>
                <w:lang w:val="zh-CN"/>
              </w:rPr>
            </w:pPr>
            <w:r>
              <w:rPr>
                <w:rFonts w:hint="eastAsia" w:ascii="宋体" w:hAnsi="宋体" w:cs="宋体"/>
                <w:color w:val="auto"/>
                <w:sz w:val="24"/>
                <w:szCs w:val="24"/>
                <w:lang w:val="zh-CN"/>
              </w:rPr>
              <w:t>评审标准</w:t>
            </w:r>
          </w:p>
        </w:tc>
      </w:tr>
      <w:tr w14:paraId="FF448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exact"/>
          <w:jc w:val="center"/>
        </w:trPr>
        <w:tc>
          <w:tcPr>
            <w:tcW w:w="730" w:type="dxa"/>
            <w:vMerge w:val="restart"/>
            <w:tcMar>
              <w:left w:w="57" w:type="dxa"/>
              <w:right w:w="57" w:type="dxa"/>
            </w:tcMar>
            <w:vAlign w:val="center"/>
          </w:tcPr>
          <w:p w14:paraId="79DE93B5">
            <w:pPr>
              <w:keepNext w:val="0"/>
              <w:keepLines w:val="0"/>
              <w:pageBreakBefore w:val="0"/>
              <w:widowControl w:val="0"/>
              <w:kinsoku/>
              <w:wordWrap/>
              <w:overflowPunct/>
              <w:topLinePunct w:val="0"/>
              <w:autoSpaceDE w:val="0"/>
              <w:autoSpaceDN w:val="0"/>
              <w:bidi w:val="0"/>
              <w:snapToGrid/>
              <w:spacing w:line="300" w:lineRule="exact"/>
              <w:textAlignment w:val="auto"/>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1</w:t>
            </w:r>
          </w:p>
        </w:tc>
        <w:tc>
          <w:tcPr>
            <w:tcW w:w="1121" w:type="dxa"/>
            <w:vMerge w:val="restart"/>
            <w:tcMar>
              <w:left w:w="57" w:type="dxa"/>
              <w:right w:w="57" w:type="dxa"/>
            </w:tcMar>
            <w:vAlign w:val="center"/>
          </w:tcPr>
          <w:p w14:paraId="6DA0342C">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lang w:val="zh-CN"/>
              </w:rPr>
              <w:t>资格评审</w:t>
            </w:r>
          </w:p>
          <w:p w14:paraId="B9BC8320">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lang w:val="zh-CN"/>
              </w:rPr>
              <w:t>标准</w:t>
            </w:r>
          </w:p>
        </w:tc>
        <w:tc>
          <w:tcPr>
            <w:tcW w:w="1682" w:type="dxa"/>
            <w:tcMar>
              <w:left w:w="57" w:type="dxa"/>
              <w:right w:w="57" w:type="dxa"/>
            </w:tcMar>
            <w:vAlign w:val="center"/>
          </w:tcPr>
          <w:p w14:paraId="009E6930">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lang w:val="zh-CN"/>
              </w:rPr>
              <w:t>营业执照</w:t>
            </w:r>
          </w:p>
        </w:tc>
        <w:tc>
          <w:tcPr>
            <w:tcW w:w="6186" w:type="dxa"/>
            <w:vAlign w:val="center"/>
          </w:tcPr>
          <w:p w14:paraId="52DCDE0C">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lang w:val="zh-CN"/>
              </w:rPr>
              <w:t>在中华人民共和国境内合法注册的独立法人资格,并提供营业执照（副本）加盖</w:t>
            </w:r>
            <w:r>
              <w:rPr>
                <w:rFonts w:hint="eastAsia" w:ascii="宋体" w:hAnsi="宋体" w:eastAsia="宋体" w:cs="宋体"/>
                <w:color w:val="auto"/>
                <w:sz w:val="24"/>
                <w:szCs w:val="24"/>
                <w:lang w:val="zh-CN"/>
              </w:rPr>
              <w:t>公章</w:t>
            </w:r>
            <w:r>
              <w:rPr>
                <w:rFonts w:hint="eastAsia" w:ascii="宋体" w:hAnsi="宋体" w:cs="宋体"/>
                <w:color w:val="auto"/>
                <w:sz w:val="24"/>
                <w:szCs w:val="24"/>
                <w:lang w:val="zh-CN"/>
              </w:rPr>
              <w:t>的复印件</w:t>
            </w:r>
          </w:p>
        </w:tc>
      </w:tr>
      <w:tr w14:paraId="88949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2" w:hRule="atLeast"/>
          <w:jc w:val="center"/>
        </w:trPr>
        <w:tc>
          <w:tcPr>
            <w:tcW w:w="730" w:type="dxa"/>
            <w:vMerge w:val="continue"/>
            <w:tcMar>
              <w:left w:w="57" w:type="dxa"/>
              <w:right w:w="57" w:type="dxa"/>
            </w:tcMar>
            <w:vAlign w:val="center"/>
          </w:tcPr>
          <w:p w14:paraId="66A2B929">
            <w:pPr>
              <w:keepNext w:val="0"/>
              <w:keepLines w:val="0"/>
              <w:pageBreakBefore w:val="0"/>
              <w:widowControl w:val="0"/>
              <w:kinsoku/>
              <w:wordWrap/>
              <w:overflowPunct/>
              <w:topLinePunct w:val="0"/>
              <w:autoSpaceDE w:val="0"/>
              <w:autoSpaceDN w:val="0"/>
              <w:bidi w:val="0"/>
              <w:snapToGrid/>
              <w:spacing w:line="300" w:lineRule="exact"/>
              <w:ind w:firstLine="480" w:firstLineChars="200"/>
              <w:textAlignment w:val="auto"/>
              <w:rPr>
                <w:rFonts w:ascii="宋体" w:hAnsi="宋体" w:cs="宋体"/>
                <w:color w:val="auto"/>
                <w:sz w:val="24"/>
                <w:szCs w:val="24"/>
                <w:lang w:val="zh-CN"/>
              </w:rPr>
            </w:pPr>
          </w:p>
        </w:tc>
        <w:tc>
          <w:tcPr>
            <w:tcW w:w="1121" w:type="dxa"/>
            <w:vMerge w:val="continue"/>
            <w:tcMar>
              <w:left w:w="57" w:type="dxa"/>
              <w:right w:w="57" w:type="dxa"/>
            </w:tcMar>
            <w:vAlign w:val="center"/>
          </w:tcPr>
          <w:p w14:paraId="BA0242C5">
            <w:pPr>
              <w:keepNext w:val="0"/>
              <w:keepLines w:val="0"/>
              <w:pageBreakBefore w:val="0"/>
              <w:widowControl w:val="0"/>
              <w:kinsoku/>
              <w:wordWrap/>
              <w:overflowPunct/>
              <w:topLinePunct w:val="0"/>
              <w:autoSpaceDE w:val="0"/>
              <w:autoSpaceDN w:val="0"/>
              <w:bidi w:val="0"/>
              <w:snapToGrid/>
              <w:spacing w:line="300" w:lineRule="exact"/>
              <w:ind w:firstLine="480" w:firstLineChars="200"/>
              <w:textAlignment w:val="auto"/>
              <w:rPr>
                <w:rFonts w:ascii="宋体" w:hAnsi="宋体" w:cs="宋体"/>
                <w:color w:val="auto"/>
                <w:sz w:val="24"/>
                <w:szCs w:val="24"/>
                <w:lang w:val="zh-CN"/>
              </w:rPr>
            </w:pPr>
          </w:p>
        </w:tc>
        <w:tc>
          <w:tcPr>
            <w:tcW w:w="1682" w:type="dxa"/>
            <w:tcMar>
              <w:left w:w="57" w:type="dxa"/>
              <w:right w:w="57" w:type="dxa"/>
            </w:tcMar>
            <w:vAlign w:val="center"/>
          </w:tcPr>
          <w:p w14:paraId="F7726566">
            <w:pPr>
              <w:keepNext w:val="0"/>
              <w:keepLines w:val="0"/>
              <w:pageBreakBefore w:val="0"/>
              <w:widowControl w:val="0"/>
              <w:kinsoku/>
              <w:wordWrap/>
              <w:overflowPunct/>
              <w:topLinePunct w:val="0"/>
              <w:autoSpaceDE w:val="0"/>
              <w:autoSpaceDN w:val="0"/>
              <w:bidi w:val="0"/>
              <w:adjustRightInd w:val="0"/>
              <w:snapToGrid/>
              <w:spacing w:line="300" w:lineRule="exact"/>
              <w:textAlignment w:val="auto"/>
              <w:rPr>
                <w:rFonts w:ascii="宋体" w:hAnsi="宋体" w:cs="宋体"/>
                <w:color w:val="auto"/>
                <w:sz w:val="24"/>
                <w:szCs w:val="24"/>
                <w:lang w:val="zh-CN"/>
              </w:rPr>
            </w:pPr>
            <w:r>
              <w:rPr>
                <w:rFonts w:hint="eastAsia" w:ascii="宋体" w:hAnsi="宋体" w:cs="宋体"/>
                <w:bCs/>
                <w:color w:val="auto"/>
                <w:sz w:val="24"/>
                <w:szCs w:val="24"/>
                <w:lang w:val="zh-CN"/>
              </w:rPr>
              <w:t>财务及社保缴税证明</w:t>
            </w:r>
          </w:p>
        </w:tc>
        <w:tc>
          <w:tcPr>
            <w:tcW w:w="6186" w:type="dxa"/>
            <w:vAlign w:val="center"/>
          </w:tcPr>
          <w:p w14:paraId="87BD725C">
            <w:pPr>
              <w:keepNext w:val="0"/>
              <w:keepLines w:val="0"/>
              <w:pageBreakBefore w:val="0"/>
              <w:widowControl w:val="0"/>
              <w:kinsoku/>
              <w:wordWrap/>
              <w:overflowPunct/>
              <w:topLinePunct w:val="0"/>
              <w:autoSpaceDE w:val="0"/>
              <w:autoSpaceDN w:val="0"/>
              <w:bidi w:val="0"/>
              <w:adjustRightInd w:val="0"/>
              <w:snapToGrid/>
              <w:spacing w:line="300" w:lineRule="exact"/>
              <w:ind w:firstLine="240" w:firstLineChars="100"/>
              <w:textAlignment w:val="auto"/>
              <w:rPr>
                <w:rFonts w:ascii="宋体" w:hAnsi="宋体" w:cs="宋体"/>
                <w:color w:val="auto"/>
                <w:sz w:val="24"/>
                <w:szCs w:val="24"/>
                <w:lang w:val="zh-CN"/>
              </w:rPr>
            </w:pPr>
            <w:r>
              <w:rPr>
                <w:rFonts w:hint="eastAsia" w:ascii="宋体" w:hAnsi="宋体" w:cs="宋体"/>
                <w:bCs/>
                <w:color w:val="auto"/>
                <w:sz w:val="24"/>
                <w:szCs w:val="24"/>
                <w:lang w:val="zh-CN"/>
              </w:rPr>
              <w:t>具有良好的商业信誉和健全的财务会计制度，依法缴纳税收和社会保障资金的良好记录，根据[长财采购[2022]2066号文件]关于加强政府采购信用体系建设简化供应商资格条件有关事项的通知提供资格条件承诺函</w:t>
            </w:r>
          </w:p>
        </w:tc>
      </w:tr>
      <w:tr w14:paraId="DB333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6" w:hRule="exact"/>
          <w:jc w:val="center"/>
        </w:trPr>
        <w:tc>
          <w:tcPr>
            <w:tcW w:w="730" w:type="dxa"/>
            <w:vMerge w:val="continue"/>
            <w:tcMar>
              <w:left w:w="57" w:type="dxa"/>
              <w:right w:w="57" w:type="dxa"/>
            </w:tcMar>
            <w:vAlign w:val="center"/>
          </w:tcPr>
          <w:p w14:paraId="2B92D36D">
            <w:pPr>
              <w:keepNext w:val="0"/>
              <w:keepLines w:val="0"/>
              <w:pageBreakBefore w:val="0"/>
              <w:widowControl w:val="0"/>
              <w:kinsoku/>
              <w:wordWrap/>
              <w:overflowPunct/>
              <w:topLinePunct w:val="0"/>
              <w:autoSpaceDE w:val="0"/>
              <w:autoSpaceDN w:val="0"/>
              <w:bidi w:val="0"/>
              <w:snapToGrid/>
              <w:spacing w:line="300" w:lineRule="exact"/>
              <w:ind w:firstLine="480" w:firstLineChars="200"/>
              <w:textAlignment w:val="auto"/>
              <w:rPr>
                <w:rFonts w:ascii="宋体" w:hAnsi="宋体" w:cs="宋体"/>
                <w:color w:val="auto"/>
                <w:sz w:val="24"/>
                <w:szCs w:val="24"/>
                <w:lang w:val="zh-CN"/>
              </w:rPr>
            </w:pPr>
          </w:p>
        </w:tc>
        <w:tc>
          <w:tcPr>
            <w:tcW w:w="1121" w:type="dxa"/>
            <w:vMerge w:val="continue"/>
            <w:tcMar>
              <w:left w:w="57" w:type="dxa"/>
              <w:right w:w="57" w:type="dxa"/>
            </w:tcMar>
            <w:vAlign w:val="center"/>
          </w:tcPr>
          <w:p w14:paraId="AB068261">
            <w:pPr>
              <w:keepNext w:val="0"/>
              <w:keepLines w:val="0"/>
              <w:pageBreakBefore w:val="0"/>
              <w:widowControl w:val="0"/>
              <w:kinsoku/>
              <w:wordWrap/>
              <w:overflowPunct/>
              <w:topLinePunct w:val="0"/>
              <w:autoSpaceDE w:val="0"/>
              <w:autoSpaceDN w:val="0"/>
              <w:bidi w:val="0"/>
              <w:snapToGrid/>
              <w:spacing w:line="300" w:lineRule="exact"/>
              <w:ind w:firstLine="480" w:firstLineChars="200"/>
              <w:textAlignment w:val="auto"/>
              <w:rPr>
                <w:rFonts w:ascii="宋体" w:hAnsi="宋体" w:cs="宋体"/>
                <w:color w:val="auto"/>
                <w:sz w:val="24"/>
                <w:szCs w:val="24"/>
                <w:lang w:val="zh-CN"/>
              </w:rPr>
            </w:pPr>
          </w:p>
        </w:tc>
        <w:tc>
          <w:tcPr>
            <w:tcW w:w="1682" w:type="dxa"/>
            <w:tcMar>
              <w:left w:w="57" w:type="dxa"/>
              <w:right w:w="57" w:type="dxa"/>
            </w:tcMar>
            <w:vAlign w:val="center"/>
          </w:tcPr>
          <w:p w14:paraId="F753D6FD">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lang w:val="zh-CN"/>
              </w:rPr>
              <w:t>信誉</w:t>
            </w:r>
          </w:p>
        </w:tc>
        <w:tc>
          <w:tcPr>
            <w:tcW w:w="6186" w:type="dxa"/>
            <w:vAlign w:val="center"/>
          </w:tcPr>
          <w:p w14:paraId="235806D6">
            <w:pPr>
              <w:keepNext w:val="0"/>
              <w:keepLines w:val="0"/>
              <w:pageBreakBefore w:val="0"/>
              <w:widowControl w:val="0"/>
              <w:kinsoku/>
              <w:wordWrap/>
              <w:overflowPunct/>
              <w:topLinePunct w:val="0"/>
              <w:autoSpaceDE w:val="0"/>
              <w:autoSpaceDN w:val="0"/>
              <w:bidi w:val="0"/>
              <w:adjustRightInd w:val="0"/>
              <w:snapToGrid/>
              <w:spacing w:line="300" w:lineRule="exact"/>
              <w:ind w:firstLine="240" w:firstLineChars="100"/>
              <w:textAlignment w:val="auto"/>
              <w:rPr>
                <w:rFonts w:ascii="宋体" w:hAnsi="宋体" w:cs="宋体"/>
                <w:color w:val="auto"/>
                <w:sz w:val="24"/>
                <w:szCs w:val="24"/>
              </w:rPr>
            </w:pPr>
            <w:r>
              <w:rPr>
                <w:rFonts w:hint="eastAsia" w:ascii="宋体" w:hAnsi="宋体" w:cs="宋体"/>
                <w:bCs/>
                <w:color w:val="auto"/>
                <w:sz w:val="24"/>
                <w:szCs w:val="24"/>
                <w:lang w:val="zh-CN"/>
              </w:rPr>
              <w:t>信誉要求：202</w:t>
            </w:r>
            <w:r>
              <w:rPr>
                <w:rFonts w:hint="eastAsia" w:ascii="宋体" w:hAnsi="宋体" w:cs="宋体"/>
                <w:bCs/>
                <w:color w:val="auto"/>
                <w:sz w:val="24"/>
                <w:szCs w:val="24"/>
              </w:rPr>
              <w:t>2</w:t>
            </w:r>
            <w:r>
              <w:rPr>
                <w:rFonts w:hint="eastAsia" w:ascii="宋体" w:hAnsi="宋体" w:cs="宋体"/>
                <w:bCs/>
                <w:color w:val="auto"/>
                <w:sz w:val="24"/>
                <w:szCs w:val="24"/>
                <w:lang w:val="zh-CN"/>
              </w:rPr>
              <w:t>年1月1日至今无行贿犯罪及不良行为记录；“中国裁判文书网”网站（https://wenshu.court.gov.cn/）上无行贿犯罪记录；“信用中国”网站（www.creditchina.gov.cn）未列入①失信被执行人及②重大税收违法失信主体名单；国家企业信用信息公示系统（http://www.gsxt.gov.cn/index.html）未列入严重违法失信企业名单及中国政府采购网（http://www.ccgp.gov.cn/search/cr/）未列入政府采购严重违法失信行为记录名单。以上均须提供截图。</w:t>
            </w:r>
          </w:p>
        </w:tc>
      </w:tr>
      <w:tr w14:paraId="32AB1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exact"/>
          <w:jc w:val="center"/>
        </w:trPr>
        <w:tc>
          <w:tcPr>
            <w:tcW w:w="730" w:type="dxa"/>
            <w:vMerge w:val="restart"/>
            <w:tcMar>
              <w:left w:w="57" w:type="dxa"/>
              <w:right w:w="57" w:type="dxa"/>
            </w:tcMar>
            <w:vAlign w:val="center"/>
          </w:tcPr>
          <w:p w14:paraId="81923113">
            <w:pPr>
              <w:keepNext w:val="0"/>
              <w:keepLines w:val="0"/>
              <w:pageBreakBefore w:val="0"/>
              <w:widowControl w:val="0"/>
              <w:kinsoku/>
              <w:wordWrap/>
              <w:overflowPunct/>
              <w:topLinePunct w:val="0"/>
              <w:autoSpaceDE w:val="0"/>
              <w:autoSpaceDN w:val="0"/>
              <w:bidi w:val="0"/>
              <w:snapToGrid/>
              <w:spacing w:line="300" w:lineRule="exact"/>
              <w:textAlignment w:val="auto"/>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2</w:t>
            </w:r>
          </w:p>
        </w:tc>
        <w:tc>
          <w:tcPr>
            <w:tcW w:w="1121" w:type="dxa"/>
            <w:vMerge w:val="restart"/>
            <w:tcMar>
              <w:left w:w="57" w:type="dxa"/>
              <w:right w:w="57" w:type="dxa"/>
            </w:tcMar>
            <w:vAlign w:val="center"/>
          </w:tcPr>
          <w:p w14:paraId="D612F2DF">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lang w:val="zh-CN"/>
              </w:rPr>
              <w:t>符合性评审标准</w:t>
            </w:r>
          </w:p>
        </w:tc>
        <w:tc>
          <w:tcPr>
            <w:tcW w:w="1682" w:type="dxa"/>
            <w:tcMar>
              <w:left w:w="57" w:type="dxa"/>
              <w:right w:w="57" w:type="dxa"/>
            </w:tcMar>
            <w:vAlign w:val="center"/>
          </w:tcPr>
          <w:p w14:paraId="F2D7D4A3">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lang w:val="zh-CN"/>
              </w:rPr>
              <w:t>投标内容</w:t>
            </w:r>
          </w:p>
        </w:tc>
        <w:tc>
          <w:tcPr>
            <w:tcW w:w="6186" w:type="dxa"/>
            <w:vAlign w:val="center"/>
          </w:tcPr>
          <w:p w14:paraId="454BCD7A">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lang w:val="zh-CN"/>
              </w:rPr>
              <w:t>符合招标文件规定</w:t>
            </w:r>
          </w:p>
        </w:tc>
      </w:tr>
      <w:tr w14:paraId="9B918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exact"/>
          <w:jc w:val="center"/>
        </w:trPr>
        <w:tc>
          <w:tcPr>
            <w:tcW w:w="730" w:type="dxa"/>
            <w:vMerge w:val="continue"/>
            <w:tcMar>
              <w:left w:w="57" w:type="dxa"/>
              <w:right w:w="57" w:type="dxa"/>
            </w:tcMar>
            <w:vAlign w:val="center"/>
          </w:tcPr>
          <w:p w14:paraId="9CBAB9A5">
            <w:pPr>
              <w:keepNext w:val="0"/>
              <w:keepLines w:val="0"/>
              <w:pageBreakBefore w:val="0"/>
              <w:widowControl w:val="0"/>
              <w:kinsoku/>
              <w:wordWrap/>
              <w:overflowPunct/>
              <w:topLinePunct w:val="0"/>
              <w:autoSpaceDE w:val="0"/>
              <w:autoSpaceDN w:val="0"/>
              <w:bidi w:val="0"/>
              <w:snapToGrid/>
              <w:spacing w:line="300" w:lineRule="exact"/>
              <w:ind w:firstLine="480" w:firstLineChars="200"/>
              <w:textAlignment w:val="auto"/>
              <w:rPr>
                <w:rFonts w:ascii="宋体" w:hAnsi="宋体" w:cs="宋体"/>
                <w:color w:val="auto"/>
                <w:sz w:val="24"/>
                <w:szCs w:val="24"/>
                <w:lang w:val="zh-CN"/>
              </w:rPr>
            </w:pPr>
          </w:p>
        </w:tc>
        <w:tc>
          <w:tcPr>
            <w:tcW w:w="1121" w:type="dxa"/>
            <w:vMerge w:val="continue"/>
            <w:tcMar>
              <w:left w:w="57" w:type="dxa"/>
              <w:right w:w="57" w:type="dxa"/>
            </w:tcMar>
            <w:vAlign w:val="center"/>
          </w:tcPr>
          <w:p w14:paraId="74934A6F">
            <w:pPr>
              <w:keepNext w:val="0"/>
              <w:keepLines w:val="0"/>
              <w:pageBreakBefore w:val="0"/>
              <w:widowControl w:val="0"/>
              <w:kinsoku/>
              <w:wordWrap/>
              <w:overflowPunct/>
              <w:topLinePunct w:val="0"/>
              <w:autoSpaceDE w:val="0"/>
              <w:autoSpaceDN w:val="0"/>
              <w:bidi w:val="0"/>
              <w:snapToGrid/>
              <w:spacing w:line="300" w:lineRule="exact"/>
              <w:ind w:firstLine="480" w:firstLineChars="200"/>
              <w:textAlignment w:val="auto"/>
              <w:rPr>
                <w:rFonts w:ascii="宋体" w:hAnsi="宋体" w:cs="宋体"/>
                <w:color w:val="auto"/>
                <w:sz w:val="24"/>
                <w:szCs w:val="24"/>
                <w:lang w:val="zh-CN"/>
              </w:rPr>
            </w:pPr>
          </w:p>
        </w:tc>
        <w:tc>
          <w:tcPr>
            <w:tcW w:w="1682" w:type="dxa"/>
            <w:tcMar>
              <w:left w:w="57" w:type="dxa"/>
              <w:right w:w="57" w:type="dxa"/>
            </w:tcMar>
            <w:vAlign w:val="center"/>
          </w:tcPr>
          <w:p w14:paraId="3A176DDA">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lang w:val="zh-CN"/>
              </w:rPr>
              <w:t>投标有效期</w:t>
            </w:r>
          </w:p>
        </w:tc>
        <w:tc>
          <w:tcPr>
            <w:tcW w:w="6186" w:type="dxa"/>
            <w:vAlign w:val="center"/>
          </w:tcPr>
          <w:p w14:paraId="622315D2">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lang w:val="zh-CN"/>
              </w:rPr>
              <w:t>90天</w:t>
            </w:r>
          </w:p>
        </w:tc>
      </w:tr>
      <w:tr w14:paraId="F9E01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exact"/>
          <w:jc w:val="center"/>
        </w:trPr>
        <w:tc>
          <w:tcPr>
            <w:tcW w:w="730" w:type="dxa"/>
            <w:vMerge w:val="continue"/>
            <w:tcMar>
              <w:left w:w="57" w:type="dxa"/>
              <w:right w:w="57" w:type="dxa"/>
            </w:tcMar>
            <w:vAlign w:val="center"/>
          </w:tcPr>
          <w:p w14:paraId="B4EE3D2C">
            <w:pPr>
              <w:keepNext w:val="0"/>
              <w:keepLines w:val="0"/>
              <w:pageBreakBefore w:val="0"/>
              <w:widowControl w:val="0"/>
              <w:kinsoku/>
              <w:wordWrap/>
              <w:overflowPunct/>
              <w:topLinePunct w:val="0"/>
              <w:autoSpaceDE w:val="0"/>
              <w:autoSpaceDN w:val="0"/>
              <w:bidi w:val="0"/>
              <w:snapToGrid/>
              <w:spacing w:line="300" w:lineRule="exact"/>
              <w:ind w:firstLine="480" w:firstLineChars="200"/>
              <w:textAlignment w:val="auto"/>
              <w:rPr>
                <w:rFonts w:ascii="宋体" w:hAnsi="宋体" w:cs="宋体"/>
                <w:color w:val="auto"/>
                <w:sz w:val="24"/>
                <w:szCs w:val="24"/>
                <w:lang w:val="zh-CN"/>
              </w:rPr>
            </w:pPr>
          </w:p>
        </w:tc>
        <w:tc>
          <w:tcPr>
            <w:tcW w:w="1121" w:type="dxa"/>
            <w:vMerge w:val="continue"/>
            <w:tcMar>
              <w:left w:w="57" w:type="dxa"/>
              <w:right w:w="57" w:type="dxa"/>
            </w:tcMar>
            <w:vAlign w:val="center"/>
          </w:tcPr>
          <w:p w14:paraId="3BC4493D">
            <w:pPr>
              <w:keepNext w:val="0"/>
              <w:keepLines w:val="0"/>
              <w:pageBreakBefore w:val="0"/>
              <w:widowControl w:val="0"/>
              <w:kinsoku/>
              <w:wordWrap/>
              <w:overflowPunct/>
              <w:topLinePunct w:val="0"/>
              <w:autoSpaceDE w:val="0"/>
              <w:autoSpaceDN w:val="0"/>
              <w:bidi w:val="0"/>
              <w:snapToGrid/>
              <w:spacing w:line="300" w:lineRule="exact"/>
              <w:ind w:firstLine="480" w:firstLineChars="200"/>
              <w:textAlignment w:val="auto"/>
              <w:rPr>
                <w:rFonts w:ascii="宋体" w:hAnsi="宋体" w:cs="宋体"/>
                <w:color w:val="auto"/>
                <w:sz w:val="24"/>
                <w:szCs w:val="24"/>
                <w:lang w:val="zh-CN"/>
              </w:rPr>
            </w:pPr>
          </w:p>
        </w:tc>
        <w:tc>
          <w:tcPr>
            <w:tcW w:w="1682" w:type="dxa"/>
            <w:tcMar>
              <w:left w:w="57" w:type="dxa"/>
              <w:right w:w="57" w:type="dxa"/>
            </w:tcMar>
            <w:vAlign w:val="center"/>
          </w:tcPr>
          <w:p w14:paraId="9DB2BEC8">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lang w:val="zh-CN"/>
              </w:rPr>
              <w:t>投标保证金</w:t>
            </w:r>
          </w:p>
        </w:tc>
        <w:tc>
          <w:tcPr>
            <w:tcW w:w="6186" w:type="dxa"/>
            <w:vAlign w:val="center"/>
          </w:tcPr>
          <w:p w14:paraId="7C924A4C">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lang w:val="zh-CN"/>
              </w:rPr>
              <w:t>符合招标文件规定</w:t>
            </w:r>
          </w:p>
        </w:tc>
      </w:tr>
      <w:tr w14:paraId="7103C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730" w:type="dxa"/>
            <w:vMerge w:val="continue"/>
            <w:tcMar>
              <w:left w:w="57" w:type="dxa"/>
              <w:right w:w="57" w:type="dxa"/>
            </w:tcMar>
            <w:vAlign w:val="center"/>
          </w:tcPr>
          <w:p w14:paraId="83841DBD">
            <w:pPr>
              <w:keepNext w:val="0"/>
              <w:keepLines w:val="0"/>
              <w:pageBreakBefore w:val="0"/>
              <w:widowControl w:val="0"/>
              <w:kinsoku/>
              <w:wordWrap/>
              <w:overflowPunct/>
              <w:topLinePunct w:val="0"/>
              <w:autoSpaceDE w:val="0"/>
              <w:autoSpaceDN w:val="0"/>
              <w:bidi w:val="0"/>
              <w:snapToGrid/>
              <w:spacing w:line="300" w:lineRule="exact"/>
              <w:ind w:firstLine="480" w:firstLineChars="200"/>
              <w:textAlignment w:val="auto"/>
              <w:rPr>
                <w:rFonts w:ascii="宋体" w:hAnsi="宋体" w:cs="宋体"/>
                <w:color w:val="auto"/>
                <w:sz w:val="24"/>
                <w:szCs w:val="24"/>
                <w:lang w:val="zh-CN"/>
              </w:rPr>
            </w:pPr>
          </w:p>
        </w:tc>
        <w:tc>
          <w:tcPr>
            <w:tcW w:w="1121" w:type="dxa"/>
            <w:vMerge w:val="continue"/>
            <w:tcMar>
              <w:left w:w="57" w:type="dxa"/>
              <w:right w:w="57" w:type="dxa"/>
            </w:tcMar>
            <w:vAlign w:val="center"/>
          </w:tcPr>
          <w:p w14:paraId="124CF209">
            <w:pPr>
              <w:keepNext w:val="0"/>
              <w:keepLines w:val="0"/>
              <w:pageBreakBefore w:val="0"/>
              <w:widowControl w:val="0"/>
              <w:kinsoku/>
              <w:wordWrap/>
              <w:overflowPunct/>
              <w:topLinePunct w:val="0"/>
              <w:autoSpaceDE w:val="0"/>
              <w:autoSpaceDN w:val="0"/>
              <w:bidi w:val="0"/>
              <w:snapToGrid/>
              <w:spacing w:line="300" w:lineRule="exact"/>
              <w:ind w:firstLine="480" w:firstLineChars="200"/>
              <w:textAlignment w:val="auto"/>
              <w:rPr>
                <w:rFonts w:ascii="宋体" w:hAnsi="宋体" w:cs="宋体"/>
                <w:color w:val="auto"/>
                <w:sz w:val="24"/>
                <w:szCs w:val="24"/>
                <w:lang w:val="zh-CN"/>
              </w:rPr>
            </w:pPr>
          </w:p>
        </w:tc>
        <w:tc>
          <w:tcPr>
            <w:tcW w:w="1682" w:type="dxa"/>
            <w:tcMar>
              <w:left w:w="57" w:type="dxa"/>
              <w:right w:w="57" w:type="dxa"/>
            </w:tcMar>
            <w:vAlign w:val="center"/>
          </w:tcPr>
          <w:p w14:paraId="DFFA3522">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rPr>
              <w:t>服务</w:t>
            </w:r>
            <w:r>
              <w:rPr>
                <w:rFonts w:hint="eastAsia" w:ascii="宋体" w:hAnsi="宋体" w:cs="宋体"/>
                <w:color w:val="auto"/>
                <w:sz w:val="24"/>
                <w:szCs w:val="24"/>
                <w:lang w:eastAsia="zh-CN"/>
              </w:rPr>
              <w:t>要</w:t>
            </w:r>
            <w:r>
              <w:rPr>
                <w:rFonts w:hint="eastAsia" w:ascii="宋体" w:hAnsi="宋体" w:cs="宋体"/>
                <w:color w:val="auto"/>
                <w:sz w:val="24"/>
                <w:szCs w:val="24"/>
              </w:rPr>
              <w:t>求</w:t>
            </w:r>
          </w:p>
        </w:tc>
        <w:tc>
          <w:tcPr>
            <w:tcW w:w="6186" w:type="dxa"/>
            <w:tcMar>
              <w:left w:w="57" w:type="dxa"/>
              <w:right w:w="57" w:type="dxa"/>
            </w:tcMar>
            <w:vAlign w:val="center"/>
          </w:tcPr>
          <w:p w14:paraId="FEF5C897">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lang w:val="zh-CN"/>
              </w:rPr>
              <w:t>符合招标文件</w:t>
            </w:r>
            <w:r>
              <w:rPr>
                <w:rFonts w:hint="eastAsia" w:ascii="宋体" w:hAnsi="宋体" w:cs="宋体"/>
                <w:color w:val="auto"/>
                <w:sz w:val="24"/>
                <w:szCs w:val="24"/>
              </w:rPr>
              <w:t>服务需求</w:t>
            </w:r>
            <w:r>
              <w:rPr>
                <w:rFonts w:hint="eastAsia" w:ascii="宋体" w:hAnsi="宋体" w:cs="宋体"/>
                <w:color w:val="auto"/>
                <w:sz w:val="24"/>
                <w:szCs w:val="24"/>
                <w:lang w:val="zh-CN"/>
              </w:rPr>
              <w:t>相关规定</w:t>
            </w:r>
          </w:p>
        </w:tc>
      </w:tr>
      <w:tr w14:paraId="9B457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730" w:type="dxa"/>
            <w:vMerge w:val="continue"/>
            <w:tcMar>
              <w:left w:w="57" w:type="dxa"/>
              <w:right w:w="57" w:type="dxa"/>
            </w:tcMar>
            <w:vAlign w:val="center"/>
          </w:tcPr>
          <w:p w14:paraId="8BBAA8F6">
            <w:pPr>
              <w:keepNext w:val="0"/>
              <w:keepLines w:val="0"/>
              <w:pageBreakBefore w:val="0"/>
              <w:widowControl w:val="0"/>
              <w:kinsoku/>
              <w:wordWrap/>
              <w:overflowPunct/>
              <w:topLinePunct w:val="0"/>
              <w:autoSpaceDE w:val="0"/>
              <w:autoSpaceDN w:val="0"/>
              <w:bidi w:val="0"/>
              <w:snapToGrid/>
              <w:spacing w:line="300" w:lineRule="exact"/>
              <w:ind w:firstLine="480" w:firstLineChars="200"/>
              <w:textAlignment w:val="auto"/>
              <w:rPr>
                <w:rFonts w:ascii="宋体" w:hAnsi="宋体" w:cs="宋体"/>
                <w:color w:val="auto"/>
                <w:sz w:val="24"/>
                <w:szCs w:val="24"/>
                <w:lang w:val="zh-CN"/>
              </w:rPr>
            </w:pPr>
          </w:p>
        </w:tc>
        <w:tc>
          <w:tcPr>
            <w:tcW w:w="1121" w:type="dxa"/>
            <w:vMerge w:val="continue"/>
            <w:tcMar>
              <w:left w:w="57" w:type="dxa"/>
              <w:right w:w="57" w:type="dxa"/>
            </w:tcMar>
            <w:vAlign w:val="center"/>
          </w:tcPr>
          <w:p w14:paraId="FBDE7037">
            <w:pPr>
              <w:keepNext w:val="0"/>
              <w:keepLines w:val="0"/>
              <w:pageBreakBefore w:val="0"/>
              <w:widowControl w:val="0"/>
              <w:kinsoku/>
              <w:wordWrap/>
              <w:overflowPunct/>
              <w:topLinePunct w:val="0"/>
              <w:autoSpaceDE w:val="0"/>
              <w:autoSpaceDN w:val="0"/>
              <w:bidi w:val="0"/>
              <w:snapToGrid/>
              <w:spacing w:line="300" w:lineRule="exact"/>
              <w:ind w:firstLine="480" w:firstLineChars="200"/>
              <w:textAlignment w:val="auto"/>
              <w:rPr>
                <w:rFonts w:ascii="宋体" w:hAnsi="宋体" w:cs="宋体"/>
                <w:color w:val="auto"/>
                <w:sz w:val="24"/>
                <w:szCs w:val="24"/>
                <w:lang w:val="zh-CN"/>
              </w:rPr>
            </w:pPr>
          </w:p>
        </w:tc>
        <w:tc>
          <w:tcPr>
            <w:tcW w:w="1682" w:type="dxa"/>
            <w:tcMar>
              <w:left w:w="57" w:type="dxa"/>
              <w:right w:w="57" w:type="dxa"/>
            </w:tcMar>
            <w:vAlign w:val="center"/>
          </w:tcPr>
          <w:p w14:paraId="90E7AC43">
            <w:pPr>
              <w:keepNext w:val="0"/>
              <w:keepLines w:val="0"/>
              <w:pageBreakBefore w:val="0"/>
              <w:widowControl w:val="0"/>
              <w:kinsoku/>
              <w:wordWrap/>
              <w:overflowPunct/>
              <w:topLinePunct w:val="0"/>
              <w:autoSpaceDE w:val="0"/>
              <w:autoSpaceDN w:val="0"/>
              <w:bidi w:val="0"/>
              <w:snapToGrid/>
              <w:spacing w:line="300" w:lineRule="exact"/>
              <w:textAlignment w:val="auto"/>
              <w:rPr>
                <w:rFonts w:hint="eastAsia" w:ascii="宋体" w:hAnsi="宋体" w:eastAsia="宋体" w:cs="宋体"/>
                <w:color w:val="auto"/>
                <w:sz w:val="24"/>
                <w:szCs w:val="24"/>
                <w:lang w:eastAsia="zh-CN"/>
              </w:rPr>
            </w:pPr>
            <w:r>
              <w:rPr>
                <w:rFonts w:hint="eastAsia" w:ascii="宋体" w:hAnsi="宋体" w:cs="宋体"/>
                <w:color w:val="auto"/>
                <w:sz w:val="24"/>
                <w:szCs w:val="24"/>
                <w:lang w:eastAsia="zh-CN"/>
              </w:rPr>
              <w:t>服务期限</w:t>
            </w:r>
          </w:p>
        </w:tc>
        <w:tc>
          <w:tcPr>
            <w:tcW w:w="6186" w:type="dxa"/>
            <w:tcMar>
              <w:left w:w="57" w:type="dxa"/>
              <w:right w:w="57" w:type="dxa"/>
            </w:tcMar>
            <w:vAlign w:val="center"/>
          </w:tcPr>
          <w:p w14:paraId="800C43CC">
            <w:pPr>
              <w:keepNext w:val="0"/>
              <w:keepLines w:val="0"/>
              <w:pageBreakBefore w:val="0"/>
              <w:widowControl w:val="0"/>
              <w:kinsoku/>
              <w:wordWrap/>
              <w:overflowPunct/>
              <w:topLinePunct w:val="0"/>
              <w:autoSpaceDE w:val="0"/>
              <w:autoSpaceDN w:val="0"/>
              <w:bidi w:val="0"/>
              <w:snapToGrid/>
              <w:spacing w:line="300" w:lineRule="exact"/>
              <w:textAlignment w:val="auto"/>
              <w:rPr>
                <w:rFonts w:hint="eastAsia" w:ascii="宋体" w:hAnsi="宋体" w:cs="宋体"/>
                <w:color w:val="auto"/>
                <w:sz w:val="24"/>
                <w:szCs w:val="24"/>
                <w:lang w:val="zh-CN"/>
              </w:rPr>
            </w:pPr>
            <w:r>
              <w:rPr>
                <w:rFonts w:hint="eastAsia" w:ascii="宋体" w:hAnsi="宋体" w:cs="宋体"/>
                <w:color w:val="auto"/>
                <w:sz w:val="24"/>
                <w:szCs w:val="24"/>
                <w:highlight w:val="none"/>
                <w:lang w:val="zh-CN"/>
              </w:rPr>
              <w:t>按采购人要求</w:t>
            </w:r>
          </w:p>
        </w:tc>
      </w:tr>
      <w:tr w14:paraId="063D4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730" w:type="dxa"/>
            <w:vMerge w:val="continue"/>
            <w:tcMar>
              <w:left w:w="57" w:type="dxa"/>
              <w:right w:w="57" w:type="dxa"/>
            </w:tcMar>
            <w:vAlign w:val="center"/>
          </w:tcPr>
          <w:p w14:paraId="CD545C3E">
            <w:pPr>
              <w:keepNext w:val="0"/>
              <w:keepLines w:val="0"/>
              <w:pageBreakBefore w:val="0"/>
              <w:widowControl w:val="0"/>
              <w:kinsoku/>
              <w:wordWrap/>
              <w:overflowPunct/>
              <w:topLinePunct w:val="0"/>
              <w:autoSpaceDE w:val="0"/>
              <w:autoSpaceDN w:val="0"/>
              <w:bidi w:val="0"/>
              <w:snapToGrid/>
              <w:spacing w:line="300" w:lineRule="exact"/>
              <w:ind w:firstLine="480" w:firstLineChars="200"/>
              <w:textAlignment w:val="auto"/>
              <w:rPr>
                <w:rFonts w:ascii="宋体" w:hAnsi="宋体" w:cs="宋体"/>
                <w:color w:val="auto"/>
                <w:sz w:val="24"/>
                <w:szCs w:val="24"/>
                <w:lang w:val="zh-CN"/>
              </w:rPr>
            </w:pPr>
          </w:p>
        </w:tc>
        <w:tc>
          <w:tcPr>
            <w:tcW w:w="1121" w:type="dxa"/>
            <w:vMerge w:val="continue"/>
            <w:tcMar>
              <w:left w:w="57" w:type="dxa"/>
              <w:right w:w="57" w:type="dxa"/>
            </w:tcMar>
            <w:vAlign w:val="center"/>
          </w:tcPr>
          <w:p w14:paraId="69B9BC60">
            <w:pPr>
              <w:keepNext w:val="0"/>
              <w:keepLines w:val="0"/>
              <w:pageBreakBefore w:val="0"/>
              <w:widowControl w:val="0"/>
              <w:kinsoku/>
              <w:wordWrap/>
              <w:overflowPunct/>
              <w:topLinePunct w:val="0"/>
              <w:autoSpaceDE w:val="0"/>
              <w:autoSpaceDN w:val="0"/>
              <w:bidi w:val="0"/>
              <w:snapToGrid/>
              <w:spacing w:line="300" w:lineRule="exact"/>
              <w:ind w:firstLine="480" w:firstLineChars="200"/>
              <w:textAlignment w:val="auto"/>
              <w:rPr>
                <w:rFonts w:ascii="宋体" w:hAnsi="宋体" w:cs="宋体"/>
                <w:color w:val="auto"/>
                <w:sz w:val="24"/>
                <w:szCs w:val="24"/>
                <w:lang w:val="zh-CN"/>
              </w:rPr>
            </w:pPr>
          </w:p>
        </w:tc>
        <w:tc>
          <w:tcPr>
            <w:tcW w:w="1682" w:type="dxa"/>
            <w:tcMar>
              <w:left w:w="57" w:type="dxa"/>
              <w:right w:w="57" w:type="dxa"/>
            </w:tcMar>
            <w:vAlign w:val="center"/>
          </w:tcPr>
          <w:p w14:paraId="E732D1C5">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lang w:val="zh-CN"/>
              </w:rPr>
              <w:t>服务标准</w:t>
            </w:r>
          </w:p>
        </w:tc>
        <w:tc>
          <w:tcPr>
            <w:tcW w:w="6186" w:type="dxa"/>
            <w:tcMar>
              <w:left w:w="57" w:type="dxa"/>
              <w:right w:w="57" w:type="dxa"/>
            </w:tcMar>
            <w:vAlign w:val="center"/>
          </w:tcPr>
          <w:p w14:paraId="511725B4">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sz w:val="24"/>
                <w:szCs w:val="24"/>
                <w:lang w:eastAsia="zh-CN"/>
              </w:rPr>
              <w:t>符合国家及相关行业合格标准</w:t>
            </w:r>
          </w:p>
        </w:tc>
      </w:tr>
      <w:tr w14:paraId="0D9BD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30" w:type="dxa"/>
            <w:vMerge w:val="continue"/>
            <w:tcMar>
              <w:left w:w="57" w:type="dxa"/>
              <w:right w:w="57" w:type="dxa"/>
            </w:tcMar>
            <w:vAlign w:val="center"/>
          </w:tcPr>
          <w:p w14:paraId="421402A2">
            <w:pPr>
              <w:keepNext w:val="0"/>
              <w:keepLines w:val="0"/>
              <w:pageBreakBefore w:val="0"/>
              <w:widowControl w:val="0"/>
              <w:kinsoku/>
              <w:wordWrap/>
              <w:overflowPunct/>
              <w:topLinePunct w:val="0"/>
              <w:autoSpaceDE w:val="0"/>
              <w:autoSpaceDN w:val="0"/>
              <w:bidi w:val="0"/>
              <w:snapToGrid/>
              <w:spacing w:line="300" w:lineRule="exact"/>
              <w:ind w:firstLine="480" w:firstLineChars="200"/>
              <w:textAlignment w:val="auto"/>
              <w:rPr>
                <w:rFonts w:ascii="宋体" w:hAnsi="宋体" w:cs="宋体"/>
                <w:color w:val="auto"/>
                <w:sz w:val="24"/>
                <w:szCs w:val="24"/>
                <w:lang w:val="zh-CN"/>
              </w:rPr>
            </w:pPr>
          </w:p>
        </w:tc>
        <w:tc>
          <w:tcPr>
            <w:tcW w:w="1121" w:type="dxa"/>
            <w:vMerge w:val="continue"/>
            <w:tcMar>
              <w:left w:w="57" w:type="dxa"/>
              <w:right w:w="57" w:type="dxa"/>
            </w:tcMar>
            <w:vAlign w:val="center"/>
          </w:tcPr>
          <w:p w14:paraId="BAAD4443">
            <w:pPr>
              <w:keepNext w:val="0"/>
              <w:keepLines w:val="0"/>
              <w:pageBreakBefore w:val="0"/>
              <w:widowControl w:val="0"/>
              <w:kinsoku/>
              <w:wordWrap/>
              <w:overflowPunct/>
              <w:topLinePunct w:val="0"/>
              <w:autoSpaceDE w:val="0"/>
              <w:autoSpaceDN w:val="0"/>
              <w:bidi w:val="0"/>
              <w:snapToGrid/>
              <w:spacing w:line="300" w:lineRule="exact"/>
              <w:ind w:firstLine="480" w:firstLineChars="200"/>
              <w:textAlignment w:val="auto"/>
              <w:rPr>
                <w:rFonts w:ascii="宋体" w:hAnsi="宋体" w:cs="宋体"/>
                <w:color w:val="auto"/>
                <w:sz w:val="24"/>
                <w:szCs w:val="24"/>
                <w:lang w:val="zh-CN"/>
              </w:rPr>
            </w:pPr>
          </w:p>
        </w:tc>
        <w:tc>
          <w:tcPr>
            <w:tcW w:w="1682" w:type="dxa"/>
            <w:tcMar>
              <w:left w:w="57" w:type="dxa"/>
              <w:right w:w="57" w:type="dxa"/>
            </w:tcMar>
            <w:vAlign w:val="center"/>
          </w:tcPr>
          <w:p w14:paraId="2F80FE37">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rPr>
              <w:t>投标报价</w:t>
            </w:r>
          </w:p>
        </w:tc>
        <w:tc>
          <w:tcPr>
            <w:tcW w:w="6186" w:type="dxa"/>
            <w:tcMar>
              <w:left w:w="57" w:type="dxa"/>
              <w:right w:w="57" w:type="dxa"/>
            </w:tcMar>
            <w:vAlign w:val="center"/>
          </w:tcPr>
          <w:p w14:paraId="E99F6340">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lang w:val="zh-CN"/>
              </w:rPr>
              <w:t>只能有一个有效报价，任何有选择性的报价将不予被接受。</w:t>
            </w:r>
          </w:p>
          <w:p w14:paraId="AA8BE825">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lang w:val="zh-CN"/>
              </w:rPr>
              <w:t>不超过采购预算、不低于成本价竞标</w:t>
            </w:r>
          </w:p>
        </w:tc>
      </w:tr>
      <w:tr w14:paraId="1CBF0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730" w:type="dxa"/>
            <w:vMerge w:val="continue"/>
            <w:tcMar>
              <w:left w:w="57" w:type="dxa"/>
              <w:right w:w="57" w:type="dxa"/>
            </w:tcMar>
            <w:vAlign w:val="center"/>
          </w:tcPr>
          <w:p w14:paraId="B94080E5">
            <w:pPr>
              <w:keepNext w:val="0"/>
              <w:keepLines w:val="0"/>
              <w:pageBreakBefore w:val="0"/>
              <w:widowControl w:val="0"/>
              <w:kinsoku/>
              <w:wordWrap/>
              <w:overflowPunct/>
              <w:topLinePunct w:val="0"/>
              <w:autoSpaceDE w:val="0"/>
              <w:autoSpaceDN w:val="0"/>
              <w:bidi w:val="0"/>
              <w:snapToGrid/>
              <w:spacing w:line="300" w:lineRule="exact"/>
              <w:ind w:firstLine="480" w:firstLineChars="200"/>
              <w:textAlignment w:val="auto"/>
              <w:rPr>
                <w:rFonts w:ascii="宋体" w:hAnsi="宋体" w:cs="宋体"/>
                <w:color w:val="auto"/>
                <w:sz w:val="24"/>
                <w:szCs w:val="24"/>
                <w:lang w:val="zh-CN"/>
              </w:rPr>
            </w:pPr>
          </w:p>
        </w:tc>
        <w:tc>
          <w:tcPr>
            <w:tcW w:w="1121" w:type="dxa"/>
            <w:vMerge w:val="continue"/>
            <w:tcMar>
              <w:left w:w="57" w:type="dxa"/>
              <w:right w:w="57" w:type="dxa"/>
            </w:tcMar>
            <w:vAlign w:val="center"/>
          </w:tcPr>
          <w:p w14:paraId="79A47D1B">
            <w:pPr>
              <w:keepNext w:val="0"/>
              <w:keepLines w:val="0"/>
              <w:pageBreakBefore w:val="0"/>
              <w:widowControl w:val="0"/>
              <w:kinsoku/>
              <w:wordWrap/>
              <w:overflowPunct/>
              <w:topLinePunct w:val="0"/>
              <w:autoSpaceDE w:val="0"/>
              <w:autoSpaceDN w:val="0"/>
              <w:bidi w:val="0"/>
              <w:snapToGrid/>
              <w:spacing w:line="300" w:lineRule="exact"/>
              <w:ind w:firstLine="480" w:firstLineChars="200"/>
              <w:textAlignment w:val="auto"/>
              <w:rPr>
                <w:rFonts w:ascii="宋体" w:hAnsi="宋体" w:cs="宋体"/>
                <w:color w:val="auto"/>
                <w:sz w:val="24"/>
                <w:szCs w:val="24"/>
                <w:lang w:val="zh-CN"/>
              </w:rPr>
            </w:pPr>
          </w:p>
        </w:tc>
        <w:tc>
          <w:tcPr>
            <w:tcW w:w="1682" w:type="dxa"/>
            <w:tcMar>
              <w:left w:w="57" w:type="dxa"/>
              <w:right w:w="57" w:type="dxa"/>
            </w:tcMar>
            <w:vAlign w:val="center"/>
          </w:tcPr>
          <w:p w14:paraId="897BC6F5">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rPr>
            </w:pPr>
            <w:r>
              <w:rPr>
                <w:rFonts w:hint="eastAsia" w:ascii="宋体" w:hAnsi="宋体" w:cs="宋体"/>
                <w:color w:val="auto"/>
                <w:sz w:val="24"/>
                <w:szCs w:val="24"/>
              </w:rPr>
              <w:t>权利义务</w:t>
            </w:r>
          </w:p>
        </w:tc>
        <w:tc>
          <w:tcPr>
            <w:tcW w:w="6186" w:type="dxa"/>
            <w:tcMar>
              <w:left w:w="57" w:type="dxa"/>
              <w:right w:w="57" w:type="dxa"/>
            </w:tcMar>
            <w:vAlign w:val="center"/>
          </w:tcPr>
          <w:p w14:paraId="F71AAD51">
            <w:pPr>
              <w:keepNext w:val="0"/>
              <w:keepLines w:val="0"/>
              <w:pageBreakBefore w:val="0"/>
              <w:widowControl w:val="0"/>
              <w:kinsoku/>
              <w:wordWrap/>
              <w:overflowPunct/>
              <w:topLinePunct w:val="0"/>
              <w:autoSpaceDE w:val="0"/>
              <w:autoSpaceDN w:val="0"/>
              <w:bidi w:val="0"/>
              <w:snapToGrid/>
              <w:spacing w:line="300" w:lineRule="exact"/>
              <w:textAlignment w:val="auto"/>
              <w:rPr>
                <w:rFonts w:ascii="宋体" w:hAnsi="宋体" w:cs="宋体"/>
                <w:color w:val="auto"/>
                <w:sz w:val="24"/>
                <w:szCs w:val="24"/>
                <w:lang w:val="zh-CN"/>
              </w:rPr>
            </w:pPr>
            <w:r>
              <w:rPr>
                <w:rFonts w:hint="eastAsia" w:ascii="宋体" w:hAnsi="宋体" w:cs="宋体"/>
                <w:color w:val="auto"/>
                <w:sz w:val="24"/>
                <w:szCs w:val="24"/>
              </w:rPr>
              <w:t>符合第二章“投标人须知”规定和第四章“合同条款及格式”中的要求和条件</w:t>
            </w:r>
          </w:p>
        </w:tc>
      </w:tr>
    </w:tbl>
    <w:p w14:paraId="21F12985">
      <w:pPr>
        <w:pStyle w:val="36"/>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eastAsia="宋体"/>
          <w:color w:val="auto"/>
          <w:sz w:val="21"/>
          <w:szCs w:val="21"/>
          <w:highlight w:val="none"/>
        </w:rPr>
      </w:pPr>
      <w:r>
        <w:rPr>
          <w:rFonts w:hint="eastAsia" w:ascii="宋体" w:hAnsi="宋体" w:eastAsia="宋体"/>
          <w:color w:val="auto"/>
          <w:sz w:val="21"/>
          <w:szCs w:val="21"/>
          <w:highlight w:val="none"/>
        </w:rPr>
        <w:t>注：（1）不符合以上内容之一的按不合格处理，不合格的打“×”；合格的打“√”。评审结论相应的写“不合格”或“合格”。</w:t>
      </w:r>
    </w:p>
    <w:p w14:paraId="A63143E0">
      <w:pPr>
        <w:pStyle w:val="36"/>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eastAsia="宋体"/>
          <w:color w:val="auto"/>
          <w:sz w:val="21"/>
          <w:szCs w:val="21"/>
          <w:highlight w:val="none"/>
        </w:rPr>
      </w:pPr>
      <w:r>
        <w:rPr>
          <w:rFonts w:hint="eastAsia" w:ascii="宋体" w:hAnsi="宋体" w:eastAsia="宋体"/>
          <w:color w:val="auto"/>
          <w:sz w:val="21"/>
          <w:szCs w:val="21"/>
          <w:highlight w:val="none"/>
        </w:rPr>
        <w:t>上述内容中有一项评审不合格的，投标按废标处理。</w:t>
      </w:r>
    </w:p>
    <w:bookmarkEnd w:id="55"/>
    <w:p w14:paraId="550FA70D">
      <w:pPr>
        <w:widowControl w:val="0"/>
        <w:spacing w:line="480" w:lineRule="auto"/>
        <w:jc w:val="center"/>
        <w:rPr>
          <w:rFonts w:hint="eastAsia"/>
          <w:b/>
          <w:color w:val="auto"/>
          <w:sz w:val="32"/>
          <w:highlight w:val="none"/>
          <w:lang w:val="en-US" w:eastAsia="zh-CN"/>
        </w:rPr>
      </w:pPr>
    </w:p>
    <w:p w14:paraId="7F94BCBA">
      <w:pPr>
        <w:widowControl w:val="0"/>
        <w:spacing w:line="480" w:lineRule="auto"/>
        <w:jc w:val="center"/>
        <w:rPr>
          <w:rFonts w:hint="eastAsia"/>
          <w:b/>
          <w:color w:val="auto"/>
          <w:sz w:val="32"/>
          <w:highlight w:val="none"/>
          <w:lang w:val="en-US" w:eastAsia="zh-CN"/>
        </w:rPr>
      </w:pPr>
    </w:p>
    <w:p w14:paraId="F74E7572">
      <w:pPr>
        <w:widowControl w:val="0"/>
        <w:spacing w:line="480" w:lineRule="auto"/>
        <w:jc w:val="center"/>
        <w:rPr>
          <w:rFonts w:hint="eastAsia"/>
          <w:b/>
          <w:color w:val="auto"/>
          <w:sz w:val="32"/>
          <w:highlight w:val="none"/>
          <w:lang w:val="en-US" w:eastAsia="zh-CN"/>
        </w:rPr>
      </w:pPr>
      <w:r>
        <w:rPr>
          <w:rFonts w:hint="eastAsia"/>
          <w:b/>
          <w:color w:val="auto"/>
          <w:sz w:val="32"/>
          <w:highlight w:val="none"/>
          <w:lang w:val="en-US" w:eastAsia="zh-CN"/>
        </w:rPr>
        <w:t>详细评审</w:t>
      </w:r>
    </w:p>
    <w:tbl>
      <w:tblPr>
        <w:tblStyle w:val="16"/>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1"/>
        <w:gridCol w:w="1933"/>
        <w:gridCol w:w="6173"/>
      </w:tblGrid>
      <w:tr w14:paraId="A8C20A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7" w:hRule="atLeast"/>
        </w:trPr>
        <w:tc>
          <w:tcPr>
            <w:tcW w:w="495" w:type="pct"/>
            <w:tcBorders>
              <w:top w:val="single" w:color="000000" w:sz="4" w:space="0"/>
              <w:left w:val="single" w:color="000000" w:sz="4" w:space="0"/>
              <w:bottom w:val="single" w:color="000000" w:sz="4" w:space="0"/>
              <w:right w:val="single" w:color="000000" w:sz="4" w:space="0"/>
            </w:tcBorders>
            <w:vAlign w:val="center"/>
          </w:tcPr>
          <w:p w14:paraId="EEF16B1D">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rPr>
              <w:t>投标报价</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（10分）</w:t>
            </w:r>
          </w:p>
        </w:tc>
        <w:tc>
          <w:tcPr>
            <w:tcW w:w="4504" w:type="pct"/>
            <w:gridSpan w:val="2"/>
            <w:tcBorders>
              <w:top w:val="single" w:color="000000" w:sz="4" w:space="0"/>
              <w:left w:val="single" w:color="000000" w:sz="4" w:space="0"/>
              <w:bottom w:val="single" w:color="000000" w:sz="4" w:space="0"/>
              <w:right w:val="single" w:color="000000" w:sz="4" w:space="0"/>
            </w:tcBorders>
            <w:vAlign w:val="center"/>
          </w:tcPr>
          <w:p w14:paraId="CE39A951">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宋体" w:hAnsi="宋体" w:eastAsia="宋体" w:cs="宋体"/>
                <w:i w:val="0"/>
                <w:iCs w:val="0"/>
                <w:color w:val="000000"/>
                <w:kern w:val="0"/>
                <w:sz w:val="24"/>
                <w:szCs w:val="24"/>
                <w:u w:val="none"/>
                <w:lang w:val="en-US" w:eastAsia="zh-CN"/>
              </w:rPr>
            </w:pPr>
            <w:r>
              <w:rPr>
                <w:rFonts w:hint="eastAsia" w:ascii="宋体" w:hAnsi="宋体" w:eastAsia="宋体" w:cs="宋体"/>
                <w:i w:val="0"/>
                <w:iCs w:val="0"/>
                <w:color w:val="000000"/>
                <w:kern w:val="0"/>
                <w:sz w:val="24"/>
                <w:szCs w:val="24"/>
                <w:u w:val="none"/>
                <w:lang w:val="en-US" w:eastAsia="zh-CN"/>
              </w:rPr>
              <w:t>满足招标文件要求且投标价格最低的投标报价为评标基准价，其价格分为满分。其他投标人的价格分统一按照下列公式计算：</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投标报价得分=（评标基准价/投标报价）*10%*100，四舍五入保留小数点后两位。</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注：</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1.若投标人提供《中小企业声明函》并且情况属实，则对该投标人的报价给予10%的扣除，用扣除后的价格参与评审（依据《政府采购促进中小企业发展管理办法》财库[2020]46号）。</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2.投标人不得以低于成本的报价竞标。</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3.最低报价不能作为中标的唯一依据。</w:t>
            </w:r>
          </w:p>
          <w:p w14:paraId="D382C24E">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default"/>
                <w:lang w:val="en-US"/>
              </w:rPr>
            </w:pPr>
            <w:r>
              <w:rPr>
                <w:rFonts w:hint="eastAsia" w:ascii="宋体" w:hAnsi="宋体" w:eastAsia="宋体" w:cs="宋体"/>
                <w:i w:val="0"/>
                <w:iCs w:val="0"/>
                <w:color w:val="000000"/>
                <w:kern w:val="0"/>
                <w:sz w:val="24"/>
                <w:szCs w:val="24"/>
                <w:u w:val="none"/>
                <w:lang w:val="en-US" w:eastAsia="zh-CN"/>
              </w:rPr>
              <w:t>4.若</w:t>
            </w:r>
            <w:r>
              <w:rPr>
                <w:rFonts w:hint="default" w:ascii="宋体" w:hAnsi="宋体" w:eastAsia="宋体" w:cs="宋体"/>
                <w:i w:val="0"/>
                <w:iCs w:val="0"/>
                <w:color w:val="000000"/>
                <w:kern w:val="0"/>
                <w:sz w:val="24"/>
                <w:szCs w:val="24"/>
                <w:u w:val="none"/>
                <w:lang w:val="en-US" w:eastAsia="zh-CN"/>
              </w:rPr>
              <w:t>投标人的报价明显低于其他投标报价</w:t>
            </w:r>
            <w:r>
              <w:rPr>
                <w:rFonts w:hint="eastAsia" w:ascii="宋体" w:hAnsi="宋体" w:eastAsia="宋体" w:cs="宋体"/>
                <w:i w:val="0"/>
                <w:iCs w:val="0"/>
                <w:color w:val="000000"/>
                <w:kern w:val="0"/>
                <w:sz w:val="24"/>
                <w:szCs w:val="24"/>
                <w:u w:val="none"/>
                <w:lang w:val="en-US" w:eastAsia="zh-CN"/>
              </w:rPr>
              <w:t>，</w:t>
            </w:r>
            <w:r>
              <w:rPr>
                <w:rFonts w:hint="default" w:ascii="宋体" w:hAnsi="宋体" w:eastAsia="宋体" w:cs="宋体"/>
                <w:i w:val="0"/>
                <w:iCs w:val="0"/>
                <w:color w:val="000000"/>
                <w:kern w:val="0"/>
                <w:sz w:val="24"/>
                <w:szCs w:val="24"/>
                <w:u w:val="none"/>
                <w:lang w:val="en-US" w:eastAsia="zh-CN"/>
              </w:rPr>
              <w:t>该投标人</w:t>
            </w:r>
            <w:r>
              <w:rPr>
                <w:rFonts w:hint="eastAsia" w:ascii="宋体" w:hAnsi="宋体" w:eastAsia="宋体" w:cs="宋体"/>
                <w:i w:val="0"/>
                <w:iCs w:val="0"/>
                <w:color w:val="000000"/>
                <w:kern w:val="0"/>
                <w:sz w:val="24"/>
                <w:szCs w:val="24"/>
                <w:u w:val="none"/>
                <w:lang w:val="en-US" w:eastAsia="zh-CN"/>
              </w:rPr>
              <w:t>需要</w:t>
            </w:r>
            <w:r>
              <w:rPr>
                <w:rFonts w:hint="default" w:ascii="宋体" w:hAnsi="宋体" w:eastAsia="宋体" w:cs="宋体"/>
                <w:i w:val="0"/>
                <w:iCs w:val="0"/>
                <w:color w:val="000000"/>
                <w:kern w:val="0"/>
                <w:sz w:val="24"/>
                <w:szCs w:val="24"/>
                <w:u w:val="none"/>
                <w:lang w:val="en-US" w:eastAsia="zh-CN"/>
              </w:rPr>
              <w:t>作出书面说明并提供相关证明材料</w:t>
            </w:r>
            <w:r>
              <w:rPr>
                <w:rFonts w:hint="eastAsia" w:ascii="宋体" w:hAnsi="宋体" w:eastAsia="宋体" w:cs="宋体"/>
                <w:i w:val="0"/>
                <w:iCs w:val="0"/>
                <w:color w:val="000000"/>
                <w:kern w:val="0"/>
                <w:sz w:val="24"/>
                <w:szCs w:val="24"/>
                <w:u w:val="none"/>
                <w:lang w:val="en-US" w:eastAsia="zh-CN"/>
              </w:rPr>
              <w:t>，</w:t>
            </w:r>
          </w:p>
        </w:tc>
      </w:tr>
      <w:tr w14:paraId="FD9EB2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0" w:hRule="atLeast"/>
        </w:trPr>
        <w:tc>
          <w:tcPr>
            <w:tcW w:w="495" w:type="pct"/>
            <w:vMerge w:val="restart"/>
            <w:tcBorders>
              <w:top w:val="single" w:color="000000" w:sz="4" w:space="0"/>
              <w:left w:val="single" w:color="000000" w:sz="4" w:space="0"/>
              <w:bottom w:val="single" w:color="000000" w:sz="4" w:space="0"/>
              <w:right w:val="single" w:color="000000" w:sz="4" w:space="0"/>
            </w:tcBorders>
            <w:vAlign w:val="center"/>
          </w:tcPr>
          <w:p w14:paraId="65F1E30D">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rPr>
              <w:t>商务部分</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（30分）</w:t>
            </w:r>
          </w:p>
        </w:tc>
        <w:tc>
          <w:tcPr>
            <w:tcW w:w="1074" w:type="pct"/>
            <w:tcBorders>
              <w:top w:val="single" w:color="000000" w:sz="4" w:space="0"/>
              <w:left w:val="single" w:color="000000" w:sz="4" w:space="0"/>
              <w:bottom w:val="single" w:color="000000" w:sz="4" w:space="0"/>
              <w:right w:val="single" w:color="000000" w:sz="4" w:space="0"/>
            </w:tcBorders>
            <w:vAlign w:val="center"/>
          </w:tcPr>
          <w:p w14:paraId="B3419BCD">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rPr>
              <w:t>团队能力</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（10分）</w:t>
            </w:r>
          </w:p>
        </w:tc>
        <w:tc>
          <w:tcPr>
            <w:tcW w:w="3430" w:type="pct"/>
            <w:tcBorders>
              <w:top w:val="single" w:color="000000" w:sz="4" w:space="0"/>
              <w:left w:val="single" w:color="000000" w:sz="4" w:space="0"/>
              <w:bottom w:val="single" w:color="000000" w:sz="4" w:space="0"/>
              <w:right w:val="single" w:color="000000" w:sz="4" w:space="0"/>
            </w:tcBorders>
            <w:vAlign w:val="center"/>
          </w:tcPr>
          <w:p w14:paraId="1E330385">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rPr>
              <w:t>根据拟投入项目团队配备人员的综合情况，对其人员素质、职称、学历、行业经验、专业、业绩等方面进行综合评价。</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（1）投入本项目的技术负责人具有环境、能源等相关专业硕士以上学历，得3分；具有高级工程师以上职称，得2分。满分5分。</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（2）投入本项目的技术人员最低数量10人，同时具有环境、能源等相关专业本科以上学历，满足条件得5分，否则不得分。</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注：</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1.需提供技术负责人劳动合同、毕业证、学位证、职称证等扫描件并加盖单位公章，未提供或提供不全不得分；</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2.需提供团队参与本项目技术人员的劳动合同、毕业证、学位证扫描件并加盖单位公章，未提供或提供不全不得分。</w:t>
            </w:r>
          </w:p>
        </w:tc>
      </w:tr>
      <w:tr w14:paraId="98D886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495" w:type="pct"/>
            <w:vMerge w:val="continue"/>
            <w:tcBorders>
              <w:top w:val="single" w:color="000000" w:sz="4" w:space="0"/>
              <w:left w:val="single" w:color="000000" w:sz="4" w:space="0"/>
              <w:bottom w:val="single" w:color="000000" w:sz="4" w:space="0"/>
              <w:right w:val="single" w:color="000000" w:sz="4" w:space="0"/>
            </w:tcBorders>
            <w:vAlign w:val="center"/>
          </w:tcPr>
          <w:p w14:paraId="D331A235">
            <w:pPr>
              <w:keepNext w:val="0"/>
              <w:keepLines w:val="0"/>
              <w:pageBreakBefore w:val="0"/>
              <w:widowControl/>
              <w:kinsoku/>
              <w:wordWrap/>
              <w:overflowPunct/>
              <w:topLinePunct w:val="0"/>
              <w:autoSpaceDE/>
              <w:autoSpaceDN/>
              <w:bidi w:val="0"/>
              <w:adjustRightInd/>
              <w:snapToGrid/>
              <w:spacing w:line="440" w:lineRule="exact"/>
              <w:jc w:val="center"/>
              <w:rPr>
                <w:rFonts w:hint="eastAsia" w:ascii="宋体" w:hAnsi="宋体" w:eastAsia="宋体" w:cs="宋体"/>
                <w:i w:val="0"/>
                <w:iCs w:val="0"/>
                <w:color w:val="000000"/>
                <w:sz w:val="24"/>
                <w:szCs w:val="24"/>
                <w:u w:val="none"/>
              </w:rPr>
            </w:pPr>
          </w:p>
        </w:tc>
        <w:tc>
          <w:tcPr>
            <w:tcW w:w="1074" w:type="pct"/>
            <w:tcBorders>
              <w:top w:val="single" w:color="000000" w:sz="4" w:space="0"/>
              <w:left w:val="single" w:color="000000" w:sz="4" w:space="0"/>
              <w:bottom w:val="single" w:color="000000" w:sz="4" w:space="0"/>
              <w:right w:val="single" w:color="000000" w:sz="4" w:space="0"/>
            </w:tcBorders>
            <w:vAlign w:val="center"/>
          </w:tcPr>
          <w:p w14:paraId="CBE07C30">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rPr>
              <w:t>服务能力</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w:t>
            </w:r>
            <w:r>
              <w:rPr>
                <w:rFonts w:hint="default" w:ascii="宋体" w:hAnsi="宋体" w:eastAsia="宋体" w:cs="宋体"/>
                <w:i w:val="0"/>
                <w:iCs w:val="0"/>
                <w:color w:val="000000"/>
                <w:kern w:val="0"/>
                <w:sz w:val="24"/>
                <w:szCs w:val="24"/>
                <w:u w:val="none"/>
                <w:lang w:eastAsia="zh-CN"/>
              </w:rPr>
              <w:t>15</w:t>
            </w:r>
            <w:r>
              <w:rPr>
                <w:rFonts w:hint="eastAsia" w:ascii="宋体" w:hAnsi="宋体" w:eastAsia="宋体" w:cs="宋体"/>
                <w:i w:val="0"/>
                <w:iCs w:val="0"/>
                <w:color w:val="000000"/>
                <w:kern w:val="0"/>
                <w:sz w:val="24"/>
                <w:szCs w:val="24"/>
                <w:u w:val="none"/>
                <w:lang w:val="en-US" w:eastAsia="zh-CN"/>
              </w:rPr>
              <w:t>分）</w:t>
            </w:r>
          </w:p>
        </w:tc>
        <w:tc>
          <w:tcPr>
            <w:tcW w:w="3430" w:type="pct"/>
            <w:tcBorders>
              <w:top w:val="single" w:color="000000" w:sz="4" w:space="0"/>
              <w:left w:val="single" w:color="000000" w:sz="4" w:space="0"/>
              <w:bottom w:val="single" w:color="000000" w:sz="4" w:space="0"/>
              <w:right w:val="single" w:color="000000" w:sz="4" w:space="0"/>
            </w:tcBorders>
            <w:vAlign w:val="center"/>
          </w:tcPr>
          <w:p w14:paraId="3B2F4FA7">
            <w:pPr>
              <w:keepNext w:val="0"/>
              <w:keepLines w:val="0"/>
              <w:pageBreakBefore w:val="0"/>
              <w:widowControl/>
              <w:numPr>
                <w:ilvl w:val="0"/>
                <w:numId w:val="5"/>
              </w:numPr>
              <w:suppressLineNumbers w:val="0"/>
              <w:kinsoku/>
              <w:wordWrap/>
              <w:overflowPunct/>
              <w:topLinePunct w:val="0"/>
              <w:autoSpaceDE/>
              <w:autoSpaceDN/>
              <w:bidi w:val="0"/>
              <w:adjustRightInd/>
              <w:snapToGrid/>
              <w:spacing w:line="440" w:lineRule="exact"/>
              <w:jc w:val="left"/>
              <w:textAlignment w:val="center"/>
              <w:rPr>
                <w:rFonts w:hint="eastAsia" w:ascii="宋体" w:hAnsi="宋体" w:eastAsia="宋体" w:cs="宋体"/>
                <w:i w:val="0"/>
                <w:iCs w:val="0"/>
                <w:color w:val="000000"/>
                <w:kern w:val="0"/>
                <w:sz w:val="24"/>
                <w:szCs w:val="24"/>
                <w:u w:val="none"/>
                <w:lang w:val="en-US" w:eastAsia="zh-CN"/>
              </w:rPr>
            </w:pPr>
            <w:r>
              <w:rPr>
                <w:rFonts w:hint="eastAsia" w:ascii="宋体" w:hAnsi="宋体" w:eastAsia="宋体" w:cs="宋体"/>
                <w:i w:val="0"/>
                <w:iCs w:val="0"/>
                <w:color w:val="000000"/>
                <w:kern w:val="0"/>
                <w:sz w:val="24"/>
                <w:szCs w:val="24"/>
                <w:u w:val="none"/>
                <w:lang w:val="en-US" w:eastAsia="zh-CN"/>
              </w:rPr>
              <w:t>投标人承诺至少5名固定人员在服务期限内持续提供驻地服务，满足条件得5分，每增加1人，得</w:t>
            </w:r>
            <w:r>
              <w:rPr>
                <w:rFonts w:hint="default" w:ascii="宋体" w:hAnsi="宋体" w:eastAsia="宋体" w:cs="宋体"/>
                <w:i w:val="0"/>
                <w:iCs w:val="0"/>
                <w:color w:val="000000"/>
                <w:kern w:val="0"/>
                <w:sz w:val="24"/>
                <w:szCs w:val="24"/>
                <w:u w:val="none"/>
                <w:lang w:eastAsia="zh-CN"/>
              </w:rPr>
              <w:t>1</w:t>
            </w:r>
            <w:r>
              <w:rPr>
                <w:rFonts w:hint="eastAsia" w:ascii="宋体" w:hAnsi="宋体" w:eastAsia="宋体" w:cs="宋体"/>
                <w:i w:val="0"/>
                <w:iCs w:val="0"/>
                <w:color w:val="000000"/>
                <w:kern w:val="0"/>
                <w:sz w:val="24"/>
                <w:szCs w:val="24"/>
                <w:u w:val="none"/>
                <w:lang w:val="en-US" w:eastAsia="zh-CN"/>
              </w:rPr>
              <w:t>分，满分</w:t>
            </w:r>
            <w:r>
              <w:rPr>
                <w:rFonts w:hint="default" w:ascii="宋体" w:hAnsi="宋体" w:eastAsia="宋体" w:cs="宋体"/>
                <w:i w:val="0"/>
                <w:iCs w:val="0"/>
                <w:color w:val="000000"/>
                <w:kern w:val="0"/>
                <w:sz w:val="24"/>
                <w:szCs w:val="24"/>
                <w:u w:val="none"/>
                <w:lang w:eastAsia="zh-CN"/>
              </w:rPr>
              <w:t>10</w:t>
            </w:r>
            <w:r>
              <w:rPr>
                <w:rFonts w:hint="eastAsia" w:ascii="宋体" w:hAnsi="宋体" w:eastAsia="宋体" w:cs="宋体"/>
                <w:i w:val="0"/>
                <w:iCs w:val="0"/>
                <w:color w:val="000000"/>
                <w:kern w:val="0"/>
                <w:sz w:val="24"/>
                <w:szCs w:val="24"/>
                <w:u w:val="none"/>
                <w:lang w:val="en-US" w:eastAsia="zh-CN"/>
              </w:rPr>
              <w:t>分（即满足10人得10分）。</w:t>
            </w:r>
          </w:p>
          <w:p w14:paraId="89B6A63A">
            <w:pPr>
              <w:keepNext w:val="0"/>
              <w:keepLines w:val="0"/>
              <w:pageBreakBefore w:val="0"/>
              <w:widowControl/>
              <w:numPr>
                <w:ilvl w:val="0"/>
                <w:numId w:val="0"/>
              </w:numPr>
              <w:suppressLineNumbers w:val="0"/>
              <w:kinsoku/>
              <w:wordWrap/>
              <w:overflowPunct/>
              <w:topLinePunct w:val="0"/>
              <w:autoSpaceDE/>
              <w:autoSpaceDN/>
              <w:bidi w:val="0"/>
              <w:adjustRightInd/>
              <w:snapToGrid/>
              <w:spacing w:line="44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rPr>
              <w:t>（2）投标人承诺在各级监督、检查及帮扶过程中如有发现企业存在温室气体排放数据质量问题的，为业务主管部门开展核查确认、重新核查核算、研究提出整改指导意见、协助有关企业研究制定整改方案等工作提供技术支持，满足条件得</w:t>
            </w:r>
            <w:r>
              <w:rPr>
                <w:rFonts w:hint="default" w:ascii="宋体" w:hAnsi="宋体" w:eastAsia="宋体" w:cs="宋体"/>
                <w:i w:val="0"/>
                <w:iCs w:val="0"/>
                <w:color w:val="000000"/>
                <w:kern w:val="0"/>
                <w:sz w:val="24"/>
                <w:szCs w:val="24"/>
                <w:u w:val="none"/>
                <w:lang w:eastAsia="zh-CN"/>
              </w:rPr>
              <w:t>5</w:t>
            </w:r>
            <w:r>
              <w:rPr>
                <w:rFonts w:hint="eastAsia" w:ascii="宋体" w:hAnsi="宋体" w:eastAsia="宋体" w:cs="宋体"/>
                <w:i w:val="0"/>
                <w:iCs w:val="0"/>
                <w:color w:val="000000"/>
                <w:kern w:val="0"/>
                <w:sz w:val="24"/>
                <w:szCs w:val="24"/>
                <w:u w:val="none"/>
                <w:lang w:val="en-US" w:eastAsia="zh-CN"/>
              </w:rPr>
              <w:t>分，否则不得分。</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注：</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需提供服务承诺</w:t>
            </w:r>
            <w:r>
              <w:rPr>
                <w:rFonts w:hint="eastAsia" w:ascii="宋体" w:hAnsi="宋体" w:cs="宋体"/>
                <w:i w:val="0"/>
                <w:iCs w:val="0"/>
                <w:color w:val="000000"/>
                <w:kern w:val="0"/>
                <w:sz w:val="24"/>
                <w:szCs w:val="24"/>
                <w:highlight w:val="none"/>
                <w:u w:val="none"/>
                <w:lang w:val="en-US" w:eastAsia="zh-CN"/>
              </w:rPr>
              <w:t>（其中，驻地服务承诺应明确固定人员的姓名、性别、年龄、职务职称、学历专业等信息）</w:t>
            </w:r>
            <w:r>
              <w:rPr>
                <w:rFonts w:hint="eastAsia" w:ascii="宋体" w:hAnsi="宋体" w:eastAsia="宋体" w:cs="宋体"/>
                <w:i w:val="0"/>
                <w:iCs w:val="0"/>
                <w:color w:val="000000"/>
                <w:kern w:val="0"/>
                <w:sz w:val="24"/>
                <w:szCs w:val="24"/>
                <w:highlight w:val="none"/>
                <w:u w:val="none"/>
                <w:lang w:val="en-US" w:eastAsia="zh-CN"/>
              </w:rPr>
              <w:t>加</w:t>
            </w:r>
            <w:r>
              <w:rPr>
                <w:rFonts w:hint="eastAsia" w:ascii="宋体" w:hAnsi="宋体" w:eastAsia="宋体" w:cs="宋体"/>
                <w:i w:val="0"/>
                <w:iCs w:val="0"/>
                <w:color w:val="000000"/>
                <w:kern w:val="0"/>
                <w:sz w:val="24"/>
                <w:szCs w:val="24"/>
                <w:u w:val="none"/>
                <w:lang w:val="en-US" w:eastAsia="zh-CN"/>
              </w:rPr>
              <w:t>盖公章，否则不得分</w:t>
            </w:r>
            <w:r>
              <w:rPr>
                <w:rFonts w:hint="eastAsia" w:ascii="宋体" w:hAnsi="宋体" w:cs="宋体"/>
                <w:i w:val="0"/>
                <w:iCs w:val="0"/>
                <w:color w:val="000000"/>
                <w:kern w:val="0"/>
                <w:sz w:val="24"/>
                <w:szCs w:val="24"/>
                <w:u w:val="none"/>
                <w:lang w:val="en-US" w:eastAsia="zh-CN"/>
              </w:rPr>
              <w:t>。</w:t>
            </w:r>
          </w:p>
        </w:tc>
      </w:tr>
      <w:tr w14:paraId="FE6CF6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05" w:hRule="atLeast"/>
        </w:trPr>
        <w:tc>
          <w:tcPr>
            <w:tcW w:w="495" w:type="pct"/>
            <w:vMerge w:val="continue"/>
            <w:tcBorders>
              <w:top w:val="single" w:color="000000" w:sz="4" w:space="0"/>
              <w:left w:val="single" w:color="000000" w:sz="4" w:space="0"/>
              <w:bottom w:val="single" w:color="000000" w:sz="4" w:space="0"/>
              <w:right w:val="single" w:color="000000" w:sz="4" w:space="0"/>
            </w:tcBorders>
            <w:vAlign w:val="center"/>
          </w:tcPr>
          <w:p w14:paraId="A6AA2F50">
            <w:pPr>
              <w:keepNext w:val="0"/>
              <w:keepLines w:val="0"/>
              <w:pageBreakBefore w:val="0"/>
              <w:widowControl/>
              <w:kinsoku/>
              <w:wordWrap/>
              <w:overflowPunct/>
              <w:topLinePunct w:val="0"/>
              <w:autoSpaceDE/>
              <w:autoSpaceDN/>
              <w:bidi w:val="0"/>
              <w:adjustRightInd/>
              <w:snapToGrid/>
              <w:spacing w:line="440" w:lineRule="exact"/>
              <w:jc w:val="center"/>
              <w:rPr>
                <w:rFonts w:hint="eastAsia" w:ascii="宋体" w:hAnsi="宋体" w:eastAsia="宋体" w:cs="宋体"/>
                <w:i w:val="0"/>
                <w:iCs w:val="0"/>
                <w:color w:val="000000"/>
                <w:sz w:val="24"/>
                <w:szCs w:val="24"/>
                <w:u w:val="none"/>
              </w:rPr>
            </w:pPr>
          </w:p>
        </w:tc>
        <w:tc>
          <w:tcPr>
            <w:tcW w:w="1074" w:type="pct"/>
            <w:tcBorders>
              <w:top w:val="single" w:color="000000" w:sz="4" w:space="0"/>
              <w:left w:val="single" w:color="000000" w:sz="4" w:space="0"/>
              <w:bottom w:val="single" w:color="000000" w:sz="4" w:space="0"/>
              <w:right w:val="single" w:color="000000" w:sz="4" w:space="0"/>
            </w:tcBorders>
            <w:vAlign w:val="center"/>
          </w:tcPr>
          <w:p w14:paraId="DB77076D">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rPr>
              <w:t>对招标文件响应程度</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（5分）</w:t>
            </w:r>
          </w:p>
        </w:tc>
        <w:tc>
          <w:tcPr>
            <w:tcW w:w="3430" w:type="pct"/>
            <w:tcBorders>
              <w:top w:val="single" w:color="000000" w:sz="4" w:space="0"/>
              <w:left w:val="single" w:color="000000" w:sz="4" w:space="0"/>
              <w:bottom w:val="single" w:color="000000" w:sz="4" w:space="0"/>
              <w:right w:val="single" w:color="000000" w:sz="4" w:space="0"/>
            </w:tcBorders>
            <w:vAlign w:val="center"/>
          </w:tcPr>
          <w:p w14:paraId="49EB72BB">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rPr>
              <w:t>（1）</w:t>
            </w:r>
            <w:r>
              <w:rPr>
                <w:rFonts w:hint="eastAsia" w:ascii="宋体" w:hAnsi="宋体" w:eastAsia="宋体" w:cs="宋体"/>
                <w:i w:val="0"/>
                <w:iCs w:val="0"/>
                <w:color w:val="000000"/>
                <w:kern w:val="0"/>
                <w:sz w:val="24"/>
                <w:szCs w:val="24"/>
                <w:highlight w:val="none"/>
                <w:u w:val="none"/>
                <w:lang w:val="en-US" w:eastAsia="zh-CN"/>
              </w:rPr>
              <w:t>投标文件编制质量高、内容齐全、有应答索引，完全响应得2分，否则不得分。</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（2）投标文件应对招标文件的技术要求进行响应。技术部分应提供相关方案并逐项作答，完全响应得3分，否则不得分。</w:t>
            </w:r>
          </w:p>
        </w:tc>
      </w:tr>
      <w:tr w14:paraId="31E265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9" w:hRule="atLeast"/>
        </w:trPr>
        <w:tc>
          <w:tcPr>
            <w:tcW w:w="495" w:type="pct"/>
            <w:vMerge w:val="restart"/>
            <w:tcBorders>
              <w:top w:val="single" w:color="000000" w:sz="4" w:space="0"/>
              <w:left w:val="single" w:color="000000" w:sz="4" w:space="0"/>
              <w:right w:val="single" w:color="000000" w:sz="4" w:space="0"/>
            </w:tcBorders>
            <w:vAlign w:val="center"/>
          </w:tcPr>
          <w:p w14:paraId="3C0688D5">
            <w:pPr>
              <w:keepNext w:val="0"/>
              <w:keepLines w:val="0"/>
              <w:pageBreakBefore w:val="0"/>
              <w:widowControl/>
              <w:kinsoku/>
              <w:wordWrap/>
              <w:overflowPunct/>
              <w:topLinePunct w:val="0"/>
              <w:autoSpaceDE/>
              <w:autoSpaceDN/>
              <w:bidi w:val="0"/>
              <w:adjustRightInd/>
              <w:snapToGrid/>
              <w:spacing w:line="440" w:lineRule="exact"/>
              <w:jc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rPr>
              <w:t>技术部分</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（60分）</w:t>
            </w:r>
          </w:p>
        </w:tc>
        <w:tc>
          <w:tcPr>
            <w:tcW w:w="1074" w:type="pct"/>
            <w:tcBorders>
              <w:top w:val="single" w:color="000000" w:sz="4" w:space="0"/>
              <w:left w:val="single" w:color="000000" w:sz="4" w:space="0"/>
              <w:bottom w:val="single" w:color="000000" w:sz="4" w:space="0"/>
              <w:right w:val="single" w:color="000000" w:sz="4" w:space="0"/>
            </w:tcBorders>
            <w:vAlign w:val="center"/>
          </w:tcPr>
          <w:p w14:paraId="F4981401">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rPr>
              <w:t>工作服务方案</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（10分）</w:t>
            </w:r>
          </w:p>
        </w:tc>
        <w:tc>
          <w:tcPr>
            <w:tcW w:w="3430" w:type="pct"/>
            <w:tcBorders>
              <w:top w:val="single" w:color="000000" w:sz="4" w:space="0"/>
              <w:left w:val="single" w:color="000000" w:sz="4" w:space="0"/>
              <w:bottom w:val="single" w:color="000000" w:sz="4" w:space="0"/>
              <w:right w:val="single" w:color="000000" w:sz="4" w:space="0"/>
            </w:tcBorders>
            <w:vAlign w:val="center"/>
          </w:tcPr>
          <w:p w14:paraId="1DDCB214">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rPr>
              <w:t>根据投标人针对本项目提供的服务方案科学性、适用性等方面进行评价，优秀得10分；良好得</w:t>
            </w:r>
            <w:r>
              <w:rPr>
                <w:rFonts w:hint="eastAsia" w:ascii="宋体" w:hAnsi="宋体" w:cs="宋体"/>
                <w:i w:val="0"/>
                <w:iCs w:val="0"/>
                <w:color w:val="000000"/>
                <w:kern w:val="0"/>
                <w:sz w:val="24"/>
                <w:szCs w:val="24"/>
                <w:u w:val="none"/>
                <w:lang w:val="en-US" w:eastAsia="zh-CN"/>
              </w:rPr>
              <w:t>6</w:t>
            </w:r>
            <w:r>
              <w:rPr>
                <w:rFonts w:hint="eastAsia" w:ascii="宋体" w:hAnsi="宋体" w:eastAsia="宋体" w:cs="宋体"/>
                <w:i w:val="0"/>
                <w:iCs w:val="0"/>
                <w:color w:val="000000"/>
                <w:kern w:val="0"/>
                <w:sz w:val="24"/>
                <w:szCs w:val="24"/>
                <w:u w:val="none"/>
                <w:lang w:val="en-US" w:eastAsia="zh-CN"/>
              </w:rPr>
              <w:t>分；一般得</w:t>
            </w:r>
            <w:r>
              <w:rPr>
                <w:rFonts w:hint="eastAsia" w:ascii="宋体" w:hAnsi="宋体" w:cs="宋体"/>
                <w:i w:val="0"/>
                <w:iCs w:val="0"/>
                <w:color w:val="000000"/>
                <w:kern w:val="0"/>
                <w:sz w:val="24"/>
                <w:szCs w:val="24"/>
                <w:u w:val="none"/>
                <w:lang w:val="en-US" w:eastAsia="zh-CN"/>
              </w:rPr>
              <w:t>3</w:t>
            </w:r>
            <w:r>
              <w:rPr>
                <w:rFonts w:hint="eastAsia" w:ascii="宋体" w:hAnsi="宋体" w:eastAsia="宋体" w:cs="宋体"/>
                <w:i w:val="0"/>
                <w:iCs w:val="0"/>
                <w:color w:val="000000"/>
                <w:kern w:val="0"/>
                <w:sz w:val="24"/>
                <w:szCs w:val="24"/>
                <w:u w:val="none"/>
                <w:lang w:val="en-US" w:eastAsia="zh-CN"/>
              </w:rPr>
              <w:t>分；未提供的，不得分。</w:t>
            </w:r>
          </w:p>
        </w:tc>
      </w:tr>
      <w:tr w14:paraId="127F88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5" w:hRule="atLeast"/>
        </w:trPr>
        <w:tc>
          <w:tcPr>
            <w:tcW w:w="495" w:type="pct"/>
            <w:vMerge w:val="continue"/>
            <w:tcBorders>
              <w:left w:val="single" w:color="000000" w:sz="4" w:space="0"/>
              <w:right w:val="single" w:color="000000" w:sz="4" w:space="0"/>
            </w:tcBorders>
            <w:vAlign w:val="center"/>
          </w:tcPr>
          <w:p w14:paraId="266F8F6C">
            <w:pPr>
              <w:keepNext w:val="0"/>
              <w:keepLines w:val="0"/>
              <w:pageBreakBefore w:val="0"/>
              <w:widowControl/>
              <w:kinsoku/>
              <w:wordWrap/>
              <w:overflowPunct/>
              <w:topLinePunct w:val="0"/>
              <w:autoSpaceDE/>
              <w:autoSpaceDN/>
              <w:bidi w:val="0"/>
              <w:adjustRightInd/>
              <w:snapToGrid/>
              <w:spacing w:line="440" w:lineRule="exact"/>
              <w:jc w:val="center"/>
              <w:rPr>
                <w:rFonts w:hint="eastAsia" w:ascii="宋体" w:hAnsi="宋体" w:eastAsia="宋体" w:cs="宋体"/>
                <w:i w:val="0"/>
                <w:iCs w:val="0"/>
                <w:color w:val="000000"/>
                <w:sz w:val="24"/>
                <w:szCs w:val="24"/>
                <w:u w:val="none"/>
              </w:rPr>
            </w:pPr>
          </w:p>
        </w:tc>
        <w:tc>
          <w:tcPr>
            <w:tcW w:w="1074" w:type="pct"/>
            <w:tcBorders>
              <w:top w:val="single" w:color="000000" w:sz="4" w:space="0"/>
              <w:left w:val="single" w:color="000000" w:sz="4" w:space="0"/>
              <w:bottom w:val="single" w:color="000000" w:sz="4" w:space="0"/>
              <w:right w:val="single" w:color="000000" w:sz="4" w:space="0"/>
            </w:tcBorders>
            <w:vAlign w:val="center"/>
          </w:tcPr>
          <w:p w14:paraId="AC118A6B">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i w:val="0"/>
                <w:iCs w:val="0"/>
                <w:color w:val="000000"/>
                <w:kern w:val="0"/>
                <w:sz w:val="24"/>
                <w:szCs w:val="24"/>
                <w:u w:val="none"/>
                <w:lang w:val="en-US" w:eastAsia="zh-CN"/>
              </w:rPr>
            </w:pPr>
            <w:r>
              <w:rPr>
                <w:rFonts w:hint="eastAsia" w:ascii="宋体" w:hAnsi="宋体" w:eastAsia="宋体" w:cs="宋体"/>
                <w:i w:val="0"/>
                <w:iCs w:val="0"/>
                <w:color w:val="000000"/>
                <w:kern w:val="0"/>
                <w:sz w:val="24"/>
                <w:szCs w:val="24"/>
                <w:u w:val="none"/>
                <w:lang w:val="en-US" w:eastAsia="zh-CN"/>
              </w:rPr>
              <w:t>工作实施重点</w:t>
            </w:r>
          </w:p>
          <w:p w14:paraId="8AAA5212">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rPr>
              <w:t>难点分析</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（10分）</w:t>
            </w:r>
          </w:p>
        </w:tc>
        <w:tc>
          <w:tcPr>
            <w:tcW w:w="3430" w:type="pct"/>
            <w:tcBorders>
              <w:top w:val="single" w:color="000000" w:sz="4" w:space="0"/>
              <w:left w:val="single" w:color="000000" w:sz="4" w:space="0"/>
              <w:bottom w:val="single" w:color="000000" w:sz="4" w:space="0"/>
              <w:right w:val="single" w:color="000000" w:sz="4" w:space="0"/>
            </w:tcBorders>
            <w:vAlign w:val="center"/>
          </w:tcPr>
          <w:p w14:paraId="6BD5D1D2">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rPr>
              <w:t>根据投标人对本项目重点、难点分析情况、具体应对措施进行等方面评价，优秀得10分；良好得</w:t>
            </w:r>
            <w:r>
              <w:rPr>
                <w:rFonts w:hint="eastAsia" w:ascii="宋体" w:hAnsi="宋体" w:cs="宋体"/>
                <w:i w:val="0"/>
                <w:iCs w:val="0"/>
                <w:color w:val="000000"/>
                <w:kern w:val="0"/>
                <w:sz w:val="24"/>
                <w:szCs w:val="24"/>
                <w:u w:val="none"/>
                <w:lang w:val="en-US" w:eastAsia="zh-CN"/>
              </w:rPr>
              <w:t>6</w:t>
            </w:r>
            <w:r>
              <w:rPr>
                <w:rFonts w:hint="eastAsia" w:ascii="宋体" w:hAnsi="宋体" w:eastAsia="宋体" w:cs="宋体"/>
                <w:i w:val="0"/>
                <w:iCs w:val="0"/>
                <w:color w:val="000000"/>
                <w:kern w:val="0"/>
                <w:sz w:val="24"/>
                <w:szCs w:val="24"/>
                <w:u w:val="none"/>
                <w:lang w:val="en-US" w:eastAsia="zh-CN"/>
              </w:rPr>
              <w:t>分；一般得</w:t>
            </w:r>
            <w:r>
              <w:rPr>
                <w:rFonts w:hint="eastAsia" w:ascii="宋体" w:hAnsi="宋体" w:cs="宋体"/>
                <w:i w:val="0"/>
                <w:iCs w:val="0"/>
                <w:color w:val="000000"/>
                <w:kern w:val="0"/>
                <w:sz w:val="24"/>
                <w:szCs w:val="24"/>
                <w:u w:val="none"/>
                <w:lang w:val="en-US" w:eastAsia="zh-CN"/>
              </w:rPr>
              <w:t>3</w:t>
            </w:r>
            <w:r>
              <w:rPr>
                <w:rFonts w:hint="eastAsia" w:ascii="宋体" w:hAnsi="宋体" w:eastAsia="宋体" w:cs="宋体"/>
                <w:i w:val="0"/>
                <w:iCs w:val="0"/>
                <w:color w:val="000000"/>
                <w:kern w:val="0"/>
                <w:sz w:val="24"/>
                <w:szCs w:val="24"/>
                <w:u w:val="none"/>
                <w:lang w:val="en-US" w:eastAsia="zh-CN"/>
              </w:rPr>
              <w:t>分；未提供的，不得分。</w:t>
            </w:r>
          </w:p>
        </w:tc>
      </w:tr>
      <w:tr w14:paraId="9FB484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98" w:hRule="atLeast"/>
        </w:trPr>
        <w:tc>
          <w:tcPr>
            <w:tcW w:w="495" w:type="pct"/>
            <w:vMerge w:val="continue"/>
            <w:tcBorders>
              <w:left w:val="single" w:color="000000" w:sz="4" w:space="0"/>
              <w:right w:val="single" w:color="000000" w:sz="4" w:space="0"/>
            </w:tcBorders>
            <w:vAlign w:val="center"/>
          </w:tcPr>
          <w:p w14:paraId="6ABB2C55">
            <w:pPr>
              <w:keepNext w:val="0"/>
              <w:keepLines w:val="0"/>
              <w:pageBreakBefore w:val="0"/>
              <w:widowControl/>
              <w:kinsoku/>
              <w:wordWrap/>
              <w:overflowPunct/>
              <w:topLinePunct w:val="0"/>
              <w:autoSpaceDE/>
              <w:autoSpaceDN/>
              <w:bidi w:val="0"/>
              <w:adjustRightInd/>
              <w:snapToGrid/>
              <w:spacing w:line="440" w:lineRule="exact"/>
              <w:jc w:val="center"/>
              <w:rPr>
                <w:rFonts w:hint="eastAsia" w:ascii="宋体" w:hAnsi="宋体" w:eastAsia="宋体" w:cs="宋体"/>
                <w:i w:val="0"/>
                <w:iCs w:val="0"/>
                <w:color w:val="000000"/>
                <w:sz w:val="24"/>
                <w:szCs w:val="24"/>
                <w:u w:val="none"/>
              </w:rPr>
            </w:pPr>
          </w:p>
        </w:tc>
        <w:tc>
          <w:tcPr>
            <w:tcW w:w="1074" w:type="pct"/>
            <w:tcBorders>
              <w:top w:val="single" w:color="000000" w:sz="4" w:space="0"/>
              <w:left w:val="single" w:color="000000" w:sz="4" w:space="0"/>
              <w:bottom w:val="single" w:color="000000" w:sz="4" w:space="0"/>
              <w:right w:val="single" w:color="000000" w:sz="4" w:space="0"/>
            </w:tcBorders>
            <w:vAlign w:val="center"/>
          </w:tcPr>
          <w:p w14:paraId="608B2FF8">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rPr>
              <w:t>项目进度计划安排（10分）</w:t>
            </w:r>
          </w:p>
        </w:tc>
        <w:tc>
          <w:tcPr>
            <w:tcW w:w="3430" w:type="pct"/>
            <w:tcBorders>
              <w:top w:val="single" w:color="000000" w:sz="4" w:space="0"/>
              <w:left w:val="single" w:color="000000" w:sz="4" w:space="0"/>
              <w:bottom w:val="single" w:color="000000" w:sz="4" w:space="0"/>
              <w:right w:val="single" w:color="000000" w:sz="4" w:space="0"/>
            </w:tcBorders>
            <w:vAlign w:val="center"/>
          </w:tcPr>
          <w:p w14:paraId="C9CF61EA">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rPr>
              <w:t>根据投标人针对本项目提出的项目进度计划安排方案进行评价，优秀得10分；良好得</w:t>
            </w:r>
            <w:r>
              <w:rPr>
                <w:rFonts w:hint="eastAsia" w:ascii="宋体" w:hAnsi="宋体" w:cs="宋体"/>
                <w:i w:val="0"/>
                <w:iCs w:val="0"/>
                <w:color w:val="000000"/>
                <w:kern w:val="0"/>
                <w:sz w:val="24"/>
                <w:szCs w:val="24"/>
                <w:u w:val="none"/>
                <w:lang w:val="en-US" w:eastAsia="zh-CN"/>
              </w:rPr>
              <w:t>6</w:t>
            </w:r>
            <w:r>
              <w:rPr>
                <w:rFonts w:hint="eastAsia" w:ascii="宋体" w:hAnsi="宋体" w:eastAsia="宋体" w:cs="宋体"/>
                <w:i w:val="0"/>
                <w:iCs w:val="0"/>
                <w:color w:val="000000"/>
                <w:kern w:val="0"/>
                <w:sz w:val="24"/>
                <w:szCs w:val="24"/>
                <w:u w:val="none"/>
                <w:lang w:val="en-US" w:eastAsia="zh-CN"/>
              </w:rPr>
              <w:t>分；一般得</w:t>
            </w:r>
            <w:r>
              <w:rPr>
                <w:rFonts w:hint="eastAsia" w:ascii="宋体" w:hAnsi="宋体" w:cs="宋体"/>
                <w:i w:val="0"/>
                <w:iCs w:val="0"/>
                <w:color w:val="000000"/>
                <w:kern w:val="0"/>
                <w:sz w:val="24"/>
                <w:szCs w:val="24"/>
                <w:u w:val="none"/>
                <w:lang w:val="en-US" w:eastAsia="zh-CN"/>
              </w:rPr>
              <w:t>3</w:t>
            </w:r>
            <w:r>
              <w:rPr>
                <w:rFonts w:hint="eastAsia" w:ascii="宋体" w:hAnsi="宋体" w:eastAsia="宋体" w:cs="宋体"/>
                <w:i w:val="0"/>
                <w:iCs w:val="0"/>
                <w:color w:val="000000"/>
                <w:kern w:val="0"/>
                <w:sz w:val="24"/>
                <w:szCs w:val="24"/>
                <w:u w:val="none"/>
                <w:lang w:val="en-US" w:eastAsia="zh-CN"/>
              </w:rPr>
              <w:t>分；未提供的，不得分。</w:t>
            </w:r>
          </w:p>
        </w:tc>
      </w:tr>
      <w:tr w14:paraId="802B05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2" w:hRule="atLeast"/>
        </w:trPr>
        <w:tc>
          <w:tcPr>
            <w:tcW w:w="495" w:type="pct"/>
            <w:vMerge w:val="continue"/>
            <w:tcBorders>
              <w:left w:val="single" w:color="000000" w:sz="4" w:space="0"/>
              <w:right w:val="single" w:color="000000" w:sz="4" w:space="0"/>
            </w:tcBorders>
            <w:vAlign w:val="center"/>
          </w:tcPr>
          <w:p w14:paraId="F606E749">
            <w:pPr>
              <w:keepNext w:val="0"/>
              <w:keepLines w:val="0"/>
              <w:pageBreakBefore w:val="0"/>
              <w:widowControl/>
              <w:kinsoku/>
              <w:wordWrap/>
              <w:overflowPunct/>
              <w:topLinePunct w:val="0"/>
              <w:autoSpaceDE/>
              <w:autoSpaceDN/>
              <w:bidi w:val="0"/>
              <w:adjustRightInd/>
              <w:snapToGrid/>
              <w:spacing w:line="440" w:lineRule="exact"/>
              <w:jc w:val="center"/>
              <w:rPr>
                <w:rFonts w:hint="eastAsia" w:ascii="宋体" w:hAnsi="宋体" w:eastAsia="宋体" w:cs="宋体"/>
                <w:i w:val="0"/>
                <w:iCs w:val="0"/>
                <w:color w:val="000000"/>
                <w:sz w:val="24"/>
                <w:szCs w:val="24"/>
                <w:u w:val="none"/>
              </w:rPr>
            </w:pPr>
          </w:p>
        </w:tc>
        <w:tc>
          <w:tcPr>
            <w:tcW w:w="1074" w:type="pct"/>
            <w:tcBorders>
              <w:top w:val="single" w:color="000000" w:sz="4" w:space="0"/>
              <w:left w:val="single" w:color="000000" w:sz="4" w:space="0"/>
              <w:bottom w:val="single" w:color="000000" w:sz="4" w:space="0"/>
              <w:right w:val="single" w:color="000000" w:sz="4" w:space="0"/>
            </w:tcBorders>
            <w:vAlign w:val="center"/>
          </w:tcPr>
          <w:p w14:paraId="2563A6E3">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rPr>
              <w:t>内部管理制度</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（10分）</w:t>
            </w:r>
          </w:p>
        </w:tc>
        <w:tc>
          <w:tcPr>
            <w:tcW w:w="3430" w:type="pct"/>
            <w:tcBorders>
              <w:top w:val="single" w:color="000000" w:sz="4" w:space="0"/>
              <w:left w:val="single" w:color="000000" w:sz="4" w:space="0"/>
              <w:bottom w:val="single" w:color="000000" w:sz="4" w:space="0"/>
              <w:right w:val="single" w:color="000000" w:sz="4" w:space="0"/>
            </w:tcBorders>
            <w:vAlign w:val="center"/>
          </w:tcPr>
          <w:p w14:paraId="5268AD6F">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rPr>
              <w:t>根据投标人提供的公司内部针对执行此类项目的内部管理制度进行评价，优秀得10分；良好得</w:t>
            </w:r>
            <w:r>
              <w:rPr>
                <w:rFonts w:hint="eastAsia" w:ascii="宋体" w:hAnsi="宋体" w:cs="宋体"/>
                <w:i w:val="0"/>
                <w:iCs w:val="0"/>
                <w:color w:val="000000"/>
                <w:kern w:val="0"/>
                <w:sz w:val="24"/>
                <w:szCs w:val="24"/>
                <w:u w:val="none"/>
                <w:lang w:val="en-US" w:eastAsia="zh-CN"/>
              </w:rPr>
              <w:t>6</w:t>
            </w:r>
            <w:r>
              <w:rPr>
                <w:rFonts w:hint="eastAsia" w:ascii="宋体" w:hAnsi="宋体" w:eastAsia="宋体" w:cs="宋体"/>
                <w:i w:val="0"/>
                <w:iCs w:val="0"/>
                <w:color w:val="000000"/>
                <w:kern w:val="0"/>
                <w:sz w:val="24"/>
                <w:szCs w:val="24"/>
                <w:u w:val="none"/>
                <w:lang w:val="en-US" w:eastAsia="zh-CN"/>
              </w:rPr>
              <w:t>分；一般得</w:t>
            </w:r>
            <w:r>
              <w:rPr>
                <w:rFonts w:hint="eastAsia" w:ascii="宋体" w:hAnsi="宋体" w:cs="宋体"/>
                <w:i w:val="0"/>
                <w:iCs w:val="0"/>
                <w:color w:val="000000"/>
                <w:kern w:val="0"/>
                <w:sz w:val="24"/>
                <w:szCs w:val="24"/>
                <w:u w:val="none"/>
                <w:lang w:val="en-US" w:eastAsia="zh-CN"/>
              </w:rPr>
              <w:t>3</w:t>
            </w:r>
            <w:r>
              <w:rPr>
                <w:rFonts w:hint="eastAsia" w:ascii="宋体" w:hAnsi="宋体" w:eastAsia="宋体" w:cs="宋体"/>
                <w:i w:val="0"/>
                <w:iCs w:val="0"/>
                <w:color w:val="000000"/>
                <w:kern w:val="0"/>
                <w:sz w:val="24"/>
                <w:szCs w:val="24"/>
                <w:u w:val="none"/>
                <w:lang w:val="en-US" w:eastAsia="zh-CN"/>
              </w:rPr>
              <w:t>分；未提供的，不得分。</w:t>
            </w:r>
          </w:p>
        </w:tc>
      </w:tr>
      <w:tr w14:paraId="7AB32F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495" w:type="pct"/>
            <w:vMerge w:val="continue"/>
            <w:tcBorders>
              <w:left w:val="single" w:color="000000" w:sz="4" w:space="0"/>
              <w:right w:val="single" w:color="000000" w:sz="4" w:space="0"/>
            </w:tcBorders>
            <w:vAlign w:val="center"/>
          </w:tcPr>
          <w:p w14:paraId="DEF82BC0">
            <w:pPr>
              <w:keepNext w:val="0"/>
              <w:keepLines w:val="0"/>
              <w:pageBreakBefore w:val="0"/>
              <w:widowControl/>
              <w:kinsoku/>
              <w:wordWrap/>
              <w:overflowPunct/>
              <w:topLinePunct w:val="0"/>
              <w:autoSpaceDE/>
              <w:autoSpaceDN/>
              <w:bidi w:val="0"/>
              <w:adjustRightInd/>
              <w:snapToGrid/>
              <w:spacing w:line="440" w:lineRule="exact"/>
              <w:jc w:val="center"/>
              <w:rPr>
                <w:rFonts w:hint="eastAsia" w:ascii="宋体" w:hAnsi="宋体" w:eastAsia="宋体" w:cs="宋体"/>
                <w:i w:val="0"/>
                <w:iCs w:val="0"/>
                <w:color w:val="000000"/>
                <w:sz w:val="24"/>
                <w:szCs w:val="24"/>
                <w:u w:val="none"/>
              </w:rPr>
            </w:pPr>
          </w:p>
        </w:tc>
        <w:tc>
          <w:tcPr>
            <w:tcW w:w="1074" w:type="pct"/>
            <w:tcBorders>
              <w:top w:val="single" w:color="000000" w:sz="4" w:space="0"/>
              <w:left w:val="single" w:color="000000" w:sz="4" w:space="0"/>
              <w:bottom w:val="single" w:color="000000" w:sz="4" w:space="0"/>
              <w:right w:val="single" w:color="000000" w:sz="4" w:space="0"/>
            </w:tcBorders>
            <w:vAlign w:val="center"/>
          </w:tcPr>
          <w:p w14:paraId="A035F155">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i w:val="0"/>
                <w:iCs w:val="0"/>
                <w:color w:val="000000"/>
                <w:kern w:val="0"/>
                <w:sz w:val="24"/>
                <w:szCs w:val="24"/>
                <w:u w:val="none"/>
                <w:lang w:val="en-US" w:eastAsia="zh-CN"/>
              </w:rPr>
            </w:pPr>
            <w:r>
              <w:rPr>
                <w:rFonts w:hint="eastAsia" w:ascii="宋体" w:hAnsi="宋体" w:eastAsia="宋体" w:cs="宋体"/>
                <w:i w:val="0"/>
                <w:iCs w:val="0"/>
                <w:color w:val="000000"/>
                <w:kern w:val="0"/>
                <w:sz w:val="24"/>
                <w:szCs w:val="24"/>
                <w:u w:val="none"/>
                <w:lang w:val="en-US" w:eastAsia="zh-CN"/>
              </w:rPr>
              <w:t>合理化建议和执行能力</w:t>
            </w:r>
          </w:p>
          <w:p w14:paraId="0FC9579E">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rPr>
              <w:t>（10分）</w:t>
            </w:r>
          </w:p>
        </w:tc>
        <w:tc>
          <w:tcPr>
            <w:tcW w:w="3430" w:type="pct"/>
            <w:tcBorders>
              <w:top w:val="single" w:color="000000" w:sz="4" w:space="0"/>
              <w:left w:val="single" w:color="000000" w:sz="4" w:space="0"/>
              <w:bottom w:val="single" w:color="000000" w:sz="4" w:space="0"/>
              <w:right w:val="single" w:color="000000" w:sz="4" w:space="0"/>
            </w:tcBorders>
            <w:vAlign w:val="center"/>
          </w:tcPr>
          <w:p w14:paraId="6979DDA0">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rPr>
              <w:t>根据投标人对本项目本项目特点、难点及遗留问题提出整改意见和合理化建议等方面评价，优秀得10分；良好得</w:t>
            </w:r>
            <w:r>
              <w:rPr>
                <w:rFonts w:hint="eastAsia" w:ascii="宋体" w:hAnsi="宋体" w:cs="宋体"/>
                <w:i w:val="0"/>
                <w:iCs w:val="0"/>
                <w:color w:val="000000"/>
                <w:kern w:val="0"/>
                <w:sz w:val="24"/>
                <w:szCs w:val="24"/>
                <w:u w:val="none"/>
                <w:lang w:val="en-US" w:eastAsia="zh-CN"/>
              </w:rPr>
              <w:t>6</w:t>
            </w:r>
            <w:r>
              <w:rPr>
                <w:rFonts w:hint="eastAsia" w:ascii="宋体" w:hAnsi="宋体" w:eastAsia="宋体" w:cs="宋体"/>
                <w:i w:val="0"/>
                <w:iCs w:val="0"/>
                <w:color w:val="000000"/>
                <w:kern w:val="0"/>
                <w:sz w:val="24"/>
                <w:szCs w:val="24"/>
                <w:u w:val="none"/>
                <w:lang w:val="en-US" w:eastAsia="zh-CN"/>
              </w:rPr>
              <w:t>分；一般得</w:t>
            </w:r>
            <w:r>
              <w:rPr>
                <w:rFonts w:hint="eastAsia" w:ascii="宋体" w:hAnsi="宋体" w:cs="宋体"/>
                <w:i w:val="0"/>
                <w:iCs w:val="0"/>
                <w:color w:val="000000"/>
                <w:kern w:val="0"/>
                <w:sz w:val="24"/>
                <w:szCs w:val="24"/>
                <w:u w:val="none"/>
                <w:lang w:val="en-US" w:eastAsia="zh-CN"/>
              </w:rPr>
              <w:t>3</w:t>
            </w:r>
            <w:r>
              <w:rPr>
                <w:rFonts w:hint="eastAsia" w:ascii="宋体" w:hAnsi="宋体" w:eastAsia="宋体" w:cs="宋体"/>
                <w:i w:val="0"/>
                <w:iCs w:val="0"/>
                <w:color w:val="000000"/>
                <w:kern w:val="0"/>
                <w:sz w:val="24"/>
                <w:szCs w:val="24"/>
                <w:u w:val="none"/>
                <w:lang w:val="en-US" w:eastAsia="zh-CN"/>
              </w:rPr>
              <w:t>分；未提供的，不得分。</w:t>
            </w:r>
          </w:p>
        </w:tc>
      </w:tr>
      <w:tr w14:paraId="AEBBF5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65" w:hRule="atLeast"/>
        </w:trPr>
        <w:tc>
          <w:tcPr>
            <w:tcW w:w="495" w:type="pct"/>
            <w:vMerge w:val="continue"/>
            <w:tcBorders>
              <w:left w:val="single" w:color="000000" w:sz="4" w:space="0"/>
              <w:bottom w:val="single" w:color="000000" w:sz="4" w:space="0"/>
              <w:right w:val="single" w:color="000000" w:sz="4" w:space="0"/>
            </w:tcBorders>
            <w:vAlign w:val="center"/>
          </w:tcPr>
          <w:p w14:paraId="A280374D">
            <w:pPr>
              <w:keepNext w:val="0"/>
              <w:keepLines w:val="0"/>
              <w:pageBreakBefore w:val="0"/>
              <w:widowControl/>
              <w:kinsoku/>
              <w:wordWrap/>
              <w:overflowPunct/>
              <w:topLinePunct w:val="0"/>
              <w:autoSpaceDE/>
              <w:autoSpaceDN/>
              <w:bidi w:val="0"/>
              <w:adjustRightInd/>
              <w:snapToGrid/>
              <w:spacing w:line="440" w:lineRule="exact"/>
              <w:jc w:val="center"/>
              <w:rPr>
                <w:rFonts w:hint="eastAsia" w:ascii="宋体" w:hAnsi="宋体" w:eastAsia="宋体" w:cs="宋体"/>
                <w:i w:val="0"/>
                <w:iCs w:val="0"/>
                <w:color w:val="000000"/>
                <w:sz w:val="24"/>
                <w:szCs w:val="24"/>
                <w:u w:val="none"/>
              </w:rPr>
            </w:pPr>
          </w:p>
        </w:tc>
        <w:tc>
          <w:tcPr>
            <w:tcW w:w="1074" w:type="pct"/>
            <w:tcBorders>
              <w:top w:val="single" w:color="000000" w:sz="4" w:space="0"/>
              <w:left w:val="single" w:color="000000" w:sz="4" w:space="0"/>
              <w:bottom w:val="single" w:color="000000" w:sz="4" w:space="0"/>
              <w:right w:val="single" w:color="000000" w:sz="4" w:space="0"/>
            </w:tcBorders>
            <w:vAlign w:val="center"/>
          </w:tcPr>
          <w:p w14:paraId="98D0C931">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rPr>
              <w:t>后续服务承诺</w:t>
            </w:r>
            <w:r>
              <w:rPr>
                <w:rFonts w:hint="eastAsia" w:ascii="宋体" w:hAnsi="宋体" w:eastAsia="宋体" w:cs="宋体"/>
                <w:i w:val="0"/>
                <w:iCs w:val="0"/>
                <w:color w:val="000000"/>
                <w:kern w:val="0"/>
                <w:sz w:val="24"/>
                <w:szCs w:val="24"/>
                <w:u w:val="none"/>
                <w:lang w:val="en-US" w:eastAsia="zh-CN"/>
              </w:rPr>
              <w:br w:type="textWrapping"/>
            </w:r>
            <w:r>
              <w:rPr>
                <w:rFonts w:hint="eastAsia" w:ascii="宋体" w:hAnsi="宋体" w:eastAsia="宋体" w:cs="宋体"/>
                <w:i w:val="0"/>
                <w:iCs w:val="0"/>
                <w:color w:val="000000"/>
                <w:kern w:val="0"/>
                <w:sz w:val="24"/>
                <w:szCs w:val="24"/>
                <w:u w:val="none"/>
                <w:lang w:val="en-US" w:eastAsia="zh-CN"/>
              </w:rPr>
              <w:t>（10分）</w:t>
            </w:r>
          </w:p>
        </w:tc>
        <w:tc>
          <w:tcPr>
            <w:tcW w:w="3430" w:type="pct"/>
            <w:tcBorders>
              <w:top w:val="single" w:color="000000" w:sz="4" w:space="0"/>
              <w:left w:val="single" w:color="000000" w:sz="4" w:space="0"/>
              <w:bottom w:val="single" w:color="000000" w:sz="4" w:space="0"/>
              <w:right w:val="single" w:color="000000" w:sz="4" w:space="0"/>
            </w:tcBorders>
            <w:vAlign w:val="center"/>
          </w:tcPr>
          <w:p w14:paraId="635D2863">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rPr>
              <w:t>根据投标人对本项目制定的后续服务工作方案进行评价，优秀得10分；良好得</w:t>
            </w:r>
            <w:r>
              <w:rPr>
                <w:rFonts w:hint="eastAsia" w:ascii="宋体" w:hAnsi="宋体" w:cs="宋体"/>
                <w:i w:val="0"/>
                <w:iCs w:val="0"/>
                <w:color w:val="000000"/>
                <w:kern w:val="0"/>
                <w:sz w:val="24"/>
                <w:szCs w:val="24"/>
                <w:u w:val="none"/>
                <w:lang w:val="en-US" w:eastAsia="zh-CN"/>
              </w:rPr>
              <w:t>6</w:t>
            </w:r>
            <w:r>
              <w:rPr>
                <w:rFonts w:hint="eastAsia" w:ascii="宋体" w:hAnsi="宋体" w:eastAsia="宋体" w:cs="宋体"/>
                <w:i w:val="0"/>
                <w:iCs w:val="0"/>
                <w:color w:val="000000"/>
                <w:kern w:val="0"/>
                <w:sz w:val="24"/>
                <w:szCs w:val="24"/>
                <w:u w:val="none"/>
                <w:lang w:val="en-US" w:eastAsia="zh-CN"/>
              </w:rPr>
              <w:t>分；一般得</w:t>
            </w:r>
            <w:r>
              <w:rPr>
                <w:rFonts w:hint="eastAsia" w:ascii="宋体" w:hAnsi="宋体" w:cs="宋体"/>
                <w:i w:val="0"/>
                <w:iCs w:val="0"/>
                <w:color w:val="000000"/>
                <w:kern w:val="0"/>
                <w:sz w:val="24"/>
                <w:szCs w:val="24"/>
                <w:u w:val="none"/>
                <w:lang w:val="en-US" w:eastAsia="zh-CN"/>
              </w:rPr>
              <w:t>3</w:t>
            </w:r>
            <w:r>
              <w:rPr>
                <w:rFonts w:hint="eastAsia" w:ascii="宋体" w:hAnsi="宋体" w:eastAsia="宋体" w:cs="宋体"/>
                <w:i w:val="0"/>
                <w:iCs w:val="0"/>
                <w:color w:val="000000"/>
                <w:kern w:val="0"/>
                <w:sz w:val="24"/>
                <w:szCs w:val="24"/>
                <w:u w:val="none"/>
                <w:lang w:val="en-US" w:eastAsia="zh-CN"/>
              </w:rPr>
              <w:t>分；未提供的，不得分。</w:t>
            </w:r>
          </w:p>
        </w:tc>
      </w:tr>
    </w:tbl>
    <w:p w14:paraId="0C7986C2">
      <w:pPr>
        <w:autoSpaceDE w:val="0"/>
        <w:autoSpaceDN w:val="0"/>
        <w:adjustRightInd w:val="0"/>
        <w:spacing w:line="240" w:lineRule="auto"/>
        <w:ind w:firstLine="482"/>
        <w:rPr>
          <w:b/>
          <w:bCs/>
          <w:color w:val="auto"/>
          <w:sz w:val="24"/>
          <w:szCs w:val="24"/>
          <w:highlight w:val="none"/>
        </w:rPr>
      </w:pPr>
      <w:r>
        <w:rPr>
          <w:rFonts w:hint="eastAsia" w:ascii="宋体" w:hAnsi="宋体" w:cs="宋体"/>
          <w:b/>
          <w:bCs/>
          <w:color w:val="auto"/>
          <w:sz w:val="24"/>
          <w:szCs w:val="24"/>
          <w:highlight w:val="none"/>
          <w:lang w:val="zh-CN"/>
        </w:rPr>
        <w:t>请投标人特别注意：投标人应提交作为评分依据的文件材料并加盖投标人公章和</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或有效签署，否则，将是投标人的风险。</w:t>
      </w:r>
    </w:p>
    <w:p w14:paraId="F12608A1">
      <w:pPr>
        <w:spacing w:line="360" w:lineRule="auto"/>
        <w:jc w:val="center"/>
        <w:outlineLvl w:val="0"/>
        <w:rPr>
          <w:rFonts w:hint="eastAsia"/>
          <w:b/>
          <w:color w:val="auto"/>
          <w:sz w:val="32"/>
          <w:szCs w:val="32"/>
          <w:highlight w:val="none"/>
        </w:rPr>
      </w:pPr>
      <w:r>
        <w:rPr>
          <w:rFonts w:hint="eastAsia"/>
          <w:b/>
          <w:color w:val="auto"/>
          <w:sz w:val="32"/>
          <w:szCs w:val="32"/>
          <w:highlight w:val="none"/>
        </w:rPr>
        <w:br w:type="page"/>
      </w:r>
      <w:bookmarkStart w:id="56" w:name="_Toc72_WPSOffice_Level1"/>
      <w:bookmarkStart w:id="57" w:name="_Toc1214"/>
      <w:r>
        <w:rPr>
          <w:rFonts w:hint="eastAsia"/>
          <w:b/>
          <w:color w:val="auto"/>
          <w:sz w:val="32"/>
          <w:szCs w:val="32"/>
          <w:highlight w:val="none"/>
        </w:rPr>
        <w:t>第</w:t>
      </w:r>
      <w:r>
        <w:rPr>
          <w:rFonts w:hint="eastAsia"/>
          <w:b/>
          <w:color w:val="auto"/>
          <w:sz w:val="32"/>
          <w:szCs w:val="32"/>
          <w:highlight w:val="none"/>
          <w:lang w:eastAsia="zh-CN"/>
        </w:rPr>
        <w:t>八章</w:t>
      </w:r>
      <w:r>
        <w:rPr>
          <w:rFonts w:hint="eastAsia"/>
          <w:b/>
          <w:color w:val="auto"/>
          <w:sz w:val="32"/>
          <w:szCs w:val="32"/>
          <w:highlight w:val="none"/>
          <w:lang w:val="en-US" w:eastAsia="zh-CN"/>
        </w:rPr>
        <w:t xml:space="preserve"> </w:t>
      </w:r>
      <w:r>
        <w:rPr>
          <w:rFonts w:hint="eastAsia"/>
          <w:b/>
          <w:color w:val="auto"/>
          <w:sz w:val="32"/>
          <w:szCs w:val="32"/>
          <w:highlight w:val="none"/>
        </w:rPr>
        <w:t xml:space="preserve">  附件</w:t>
      </w:r>
      <w:bookmarkEnd w:id="56"/>
      <w:bookmarkEnd w:id="57"/>
    </w:p>
    <w:p w14:paraId="2C50B386">
      <w:pPr>
        <w:jc w:val="center"/>
        <w:rPr>
          <w:rFonts w:hint="eastAsia" w:eastAsia="宋体"/>
          <w:color w:val="auto"/>
          <w:highlight w:val="none"/>
          <w:lang w:val="en-US" w:eastAsia="zh-CN"/>
        </w:rPr>
      </w:pPr>
      <w:r>
        <w:rPr>
          <w:rFonts w:hint="eastAsia"/>
          <w:color w:val="auto"/>
          <w:highlight w:val="none"/>
          <w:lang w:val="en-US" w:eastAsia="zh-CN"/>
        </w:rPr>
        <w:t>无</w:t>
      </w:r>
    </w:p>
    <w:sectPr>
      <w:headerReference r:id="rId6" w:type="default"/>
      <w:footerReference r:id="rId7" w:type="default"/>
      <w:pgSz w:w="11906" w:h="16838"/>
      <w:pgMar w:top="1417" w:right="1417" w:bottom="1417" w:left="1701" w:header="850" w:footer="737" w:gutter="0"/>
      <w:pgNumType w:fmt="decimal"/>
      <w:cols w:space="720" w:num="1"/>
      <w:rtlGutter w:val="0"/>
      <w:docGrid w:type="lines" w:linePitch="50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华文行楷">
    <w:panose1 w:val="02010800040101010101"/>
    <w:charset w:val="86"/>
    <w:family w:val="auto"/>
    <w:pitch w:val="default"/>
    <w:sig w:usb0="00000001" w:usb1="080F0000" w:usb2="00000000" w:usb3="00000000" w:csb0="00040000"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等线">
    <w:altName w:val="Arial Unicode MS"/>
    <w:panose1 w:val="02010600030000010101"/>
    <w:charset w:val="86"/>
    <w:family w:val="roman"/>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63BFF6">
    <w:pPr>
      <w:pStyle w:val="1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9116FE5E">
    <w:pPr>
      <w:pStyle w:val="10"/>
      <w:ind w:right="360"/>
      <w:jc w:val="both"/>
      <w:rPr>
        <w:rFonts w:hint="eastAsia"/>
      </w:rPr>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7"/>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36882CF">
                          <w:pPr>
                            <w:pStyle w:val="10"/>
                          </w:pPr>
                          <w:r>
                            <w:fldChar w:fldCharType="begin"/>
                          </w:r>
                          <w:r>
                            <w:instrText xml:space="preserve"> PAGE  \* MERGEFORMAT </w:instrText>
                          </w:r>
                          <w:r>
                            <w:fldChar w:fldCharType="separate"/>
                          </w:r>
                          <w:r>
                            <w:t>2</w:t>
                          </w:r>
                          <w:r>
                            <w:fldChar w:fldCharType="end"/>
                          </w:r>
                        </w:p>
                      </w:txbxContent>
                    </wps:txbx>
                    <wps:bodyPr vert="horz" wrap="none" lIns="0" tIns="0" rIns="0" bIns="0" anchor="t" upright="0">
                      <a:spAutoFit/>
                    </wps:bodyPr>
                  </wps:wsp>
                </a:graphicData>
              </a:graphic>
            </wp:anchor>
          </w:drawing>
        </mc:Choice>
        <mc:Fallback>
          <w:pict>
            <v:rect id="文本框 7"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GLQur/TAQAAngMAAA4AAAAAAAAAAQAgAAAAHwEA&#10;AGRycy9lMm9Eb2MueG1sUEsFBgAAAAAGAAYAWQEAAGQFAAAAAA==&#10;">
              <v:fill on="f" focussize="0,0"/>
              <v:stroke on="f"/>
              <v:imagedata o:title=""/>
              <o:lock v:ext="edit" aspectratio="f"/>
              <v:textbox inset="0mm,0mm,0mm,0mm" style="mso-fit-shape-to-text:t;">
                <w:txbxContent>
                  <w:p w14:paraId="036882CF">
                    <w:pPr>
                      <w:pStyle w:val="10"/>
                    </w:pPr>
                    <w:r>
                      <w:fldChar w:fldCharType="begin"/>
                    </w:r>
                    <w:r>
                      <w:instrText xml:space="preserve"> PAGE  \* MERGEFORMAT </w:instrText>
                    </w:r>
                    <w:r>
                      <w:fldChar w:fldCharType="separate"/>
                    </w:r>
                    <w:r>
                      <w:t>2</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8D6B032B">
    <w:pPr>
      <w:pStyle w:val="11"/>
      <w:pBdr>
        <w:bottom w:val="none" w:color="auto" w:sz="0" w:space="1"/>
      </w:pBdr>
      <w:jc w:val="both"/>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D97FEC">
    <w:pPr>
      <w:pStyle w:val="11"/>
      <w:jc w:val="both"/>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A24BB55E">
    <w:pPr>
      <w:rPr>
        <w:rFonts w:hint="eastAsia"/>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3"/>
      <w:numFmt w:val="decimal"/>
      <w:suff w:val="space"/>
      <w:lvlText w:val="%1."/>
      <w:lvlJc w:val="left"/>
    </w:lvl>
  </w:abstractNum>
  <w:abstractNum w:abstractNumId="1">
    <w:nsid w:val="00000001"/>
    <w:multiLevelType w:val="singleLevel"/>
    <w:tmpl w:val="00000001"/>
    <w:lvl w:ilvl="0" w:tentative="0">
      <w:start w:val="5"/>
      <w:numFmt w:val="chineseCounting"/>
      <w:suff w:val="space"/>
      <w:lvlText w:val="第%1章"/>
      <w:lvlJc w:val="left"/>
      <w:rPr>
        <w:rFonts w:hint="eastAsia"/>
      </w:rPr>
    </w:lvl>
  </w:abstractNum>
  <w:abstractNum w:abstractNumId="2">
    <w:nsid w:val="00000002"/>
    <w:multiLevelType w:val="singleLevel"/>
    <w:tmpl w:val="00000002"/>
    <w:lvl w:ilvl="0" w:tentative="0">
      <w:start w:val="1"/>
      <w:numFmt w:val="decimal"/>
      <w:suff w:val="nothing"/>
      <w:lvlText w:val="（%1）"/>
      <w:lvlJc w:val="left"/>
    </w:lvl>
  </w:abstractNum>
  <w:abstractNum w:abstractNumId="3">
    <w:nsid w:val="00000003"/>
    <w:multiLevelType w:val="singleLevel"/>
    <w:tmpl w:val="00000003"/>
    <w:lvl w:ilvl="0" w:tentative="0">
      <w:start w:val="1"/>
      <w:numFmt w:val="decimal"/>
      <w:suff w:val="nothing"/>
      <w:lvlText w:val="%1."/>
      <w:lvlJc w:val="left"/>
    </w:lvl>
  </w:abstractNum>
  <w:abstractNum w:abstractNumId="4">
    <w:nsid w:val="00000004"/>
    <w:multiLevelType w:val="singleLevel"/>
    <w:tmpl w:val="00000004"/>
    <w:lvl w:ilvl="0" w:tentative="0">
      <w:start w:val="4"/>
      <w:numFmt w:val="chineseCounting"/>
      <w:suff w:val="space"/>
      <w:lvlText w:val="第%1章"/>
      <w:lvlJc w:val="left"/>
      <w:rPr>
        <w:rFonts w:hint="eastAsia"/>
      </w:r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7AB3C0A"/>
    <w:rsid w:val="521430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lang w:val="en-US" w:eastAsia="zh-CN" w:bidi="ar-SA"/>
    </w:rPr>
  </w:style>
  <w:style w:type="paragraph" w:styleId="3">
    <w:name w:val="heading 1"/>
    <w:basedOn w:val="1"/>
    <w:next w:val="1"/>
    <w:qFormat/>
    <w:uiPriority w:val="0"/>
    <w:pPr>
      <w:keepNext/>
      <w:keepLines/>
      <w:spacing w:before="340" w:after="330" w:line="578" w:lineRule="auto"/>
      <w:outlineLvl w:val="0"/>
    </w:pPr>
    <w:rPr>
      <w:b/>
      <w:kern w:val="44"/>
      <w:sz w:val="44"/>
      <w:szCs w:val="20"/>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character" w:default="1" w:styleId="18">
    <w:name w:val="Default Paragraph Font"/>
    <w:qFormat/>
    <w:uiPriority w:val="0"/>
  </w:style>
  <w:style w:type="table" w:default="1" w:styleId="16">
    <w:name w:val="Normal Table"/>
    <w:qFormat/>
    <w:uiPriority w:val="0"/>
    <w:tblPr>
      <w:tblCellMar>
        <w:top w:w="0" w:type="dxa"/>
        <w:left w:w="108" w:type="dxa"/>
        <w:bottom w:w="0" w:type="dxa"/>
        <w:right w:w="108" w:type="dxa"/>
      </w:tblCellMar>
    </w:tblPr>
  </w:style>
  <w:style w:type="paragraph" w:styleId="2">
    <w:name w:val="Body Text"/>
    <w:basedOn w:val="1"/>
    <w:qFormat/>
    <w:uiPriority w:val="0"/>
    <w:rPr>
      <w:rFonts w:eastAsia="楷体_GB2312"/>
      <w:sz w:val="30"/>
    </w:rPr>
  </w:style>
  <w:style w:type="paragraph" w:styleId="5">
    <w:name w:val="Normal Indent"/>
    <w:basedOn w:val="1"/>
    <w:qFormat/>
    <w:uiPriority w:val="0"/>
    <w:pPr>
      <w:ind w:firstLine="420"/>
    </w:pPr>
  </w:style>
  <w:style w:type="paragraph" w:styleId="6">
    <w:name w:val="annotation text"/>
    <w:basedOn w:val="1"/>
    <w:qFormat/>
    <w:uiPriority w:val="0"/>
    <w:pPr>
      <w:jc w:val="left"/>
    </w:pPr>
  </w:style>
  <w:style w:type="paragraph" w:styleId="7">
    <w:name w:val="Body Text Indent"/>
    <w:basedOn w:val="1"/>
    <w:next w:val="1"/>
    <w:qFormat/>
    <w:uiPriority w:val="0"/>
    <w:pPr>
      <w:ind w:left="700" w:hanging="700" w:hangingChars="700"/>
    </w:pPr>
    <w:rPr>
      <w:rFonts w:ascii="华文行楷" w:eastAsia="华文行楷" w:cs="Times New Roman"/>
      <w:b/>
      <w:sz w:val="32"/>
      <w:szCs w:val="20"/>
      <w:lang w:val="en-US" w:eastAsia="zh-CN" w:bidi="ar-SA"/>
    </w:rPr>
  </w:style>
  <w:style w:type="paragraph" w:styleId="8">
    <w:name w:val="Plain Text"/>
    <w:basedOn w:val="1"/>
    <w:qFormat/>
    <w:uiPriority w:val="0"/>
    <w:pPr>
      <w:adjustRightInd w:val="0"/>
      <w:spacing w:line="360" w:lineRule="atLeast"/>
      <w:textAlignment w:val="baseline"/>
    </w:pPr>
    <w:rPr>
      <w:rFonts w:ascii="宋体" w:hAnsi="Courier New" w:eastAsia="宋体" w:cs="Times New Roman"/>
      <w:kern w:val="0"/>
      <w:sz w:val="20"/>
      <w:szCs w:val="21"/>
    </w:rPr>
  </w:style>
  <w:style w:type="paragraph" w:styleId="9">
    <w:name w:val="Date"/>
    <w:basedOn w:val="1"/>
    <w:next w:val="1"/>
    <w:qFormat/>
    <w:uiPriority w:val="0"/>
    <w:pPr>
      <w:jc w:val="both"/>
    </w:pPr>
    <w:rPr>
      <w:kern w:val="2"/>
      <w:sz w:val="24"/>
    </w:rPr>
  </w:style>
  <w:style w:type="paragraph" w:styleId="10">
    <w:name w:val="footer"/>
    <w:basedOn w:val="1"/>
    <w:qFormat/>
    <w:uiPriority w:val="0"/>
    <w:pPr>
      <w:tabs>
        <w:tab w:val="center" w:pos="4153"/>
        <w:tab w:val="right" w:pos="8306"/>
      </w:tabs>
      <w:snapToGrid w:val="0"/>
      <w:jc w:val="left"/>
    </w:pPr>
    <w:rPr>
      <w:rFonts w:eastAsia="宋体"/>
      <w:kern w:val="2"/>
      <w:sz w:val="18"/>
      <w:lang w:val="en-US" w:eastAsia="zh-CN" w:bidi="ar-SA"/>
    </w:rPr>
  </w:style>
  <w:style w:type="paragraph" w:styleId="11">
    <w:name w:val="header"/>
    <w:basedOn w:val="1"/>
    <w:qFormat/>
    <w:uiPriority w:val="0"/>
    <w:pPr>
      <w:pBdr>
        <w:bottom w:val="single" w:color="auto" w:sz="6" w:space="1"/>
      </w:pBdr>
      <w:tabs>
        <w:tab w:val="center" w:pos="4153"/>
        <w:tab w:val="right" w:pos="8306"/>
      </w:tabs>
      <w:snapToGrid w:val="0"/>
      <w:jc w:val="center"/>
    </w:pPr>
    <w:rPr>
      <w:sz w:val="18"/>
    </w:rPr>
  </w:style>
  <w:style w:type="paragraph" w:styleId="12">
    <w:name w:val="toc 1"/>
    <w:basedOn w:val="1"/>
    <w:next w:val="1"/>
    <w:qFormat/>
    <w:uiPriority w:val="39"/>
  </w:style>
  <w:style w:type="paragraph" w:styleId="13">
    <w:name w:val="Body Text Indent 3"/>
    <w:basedOn w:val="1"/>
    <w:qFormat/>
    <w:uiPriority w:val="0"/>
    <w:pPr>
      <w:spacing w:line="360" w:lineRule="auto"/>
      <w:ind w:left="345"/>
    </w:pPr>
    <w:rPr>
      <w:rFonts w:ascii="宋体"/>
      <w:sz w:val="24"/>
      <w:szCs w:val="20"/>
    </w:rPr>
  </w:style>
  <w:style w:type="paragraph" w:styleId="14">
    <w:name w:val="Normal (Web)"/>
    <w:basedOn w:val="1"/>
    <w:qFormat/>
    <w:uiPriority w:val="0"/>
    <w:pPr>
      <w:widowControl/>
      <w:spacing w:before="100" w:beforeAutospacing="1" w:after="100" w:afterAutospacing="1"/>
      <w:jc w:val="left"/>
    </w:pPr>
    <w:rPr>
      <w:rFonts w:hint="eastAsia" w:ascii="宋体" w:hAnsi="宋体"/>
      <w:kern w:val="0"/>
      <w:sz w:val="24"/>
    </w:rPr>
  </w:style>
  <w:style w:type="paragraph" w:styleId="15">
    <w:name w:val="Body Text First Indent 2"/>
    <w:basedOn w:val="7"/>
    <w:next w:val="1"/>
    <w:qFormat/>
    <w:uiPriority w:val="0"/>
    <w:pPr>
      <w:spacing w:after="120" w:line="240" w:lineRule="auto"/>
      <w:ind w:left="420" w:leftChars="200" w:firstLine="420"/>
    </w:pPr>
    <w:rPr>
      <w:rFonts w:ascii="Times New Roman" w:hAnsi="Times New Roman" w:eastAsia="宋体" w:cs="Times New Roman"/>
      <w:sz w:val="21"/>
      <w:szCs w:val="24"/>
    </w:rPr>
  </w:style>
  <w:style w:type="table" w:styleId="17">
    <w:name w:val="Table Grid"/>
    <w:basedOn w:val="1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Strong"/>
    <w:basedOn w:val="18"/>
    <w:qFormat/>
    <w:uiPriority w:val="0"/>
    <w:rPr>
      <w:b/>
      <w:bCs/>
    </w:rPr>
  </w:style>
  <w:style w:type="character" w:styleId="20">
    <w:name w:val="FollowedHyperlink"/>
    <w:basedOn w:val="18"/>
    <w:qFormat/>
    <w:uiPriority w:val="0"/>
    <w:rPr>
      <w:color w:val="800080"/>
      <w:u w:val="none"/>
    </w:rPr>
  </w:style>
  <w:style w:type="character" w:styleId="21">
    <w:name w:val="Emphasis"/>
    <w:basedOn w:val="18"/>
    <w:qFormat/>
    <w:uiPriority w:val="0"/>
    <w:rPr>
      <w:b/>
      <w:bCs/>
    </w:rPr>
  </w:style>
  <w:style w:type="character" w:styleId="22">
    <w:name w:val="HTML Definition"/>
    <w:basedOn w:val="18"/>
    <w:qFormat/>
    <w:uiPriority w:val="0"/>
  </w:style>
  <w:style w:type="character" w:styleId="23">
    <w:name w:val="HTML Typewriter"/>
    <w:basedOn w:val="18"/>
    <w:qFormat/>
    <w:uiPriority w:val="0"/>
    <w:rPr>
      <w:rFonts w:ascii="monospace" w:hAnsi="monospace" w:eastAsia="monospace" w:cs="monospace"/>
      <w:sz w:val="20"/>
    </w:rPr>
  </w:style>
  <w:style w:type="character" w:styleId="24">
    <w:name w:val="HTML Acronym"/>
    <w:basedOn w:val="18"/>
    <w:qFormat/>
    <w:uiPriority w:val="0"/>
  </w:style>
  <w:style w:type="character" w:styleId="25">
    <w:name w:val="HTML Variable"/>
    <w:basedOn w:val="18"/>
    <w:qFormat/>
    <w:uiPriority w:val="0"/>
  </w:style>
  <w:style w:type="character" w:styleId="26">
    <w:name w:val="Hyperlink"/>
    <w:basedOn w:val="18"/>
    <w:qFormat/>
    <w:uiPriority w:val="0"/>
    <w:rPr>
      <w:color w:val="0000FF"/>
      <w:u w:val="none"/>
    </w:rPr>
  </w:style>
  <w:style w:type="character" w:styleId="27">
    <w:name w:val="HTML Code"/>
    <w:basedOn w:val="18"/>
    <w:qFormat/>
    <w:uiPriority w:val="0"/>
    <w:rPr>
      <w:rFonts w:hint="default" w:ascii="monospace" w:hAnsi="monospace" w:eastAsia="monospace" w:cs="monospace"/>
      <w:sz w:val="20"/>
    </w:rPr>
  </w:style>
  <w:style w:type="character" w:styleId="28">
    <w:name w:val="annotation reference"/>
    <w:basedOn w:val="18"/>
    <w:qFormat/>
    <w:uiPriority w:val="99"/>
    <w:rPr>
      <w:sz w:val="21"/>
      <w:szCs w:val="21"/>
    </w:rPr>
  </w:style>
  <w:style w:type="character" w:styleId="29">
    <w:name w:val="HTML Cite"/>
    <w:basedOn w:val="18"/>
    <w:qFormat/>
    <w:uiPriority w:val="0"/>
  </w:style>
  <w:style w:type="character" w:styleId="30">
    <w:name w:val="HTML Keyboard"/>
    <w:basedOn w:val="18"/>
    <w:qFormat/>
    <w:uiPriority w:val="0"/>
    <w:rPr>
      <w:rFonts w:hint="default" w:ascii="monospace" w:hAnsi="monospace" w:eastAsia="monospace" w:cs="monospace"/>
      <w:sz w:val="20"/>
    </w:rPr>
  </w:style>
  <w:style w:type="character" w:styleId="31">
    <w:name w:val="HTML Sample"/>
    <w:basedOn w:val="18"/>
    <w:qFormat/>
    <w:uiPriority w:val="0"/>
    <w:rPr>
      <w:rFonts w:hint="default" w:ascii="monospace" w:hAnsi="monospace" w:eastAsia="monospace" w:cs="monospace"/>
    </w:rPr>
  </w:style>
  <w:style w:type="paragraph" w:customStyle="1" w:styleId="32">
    <w:name w:val="Default"/>
    <w:qFormat/>
    <w:uiPriority w:val="0"/>
    <w:pPr>
      <w:widowControl w:val="0"/>
      <w:suppressAutoHyphens w:val="0"/>
      <w:bidi w:val="0"/>
      <w:spacing w:beforeAutospacing="0" w:afterAutospacing="0"/>
      <w:jc w:val="left"/>
    </w:pPr>
    <w:rPr>
      <w:rFonts w:ascii="宋体" w:hAnsi="宋体" w:eastAsia="等线" w:cs="宋体"/>
      <w:color w:val="000000"/>
      <w:kern w:val="0"/>
      <w:sz w:val="24"/>
      <w:szCs w:val="24"/>
      <w:lang w:val="en-US" w:eastAsia="zh-CN" w:bidi="ar-SA"/>
    </w:rPr>
  </w:style>
  <w:style w:type="paragraph" w:customStyle="1" w:styleId="33">
    <w:name w:val="WPSOffice手动目录 1"/>
    <w:qFormat/>
    <w:uiPriority w:val="0"/>
    <w:pPr>
      <w:ind w:leftChars="0"/>
    </w:pPr>
    <w:rPr>
      <w:rFonts w:ascii="Calibri" w:hAnsi="Calibri" w:eastAsia="宋体" w:cs="宋体"/>
      <w:sz w:val="20"/>
      <w:szCs w:val="20"/>
    </w:rPr>
  </w:style>
  <w:style w:type="paragraph" w:customStyle="1" w:styleId="34">
    <w:name w:val="No Spacing_8150a5df-70aa-4ae5-9f26-e0d0530a5819"/>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35">
    <w:name w:val="È±Ê¡ÎÄ±¾"/>
    <w:basedOn w:val="1"/>
    <w:qFormat/>
    <w:uiPriority w:val="0"/>
    <w:pPr>
      <w:overflowPunct w:val="0"/>
      <w:autoSpaceDE w:val="0"/>
      <w:autoSpaceDN w:val="0"/>
      <w:adjustRightInd w:val="0"/>
      <w:textAlignment w:val="baseline"/>
    </w:pPr>
    <w:rPr>
      <w:sz w:val="24"/>
    </w:rPr>
  </w:style>
  <w:style w:type="paragraph" w:customStyle="1" w:styleId="36">
    <w:name w:val="样式2"/>
    <w:basedOn w:val="1"/>
    <w:qFormat/>
    <w:uiPriority w:val="0"/>
    <w:pPr>
      <w:widowControl w:val="0"/>
      <w:jc w:val="both"/>
    </w:pPr>
    <w:rPr>
      <w:rFonts w:ascii="仿宋_GB2312" w:eastAsia="仿宋_GB2312"/>
      <w:kern w:val="2"/>
      <w:sz w:val="32"/>
    </w:rPr>
  </w:style>
  <w:style w:type="character" w:customStyle="1" w:styleId="37">
    <w:name w:val="NormalCharacter"/>
    <w:qFormat/>
    <w:uiPriority w:val="0"/>
  </w:style>
  <w:style w:type="character" w:customStyle="1" w:styleId="38">
    <w:name w:val="mini-outputtext1"/>
    <w:basedOn w:val="18"/>
    <w:qFormat/>
    <w:uiPriority w:val="0"/>
  </w:style>
  <w:style w:type="paragraph" w:customStyle="1" w:styleId="39">
    <w:name w:val="List Paragraph_7e649d58-0dff-47b2-8495-e0932fdb184a"/>
    <w:basedOn w:val="1"/>
    <w:qFormat/>
    <w:uiPriority w:val="0"/>
    <w:pPr>
      <w:autoSpaceDE w:val="0"/>
      <w:autoSpaceDN w:val="0"/>
      <w:spacing w:before="122"/>
      <w:ind w:left="1088" w:hanging="408"/>
      <w:jc w:val="left"/>
    </w:pPr>
    <w:rPr>
      <w:rFonts w:ascii="仿宋" w:hAnsi="仿宋" w:eastAsia="仿宋" w:cs="仿宋"/>
      <w:kern w:val="0"/>
      <w:sz w:val="22"/>
      <w:szCs w:val="22"/>
      <w:lang w:eastAsia="en-US"/>
    </w:rPr>
  </w:style>
  <w:style w:type="character" w:customStyle="1" w:styleId="40">
    <w:name w:val="font01"/>
    <w:basedOn w:val="18"/>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60</Pages>
  <Words>4619</Words>
  <Characters>5530</Characters>
  <Paragraphs>1256</Paragraphs>
  <TotalTime>15</TotalTime>
  <ScaleCrop>false</ScaleCrop>
  <LinksUpToDate>false</LinksUpToDate>
  <CharactersWithSpaces>5632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2014-10-30T20:08:00Z</dcterms:created>
  <dc:creator>Administrator</dc:creator>
  <cp:lastModifiedBy>CUIYINGa.</cp:lastModifiedBy>
  <cp:lastPrinted>2022-10-15T15:38:00Z</cp:lastPrinted>
  <dcterms:modified xsi:type="dcterms:W3CDTF">2025-03-31T01:32:07Z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E1D733E969B84758BFAE9995E5F905DD_13</vt:lpwstr>
  </property>
  <property fmtid="{D5CDD505-2E9C-101B-9397-08002B2CF9AE}" pid="4" name="KSOTemplateDocerSaveRecord">
    <vt:lpwstr>eyJoZGlkIjoiNDBkN2NkNjM5NzU0MDY5NGIyYTMyNWI3ZTAzNmQ0YmMiLCJ1c2VySWQiOiIyODM5Mzg5ODUifQ==</vt:lpwstr>
  </property>
</Properties>
</file>