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区住建局智慧“助”建平台深化信创（2024年）项目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HCZX-24548</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杭州市拱墅区住房和城市建设局</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华诚工程咨询集团有限公司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十九</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9"/>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区住建局智慧“助”建平台深化信创（2024年）项目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9"/>
          <w:rFonts w:hint="eastAsia" w:ascii="宋体" w:hAnsi="宋体" w:eastAsia="宋体" w:cs="宋体"/>
          <w:snapToGrid/>
          <w:color w:val="auto"/>
          <w:kern w:val="2"/>
          <w:sz w:val="24"/>
          <w:szCs w:val="24"/>
          <w:highlight w:val="none"/>
        </w:rPr>
        <w:t>https://www.zcygov.cn/）获取（下载）招标文件，并于202</w:t>
      </w:r>
      <w:r>
        <w:rPr>
          <w:rStyle w:val="79"/>
          <w:rFonts w:hint="eastAsia" w:ascii="宋体" w:hAnsi="宋体" w:cs="宋体"/>
          <w:snapToGrid/>
          <w:color w:val="auto"/>
          <w:kern w:val="2"/>
          <w:sz w:val="24"/>
          <w:szCs w:val="24"/>
          <w:highlight w:val="none"/>
          <w:lang w:val="en-US" w:eastAsia="zh-CN"/>
        </w:rPr>
        <w:t>4</w:t>
      </w:r>
      <w:r>
        <w:rPr>
          <w:rStyle w:val="79"/>
          <w:rFonts w:hint="eastAsia" w:ascii="宋体" w:hAnsi="宋体" w:eastAsia="宋体" w:cs="宋体"/>
          <w:snapToGrid/>
          <w:color w:val="auto"/>
          <w:kern w:val="2"/>
          <w:sz w:val="24"/>
          <w:szCs w:val="24"/>
          <w:highlight w:val="none"/>
        </w:rPr>
        <w:t>年</w:t>
      </w:r>
      <w:r>
        <w:rPr>
          <w:rStyle w:val="79"/>
          <w:rFonts w:hint="eastAsia" w:ascii="宋体" w:hAnsi="宋体" w:cs="宋体"/>
          <w:snapToGrid/>
          <w:color w:val="auto"/>
          <w:kern w:val="2"/>
          <w:sz w:val="24"/>
          <w:szCs w:val="24"/>
          <w:highlight w:val="none"/>
          <w:lang w:val="en-US" w:eastAsia="zh-CN"/>
        </w:rPr>
        <w:t>12</w:t>
      </w:r>
      <w:r>
        <w:rPr>
          <w:rStyle w:val="79"/>
          <w:rFonts w:hint="eastAsia" w:ascii="宋体" w:hAnsi="宋体" w:eastAsia="宋体" w:cs="宋体"/>
          <w:snapToGrid/>
          <w:color w:val="auto"/>
          <w:kern w:val="2"/>
          <w:sz w:val="24"/>
          <w:szCs w:val="24"/>
          <w:highlight w:val="none"/>
        </w:rPr>
        <w:t>月</w:t>
      </w:r>
      <w:r>
        <w:rPr>
          <w:rStyle w:val="79"/>
          <w:rFonts w:hint="eastAsia" w:ascii="宋体" w:hAnsi="宋体" w:cs="宋体"/>
          <w:snapToGrid/>
          <w:color w:val="auto"/>
          <w:kern w:val="2"/>
          <w:sz w:val="24"/>
          <w:szCs w:val="24"/>
          <w:highlight w:val="none"/>
          <w:lang w:val="en-US" w:eastAsia="zh-CN"/>
        </w:rPr>
        <w:t>10</w:t>
      </w:r>
      <w:r>
        <w:rPr>
          <w:rStyle w:val="79"/>
          <w:rFonts w:hint="eastAsia" w:ascii="宋体" w:hAnsi="宋体" w:eastAsia="宋体" w:cs="宋体"/>
          <w:snapToGrid/>
          <w:color w:val="auto"/>
          <w:kern w:val="2"/>
          <w:sz w:val="24"/>
          <w:szCs w:val="24"/>
          <w:highlight w:val="none"/>
        </w:rPr>
        <w:t>日</w:t>
      </w:r>
      <w:r>
        <w:rPr>
          <w:rStyle w:val="79"/>
          <w:rFonts w:hint="eastAsia" w:ascii="宋体" w:hAnsi="宋体" w:cs="宋体"/>
          <w:snapToGrid/>
          <w:color w:val="auto"/>
          <w:kern w:val="2"/>
          <w:sz w:val="24"/>
          <w:szCs w:val="24"/>
          <w:highlight w:val="none"/>
          <w:lang w:val="en-US" w:eastAsia="zh-CN"/>
        </w:rPr>
        <w:t>14</w:t>
      </w:r>
      <w:r>
        <w:rPr>
          <w:rStyle w:val="79"/>
          <w:rFonts w:hint="eastAsia" w:ascii="宋体" w:hAnsi="宋体" w:eastAsia="宋体" w:cs="宋体"/>
          <w:snapToGrid/>
          <w:color w:val="auto"/>
          <w:kern w:val="2"/>
          <w:sz w:val="24"/>
          <w:szCs w:val="24"/>
          <w:highlight w:val="none"/>
        </w:rPr>
        <w:t>点</w:t>
      </w:r>
      <w:r>
        <w:rPr>
          <w:rStyle w:val="79"/>
          <w:rFonts w:hint="eastAsia" w:ascii="宋体" w:hAnsi="宋体" w:cs="宋体"/>
          <w:snapToGrid/>
          <w:color w:val="auto"/>
          <w:kern w:val="2"/>
          <w:sz w:val="24"/>
          <w:szCs w:val="24"/>
          <w:highlight w:val="none"/>
          <w:lang w:val="en-US" w:eastAsia="zh-CN"/>
        </w:rPr>
        <w:t>00</w:t>
      </w:r>
      <w:r>
        <w:rPr>
          <w:rStyle w:val="79"/>
          <w:rFonts w:hint="eastAsia" w:ascii="宋体" w:hAnsi="宋体" w:eastAsia="宋体" w:cs="宋体"/>
          <w:snapToGrid/>
          <w:color w:val="auto"/>
          <w:kern w:val="2"/>
          <w:sz w:val="24"/>
          <w:szCs w:val="24"/>
          <w:highlight w:val="none"/>
        </w:rPr>
        <w:t>分</w:t>
      </w:r>
      <w:r>
        <w:rPr>
          <w:rStyle w:val="79"/>
          <w:rFonts w:hint="eastAsia" w:ascii="宋体" w:hAnsi="宋体" w:eastAsia="宋体" w:cs="宋体"/>
          <w:bCs/>
          <w:snapToGrid/>
          <w:color w:val="auto"/>
          <w:kern w:val="2"/>
          <w:sz w:val="24"/>
          <w:szCs w:val="24"/>
          <w:highlight w:val="none"/>
        </w:rPr>
        <w:t>00秒</w:t>
      </w:r>
      <w:r>
        <w:rPr>
          <w:rStyle w:val="79"/>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HCZX-24548</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区住建局智慧“助”建平台深化信创（2024年）项目</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980000</w:t>
      </w:r>
    </w:p>
    <w:p>
      <w:pPr>
        <w:ind w:firstLine="480"/>
        <w:rPr>
          <w:rFonts w:hint="default" w:hAnsi="宋体" w:eastAsia="宋体" w:cs="宋体"/>
          <w:b/>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980000</w:t>
      </w:r>
    </w:p>
    <w:p>
      <w:pPr>
        <w:pStyle w:val="16"/>
        <w:spacing w:line="360" w:lineRule="auto"/>
        <w:ind w:firstLine="480"/>
        <w:rPr>
          <w:rFonts w:hint="eastAsia" w:hAnsi="宋体" w:cs="宋体"/>
          <w:bCs/>
          <w:snapToGrid/>
          <w:kern w:val="2"/>
          <w:sz w:val="24"/>
          <w:szCs w:val="24"/>
          <w:highlight w:val="none"/>
        </w:rPr>
      </w:pPr>
      <w:r>
        <w:rPr>
          <w:rFonts w:hint="eastAsia" w:hAnsi="宋体" w:cs="宋体"/>
          <w:b/>
          <w:sz w:val="24"/>
          <w:highlight w:val="none"/>
        </w:rPr>
        <w:t>简要规格描述或项目基本概况介绍、用途：区住建局智慧“助”建平台深化信创（2024年）项目</w:t>
      </w:r>
      <w:bookmarkStart w:id="534" w:name="_GoBack"/>
      <w:bookmarkEnd w:id="534"/>
      <w:r>
        <w:rPr>
          <w:rFonts w:hint="eastAsia" w:hAnsi="宋体" w:cs="宋体"/>
          <w:bCs/>
          <w:snapToGrid/>
          <w:kern w:val="2"/>
          <w:sz w:val="24"/>
          <w:szCs w:val="24"/>
          <w:highlight w:val="none"/>
        </w:rPr>
        <w:t>。具体以招标文件第三部分采购需求为准，供应商可点击本公告下方“浏览采购文件”查看采购需求。</w:t>
      </w:r>
    </w:p>
    <w:p>
      <w:pPr>
        <w:pStyle w:val="16"/>
        <w:spacing w:line="360" w:lineRule="auto"/>
        <w:ind w:firstLine="480"/>
        <w:rPr>
          <w:rFonts w:hint="eastAsia" w:hAnsi="宋体" w:cs="宋体"/>
          <w:bCs/>
          <w:snapToGrid/>
          <w:color w:val="FF0000"/>
          <w:kern w:val="2"/>
          <w:sz w:val="24"/>
          <w:szCs w:val="24"/>
          <w:highlight w:val="none"/>
        </w:rPr>
      </w:pPr>
      <w:r>
        <w:rPr>
          <w:rFonts w:hint="eastAsia" w:hAnsi="宋体" w:cs="宋体"/>
          <w:b/>
          <w:sz w:val="24"/>
          <w:highlight w:val="none"/>
        </w:rPr>
        <w:t>备注：无。</w:t>
      </w:r>
    </w:p>
    <w:p>
      <w:pPr>
        <w:pStyle w:val="16"/>
        <w:spacing w:line="360" w:lineRule="auto"/>
        <w:ind w:firstLine="480"/>
        <w:rPr>
          <w:rFonts w:hint="default" w:ascii="宋体" w:hAnsi="宋体" w:cs="宋体" w:eastAsiaTheme="minorEastAsia"/>
          <w:b/>
          <w:snapToGrid/>
          <w:color w:val="auto"/>
          <w:kern w:val="2"/>
          <w:sz w:val="24"/>
          <w:szCs w:val="24"/>
          <w:highlight w:val="none"/>
          <w:lang w:val="en-US" w:eastAsia="zh-CN" w:bidi="ar-SA"/>
        </w:rPr>
      </w:pPr>
      <w:r>
        <w:rPr>
          <w:rFonts w:hint="eastAsia" w:ascii="宋体" w:hAnsi="宋体" w:eastAsia="宋体" w:cs="宋体"/>
          <w:b/>
          <w:snapToGrid/>
          <w:color w:val="auto"/>
          <w:kern w:val="2"/>
          <w:sz w:val="24"/>
          <w:szCs w:val="24"/>
          <w:highlight w:val="none"/>
          <w:lang w:val="en-US" w:eastAsia="zh-CN" w:bidi="ar-SA"/>
        </w:rPr>
        <w:t>合同履约期限：</w:t>
      </w:r>
      <w:r>
        <w:rPr>
          <w:rFonts w:hint="eastAsia" w:asciiTheme="minorEastAsia" w:hAnsiTheme="minorEastAsia" w:eastAsiaTheme="minorEastAsia"/>
          <w:color w:val="auto"/>
          <w:sz w:val="24"/>
          <w:szCs w:val="24"/>
          <w:highlight w:val="none"/>
          <w:lang w:val="en-US" w:eastAsia="zh-CN"/>
        </w:rPr>
        <w:t>合同签订之日起1个月内完成项目建设。</w:t>
      </w:r>
    </w:p>
    <w:p>
      <w:pPr>
        <w:pStyle w:val="16"/>
        <w:spacing w:line="360" w:lineRule="auto"/>
        <w:ind w:firstLine="480"/>
        <w:rPr>
          <w:rFonts w:hint="eastAsia" w:hAnsi="宋体" w:eastAsia="宋体" w:cs="宋体"/>
          <w:b/>
          <w:color w:val="auto"/>
          <w:highlight w:val="none"/>
          <w:lang w:eastAsia="zh-CN"/>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4746133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r>
        <w:rPr>
          <w:rFonts w:hint="eastAsia" w:hAnsi="宋体" w:cs="宋体"/>
          <w:color w:val="auto"/>
          <w:kern w:val="0"/>
          <w:sz w:val="24"/>
          <w:highlight w:val="none"/>
          <w:lang w:eastAsia="zh-CN"/>
        </w:rPr>
        <w:t>（</w:t>
      </w:r>
      <w:r>
        <w:rPr>
          <w:rFonts w:hint="eastAsia" w:hAnsi="宋体" w:cs="宋体"/>
          <w:color w:val="auto"/>
          <w:kern w:val="0"/>
          <w:sz w:val="24"/>
          <w:highlight w:val="none"/>
          <w:lang w:val="en-US" w:eastAsia="zh-CN"/>
        </w:rPr>
        <w:t>联合体成员数量不得超过2家</w:t>
      </w:r>
      <w:r>
        <w:rPr>
          <w:rFonts w:hint="eastAsia" w:hAnsi="宋体" w:cs="宋体"/>
          <w:color w:val="auto"/>
          <w:kern w:val="0"/>
          <w:sz w:val="24"/>
          <w:highlight w:val="none"/>
          <w:lang w:eastAsia="zh-CN"/>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color w:val="auto"/>
          <w:sz w:val="24"/>
          <w:highlight w:val="yellow"/>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napToGrid w:val="0"/>
          <w:color w:val="auto"/>
          <w:kern w:val="28"/>
          <w:sz w:val="24"/>
          <w:szCs w:val="20"/>
          <w:highlight w:val="none"/>
          <w:lang w:val="en-US" w:eastAsia="zh-CN"/>
        </w:rPr>
        <w:t>无。</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sz w:val="24"/>
          <w:highlight w:val="none"/>
        </w:rPr>
        <w:t>1.采购人信息</w:t>
      </w:r>
    </w:p>
    <w:p>
      <w:pPr>
        <w:spacing w:line="360" w:lineRule="auto"/>
        <w:rPr>
          <w:rFonts w:ascii="宋体" w:hAnsi="宋体" w:cs="宋体"/>
          <w:sz w:val="24"/>
          <w:highlight w:val="none"/>
        </w:rPr>
      </w:pPr>
      <w:r>
        <w:rPr>
          <w:rFonts w:hint="eastAsia" w:ascii="宋体" w:hAnsi="宋体" w:cs="宋体"/>
          <w:sz w:val="24"/>
          <w:highlight w:val="none"/>
        </w:rPr>
        <w:t xml:space="preserve">    名    称：</w:t>
      </w:r>
      <w:r>
        <w:rPr>
          <w:rFonts w:hint="eastAsia" w:ascii="宋体" w:hAnsi="宋体" w:cs="宋体"/>
          <w:sz w:val="24"/>
          <w:highlight w:val="none"/>
          <w:lang w:eastAsia="zh-CN"/>
        </w:rPr>
        <w:t>杭州市拱墅区住房和城市建设局</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地    址：浙江省杭州市拱墅区北城街55号人防大厦</w:t>
      </w:r>
    </w:p>
    <w:p>
      <w:pPr>
        <w:spacing w:line="360" w:lineRule="auto"/>
        <w:ind w:firstLine="480"/>
        <w:rPr>
          <w:rFonts w:ascii="宋体" w:hAnsi="宋体" w:cs="宋体"/>
          <w:sz w:val="24"/>
          <w:highlight w:val="none"/>
        </w:rPr>
      </w:pPr>
      <w:r>
        <w:rPr>
          <w:rFonts w:hint="eastAsia" w:ascii="宋体" w:hAnsi="宋体" w:cs="宋体"/>
          <w:sz w:val="24"/>
          <w:highlight w:val="none"/>
        </w:rPr>
        <w:t>传    真：/</w:t>
      </w:r>
    </w:p>
    <w:p>
      <w:pPr>
        <w:spacing w:line="360" w:lineRule="auto"/>
        <w:ind w:firstLine="480"/>
        <w:rPr>
          <w:rFonts w:ascii="宋体" w:hAnsi="宋体" w:cs="宋体"/>
          <w:sz w:val="24"/>
          <w:highlight w:val="none"/>
        </w:rPr>
      </w:pPr>
      <w:r>
        <w:rPr>
          <w:rFonts w:hint="eastAsia" w:ascii="宋体" w:hAnsi="宋体" w:cs="宋体"/>
          <w:sz w:val="24"/>
          <w:highlight w:val="none"/>
        </w:rPr>
        <w:t>项目联系人（询问）：杨主任</w:t>
      </w:r>
    </w:p>
    <w:p>
      <w:pPr>
        <w:spacing w:line="360" w:lineRule="auto"/>
        <w:rPr>
          <w:rFonts w:ascii="宋体" w:hAnsi="宋体" w:cs="宋体"/>
          <w:sz w:val="24"/>
          <w:highlight w:val="none"/>
        </w:rPr>
      </w:pPr>
      <w:r>
        <w:rPr>
          <w:rFonts w:hint="eastAsia" w:ascii="宋体" w:hAnsi="宋体" w:cs="宋体"/>
          <w:sz w:val="24"/>
          <w:highlight w:val="none"/>
        </w:rPr>
        <w:t xml:space="preserve">    项目联系方式（询问）：0571-89505697</w:t>
      </w:r>
    </w:p>
    <w:p>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质疑联系人：</w:t>
      </w:r>
      <w:r>
        <w:rPr>
          <w:rFonts w:hint="eastAsia" w:ascii="宋体" w:hAnsi="宋体" w:cs="宋体"/>
          <w:sz w:val="24"/>
          <w:highlight w:val="none"/>
          <w:lang w:val="en-US" w:eastAsia="zh-CN"/>
        </w:rPr>
        <w:t>王先生</w:t>
      </w:r>
    </w:p>
    <w:p>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质疑联系方式：</w:t>
      </w:r>
      <w:r>
        <w:rPr>
          <w:rFonts w:hint="eastAsia" w:ascii="宋体" w:hAnsi="宋体" w:cs="宋体"/>
          <w:sz w:val="24"/>
          <w:highlight w:val="none"/>
          <w:lang w:val="en-US" w:eastAsia="zh-CN"/>
        </w:rPr>
        <w:t>0571-89505681</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称：华诚工程咨询集团有限公司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址：杭州市拱墅区彩云路105号锦盛大楼</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楼</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val="en-US" w:eastAsia="zh-CN"/>
        </w:rPr>
        <w:t>赵佳阳</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15868898744</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孙杏花</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ascii="宋体" w:hAnsi="宋体" w:cs="宋体"/>
          <w:color w:val="auto"/>
          <w:sz w:val="24"/>
          <w:highlight w:val="none"/>
        </w:rPr>
        <w:t>0571-87032325</w:t>
      </w:r>
    </w:p>
    <w:p>
      <w:pPr>
        <w:numPr>
          <w:ilvl w:val="0"/>
          <w:numId w:val="1"/>
        </w:numPr>
        <w:spacing w:line="360" w:lineRule="auto"/>
        <w:ind w:left="48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同级政府采购监督管理部门            </w:t>
      </w:r>
    </w:p>
    <w:p>
      <w:pPr>
        <w:numPr>
          <w:ilvl w:val="0"/>
          <w:numId w:val="0"/>
        </w:numPr>
        <w:spacing w:line="360" w:lineRule="auto"/>
        <w:ind w:left="480" w:leftChars="0"/>
        <w:rPr>
          <w:rFonts w:hint="eastAsia" w:ascii="宋体" w:hAnsi="宋体" w:cs="宋体"/>
          <w:color w:val="auto"/>
          <w:sz w:val="24"/>
          <w:highlight w:val="none"/>
        </w:rPr>
      </w:pPr>
      <w:r>
        <w:rPr>
          <w:rFonts w:hint="eastAsia" w:ascii="宋体" w:hAnsi="宋体" w:cs="宋体"/>
          <w:color w:val="auto"/>
          <w:sz w:val="24"/>
          <w:highlight w:val="none"/>
        </w:rPr>
        <w:t>名    称：杭州市拱墅区财政局、浙江省政府采购行政裁决服务中心（杭州）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rPr>
        <w:tc>
          <w:tcPr>
            <w:tcW w:w="629" w:type="dxa"/>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pPr>
              <w:pStyle w:val="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（1）标的：区住建局智慧“助”建平台深化信创（2024年）项目，属于</w:t>
            </w:r>
            <w:r>
              <w:rPr>
                <w:rFonts w:hint="eastAsia" w:ascii="宋体" w:hAnsi="宋体" w:eastAsia="宋体" w:cs="宋体"/>
                <w:b w:val="0"/>
                <w:bCs w:val="0"/>
                <w:color w:val="auto"/>
                <w:kern w:val="0"/>
                <w:sz w:val="24"/>
                <w:szCs w:val="24"/>
                <w:highlight w:val="none"/>
                <w:u w:val="single"/>
                <w:lang w:val="en-US" w:eastAsia="zh-CN" w:bidi="ar-SA"/>
              </w:rPr>
              <w:t>软件和信息技术服务</w:t>
            </w:r>
            <w:r>
              <w:rPr>
                <w:rFonts w:hint="eastAsia" w:ascii="宋体" w:hAnsi="宋体" w:eastAsia="宋体" w:cs="宋体"/>
                <w:b w:val="0"/>
                <w:bCs w:val="0"/>
                <w:color w:val="auto"/>
                <w:kern w:val="0"/>
                <w:sz w:val="24"/>
                <w:szCs w:val="24"/>
                <w:highlight w:val="none"/>
                <w:lang w:val="en-US" w:eastAsia="zh-CN" w:bidi="ar-SA"/>
              </w:rPr>
              <w:t>行业；</w:t>
            </w:r>
          </w:p>
          <w:p>
            <w:pPr>
              <w:pStyle w:val="4"/>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说明：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8" w:hRule="atLeast"/>
        </w:trPr>
        <w:tc>
          <w:tcPr>
            <w:tcW w:w="629" w:type="dxa"/>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8080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694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8" w:hRule="atLeast"/>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522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系统培训等</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283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5" w:hRule="atLeast"/>
        </w:trPr>
        <w:tc>
          <w:tcPr>
            <w:tcW w:w="629" w:type="dxa"/>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73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58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552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81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1）在评标时安排每个投标人进行方案讲解演示。每个投标人提供时间不超过</w:t>
            </w:r>
            <w:r>
              <w:rPr>
                <w:rFonts w:ascii="宋体" w:hAnsi="宋体" w:cs="宋体"/>
                <w:kern w:val="0"/>
                <w:sz w:val="24"/>
                <w:highlight w:val="none"/>
                <w:u w:val="single"/>
              </w:rPr>
              <w:t>1</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rPr>
              <w:t>分钟的演示视频，</w:t>
            </w:r>
            <w:r>
              <w:rPr>
                <w:rFonts w:hint="eastAsia" w:asciiTheme="minorEastAsia" w:hAnsiTheme="minorEastAsia"/>
                <w:kern w:val="0"/>
                <w:sz w:val="24"/>
                <w:highlight w:val="none"/>
              </w:rPr>
              <w:t>由采购代理机构组织人员现场播放，</w:t>
            </w:r>
            <w:r>
              <w:rPr>
                <w:rFonts w:hint="eastAsia" w:ascii="宋体" w:hAnsi="宋体" w:cs="宋体"/>
                <w:kern w:val="0"/>
                <w:sz w:val="24"/>
                <w:highlight w:val="none"/>
              </w:rPr>
              <w:t>播放次序以投标文件解密时间先后次序为准。</w:t>
            </w:r>
          </w:p>
          <w:p>
            <w:pPr>
              <w:pStyle w:val="4"/>
              <w:ind w:left="0" w:firstLine="0"/>
              <w:rPr>
                <w:highlight w:val="none"/>
              </w:rPr>
            </w:pPr>
            <w:r>
              <w:rPr>
                <w:rFonts w:hint="eastAsia" w:ascii="宋体" w:hAnsi="宋体" w:eastAsia="宋体" w:cs="宋体"/>
                <w:b w:val="0"/>
                <w:bCs w:val="0"/>
                <w:kern w:val="0"/>
                <w:sz w:val="24"/>
                <w:highlight w:val="none"/>
              </w:rPr>
              <w:t>（</w:t>
            </w:r>
            <w:r>
              <w:rPr>
                <w:rFonts w:ascii="宋体" w:hAnsi="宋体" w:eastAsia="宋体" w:cs="宋体"/>
                <w:b w:val="0"/>
                <w:bCs w:val="0"/>
                <w:kern w:val="0"/>
                <w:sz w:val="24"/>
                <w:highlight w:val="none"/>
              </w:rPr>
              <w:t>2）</w:t>
            </w:r>
            <w:r>
              <w:rPr>
                <w:rFonts w:hint="eastAsia" w:ascii="宋体" w:hAnsi="宋体" w:eastAsia="宋体" w:cs="宋体"/>
                <w:b w:val="0"/>
                <w:bCs w:val="0"/>
                <w:kern w:val="0"/>
                <w:sz w:val="24"/>
                <w:szCs w:val="24"/>
                <w:highlight w:val="none"/>
                <w:lang w:val="en-US"/>
              </w:rPr>
              <w:t>演示视频，请按以下方式提交：应当在投标截止时间以前，供应商以介质存储的演示视频文件密封并以邮寄或直接送达等形式提交给采购代理机构联系人（</w:t>
            </w:r>
            <w:r>
              <w:rPr>
                <w:rFonts w:hint="eastAsia" w:ascii="宋体" w:hAnsi="宋体" w:eastAsia="宋体" w:cs="宋体"/>
                <w:b w:val="0"/>
                <w:bCs w:val="0"/>
                <w:kern w:val="0"/>
                <w:sz w:val="24"/>
                <w:szCs w:val="24"/>
                <w:highlight w:val="none"/>
                <w:lang w:val="en-US" w:eastAsia="zh-CN"/>
              </w:rPr>
              <w:t>赵佳阳，15868898744</w:t>
            </w:r>
            <w:r>
              <w:rPr>
                <w:rFonts w:hint="eastAsia" w:ascii="宋体" w:hAnsi="宋体" w:eastAsia="宋体" w:cs="宋体"/>
                <w:b w:val="0"/>
                <w:bCs w:val="0"/>
                <w:kern w:val="0"/>
                <w:sz w:val="24"/>
                <w:szCs w:val="24"/>
                <w:highlight w:val="none"/>
                <w:lang w:val="en-US"/>
              </w:rPr>
              <w:t>，杭州市</w:t>
            </w:r>
            <w:r>
              <w:rPr>
                <w:rFonts w:hint="eastAsia" w:ascii="宋体" w:hAnsi="宋体" w:eastAsia="宋体" w:cs="宋体"/>
                <w:b w:val="0"/>
                <w:bCs w:val="0"/>
                <w:kern w:val="0"/>
                <w:sz w:val="24"/>
                <w:szCs w:val="24"/>
                <w:highlight w:val="none"/>
                <w:lang w:val="en-US" w:eastAsia="zh-CN"/>
              </w:rPr>
              <w:t>拱墅区彩云路105号锦盛大楼3楼</w:t>
            </w:r>
            <w:r>
              <w:rPr>
                <w:rFonts w:hint="eastAsia" w:ascii="宋体" w:hAnsi="宋体" w:eastAsia="宋体" w:cs="宋体"/>
                <w:b w:val="0"/>
                <w:bCs w:val="0"/>
                <w:kern w:val="0"/>
                <w:sz w:val="24"/>
                <w:szCs w:val="24"/>
                <w:highlight w:val="none"/>
                <w:lang w:val="en-US"/>
              </w:rPr>
              <w:t>），使其在投标截止时间以前收到。封皮应注明投标人名称、项目名称。</w:t>
            </w:r>
          </w:p>
          <w:p>
            <w:pPr>
              <w:snapToGrid w:val="0"/>
              <w:spacing w:line="360" w:lineRule="auto"/>
              <w:rPr>
                <w:rFonts w:ascii="宋体" w:hAnsi="宋体" w:cs="宋体"/>
                <w:b/>
                <w:color w:val="auto"/>
                <w:kern w:val="0"/>
                <w:sz w:val="24"/>
                <w:highlight w:val="none"/>
                <w:lang w:val="zh-CN"/>
              </w:rPr>
            </w:pPr>
            <w:r>
              <w:rPr>
                <w:rFonts w:hint="eastAsia" w:asciiTheme="minorEastAsia" w:hAnsiTheme="minorEastAsia"/>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629" w:type="dxa"/>
            <w:vMerge w:val="restart"/>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rPr>
        <w:tc>
          <w:tcPr>
            <w:tcW w:w="629" w:type="dxa"/>
            <w:vMerge w:val="continue"/>
          </w:tcPr>
          <w:p>
            <w:pPr>
              <w:snapToGrid w:val="0"/>
              <w:spacing w:line="360" w:lineRule="auto"/>
              <w:jc w:val="center"/>
              <w:rPr>
                <w:rFonts w:ascii="宋体" w:hAnsi="宋体" w:cs="宋体"/>
                <w:color w:val="auto"/>
                <w:sz w:val="24"/>
                <w:highlight w:val="none"/>
              </w:rPr>
            </w:pPr>
          </w:p>
        </w:tc>
        <w:tc>
          <w:tcPr>
            <w:tcW w:w="1843" w:type="dxa"/>
            <w:vMerge w:val="continue"/>
            <w:vAlign w:val="center"/>
          </w:tcPr>
          <w:p>
            <w:pPr>
              <w:snapToGrid w:val="0"/>
              <w:spacing w:line="360" w:lineRule="auto"/>
              <w:jc w:val="center"/>
              <w:rPr>
                <w:rFonts w:ascii="宋体" w:hAnsi="宋体" w:cs="宋体"/>
                <w:b/>
                <w:color w:val="auto"/>
                <w:sz w:val="24"/>
                <w:highlight w:val="none"/>
              </w:rPr>
            </w:pPr>
          </w:p>
        </w:tc>
        <w:tc>
          <w:tcPr>
            <w:tcW w:w="6095"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rPr>
        <w:tc>
          <w:tcPr>
            <w:tcW w:w="629" w:type="dxa"/>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rPr>
        <w:tc>
          <w:tcPr>
            <w:tcW w:w="629" w:type="dxa"/>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杭州市拱墅区彩云路105号锦盛大楼</w:t>
            </w:r>
            <w:r>
              <w:rPr>
                <w:rFonts w:hint="eastAsia" w:hAnsi="宋体" w:cs="宋体"/>
                <w:color w:val="auto"/>
                <w:sz w:val="24"/>
                <w:highlight w:val="none"/>
                <w:u w:val="single"/>
                <w:lang w:val="en-US" w:eastAsia="zh-CN"/>
              </w:rPr>
              <w:t>3</w:t>
            </w:r>
            <w:r>
              <w:rPr>
                <w:rFonts w:hint="eastAsia" w:hAnsi="宋体" w:cs="宋体"/>
                <w:color w:val="auto"/>
                <w:sz w:val="24"/>
                <w:highlight w:val="none"/>
                <w:u w:val="single"/>
              </w:rPr>
              <w:t>楼</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赵佳阳 15868898744</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restart"/>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tcPr>
          <w:p>
            <w:pPr>
              <w:snapToGrid w:val="0"/>
              <w:spacing w:line="360" w:lineRule="auto"/>
              <w:jc w:val="center"/>
              <w:rPr>
                <w:rFonts w:hint="eastAsia" w:ascii="宋体" w:hAnsi="宋体" w:cs="宋体"/>
                <w:color w:val="auto"/>
                <w:sz w:val="24"/>
                <w:highlight w:val="none"/>
              </w:rPr>
            </w:pPr>
          </w:p>
        </w:tc>
        <w:tc>
          <w:tcPr>
            <w:tcW w:w="1843" w:type="dxa"/>
            <w:vMerge w:val="continue"/>
            <w:vAlign w:val="center"/>
          </w:tcPr>
          <w:p>
            <w:pPr>
              <w:snapToGrid w:val="0"/>
              <w:spacing w:line="360" w:lineRule="auto"/>
              <w:jc w:val="center"/>
              <w:rPr>
                <w:rFonts w:hint="eastAsia" w:cs="仿宋_GB2312" w:asciiTheme="minorEastAsia" w:hAnsiTheme="minorEastAsia" w:eastAsiaTheme="minorEastAsia"/>
                <w:b/>
                <w:color w:val="auto"/>
                <w:sz w:val="24"/>
                <w:highlight w:val="none"/>
              </w:rPr>
            </w:pPr>
          </w:p>
        </w:tc>
        <w:tc>
          <w:tcPr>
            <w:tcW w:w="6095" w:type="dxa"/>
            <w:vAlign w:val="center"/>
          </w:tcPr>
          <w:p>
            <w:pPr>
              <w:spacing w:line="360" w:lineRule="auto"/>
              <w:rPr>
                <w:rFonts w:hint="default" w:ascii="宋体" w:hAnsi="宋体" w:eastAsia="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中标候选人数量：1名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tcPr>
          <w:p>
            <w:pPr>
              <w:snapToGrid w:val="0"/>
              <w:spacing w:line="360" w:lineRule="auto"/>
              <w:jc w:val="center"/>
              <w:rPr>
                <w:rFonts w:ascii="宋体" w:hAnsi="宋体" w:cs="宋体"/>
                <w:color w:val="auto"/>
                <w:sz w:val="24"/>
                <w:highlight w:val="none"/>
              </w:rPr>
            </w:pPr>
          </w:p>
        </w:tc>
        <w:tc>
          <w:tcPr>
            <w:tcW w:w="1843" w:type="dxa"/>
            <w:vMerge w:val="continue"/>
            <w:vAlign w:val="center"/>
          </w:tcPr>
          <w:p>
            <w:pPr>
              <w:snapToGrid w:val="0"/>
              <w:spacing w:line="360" w:lineRule="auto"/>
              <w:jc w:val="center"/>
              <w:rPr>
                <w:rFonts w:ascii="宋体" w:hAnsi="宋体" w:cs="宋体"/>
                <w:b/>
                <w:color w:val="auto"/>
                <w:sz w:val="24"/>
                <w:highlight w:val="none"/>
              </w:rPr>
            </w:pPr>
          </w:p>
        </w:tc>
        <w:tc>
          <w:tcPr>
            <w:tcW w:w="6095" w:type="dxa"/>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471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844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184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095" w:type="dxa"/>
            <w:vAlign w:val="center"/>
          </w:tcPr>
          <w:p>
            <w:pPr>
              <w:spacing w:line="360" w:lineRule="auto"/>
              <w:jc w:val="left"/>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采购代理服务费：中标人应在接到中标通知书后两个工作日内向采购代理机构支付采购代理服务费，采购代理服务费按人民币以中标金额为基数按</w:t>
            </w:r>
            <w:r>
              <w:rPr>
                <w:rFonts w:hint="eastAsia" w:cs="Arial" w:asciiTheme="minorEastAsia" w:hAnsiTheme="minorEastAsia" w:eastAsiaTheme="minorEastAsia"/>
                <w:color w:val="auto"/>
                <w:kern w:val="0"/>
                <w:sz w:val="24"/>
                <w:highlight w:val="none"/>
                <w:lang w:val="en-US" w:eastAsia="zh-CN"/>
              </w:rPr>
              <w:t>下列</w:t>
            </w:r>
            <w:r>
              <w:rPr>
                <w:rFonts w:hint="eastAsia" w:cs="Arial" w:asciiTheme="minorEastAsia" w:hAnsiTheme="minorEastAsia" w:eastAsiaTheme="minorEastAsia"/>
                <w:color w:val="auto"/>
                <w:kern w:val="0"/>
                <w:sz w:val="24"/>
                <w:highlight w:val="none"/>
              </w:rPr>
              <w:t>标准计取。采购代理服务费由中标单位支付，并以人民币方式支付。</w:t>
            </w:r>
          </w:p>
          <w:tbl>
            <w:tblPr>
              <w:tblStyle w:val="65"/>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35"/>
                    <w:spacing w:line="360" w:lineRule="auto"/>
                    <w:ind w:firstLine="480" w:firstLineChars="200"/>
                    <w:rPr>
                      <w:rFonts w:hAnsi="宋体"/>
                      <w:color w:val="auto"/>
                      <w:sz w:val="24"/>
                      <w:szCs w:val="24"/>
                      <w:highlight w:val="none"/>
                    </w:rPr>
                  </w:pPr>
                  <w:r>
                    <w:rPr>
                      <w:rFonts w:hint="eastAsia" w:hAnsi="宋体"/>
                      <w:color w:val="auto"/>
                      <w:sz w:val="24"/>
                      <w:szCs w:val="24"/>
                      <w:highlight w:val="none"/>
                    </w:rPr>
                    <w:t>金额（万元）</w:t>
                  </w:r>
                </w:p>
              </w:tc>
              <w:tc>
                <w:tcPr>
                  <w:tcW w:w="2943" w:type="dxa"/>
                  <w:vAlign w:val="center"/>
                </w:tcPr>
                <w:p>
                  <w:pPr>
                    <w:pStyle w:val="35"/>
                    <w:spacing w:line="360" w:lineRule="auto"/>
                    <w:ind w:firstLine="480" w:firstLineChars="200"/>
                    <w:rPr>
                      <w:rFonts w:hAnsi="宋体"/>
                      <w:color w:val="auto"/>
                      <w:sz w:val="24"/>
                      <w:szCs w:val="24"/>
                      <w:highlight w:val="none"/>
                    </w:rPr>
                  </w:pPr>
                  <w:r>
                    <w:rPr>
                      <w:rFonts w:hint="eastAsia" w:hAnsi="宋体"/>
                      <w:color w:val="auto"/>
                      <w:sz w:val="24"/>
                      <w:szCs w:val="24"/>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35"/>
                    <w:spacing w:line="360" w:lineRule="auto"/>
                    <w:ind w:firstLine="480" w:firstLineChars="200"/>
                    <w:rPr>
                      <w:rFonts w:hAnsi="宋体"/>
                      <w:color w:val="auto"/>
                      <w:sz w:val="24"/>
                      <w:szCs w:val="24"/>
                      <w:highlight w:val="none"/>
                    </w:rPr>
                  </w:pPr>
                  <w:r>
                    <w:rPr>
                      <w:rFonts w:hint="eastAsia" w:hAnsi="宋体"/>
                      <w:color w:val="auto"/>
                      <w:sz w:val="24"/>
                      <w:szCs w:val="24"/>
                      <w:highlight w:val="none"/>
                    </w:rPr>
                    <w:t>100以下部分</w:t>
                  </w:r>
                </w:p>
              </w:tc>
              <w:tc>
                <w:tcPr>
                  <w:tcW w:w="2943" w:type="dxa"/>
                  <w:vAlign w:val="center"/>
                </w:tcPr>
                <w:p>
                  <w:pPr>
                    <w:pStyle w:val="35"/>
                    <w:spacing w:line="360" w:lineRule="auto"/>
                    <w:ind w:firstLine="480" w:firstLineChars="200"/>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5</w:t>
                  </w:r>
                  <w:r>
                    <w:rPr>
                      <w:rFonts w:hint="eastAsia" w:hAnsi="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35"/>
                    <w:spacing w:line="360" w:lineRule="auto"/>
                    <w:ind w:firstLine="480" w:firstLineChars="200"/>
                    <w:rPr>
                      <w:rFonts w:hAnsi="宋体"/>
                      <w:color w:val="auto"/>
                      <w:sz w:val="24"/>
                      <w:szCs w:val="24"/>
                      <w:highlight w:val="none"/>
                    </w:rPr>
                  </w:pPr>
                  <w:r>
                    <w:rPr>
                      <w:rFonts w:hint="eastAsia" w:hAnsi="宋体"/>
                      <w:color w:val="auto"/>
                      <w:sz w:val="24"/>
                      <w:szCs w:val="24"/>
                      <w:highlight w:val="none"/>
                    </w:rPr>
                    <w:t>100~500之间部分</w:t>
                  </w:r>
                </w:p>
              </w:tc>
              <w:tc>
                <w:tcPr>
                  <w:tcW w:w="2943" w:type="dxa"/>
                  <w:vAlign w:val="center"/>
                </w:tcPr>
                <w:p>
                  <w:pPr>
                    <w:pStyle w:val="35"/>
                    <w:spacing w:line="360" w:lineRule="auto"/>
                    <w:ind w:firstLine="480" w:firstLineChars="200"/>
                    <w:rPr>
                      <w:rFonts w:hAnsi="宋体"/>
                      <w:color w:val="auto"/>
                      <w:sz w:val="24"/>
                      <w:szCs w:val="24"/>
                      <w:highlight w:val="none"/>
                    </w:rPr>
                  </w:pPr>
                  <w:r>
                    <w:rPr>
                      <w:rFonts w:hint="eastAsia" w:hAnsi="宋体"/>
                      <w:color w:val="auto"/>
                      <w:sz w:val="24"/>
                      <w:szCs w:val="24"/>
                      <w:highlight w:val="none"/>
                      <w:lang w:val="en-US" w:eastAsia="zh-CN"/>
                    </w:rPr>
                    <w:t>0.8</w:t>
                  </w:r>
                  <w:r>
                    <w:rPr>
                      <w:rFonts w:hint="eastAsia" w:hAnsi="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35"/>
                    <w:spacing w:line="360" w:lineRule="auto"/>
                    <w:ind w:firstLine="480" w:firstLineChars="200"/>
                    <w:rPr>
                      <w:rFonts w:hAnsi="宋体"/>
                      <w:color w:val="auto"/>
                      <w:sz w:val="24"/>
                      <w:szCs w:val="24"/>
                      <w:highlight w:val="none"/>
                    </w:rPr>
                  </w:pPr>
                  <w:r>
                    <w:rPr>
                      <w:rFonts w:hint="eastAsia" w:hAnsi="宋体"/>
                      <w:color w:val="auto"/>
                      <w:sz w:val="24"/>
                      <w:szCs w:val="24"/>
                      <w:highlight w:val="none"/>
                    </w:rPr>
                    <w:t>500~1000之间部分</w:t>
                  </w:r>
                </w:p>
              </w:tc>
              <w:tc>
                <w:tcPr>
                  <w:tcW w:w="2943" w:type="dxa"/>
                  <w:vAlign w:val="center"/>
                </w:tcPr>
                <w:p>
                  <w:pPr>
                    <w:pStyle w:val="35"/>
                    <w:spacing w:line="360" w:lineRule="auto"/>
                    <w:ind w:firstLine="480" w:firstLineChars="200"/>
                    <w:rPr>
                      <w:rFonts w:hAnsi="宋体"/>
                      <w:color w:val="auto"/>
                      <w:sz w:val="24"/>
                      <w:szCs w:val="24"/>
                      <w:highlight w:val="none"/>
                    </w:rPr>
                  </w:pPr>
                  <w:r>
                    <w:rPr>
                      <w:rFonts w:hint="eastAsia" w:hAnsi="宋体"/>
                      <w:color w:val="auto"/>
                      <w:sz w:val="24"/>
                      <w:szCs w:val="24"/>
                      <w:highlight w:val="none"/>
                    </w:rPr>
                    <w:t>0.</w:t>
                  </w:r>
                  <w:r>
                    <w:rPr>
                      <w:rFonts w:hint="eastAsia" w:hAnsi="宋体"/>
                      <w:color w:val="auto"/>
                      <w:sz w:val="24"/>
                      <w:szCs w:val="24"/>
                      <w:highlight w:val="none"/>
                      <w:lang w:val="en-US" w:eastAsia="zh-CN"/>
                    </w:rPr>
                    <w:t>45</w:t>
                  </w:r>
                  <w:r>
                    <w:rPr>
                      <w:rFonts w:hint="eastAsia" w:hAnsi="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35"/>
                    <w:spacing w:line="360" w:lineRule="auto"/>
                    <w:ind w:firstLine="480" w:firstLineChars="200"/>
                    <w:rPr>
                      <w:rFonts w:hAnsi="宋体"/>
                      <w:color w:val="auto"/>
                      <w:sz w:val="24"/>
                      <w:szCs w:val="24"/>
                      <w:highlight w:val="none"/>
                    </w:rPr>
                  </w:pPr>
                  <w:r>
                    <w:rPr>
                      <w:rFonts w:hint="eastAsia" w:hAnsi="宋体"/>
                      <w:color w:val="auto"/>
                      <w:sz w:val="24"/>
                      <w:szCs w:val="24"/>
                      <w:highlight w:val="none"/>
                    </w:rPr>
                    <w:t>1000-5000之间部分</w:t>
                  </w:r>
                </w:p>
              </w:tc>
              <w:tc>
                <w:tcPr>
                  <w:tcW w:w="2943" w:type="dxa"/>
                  <w:vAlign w:val="center"/>
                </w:tcPr>
                <w:p>
                  <w:pPr>
                    <w:pStyle w:val="35"/>
                    <w:spacing w:line="360" w:lineRule="auto"/>
                    <w:ind w:firstLine="480" w:firstLineChars="200"/>
                    <w:rPr>
                      <w:rFonts w:hAnsi="宋体"/>
                      <w:color w:val="auto"/>
                      <w:sz w:val="24"/>
                      <w:szCs w:val="24"/>
                      <w:highlight w:val="none"/>
                    </w:rPr>
                  </w:pPr>
                  <w:r>
                    <w:rPr>
                      <w:rFonts w:hint="eastAsia" w:hAnsi="宋体"/>
                      <w:color w:val="auto"/>
                      <w:sz w:val="24"/>
                      <w:szCs w:val="24"/>
                      <w:highlight w:val="none"/>
                    </w:rPr>
                    <w:t>0.</w:t>
                  </w:r>
                  <w:r>
                    <w:rPr>
                      <w:rFonts w:hint="eastAsia" w:hAnsi="宋体"/>
                      <w:color w:val="auto"/>
                      <w:sz w:val="24"/>
                      <w:szCs w:val="24"/>
                      <w:highlight w:val="none"/>
                      <w:lang w:val="en-US" w:eastAsia="zh-CN"/>
                    </w:rPr>
                    <w:t>25</w:t>
                  </w:r>
                  <w:r>
                    <w:rPr>
                      <w:rFonts w:hint="eastAsia" w:hAnsi="宋体"/>
                      <w:color w:val="auto"/>
                      <w:sz w:val="24"/>
                      <w:szCs w:val="24"/>
                      <w:highlight w:val="none"/>
                    </w:rPr>
                    <w:t>%</w:t>
                  </w:r>
                </w:p>
              </w:tc>
            </w:tr>
          </w:tbl>
          <w:p>
            <w:pPr>
              <w:spacing w:line="360" w:lineRule="auto"/>
              <w:jc w:val="left"/>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名    称：华诚工程咨询集团有限公司</w:t>
            </w:r>
          </w:p>
          <w:p>
            <w:pPr>
              <w:spacing w:line="360" w:lineRule="auto"/>
              <w:jc w:val="left"/>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开户银行：上海浦东发展银行股份有限公司杭州和睦支行</w:t>
            </w:r>
          </w:p>
          <w:p>
            <w:pPr>
              <w:spacing w:line="360" w:lineRule="auto"/>
              <w:jc w:val="left"/>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号：95220078801100000315</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3.2.4</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5"/>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6.招标文件的澄清、修改</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r>
        <w:rPr>
          <w:rFonts w:hint="eastAsia" w:ascii="宋体" w:hAnsi="宋体" w:cs="宋体"/>
          <w:color w:val="auto"/>
          <w:sz w:val="24"/>
          <w:highlight w:val="none"/>
          <w:lang w:val="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14.投标文件的提交、补充、修改、撤回</w:t>
      </w:r>
    </w:p>
    <w:p>
      <w:pPr>
        <w:pStyle w:val="135"/>
        <w:ind w:firstLine="480"/>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5"/>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5"/>
        <w:spacing w:before="0"/>
        <w:ind w:firstLine="643"/>
        <w:rPr>
          <w:rFonts w:ascii="宋体" w:hAnsi="宋体" w:cs="宋体"/>
          <w:b/>
          <w:color w:val="auto"/>
          <w:sz w:val="32"/>
          <w:highlight w:val="none"/>
        </w:rPr>
      </w:pPr>
    </w:p>
    <w:p>
      <w:pPr>
        <w:pStyle w:val="13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9"/>
        <w:spacing w:before="0" w:line="360" w:lineRule="auto"/>
        <w:ind w:left="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5"/>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22.确定中标供应商</w:t>
      </w:r>
    </w:p>
    <w:p>
      <w:pPr>
        <w:pStyle w:val="13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24.</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highlight w:val="none"/>
        </w:rPr>
      </w:pPr>
      <w:r>
        <w:rPr>
          <w:rFonts w:hint="eastAsia" w:cs="宋体"/>
          <w:b/>
          <w:color w:val="auto"/>
          <w:highlight w:val="none"/>
        </w:rPr>
        <w:t>26.履约保证金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5"/>
        <w:snapToGrid w:val="0"/>
        <w:spacing w:before="0"/>
        <w:ind w:firstLine="0" w:firstLineChars="0"/>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5236011"/>
      <w:bookmarkEnd w:id="15"/>
      <w:bookmarkStart w:id="16" w:name="_Hlt68072990"/>
      <w:bookmarkEnd w:id="16"/>
      <w:bookmarkStart w:id="17" w:name="_Hlt74714665"/>
      <w:bookmarkEnd w:id="17"/>
      <w:bookmarkStart w:id="18" w:name="_Hlt74707468"/>
      <w:bookmarkEnd w:id="18"/>
      <w:bookmarkStart w:id="19" w:name="_Hlt74730295"/>
      <w:bookmarkEnd w:id="19"/>
      <w:bookmarkStart w:id="20" w:name="_Hlt68073093"/>
      <w:bookmarkEnd w:id="20"/>
      <w:bookmarkStart w:id="21" w:name="_Hlt75236290"/>
      <w:bookmarkEnd w:id="21"/>
      <w:bookmarkStart w:id="22" w:name="_Hlt75236101"/>
      <w:bookmarkEnd w:id="22"/>
      <w:bookmarkStart w:id="23" w:name="_Hlt68403820"/>
      <w:bookmarkEnd w:id="23"/>
      <w:bookmarkStart w:id="24" w:name="_Hlt74729768"/>
      <w:bookmarkEnd w:id="24"/>
      <w:bookmarkStart w:id="25" w:name="_Hlt68057669"/>
      <w:bookmarkEnd w:id="25"/>
      <w:bookmarkStart w:id="26" w:name="_Hlt68072998"/>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ind w:firstLine="0" w:firstLineChars="0"/>
        <w:jc w:val="both"/>
        <w:rPr>
          <w:rFonts w:hint="default" w:ascii="Times New Roman" w:hAnsi="Times New Roman" w:eastAsia="宋体" w:cs="宋体"/>
          <w:b/>
          <w:bCs/>
          <w:sz w:val="28"/>
          <w:szCs w:val="28"/>
          <w:lang w:val="en-US" w:eastAsia="zh-CN"/>
        </w:rPr>
      </w:pPr>
      <w:bookmarkStart w:id="28" w:name="_Toc23072"/>
      <w:bookmarkStart w:id="29" w:name="_Toc139717401"/>
      <w:bookmarkStart w:id="30" w:name="_Toc8093"/>
      <w:r>
        <w:rPr>
          <w:rFonts w:hint="default" w:ascii="Times New Roman" w:hAnsi="Times New Roman" w:eastAsia="宋体" w:cs="宋体"/>
          <w:b/>
          <w:bCs/>
          <w:sz w:val="28"/>
          <w:szCs w:val="28"/>
          <w:lang w:val="en-US" w:eastAsia="zh-CN"/>
        </w:rPr>
        <w:t>一、</w:t>
      </w:r>
      <w:bookmarkEnd w:id="28"/>
      <w:bookmarkEnd w:id="29"/>
      <w:bookmarkEnd w:id="30"/>
      <w:bookmarkStart w:id="31" w:name="_Toc10110"/>
      <w:bookmarkStart w:id="32" w:name="_Toc8555"/>
      <w:bookmarkStart w:id="33" w:name="_Toc139717402"/>
      <w:r>
        <w:rPr>
          <w:rFonts w:hint="default" w:ascii="Times New Roman" w:hAnsi="Times New Roman" w:eastAsia="宋体" w:cs="宋体"/>
          <w:b/>
          <w:bCs/>
          <w:sz w:val="28"/>
          <w:szCs w:val="28"/>
        </w:rPr>
        <w:t>建设</w:t>
      </w:r>
      <w:bookmarkEnd w:id="31"/>
      <w:bookmarkEnd w:id="32"/>
      <w:bookmarkEnd w:id="33"/>
      <w:r>
        <w:rPr>
          <w:rFonts w:hint="default" w:ascii="Times New Roman" w:hAnsi="Times New Roman" w:eastAsia="宋体" w:cs="宋体"/>
          <w:b/>
          <w:bCs/>
          <w:sz w:val="28"/>
          <w:szCs w:val="28"/>
          <w:lang w:val="en-US" w:eastAsia="zh-CN"/>
        </w:rPr>
        <w:t>背景</w:t>
      </w:r>
    </w:p>
    <w:p>
      <w:pPr>
        <w:spacing w:line="360" w:lineRule="auto"/>
        <w:ind w:firstLine="480" w:firstLineChars="200"/>
        <w:rPr>
          <w:rFonts w:hint="eastAsia" w:ascii="宋体" w:hAnsi="宋体" w:eastAsia="宋体" w:cs="宋体"/>
          <w:sz w:val="24"/>
          <w:szCs w:val="24"/>
          <w:lang w:val="en-US" w:eastAsia="zh-CN" w:bidi="ar-SA"/>
        </w:rPr>
      </w:pPr>
      <w:bookmarkStart w:id="34" w:name="_Toc139717403"/>
      <w:bookmarkStart w:id="35" w:name="_Toc31950"/>
      <w:r>
        <w:rPr>
          <w:rFonts w:hint="eastAsia" w:ascii="宋体" w:hAnsi="宋体" w:eastAsia="宋体" w:cs="宋体"/>
          <w:sz w:val="24"/>
          <w:szCs w:val="24"/>
          <w:lang w:val="en-US" w:eastAsia="zh-CN" w:bidi="ar-SA"/>
        </w:rPr>
        <w:t>着力破解项目管理中“重要求轻需求”“重单项轻统筹”“重建设轻运营”“重展示轻实效”“重上架轻下架”等现象造成的谋划无序化、建设碎片化、运行低效化等问题，进一步推进系统集成、要素汇聚、场景应用“好用、管用、想用、耐用”推动应用系统“停用退出一批、归并整合一批、规范改造一批”深化市级各部门内部政务信息系统整合清理工作，建立“一单位一平台”长效机制。结合2024年信创改造工作安排，按照“大统筹、不重复、不遗漏”原则和“一单位一平台”建设要求，推动拱墅区住建局政务应用系统整合工作，各类应用系统按照统一门户集成、统一用户管理、统一授权管理的要求整合为一个互联互通、业务协同、信息共享的“大平台”。</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本项目为拱墅区住建局结合“一单位一平台”政策，着力构建一个统一门户、统一权限、统一用户的平台基座。围绕“一单位一平台”工作要求，加强政务应用统筹管理，推动使用率低、实用性差的应用停用退出、归并整合和下线退出，推进政府部门的业务协同创新形成“全市一盘棋”工作格局，全面提升政务应用系统运行效能，特制定本工作方案。</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本项目构建拱墅区智慧“助”建平台，主要完成两方面工作，</w:t>
      </w:r>
      <w:r>
        <w:rPr>
          <w:rFonts w:hint="eastAsia" w:ascii="宋体" w:hAnsi="宋体" w:eastAsia="宋体" w:cs="宋体"/>
          <w:b/>
          <w:bCs/>
          <w:sz w:val="24"/>
          <w:szCs w:val="24"/>
          <w:lang w:val="en-US" w:eastAsia="zh-CN" w:bidi="ar-SA"/>
        </w:rPr>
        <w:t>一是</w:t>
      </w:r>
      <w:r>
        <w:rPr>
          <w:rFonts w:hint="eastAsia" w:ascii="宋体" w:hAnsi="宋体" w:eastAsia="宋体" w:cs="宋体"/>
          <w:sz w:val="24"/>
          <w:szCs w:val="24"/>
          <w:lang w:val="en-US" w:eastAsia="zh-CN" w:bidi="ar-SA"/>
        </w:rPr>
        <w:t>根据文件要求，对原有4个系统进行信创改造工作，其中包括拱墅区智慧工地监管系统，拱墅区住建局干部日常实绩考核评价系统，拱墅区直管公房租住服务系统和拱墅区住安宝二期既有房屋安全监测管理系统；</w:t>
      </w:r>
      <w:r>
        <w:rPr>
          <w:rFonts w:hint="eastAsia" w:ascii="宋体" w:hAnsi="宋体" w:eastAsia="宋体" w:cs="宋体"/>
          <w:b/>
          <w:bCs/>
          <w:sz w:val="24"/>
          <w:szCs w:val="24"/>
          <w:lang w:val="en-US" w:eastAsia="zh-CN" w:bidi="ar-SA"/>
        </w:rPr>
        <w:t>二是</w:t>
      </w:r>
      <w:r>
        <w:rPr>
          <w:rFonts w:hint="eastAsia" w:ascii="宋体" w:hAnsi="宋体" w:eastAsia="宋体" w:cs="宋体"/>
          <w:sz w:val="24"/>
          <w:szCs w:val="24"/>
          <w:lang w:val="en-US" w:eastAsia="zh-CN" w:bidi="ar-SA"/>
        </w:rPr>
        <w:t>根据文件要求，集成住建局原来的各个应用系统，其中包括以上4个信创改造系统和拱墅区安置房源管理系统。</w:t>
      </w:r>
    </w:p>
    <w:p>
      <w:pPr>
        <w:bidi w:val="0"/>
        <w:ind w:firstLine="0" w:firstLineChars="0"/>
        <w:rPr>
          <w:rFonts w:hint="default" w:ascii="Times New Roman" w:hAnsi="Times New Roman" w:eastAsia="宋体" w:cs="宋体"/>
          <w:b/>
          <w:bCs/>
          <w:sz w:val="28"/>
          <w:szCs w:val="28"/>
        </w:rPr>
      </w:pPr>
      <w:bookmarkStart w:id="36" w:name="_Toc6580"/>
      <w:r>
        <w:rPr>
          <w:rFonts w:hint="default" w:ascii="Times New Roman" w:hAnsi="Times New Roman" w:eastAsia="宋体" w:cs="宋体"/>
          <w:b/>
          <w:bCs/>
          <w:sz w:val="28"/>
          <w:szCs w:val="28"/>
          <w:lang w:val="en-US" w:eastAsia="zh-CN"/>
        </w:rPr>
        <w:t>二、</w:t>
      </w:r>
      <w:r>
        <w:rPr>
          <w:rFonts w:hint="default" w:ascii="Times New Roman" w:hAnsi="Times New Roman" w:eastAsia="宋体" w:cs="宋体"/>
          <w:b/>
          <w:bCs/>
          <w:sz w:val="28"/>
          <w:szCs w:val="28"/>
        </w:rPr>
        <w:t>建设</w:t>
      </w:r>
      <w:bookmarkEnd w:id="34"/>
      <w:bookmarkEnd w:id="35"/>
      <w:r>
        <w:rPr>
          <w:rFonts w:hint="default" w:ascii="Times New Roman" w:hAnsi="Times New Roman" w:eastAsia="宋体" w:cs="宋体"/>
          <w:b/>
          <w:bCs/>
          <w:sz w:val="28"/>
          <w:szCs w:val="28"/>
          <w:lang w:val="en-US" w:eastAsia="zh-CN"/>
        </w:rPr>
        <w:t>目标</w:t>
      </w:r>
      <w:bookmarkEnd w:id="36"/>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市印发《杭州市进一步推进政务应用系统整合工作方案》的通知</w:t>
      </w:r>
    </w:p>
    <w:p>
      <w:pPr>
        <w:pageBreakBefore w:val="0"/>
        <w:kinsoku/>
        <w:wordWrap/>
        <w:overflowPunct/>
        <w:topLinePunct w:val="0"/>
        <w:bidi w:val="0"/>
        <w:spacing w:line="360" w:lineRule="auto"/>
        <w:ind w:firstLine="480" w:firstLineChars="2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4895850" cy="1838325"/>
            <wp:effectExtent l="0" t="0" r="6350" b="3175"/>
            <wp:docPr id="6" name="图片 6" descr="1723253319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23253319797"/>
                    <pic:cNvPicPr>
                      <a:picLocks noChangeAspect="1"/>
                    </pic:cNvPicPr>
                  </pic:nvPicPr>
                  <pic:blipFill>
                    <a:blip r:embed="rId26"/>
                    <a:stretch>
                      <a:fillRect/>
                    </a:stretch>
                  </pic:blipFill>
                  <pic:spPr>
                    <a:xfrm>
                      <a:off x="0" y="0"/>
                      <a:ext cx="4895850" cy="1838325"/>
                    </a:xfrm>
                    <a:prstGeom prst="rect">
                      <a:avLst/>
                    </a:prstGeom>
                  </pic:spPr>
                </pic:pic>
              </a:graphicData>
            </a:graphic>
          </wp:inline>
        </w:drawing>
      </w:r>
    </w:p>
    <w:p>
      <w:pPr>
        <w:spacing w:line="360" w:lineRule="auto"/>
        <w:ind w:firstLine="480" w:firstLineChars="200"/>
        <w:rPr>
          <w:rFonts w:hint="default" w:ascii="Times New Roman" w:hAnsi="Times New Roman" w:eastAsia="宋体" w:cs="宋体"/>
          <w:b/>
          <w:bCs/>
          <w:sz w:val="44"/>
          <w:szCs w:val="44"/>
          <w:lang w:val="en-US" w:eastAsia="zh-CN"/>
        </w:rPr>
      </w:pPr>
      <w:r>
        <w:rPr>
          <w:rFonts w:hint="eastAsia" w:ascii="宋体" w:hAnsi="宋体" w:eastAsia="宋体" w:cs="宋体"/>
          <w:sz w:val="24"/>
          <w:szCs w:val="24"/>
          <w:lang w:val="en-US" w:eastAsia="zh-CN" w:bidi="ar-SA"/>
        </w:rPr>
        <w:t>拱墅区智慧“助”建平台基于信创环境，完成应用系统的信创适配和国产化改造，同时按照“六统一”要求，统一门户集成、统一用户管理、统一授权管理，同时构建拱墅区智慧“助”建平台门户，综合集成平台各子系统，同时系统内容应适配国产化环境，包括中间件、数据库的替换，终端浏览器的适配等内容，同时提供信创环境下的应用接入和集成服务，为平台相关子系统提供统一入口服务。</w:t>
      </w:r>
    </w:p>
    <w:p>
      <w:pPr>
        <w:spacing w:line="360" w:lineRule="auto"/>
        <w:ind w:firstLine="0" w:firstLineChars="0"/>
        <w:rPr>
          <w:rFonts w:hint="default" w:ascii="Times New Roman" w:hAnsi="Times New Roman" w:eastAsia="宋体" w:cs="宋体"/>
          <w:b/>
          <w:bCs/>
          <w:sz w:val="28"/>
          <w:szCs w:val="28"/>
          <w:lang w:val="en-US" w:eastAsia="zh-CN"/>
        </w:rPr>
      </w:pPr>
      <w:r>
        <w:rPr>
          <w:rFonts w:hint="default" w:ascii="Times New Roman" w:hAnsi="Times New Roman" w:eastAsia="宋体" w:cs="宋体"/>
          <w:b/>
          <w:bCs/>
          <w:sz w:val="28"/>
          <w:szCs w:val="28"/>
          <w:lang w:val="en-US" w:eastAsia="zh-CN"/>
        </w:rPr>
        <w:t>三、</w:t>
      </w:r>
      <w:bookmarkStart w:id="37" w:name="_Toc2063"/>
      <w:bookmarkStart w:id="38" w:name="_Toc31389"/>
      <w:bookmarkStart w:id="39" w:name="_Toc139717423"/>
      <w:r>
        <w:rPr>
          <w:rFonts w:hint="default" w:ascii="Times New Roman" w:hAnsi="Times New Roman" w:eastAsia="宋体" w:cs="宋体"/>
          <w:b/>
          <w:bCs/>
          <w:sz w:val="28"/>
          <w:szCs w:val="28"/>
        </w:rPr>
        <w:t>建设</w:t>
      </w:r>
      <w:r>
        <w:rPr>
          <w:rFonts w:hint="default" w:ascii="Times New Roman" w:hAnsi="Times New Roman" w:eastAsia="宋体" w:cs="宋体"/>
          <w:b/>
          <w:bCs/>
          <w:sz w:val="28"/>
          <w:szCs w:val="28"/>
          <w:lang w:val="en-US" w:eastAsia="zh-CN"/>
        </w:rPr>
        <w:t>内容</w:t>
      </w:r>
      <w:bookmarkEnd w:id="37"/>
      <w:bookmarkEnd w:id="38"/>
      <w:bookmarkEnd w:id="39"/>
    </w:p>
    <w:p>
      <w:pPr>
        <w:spacing w:line="360" w:lineRule="auto"/>
        <w:ind w:firstLine="0" w:firstLine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1、拱墅区智慧工地监管系统</w:t>
      </w:r>
    </w:p>
    <w:p>
      <w:pPr>
        <w:bidi w:val="0"/>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1.1基本情况</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区住建局拱墅区智慧工地监管系统，聚焦当前阶段安全监管痛点，以智慧监管需求为导向，综合运用信息化管理、移动互联、物联网、AI智能分析等先进技术，打造数字化场景下“区住建局+街道+城投+企业”多端“共建共管”的智慧监管新生态，以智慧化赋能工地监管、创新监管模式、提升管理效能，为全区建设行业高质量发展赋能增效。</w:t>
      </w:r>
    </w:p>
    <w:p>
      <w:pPr>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主要功能有：“数据中心、现场管理、危大工程管理、AI智能预警、应急管理、人员管理、驾驶舱、移动应用”等应用，构建工程项目全过程、全方位智慧监管体系，建立施工现场标准化管理体系，切实压实企业主体责任，提升建设工程质量安全监管效能。</w:t>
      </w:r>
    </w:p>
    <w:p>
      <w:pPr>
        <w:pStyle w:val="968"/>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服务层：智慧工地系统服务层主要通过PC端系统和浙政钉提供服务，项目端通过PC页面进行访问和处理业务，监管人员通过浙政钉“墅智工地”应用进行要业务处理。</w:t>
      </w:r>
    </w:p>
    <w:p>
      <w:pPr>
        <w:pStyle w:val="968"/>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应用层：应用层为系统主要功能子系统，包含基础数据、监督管理、机械管理、现场管理、人员管理等子系统。</w:t>
      </w:r>
    </w:p>
    <w:p>
      <w:pPr>
        <w:pStyle w:val="968"/>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基础层：基础层主要为支撑系统正常运行和使用的相关组件，包含流程引擎、身份认证、安全管理、日志审计等中间件。</w:t>
      </w:r>
    </w:p>
    <w:p>
      <w:pPr>
        <w:pStyle w:val="968"/>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数据层：数据层依托信创数据库（达梦）部署应用数据。</w:t>
      </w:r>
    </w:p>
    <w:p>
      <w:pPr>
        <w:pStyle w:val="968"/>
        <w:spacing w:line="360" w:lineRule="auto"/>
        <w:ind w:left="420" w:leftChars="20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基础设施：基础设施层依托区电子政务信创云进行部署。</w:t>
      </w:r>
    </w:p>
    <w:p>
      <w:pPr>
        <w:spacing w:line="360" w:lineRule="auto"/>
        <w:ind w:left="420" w:leftChars="20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1.2建设内容</w:t>
      </w:r>
    </w:p>
    <w:tbl>
      <w:tblPr>
        <w:tblStyle w:val="65"/>
        <w:tblW w:w="9079" w:type="dxa"/>
        <w:tblInd w:w="-5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5"/>
        <w:gridCol w:w="1082"/>
        <w:gridCol w:w="1059"/>
        <w:gridCol w:w="5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265" w:type="dxa"/>
            <w:tcBorders>
              <w:top w:val="single" w:color="000000" w:sz="8" w:space="0"/>
              <w:left w:val="single" w:color="000000" w:sz="8" w:space="0"/>
              <w:bottom w:val="single" w:color="000000" w:sz="4" w:space="0"/>
              <w:right w:val="single" w:color="000000" w:sz="4" w:space="0"/>
            </w:tcBorders>
            <w:shd w:val="clear" w:color="auto" w:fill="CEEACA"/>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一级功能</w:t>
            </w:r>
          </w:p>
        </w:tc>
        <w:tc>
          <w:tcPr>
            <w:tcW w:w="1082" w:type="dxa"/>
            <w:tcBorders>
              <w:top w:val="single" w:color="000000" w:sz="8" w:space="0"/>
              <w:left w:val="single" w:color="000000" w:sz="4" w:space="0"/>
              <w:bottom w:val="single" w:color="000000" w:sz="4" w:space="0"/>
              <w:right w:val="single" w:color="000000" w:sz="4" w:space="0"/>
            </w:tcBorders>
            <w:shd w:val="clear" w:color="auto" w:fill="CEEACA"/>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二级功能</w:t>
            </w:r>
          </w:p>
        </w:tc>
        <w:tc>
          <w:tcPr>
            <w:tcW w:w="1059" w:type="dxa"/>
            <w:tcBorders>
              <w:top w:val="single" w:color="000000" w:sz="8" w:space="0"/>
              <w:left w:val="single" w:color="000000" w:sz="4" w:space="0"/>
              <w:bottom w:val="single" w:color="000000" w:sz="4" w:space="0"/>
              <w:right w:val="single" w:color="000000" w:sz="4" w:space="0"/>
            </w:tcBorders>
            <w:shd w:val="clear" w:color="auto" w:fill="CEEACA"/>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三级功能</w:t>
            </w:r>
          </w:p>
        </w:tc>
        <w:tc>
          <w:tcPr>
            <w:tcW w:w="5673" w:type="dxa"/>
            <w:tcBorders>
              <w:top w:val="single" w:color="000000" w:sz="8" w:space="0"/>
              <w:left w:val="single" w:color="000000" w:sz="4" w:space="0"/>
              <w:bottom w:val="single" w:color="000000" w:sz="4" w:space="0"/>
              <w:right w:val="single" w:color="000000" w:sz="4" w:space="0"/>
            </w:tcBorders>
            <w:shd w:val="clear" w:color="auto" w:fill="CEEACA"/>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7" w:hRule="atLeast"/>
        </w:trPr>
        <w:tc>
          <w:tcPr>
            <w:tcW w:w="126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数据中心国产化信创环境适配</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协同办公</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通知公告</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通知公告模块提供公告的在线发布、查询、管理等功能。</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1、公告发布</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支持在线发布各类公告（政策法规、更新日志、内部公告、外部公告），在线编辑公告内容、上传相关附件，并可指定接收对象。</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2、公告查询</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在线查询公告，支持按照公告类型、公告标题、发布人等条件进行查询。查询结果以列表形式展示。</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3、公告管理</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支持对公告的查看、修改、置顶、上移、下移、删除等操作。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待办事项</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提供待办事项模块，用户可通过该模块查看个人所有待办事项详情，并对所属的待办事项进行在线处理。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基础数据</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企业信息</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提供企业信息维护管理。</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1、企业信息查询</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提供企业信息查询服务，支持按照统一社会信用代码、企业名称、企业类型、注册区域、法定代表人等关键字段查询企业信息，包括基本信息和附件信息，如营业执照、资质证书以及安全生产许可证等附件材料。</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2、企业信息完善</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提供新增、修改、删除企业信息功能。支持在线填报企业的基本信息，上传营业执照、资质证书、安全生产许可证等附件。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人员信息</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提供人员信息的增加、删除和修改等操作。支持在线检索人员信息。其中人员新增，支持在线填报人员的基本信息、相关资格证书等。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5"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项目信息</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提供项目新增、信息修改和详情查看、位置定位等。</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1、项目管理</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支持筛选需纳入监管的项目，并可补全项目信息；增加项目对应的城投公司、所属街道字段。</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2、定位标记</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支持在地图上对项目进行搜索定位，并对项目范围进行标记。针对生活区不在项目部的，支持在地图上对生活区位置进行标记。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6" w:hRule="atLeast"/>
        </w:trPr>
        <w:tc>
          <w:tcPr>
            <w:tcW w:w="126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监督管理国产化信创环境适配</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街道检查</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监督巡查</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工程项目监督巡查业务流程。支持在建工程的桩基、基础、主体、装饰、完工待验收及停工待开工各阶段，新建巡查流程、录入检查内容、上传检查及整改附件材料，过程留痕管理。针对项目质量、安全检查，支持下发整改单。相关企业完成整改回复后，支持进行整改审批，流程归档，实现检查流程闭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整改台账</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提供整改台账 ，支持记录整改单闭合情况。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第三方巡查</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监督巡查</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提供第三方巡查功能，支持第三方机构对项目进行检查，根据拱墅实际需求，发放隐患告知单。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整改台账</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提供第三方巡查功能，支持第三方机构对项目进行检查，根据拱墅实际需求，发放隐患告知单。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夜间施工申请</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夜间施工申请</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提供夜间施工申请办理入口，支持企业在线办理发起夜间施工申请，经由住建部门进行在线审核、审批后，生成电子许可单（附带二维码）。支持企业查看、下载、打印后到环保部门办理夜间施工证明。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危大工程管理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业务总览</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针对涉及在建项目数量、项目开工备案数、施工中危大工程数量、危大工程完工数量等进行数据展示分析。支持以柱状图的形式进行汇总，并以不同的颜色展示不同阶段的工程。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1"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清单上报</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支持项目上报危大工程，对危大及超危大项目进行管理。</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支持在线新增清单，填报工程基本信息以及涉及的危险源，上传建设工程危险性超过一定规模的危险性较大分布分项工程清单、危大工程管理承诺书等附件材料。</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提供信息查询服务，支持通过项目名称、施工单位、项目状态、上报日期进行查询，清单信息以列表的形式进行展示。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开工备案</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支持对超危大工程进行开工备案。</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支持对超危大工程进行检索查询，查询的开工备案信息以列表的形式进行展示，并提供详情查看、修改、删除等操作。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完工销号</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提供对已完成危大项目销号操作。</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完工销号支持按危险源类别、完工销号编号、分部分项工程名称、完工日期等内容进行查询，并以列表的形式展示。另外支持完工销号的新建。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2" w:hRule="atLeast"/>
        </w:trPr>
        <w:tc>
          <w:tcPr>
            <w:tcW w:w="126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现场管理国产化信创环境适配</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项目管理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工地一码通</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工地一码通 包括三色工地评分及判断规则，工地监管码生成功能，可直接通过监管码扫码进入项目界面，根据角色、权限等开展相应操作。</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建设工程三色分级管理，将项目风险等级分别以红色、黄色、绿色三色显示，分别代表高风险、中风险、低风险，按不同的风险等级实施差异化管理，提高监管效能。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企业报告</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包括项目总监月度报告、施工企业月检报告、安全生产每日报告、文明施工每日报告，由企业维护，主管部门可查看。支持支持在线上报企业报告信息，并对企业报告信息进行查询，以列表的形式进行展示。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专项报告</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五方主体针对项目进行专项报告。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带班检查</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用于项目经理、项目总监对施工现场的带班检查。</w:t>
            </w:r>
          </w:p>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支持项目端上报带班检查信息、上传检查记录附件。支持对所有的项目带班检查情况进行查询查看。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创优评杯</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项目对标化工地、灵江杯、优质结构的申报维护。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投保记录</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支持新增投保记录（ 项目安责险、工伤险投保）信息，对投保记录进行查询，并对投保记录信息以列表的形式进行展示。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民工学校</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支持民工学校 上报民工学习创建情况进行统一管理。支持在下新增民工学校信息，按项目名称、上报日期等内容查询民工学校详情，信息以列表的形式进行展示。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职工培训</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支持对项目的职工培训 质量、安全、文明等相关培训开展情况记录。支持上报职工培训的情况，上传培训记录、照片等。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应急管理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避难场所登记</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街道可登记应急避难场所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避难场所申报</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项目可申报本项目的避难场所，应急管理员进行审批，审批通过后可将项目分配到避难场所上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应急物资登记</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政府用户对应急队伍的登记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应急物资上报</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项目可对应急队伍进行上报，应急管理员进行审批，审批通过后可将项目分配到避难场所上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安置避难场所</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对所有在建项目安置避难场所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应急指令管理</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应急指令下发或者终止指令，可下发应急事项给到项目；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应急任务上报记录</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项目根据应急任务，上报信息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监控总览</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通过对视频监控项目信息汇总，对已接入平台的项目组安防监控系统进行统计、汇总、展示。助力监管部门实现对施工现场实现远程的、全天候的安全监管。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监控接入</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支持对视频登记录入。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实时监控</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支持查看实时现场视频，对不文明施工安全行为实时动态掌控，及时发现处置。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录像回放</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提供录像回放功能，支持查看历史视频信息。回放过程中，支持拖拉定位播放，支持单帧回放等。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视频AI分析</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基于视频图像，自动判断人的不安全行为（如未戴安全帽、未穿反光衣）及施工现场的不安全因素，提前介入安全防范，减少项目安全隐患，提高行业监管效能。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126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人员管理国产化信创环境适配</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人员实名制</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业务总览</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对全区实名制数据汇总，监管部门可在线查看全区所有的人员信息。另外支持按街道、所属城投公司层级对人员进行统计。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项目考勤汇总</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项目考勤汇总 同步【杭州实名制平台】数据，包括项目当日考勤率、上周考勤率、上月考勤率查看，另外支持标注城投、街道项目。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项目考勤明细</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项目考勤明细 同步【杭州实名制平台】数据，项目当月考勤明细查看，标注城投、街道项目。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机械管理国产化信创环境适配</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塔式起重机监控</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业务总览</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塔式起重机械业务总览，包含台数、安装设备数、设备在线数等数据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监控登记</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登记IOT监控设备信息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实时监测</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查看IOT设备实时监测数据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预警信息</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根据预警规则显示预警信息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报警信息</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根据报警规则显示报警信息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违章信息</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根据违章规则显示违章信息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施工升降机监控</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业务总览</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施工升降机业务总览，包含台数、安装设备数、设备在线数等数据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监控登记</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登记IOT监控设备信息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实时监测</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查看IOT设备实时监测数据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预警信息</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根据预警规则显示预警信息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报警信息</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根据报警规则显示报警信息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违章信息</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根据违章规则显示违章信息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2347"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系统管理国产化信创环境适配</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用户管理</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系统用户维护管理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234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角色管理</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角色及权限维护管理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234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组织机构</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系统组织机构维护管理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126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综合驾驶舱国产化信创环境适配</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三色治理</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基于人员管理指标、设备运行监测指标、主管部门监督检查指标等建立三色分析评价模型，对区域项目实施分级管理，实现风险隐患智能预警，提高行业监管效能。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总览大屏</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全区项目情况、人员情况、设备情况、夜间施工情况、视频、申办事项、办结事项、各阶段分布情况、各城投分布情况、总体投资额、建筑规模、应用管理总体情况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街道大屏</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街道用户根据数据权限，查看本街道项目情况、人员情况、设备情况、夜间施工情况、视频、街道待办事项、街道办结事项、整改闭合事项；应急管理等。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指挥部大屏</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指挥部用户根据数据权限，查看指挥部项目情况、人员情况、设备情况、政府接待下单整改闭环情况、夜间施工审批数据、视频、应急管理、工程进度情况、工程投资、建筑规模、应急管理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项目看板</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本项项目基本信息、参建人员到岗信息、现场机械设备情况、视频、进度、整改闭环情况、夜间施工情况、项目二维码及其三色评价结果展示。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126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移动端国产化信创环境适配</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政府侧应用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监督交底</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提供移动端的监督交底模块，满足政府进行监督交底移动办事的需要，支持手机端对已申报工程，进行分配监督科室、监督人员，维护交底记录、交底照片。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监督检查</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针对已申报工程，支持开展移动端监督检查或专项抽查，支持监管人员根据项目生产进度情况，在线发起监督检查或专项抽查任务流程，并下发整改单督促相关单位对工程项目进行整改。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项目信息</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提供移动端项目信息管理模块，支持手机端搜索监管项目，查看项目信息。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街道检查</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提供街道检查功能，支持街道管理人员利用移动端完成项目检查、发放隐患告知单，实现掌上办事。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第三方巡查</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支持第三方巡查通过移动端完成巡查工作，支持第三方巡查机构人员现场巡查时，利用手机即可发放隐患告知单。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待办事项</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移动端操作审核、整改等待办信息。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企业侧应用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项目信息</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可通过移动端项目信息模块对该项目的详细信息进行查阅，包括：未闭合整改单数量、塔机黑匣子数量、升降机黑匣子数量等，对项目的所在地、项目类别、工程状态等情况进行总体展示。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应急管理</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可查看本项目应急管理数据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夜间施工申请</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提供夜间施工申请移动端功能。支持企业相关人员利用手机即可完成夜间施工在线申请，按要求填报相关信息。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安全考评申请</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提供安全考评申请移动端入口，支持企业在建设工程施工的可申请阶段进行安全考评申请，填报必要的信息材料。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过程验收申请</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提供过程验收申请的移动端入口，支持企业在项目实时过程的基础、主体等阶段验收前，在线发起验收申请。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完工评价申请</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提供建设工程的完工评价申请移动端功能，支持项目完后企业手机端直接发起完工评价申请。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竣工验收申请</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提供移动端的竣工验收申请服务，支持企业利用手机随时随地在线发起竣工验收申请，满足企业便捷办事的服务需求。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待办事项</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提供移动端的企业待办事项功能，支持企业在线查看处理需要整改、处理的待办事项等。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126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门户集成</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门户集成</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将拱墅区智慧工地监管系统集成到拱墅区智慧“助”建平台整合集成实现一单位一平台，统一访问入口为拱墅区智慧“助”建登录入口。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126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统一用户和认证集成</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统一用户和认证集成</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采用拱墅区智慧“助”建平台认证作为用户管理及授权的核心服务，集成统一用户认和授权。</w:t>
            </w:r>
          </w:p>
        </w:tc>
      </w:tr>
    </w:tbl>
    <w:p>
      <w:pPr>
        <w:spacing w:line="360"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2、拱墅区住建局干部日常实绩考核评价系统</w:t>
      </w:r>
    </w:p>
    <w:p>
      <w:pPr>
        <w:spacing w:line="360" w:lineRule="auto"/>
        <w:ind w:firstLine="0" w:firstLineChars="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2.1基本情况</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根据省、市相关考核要求，基于信创环境的基础上，打造拱墅区住建局干部日常实绩考核评价系统，推进日常实绩数字化、精简化、标准化，建立相应标准体系、应用体系、安防体系和维保体系，创新工作方式、促进信息共享，实现日常实绩的科学评估。</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根据拱墅区住建局干部日常实绩考核评价系统的整体建设需求与业务目标，要求系统具有较高的扩展性、易用性、开放性和技术先进性。为了满足上述要求，便于今后业务的可持续性发展，提高系统可维护性，便于运营和资源扩展开发，让更多的单位和机构协同工作，同时也为系统的智慧性提供基础技术支撑。</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整个平台分为五个层次：</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第一个层次是资源层，资源层解决数据的存储、备份、安全、动态扩展、资源调度和智能管理，提供计算、操作系统、存储、网络等资源，此层主要依托信创云实现。同时可接入各类物联网感知设备。</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第二个层次是数据层，数据层解决各种格式数据存储、大数据存储、数据高并发访问、数据的交换、集成、分类、加工、封装和数据服务问题。此层内容主要利用信创云中的RDS关系数据集以及OSS对象存储服务实现。</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第三个层次是平台层，平台层是核心层次，主要解决系统的构建、系统运行的服务支撑、服务提供、开放管理、安全、分布式计算、管控融合、数据分类分析、挖掘和服务、地图服务以及移动互联等。此层内容为需综合利用原有相应信息平台服务。</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第四层是软件服务层，主要解决服务交付、重组和复用的问题，系统功能按服务提交至平台，服务和服务可组装构建出不同应用系统。</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第五层是终端层次，终端层解决人机交互、信息获取等问题，通常终端一般指电脑和智能手机，软件服务层为终端层提供软件服务。</w:t>
      </w:r>
      <w:r>
        <w:rPr>
          <w:rFonts w:hint="eastAsia" w:ascii="宋体" w:hAnsi="宋体" w:eastAsia="宋体" w:cs="宋体"/>
          <w:sz w:val="24"/>
          <w:szCs w:val="24"/>
          <w:lang w:val="en-US" w:eastAsia="zh-CN" w:bidi="ar-SA"/>
        </w:rPr>
        <w:br w:type="textWrapping"/>
      </w:r>
      <w:r>
        <w:rPr>
          <w:rFonts w:hint="eastAsia" w:ascii="宋体" w:hAnsi="宋体" w:eastAsia="宋体" w:cs="宋体"/>
          <w:b/>
          <w:bCs/>
          <w:sz w:val="24"/>
          <w:szCs w:val="24"/>
          <w:lang w:val="en-US" w:eastAsia="zh-CN" w:bidi="ar-SA"/>
        </w:rPr>
        <w:t>2.2建设内容</w:t>
      </w:r>
    </w:p>
    <w:tbl>
      <w:tblPr>
        <w:tblStyle w:val="65"/>
        <w:tblW w:w="8438" w:type="dxa"/>
        <w:tblInd w:w="93"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558"/>
        <w:gridCol w:w="2038"/>
        <w:gridCol w:w="484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5" w:hRule="atLeast"/>
        </w:trPr>
        <w:tc>
          <w:tcPr>
            <w:tcW w:w="155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一级功能</w:t>
            </w: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二级功能</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功能描述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55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首页国产化信创环境适配</w:t>
            </w: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首页功能</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实时更新相关通知、表彰、党建，考核排名等信息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558" w:type="dxa"/>
            <w:vMerge w:val="restart"/>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用户信息国产化信创环境适配</w:t>
            </w: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用户信息维护</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针对各个当前登录用户的员工基础资料，实现展示与管理的功能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用户密码修改</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提供密码修改功能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廉政警句</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系统可显示最新发布的廉政警句信息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党员学习站</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党员学习站需显示最新发布的党员学习站内容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公告通知</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系统可显示全局性的通知，如会议通知、活动通知等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先进表彰</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系统可展示最新的先进表彰信息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干部日常管理</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显示最新的干部日常管理相关规定，政策，制度等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考核优秀人员晾晒</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可按年度、季度显示考核优秀人员，优秀人员需分组展示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4" w:hRule="atLeast"/>
        </w:trPr>
        <w:tc>
          <w:tcPr>
            <w:tcW w:w="1558" w:type="dxa"/>
            <w:vMerge w:val="restart"/>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业绩晾晒国产化信创环境适配</w:t>
            </w: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日记</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可按天记录自己的工作日志</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周记</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可按周记录自己的工作周志</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月记</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可按月记录自己的工作月度计划</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正负面清单录入</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可录入正负面清单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1558" w:type="dxa"/>
            <w:vMerge w:val="restart"/>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日志评看国产化信创环境适配</w:t>
            </w: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领导季度推优</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可查看全部待评价人员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季度推优录入</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可按季度录入当前人员的推优信息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推优审核</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主要领导与分管领导可对推优结果进行评价的审核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推优结果公示</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可按年度、季度的推优结果展示考核优秀人员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558" w:type="dxa"/>
            <w:vMerge w:val="restart"/>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荣誉榜单国产化信创环境适配</w:t>
            </w: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先进荣誉</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展示历史取得的先进荣誉信息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先进表彰</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展示历史取得的先进表彰信息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55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目标管理国产化信创环境适配</w:t>
            </w: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按科室展示科室的本月主要工作及下月工作计划等信息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55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科室互评国产化信创环境适配</w:t>
            </w: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对科室进行相互评价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1558" w:type="dxa"/>
            <w:vMerge w:val="restart"/>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系统维护</w:t>
            </w: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节假日维护</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对每年的法定节假日进行维护</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分管部门维护</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管理员可对全部领导的分管科室进行配置维护</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公告通知</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公告通知管理员可发布、编辑、删除全部的公告通知信息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廉政警句</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有权限的管理员可维护全部的廉政警句信息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党员学习站</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有权限的管理员可维护全部的党员学习站信息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日志管理</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有权限的管理员可维护全部的日志管理信息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先进表彰管理</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有权限的管理员可维护全部的先进表彰信息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干部日常管理</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有权限的管理员可维护全部的干部日常管理信息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推优人员维护</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有权限的管理员可维护全部的负责推优人员的相关领导信息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人员类型维护</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有权限的管理员可对人员类型进行管理维护</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推优结果保存</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有权限的管理员可对领导的推优结果进行审核保存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推优结果分发</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有权限的管理员可对领导的推优结果进行最终发布管理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55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203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周记必填人员</w:t>
            </w:r>
          </w:p>
        </w:tc>
        <w:tc>
          <w:tcPr>
            <w:tcW w:w="4842"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有权限的管理员可对周记必填人员信息的信息进行管理</w:t>
            </w:r>
          </w:p>
        </w:tc>
      </w:tr>
    </w:tbl>
    <w:p>
      <w:pPr>
        <w:spacing w:line="360" w:lineRule="auto"/>
        <w:rPr>
          <w:rFonts w:hint="eastAsia" w:ascii="宋体" w:hAnsi="宋体" w:eastAsia="宋体" w:cs="宋体"/>
          <w:sz w:val="24"/>
          <w:szCs w:val="24"/>
          <w:lang w:val="en-US" w:eastAsia="zh-CN"/>
        </w:rPr>
      </w:pPr>
    </w:p>
    <w:p>
      <w:pPr>
        <w:spacing w:line="360"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3、拱墅区直管公房租住服务系统</w:t>
      </w:r>
    </w:p>
    <w:p>
      <w:pPr>
        <w:bidi w:val="0"/>
        <w:spacing w:line="360" w:lineRule="auto"/>
        <w:ind w:firstLine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3.1基本情况</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拱墅区直管公房租住服务系统旨在通过数字化手段革新传统公房管理，其核心功能和用途聚焦于以下几个方面：</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线上缴费通道：系统建立了便捷的线上支付方式，业主和居民能够通过电子支付平台，轻松完成房租及其他费用的缴纳，无需前往站点，节省时间和精力。</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在线数据管理：系统提供了一个数据管理和分析平台，能够按照小区维度进行数据分类和汇总，包括租金收取情况、住户信息等，有助于提升管理效率和透明度。</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统一服务平台：通过建立统一的“拱墅公房服务”平台，整合了信息通知、缴费、查询等功能，提供一站式服务，使得居民能够在一个平台上完成多项操作。</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便捷的移动端应用：系统通过提供“拱墅公房服务”平台，让居民可以随时随地处理租房相关事务，实现真正的“掌上办”。</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系统用途</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提升服务效率：通过数字化转型，该系统显著提高了服务站对直管公房的管理效率，减少了人工操作的错误，加速了信息流转，使服务更加高效。</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增强用户体验：居民能够享受到更加便捷的线上服务，减少了线下往返的不便，提高了生活质量和满意度。</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数据驱动决策：系统收集的数据为管理者提供了决策支持，通过对数据的分析，可以更好地理解居民需求，优化资源配置，提升服务质量。</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促进信息公开透明：在线数据管理促进了信息的公开透明，增加了房管站服务的透明度，增强了公众的信任感。</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综上所述，直管公房租住系统通过构建线上缴费通道和在线数据管理平台，不仅提升了直管公房租金收缴的现代化水平，也极大地便利了居民的生活，实现了区住保中心与租户之间的高效互动。</w:t>
      </w:r>
    </w:p>
    <w:p>
      <w:pPr>
        <w:spacing w:line="360" w:lineRule="auto"/>
        <w:ind w:firstLine="482" w:firstLineChars="200"/>
        <w:rPr>
          <w:rFonts w:hint="eastAsia" w:ascii="宋体" w:hAnsi="宋体" w:eastAsia="宋体" w:cs="宋体"/>
          <w:sz w:val="24"/>
          <w:szCs w:val="24"/>
          <w:lang w:val="en-US" w:eastAsia="zh-CN" w:bidi="ar-SA"/>
        </w:rPr>
      </w:pPr>
      <w:r>
        <w:rPr>
          <w:rFonts w:hint="eastAsia" w:ascii="宋体" w:hAnsi="宋体" w:eastAsia="宋体" w:cs="宋体"/>
          <w:b/>
          <w:bCs/>
          <w:sz w:val="24"/>
          <w:szCs w:val="24"/>
          <w:lang w:val="en-US" w:eastAsia="zh-CN" w:bidi="ar-SA"/>
        </w:rPr>
        <w:t>3.2建设内容</w:t>
      </w:r>
    </w:p>
    <w:tbl>
      <w:tblPr>
        <w:tblStyle w:val="6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6"/>
        <w:gridCol w:w="1447"/>
        <w:gridCol w:w="5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7"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一级功能</w:t>
            </w:r>
          </w:p>
        </w:tc>
        <w:tc>
          <w:tcPr>
            <w:tcW w:w="852"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二级功能</w:t>
            </w:r>
          </w:p>
        </w:tc>
        <w:tc>
          <w:tcPr>
            <w:tcW w:w="326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小区管理国产化信创环境适配</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组织信息</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可以创建或修改组织的基础信息等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小区情况</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可以创建或修改小区的基本信息等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员工管理</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可以添加、修改、删除员工等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房屋管理</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可以添加、修改、删除小区的房屋等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业户管理</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可以添加、修改、删除小区业户的信息等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住户管理</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可以添加、修改、删除小区住户的信息等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收费管理国产化信创环境适配</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收银台</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用于工作人员的主工作台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账单管理</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可以进行租户的房租等账单的详细信息的管理维护等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收费设置</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可以进行收费单价的配置及维护等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缴费记录</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可以查询跟踪租户的缴费具体详情等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开票申请</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可以查看处理租户的开票申请等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批量托收</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可以处理与银行对接的托收情况等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报表管理国产化信创环境适配</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报表配置</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可以展示报表系统的配置及维护等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报表查询</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可以进行报表的查询，方便领导从不同维度了解系统情况等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报表框架</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可以对报表的框架进行设计修改等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图文展示</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可以以图文的形式展示相关报表结果等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报表打印</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可以对需要打印的报表进行打印等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系统模块&amp;基础模块国产化信创环境适配</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基础模块</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进行基础模块的设计及实现等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统一门户</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可以进行统一门户的登录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账户权限控制</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可以进行工作人员权限的配置及维护等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支付设置</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可以配置支付的具体内容等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消息提醒</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可以查询系统及使用过程中的消息内容等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工作台</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可以用于工作内容的整体统一维度查看等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个人中心</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可以设置修改此账号的具体情况等</w:t>
            </w:r>
          </w:p>
        </w:tc>
      </w:tr>
    </w:tbl>
    <w:p>
      <w:pPr>
        <w:spacing w:line="360"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4、拱墅区住安宝二期既有房屋安全监测管理系统</w:t>
      </w:r>
    </w:p>
    <w:p>
      <w:pPr>
        <w:spacing w:line="360" w:lineRule="auto"/>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4.1基本情况</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根据现有房屋检测数据信息和房屋及有可以发生的危险状况进行综合分析，此次的拱墅区既有房屋动态监控管理系统的设计思路主要是通过在房屋安装远程监测设备上传数据进行分析，实现对房屋动态数据的远程管理功能。以监测机构、物业单位、产权单位等等加入到平台内，对自有的房屋进行数据上传，如发生房屋危险情况，可通过平台进行上传信息，通过平台实现对房屋的智能化管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系统架构采取标准物联网架构，主要分为感知层、网络层、平台层和应用层组成。</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感知层包括三种类型的传感器，分别对应房屋监测过程中的裂缝、倾斜和沉降的监测。装置安装在房屋结构中，监测到的数据可以通过远程无线的通讯方式上传到危房监测平台系统。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网络层使用 GPRS 通讯方式对数据进行传输，通讯稳定成本低。</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平台层主要包括房屋预警、房屋档案建设、基于 GIS 的房屋地理信息系统、巡检信息、处置管理等。主要实现对房屋状态的监测，对房屋可能造成事故的预警、在事故发生后对事故的处置。还能对每一栋房屋进行档案管理，归档房屋信息，包括房屋建造时间使用年限以及房屋情况等信息。</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应用层体现的是对于信息的处理以及应用，对于感知信息的存储和处理，根据得到的数据进行数据分析，建立应急危机处理预案，在收到房屋预警的时候能够根据预定的策略进行事件处理。</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sz w:val="24"/>
          <w:lang w:val="en-US" w:eastAsia="zh-CN"/>
        </w:rPr>
      </w:pPr>
      <w:r>
        <w:rPr>
          <w:rFonts w:hint="eastAsia" w:ascii="宋体" w:hAnsi="宋体" w:eastAsia="宋体" w:cs="宋体"/>
          <w:b/>
          <w:bCs/>
          <w:sz w:val="24"/>
          <w:lang w:val="en-US" w:eastAsia="zh-CN"/>
        </w:rPr>
        <w:t>4.2建设内容</w:t>
      </w:r>
    </w:p>
    <w:tbl>
      <w:tblPr>
        <w:tblStyle w:val="65"/>
        <w:tblW w:w="9294" w:type="dxa"/>
        <w:tblInd w:w="-121"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208"/>
        <w:gridCol w:w="1290"/>
        <w:gridCol w:w="1327"/>
        <w:gridCol w:w="546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trPr>
        <w:tc>
          <w:tcPr>
            <w:tcW w:w="1208" w:type="dxa"/>
            <w:tcBorders>
              <w:tl2br w:val="nil"/>
              <w:tr2bl w:val="nil"/>
            </w:tcBorders>
            <w:shd w:val="clear" w:color="auto" w:fill="CEEACA"/>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一级功能</w:t>
            </w:r>
          </w:p>
        </w:tc>
        <w:tc>
          <w:tcPr>
            <w:tcW w:w="1290" w:type="dxa"/>
            <w:tcBorders>
              <w:tl2br w:val="nil"/>
              <w:tr2bl w:val="nil"/>
            </w:tcBorders>
            <w:shd w:val="clear" w:color="auto" w:fill="CEEACA"/>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二级功能</w:t>
            </w:r>
          </w:p>
        </w:tc>
        <w:tc>
          <w:tcPr>
            <w:tcW w:w="1327" w:type="dxa"/>
            <w:tcBorders>
              <w:tl2br w:val="nil"/>
              <w:tr2bl w:val="nil"/>
            </w:tcBorders>
            <w:shd w:val="clear" w:color="auto" w:fill="CEEACA"/>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三级功能</w:t>
            </w:r>
          </w:p>
        </w:tc>
        <w:tc>
          <w:tcPr>
            <w:tcW w:w="5469" w:type="dxa"/>
            <w:tcBorders>
              <w:tl2br w:val="nil"/>
              <w:tr2bl w:val="nil"/>
            </w:tcBorders>
            <w:shd w:val="clear" w:color="auto" w:fill="CEEACA"/>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功能描述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2" w:hRule="atLeast"/>
        </w:trPr>
        <w:tc>
          <w:tcPr>
            <w:tcW w:w="1208" w:type="dxa"/>
            <w:vMerge w:val="restart"/>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综合门户集成</w:t>
            </w:r>
          </w:p>
        </w:tc>
        <w:tc>
          <w:tcPr>
            <w:tcW w:w="1290"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门户集成</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将拱墅区住安宝二期既有房屋安全监测管理系统集成到拱墅区智慧“助”建平台整合集成实现一单位一平台，统一访问入口为拱墅区智慧“助”建登录入口。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1208" w:type="dxa"/>
            <w:vMerge w:val="continue"/>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90"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统一用户和认证集成</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采用拱墅区智慧“助”建平台认证作为用户管理及授权的核心服务，集成统一用户认和授权。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2" w:hRule="atLeast"/>
        </w:trPr>
        <w:tc>
          <w:tcPr>
            <w:tcW w:w="1208" w:type="dxa"/>
            <w:vMerge w:val="restart"/>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房屋档案管理国产化信创环境适配</w:t>
            </w:r>
          </w:p>
        </w:tc>
        <w:tc>
          <w:tcPr>
            <w:tcW w:w="1290"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房屋基础信息维护</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房屋基础信息主要包含建筑物名称、所属省市区街道社区、坐落地址、竣工日期、结构 类型、层数、建筑面积、经纬度坐标、房屋性质、产权管理单位等。目前仅针对房屋，后期可扩展为构筑物、隧道、桥梁等，可自定义字段或控件自由搭建组合的模式。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2" w:hRule="atLeast"/>
        </w:trPr>
        <w:tc>
          <w:tcPr>
            <w:tcW w:w="1208" w:type="dxa"/>
            <w:vMerge w:val="continue"/>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90" w:type="dxa"/>
            <w:tcBorders>
              <w:tl2br w:val="nil"/>
              <w:tr2bl w:val="nil"/>
            </w:tcBorders>
            <w:shd w:val="clear" w:color="auto" w:fill="auto"/>
            <w:vAlign w:val="center"/>
          </w:tcPr>
          <w:p>
            <w:pPr>
              <w:spacing w:line="360" w:lineRule="auto"/>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房屋信息更新</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对不同房屋进行分类管理。根据业务单位的需求，可分为年代久远房屋、有隐患房屋、未完成整治危房、腾空危房、生产经营性自建房等。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2" w:hRule="atLeast"/>
        </w:trPr>
        <w:tc>
          <w:tcPr>
            <w:tcW w:w="120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物联感知国产化信创环境适配</w:t>
            </w:r>
          </w:p>
        </w:tc>
        <w:tc>
          <w:tcPr>
            <w:tcW w:w="1290"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物联感知改造提升</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引入大数据技术和人工智能算法，减少数据传输延迟，提高响应速度，将不同来源和类型的数据进行整合和分析，提高数据交互的效率，提升数据的准确性和可用性。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2" w:hRule="atLeast"/>
        </w:trPr>
        <w:tc>
          <w:tcPr>
            <w:tcW w:w="1208" w:type="dxa"/>
            <w:vMerge w:val="restart"/>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巡检功能国产化信创环境适配</w:t>
            </w:r>
          </w:p>
        </w:tc>
        <w:tc>
          <w:tcPr>
            <w:tcW w:w="1290"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巡检流程的优化提升</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优化提升房屋巡检流程可以提高巡检效率、减少人为失误以及更及时地发现和解决问题。根据巡检发现的隐患问题，对隐患房屋进行分类管理，建立隐患房屋的审核机制，防止产生误报、漏报的情况。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5" w:hRule="atLeast"/>
        </w:trPr>
        <w:tc>
          <w:tcPr>
            <w:tcW w:w="1208" w:type="dxa"/>
            <w:vMerge w:val="continue"/>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290"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监管部门人员功能需求</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监管单位人员登可分别查看行政区域内各个社区街道、监测单位、产权管理单位今日完成的巡检任务和累计完成的巡检任务。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街道、社区、产权管理单位功能需求</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街道、社区、产权管理单位可查看本街道、社区及本单位今日完成的巡 检任务和累计完成的巡检任务。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0"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巡检人员功能需求</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巡检人员可查看自己今日完成的巡检任务、未完成的巡检任务和累计完成的巡检任务。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vMerge w:val="restart"/>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任务布置</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必填项，可自由输入任务名称。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巡检对象</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巡检对象须在PC端进行导入或新增，目前巡检对象为建筑物，可选择单个或多个建筑物，需要建筑物所属的街道社区分类显示，方便用户进行选择。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任务类型</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必填项，分为临时和周期性两种类型。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0"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巡检时间</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根据用户需求选择巡检任务开始时间和结束时间，要求巡检任务在规定时间内完成。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5"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周期类型</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必填项，当“任务类型”是周期性任务时必填，“周期类型”选项有“天/周/月”三种。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巡检人员</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巡检人员指需要完成巡检任务的人员，根据用户所属的组织架构，只显示属于自己组织架构的人员供选择，可根据房屋的所属社区街道进行关联。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5"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巡检内容</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巡检内容可关联一个或多个巡检项，也可直接关联巡检表单，或者是巡检表单和巡检项的组合。</w:t>
            </w:r>
          </w:p>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根据不同的房屋结构类型，巡检任务类型，结合相关标准规范，制定更加专业、全面、科学的巡检内容，确保巡检工作的全面性和有效性。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教程、培训内容</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教程、培训内容是针对巡检项而创建的，用于指导如何操作及判别。支持文档、照片及视频等资料的上传、查看，可与巡检任务单进行关联。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0"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提交和取消</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提交和取消的按键在选择时需要进行二次确认。</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5"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vMerge w:val="restart"/>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任务执行</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执行任务界面</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可查看需要执行的所有任务列表，任务顺序默认按照任务时间进行排序，结束时间早的任务排在上面。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搜索</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可根据任务名称或巡检对象过滤列表。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5"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历史记录</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可以查看某个房屋的执行过的所有历史巡检记录，包括自己和所属组织架构内其他巡检 人员的巡检记录。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5"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执行任务</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巡检人执行任务就是要完成任务中所有巡检项，如果在PC端设置了巡检项的指导培训教程，则用户可以点击查看。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vMerge w:val="restart"/>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已完成的任务</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搜索</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可根据任务名称或巡检对象过滤列表。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任务清单</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根据巡检日期从近到远排序。可按照时间进行筛选显示。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任务详情</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可查看已完成任务的详情，当巡检任务执行完成后，根据巡检任务单的内容自动生成巡检报告</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1208"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预警功能国产化信创环境适配</w:t>
            </w:r>
          </w:p>
        </w:tc>
        <w:tc>
          <w:tcPr>
            <w:tcW w:w="1290"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预警功能优化提升</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根据房屋的结构类型、层数等指标，设置不同的预警阈值，同时根据不同监测设备触发的预警次数和频率，经过算法模型，实现自动分级预警。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trPr>
        <w:tc>
          <w:tcPr>
            <w:tcW w:w="1208" w:type="dxa"/>
            <w:vMerge w:val="restart"/>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处置功能国产化信创环境适配</w:t>
            </w:r>
          </w:p>
        </w:tc>
        <w:tc>
          <w:tcPr>
            <w:tcW w:w="1290"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处置流程的优化提升</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不同的房屋隐患需要建立不同的处置闭环流程和应对措施，确保房屋安全隐患问题处置闭环。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trPr>
        <w:tc>
          <w:tcPr>
            <w:tcW w:w="1208" w:type="dxa"/>
            <w:vMerge w:val="continue"/>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90"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监管部门人员处置功能</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监管单位人员可分别查看行政区域内各个社区街道、产权管理单位处置中的处置任务和累计完成的处置任务，可按照时间进行筛选，可查看处置流程的当前节点。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街道、社区、产权管理单位处置功能</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街道、社区、产权管理可查看本街道、社区及本单位处置中的处置任务和累计完成的处置任务，可按照时间进行筛选，可查看处置流程的当前节点。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处置流程</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根据异常巡检报告所属房屋，选择处置流程，分为公共类房屋处置流程和非公共类房屋处置流程。处置流程发起后自动告知政府监管单位。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2" w:hRule="atLeast"/>
        </w:trPr>
        <w:tc>
          <w:tcPr>
            <w:tcW w:w="1208" w:type="dxa"/>
            <w:vMerge w:val="restart"/>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浙政钉移动端国产化信创环境适配</w:t>
            </w:r>
          </w:p>
        </w:tc>
        <w:tc>
          <w:tcPr>
            <w:tcW w:w="1290"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巡检任务的派发功能</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产权管理单位、社区街道、监测单位可通过浙政钉端派发巡检任务。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86"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巡检任务的执行功能</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人可通过浙政钉端完成任务中所有巡检项，用户可以查看指导培训教程。当现场巡检项全部完成后，最终对房屋是否异常进行选择，可选择“异常”或“正常”,如选择“异常”则触发通知至监测单位项目负责人、平台管理员，进入处置程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查看巡检报告</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当巡检任务执行完成后，根据巡检任务单的内容自动生成巡检报告进行查看。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1"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异常事件的处置功能</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通过浙政钉端查看异常巡检报告后，可选择处置流程，分为公共类房屋处置流程和非公共类房屋处置流程。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9" w:hRule="atLeast"/>
        </w:trPr>
        <w:tc>
          <w:tcPr>
            <w:tcW w:w="1208" w:type="dxa"/>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000000"/>
                <w:sz w:val="24"/>
                <w:szCs w:val="24"/>
                <w:u w:val="none"/>
              </w:rPr>
            </w:pPr>
          </w:p>
        </w:tc>
        <w:tc>
          <w:tcPr>
            <w:tcW w:w="1290"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统计功能</w:t>
            </w:r>
          </w:p>
        </w:tc>
        <w:tc>
          <w:tcPr>
            <w:tcW w:w="1327"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469" w:type="dxa"/>
            <w:tcBorders>
              <w:tl2br w:val="nil"/>
              <w:tr2bl w:val="nil"/>
            </w:tcBorders>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通过浙政钉端可按时间段统计巡检任务和处置流程的数量，也可按完成情况进行分类统计。</w:t>
            </w:r>
          </w:p>
        </w:tc>
      </w:tr>
    </w:tbl>
    <w:p>
      <w:pPr>
        <w:rPr>
          <w:rFonts w:hint="default" w:ascii="Times New Roman" w:hAnsi="Times New Roman" w:eastAsia="宋体" w:cs="宋体"/>
          <w:lang w:val="en-US" w:eastAsia="zh-CN"/>
        </w:rPr>
      </w:pPr>
    </w:p>
    <w:p>
      <w:pPr>
        <w:ind w:firstLine="0" w:firstLineChars="0"/>
        <w:outlineLvl w:val="1"/>
        <w:rPr>
          <w:rFonts w:hint="default" w:ascii="Times New Roman" w:hAnsi="Times New Roman" w:eastAsia="宋体" w:cs="宋体"/>
          <w:b/>
          <w:bCs/>
          <w:sz w:val="28"/>
          <w:szCs w:val="28"/>
          <w:lang w:val="en-US" w:eastAsia="zh-CN"/>
        </w:rPr>
      </w:pPr>
      <w:r>
        <w:rPr>
          <w:rFonts w:hint="default" w:ascii="Times New Roman" w:hAnsi="Times New Roman" w:eastAsia="宋体" w:cs="宋体"/>
          <w:b/>
          <w:bCs/>
          <w:sz w:val="28"/>
          <w:szCs w:val="28"/>
          <w:lang w:val="en-US" w:eastAsia="zh-CN"/>
        </w:rPr>
        <w:t>四、系统功能清单</w:t>
      </w:r>
    </w:p>
    <w:tbl>
      <w:tblPr>
        <w:tblStyle w:val="65"/>
        <w:tblW w:w="5319" w:type="pct"/>
        <w:tblInd w:w="-21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1115"/>
        <w:gridCol w:w="1378"/>
        <w:gridCol w:w="1420"/>
        <w:gridCol w:w="5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76" w:hRule="atLeast"/>
        </w:trPr>
        <w:tc>
          <w:tcPr>
            <w:tcW w:w="1140"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lang w:val="en-US" w:eastAsia="zh-CN" w:bidi="ar-SA"/>
              </w:rPr>
            </w:pPr>
            <w:r>
              <w:rPr>
                <w:rFonts w:hint="eastAsia" w:ascii="宋体" w:hAnsi="宋体" w:eastAsia="宋体" w:cs="宋体"/>
                <w:b/>
                <w:bCs/>
                <w:i w:val="0"/>
                <w:iCs w:val="0"/>
                <w:color w:val="000000"/>
                <w:sz w:val="24"/>
                <w:szCs w:val="24"/>
                <w:u w:val="none"/>
                <w:lang w:val="en-US" w:eastAsia="zh-CN" w:bidi="ar-SA"/>
              </w:rPr>
              <w:t>一级功能</w:t>
            </w:r>
          </w:p>
        </w:tc>
        <w:tc>
          <w:tcPr>
            <w:tcW w:w="1502"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二级功能</w:t>
            </w:r>
          </w:p>
        </w:tc>
        <w:tc>
          <w:tcPr>
            <w:tcW w:w="1550"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三级功能</w:t>
            </w:r>
          </w:p>
        </w:tc>
        <w:tc>
          <w:tcPr>
            <w:tcW w:w="5690"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功能描述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1140"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拱墅区智慧“助”建平台</w:t>
            </w:r>
          </w:p>
        </w:tc>
        <w:tc>
          <w:tcPr>
            <w:tcW w:w="1502" w:type="dxa"/>
            <w:tcBorders>
              <w:bottom w:val="single" w:color="auto" w:sz="4" w:space="0"/>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统一门户集成</w:t>
            </w:r>
          </w:p>
        </w:tc>
        <w:tc>
          <w:tcPr>
            <w:tcW w:w="1550" w:type="dxa"/>
            <w:tcBorders>
              <w:bottom w:val="single" w:color="auto" w:sz="4" w:space="0"/>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统一门户集成</w:t>
            </w:r>
          </w:p>
        </w:tc>
        <w:tc>
          <w:tcPr>
            <w:tcW w:w="5690"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实现部门所有应用系统以模块方式进行整合集成，实现“一单位一平台”</w:t>
            </w:r>
            <w:r>
              <w:rPr>
                <w:rFonts w:hint="eastAsia" w:ascii="宋体" w:hAnsi="宋体" w:eastAsia="宋体" w:cs="宋体"/>
                <w:i w:val="0"/>
                <w:iCs w:val="0"/>
                <w:color w:val="000000"/>
                <w:kern w:val="0"/>
                <w:sz w:val="24"/>
                <w:szCs w:val="24"/>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114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2" w:type="dxa"/>
            <w:tcBorders>
              <w:top w:val="single" w:color="auto" w:sz="4" w:space="0"/>
              <w:bottom w:val="single" w:color="auto" w:sz="4" w:space="0"/>
              <w:tl2br w:val="nil"/>
              <w:tr2bl w:val="nil"/>
            </w:tcBorders>
            <w:shd w:val="clear" w:color="auto" w:fill="auto"/>
            <w:vAlign w:val="center"/>
          </w:tcPr>
          <w:p>
            <w:pPr>
              <w:ind w:left="0" w:leftChars="0" w:firstLine="0" w:firstLineChar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统一用户管理</w:t>
            </w:r>
          </w:p>
        </w:tc>
        <w:tc>
          <w:tcPr>
            <w:tcW w:w="1550"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sz w:val="24"/>
                <w:szCs w:val="24"/>
                <w:u w:val="none"/>
                <w:lang w:val="en-US" w:eastAsia="zh-CN"/>
              </w:rPr>
              <w:t>统一用户管理</w:t>
            </w:r>
          </w:p>
        </w:tc>
        <w:tc>
          <w:tcPr>
            <w:tcW w:w="5690"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浙政钉用户登录认证体系，通过和浙政钉用户体系对接，实现对本单位用户信息、凭证、组织机构等信息进行集成管理，采用统一用户认证作为用户管理及授权的核心服务，通过统一用户认证，为所有应用提供统一用户认证和授权，实现用户的流程化管理，控制账号的整个生命周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114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2" w:type="dxa"/>
            <w:tcBorders>
              <w:top w:val="single" w:color="auto" w:sz="4" w:space="0"/>
              <w:bottom w:val="single" w:color="auto" w:sz="4" w:space="0"/>
              <w:tl2br w:val="nil"/>
              <w:tr2bl w:val="nil"/>
            </w:tcBorders>
            <w:shd w:val="clear" w:color="auto" w:fill="auto"/>
            <w:vAlign w:val="center"/>
          </w:tcPr>
          <w:p>
            <w:pPr>
              <w:ind w:left="0" w:leftChars="0" w:firstLine="0" w:firstLineChar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统一授权管理</w:t>
            </w:r>
          </w:p>
        </w:tc>
        <w:tc>
          <w:tcPr>
            <w:tcW w:w="1550" w:type="dxa"/>
            <w:tcBorders>
              <w:top w:val="single" w:color="auto" w:sz="4" w:space="0"/>
              <w:bottom w:val="single" w:color="auto" w:sz="4" w:space="0"/>
              <w:tl2br w:val="nil"/>
              <w:tr2bl w:val="nil"/>
            </w:tcBorders>
            <w:shd w:val="clear" w:color="auto" w:fill="auto"/>
            <w:vAlign w:val="center"/>
          </w:tcPr>
          <w:p>
            <w:pPr>
              <w:ind w:left="0" w:leftChars="0"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统一授权管理</w:t>
            </w:r>
          </w:p>
        </w:tc>
        <w:tc>
          <w:tcPr>
            <w:tcW w:w="5690"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对接入平台的子系统进行统一权限管理。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114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2" w:type="dxa"/>
            <w:tcBorders>
              <w:top w:val="single" w:color="auto" w:sz="4" w:space="0"/>
              <w:bottom w:val="single" w:color="auto" w:sz="4" w:space="0"/>
              <w:tl2br w:val="nil"/>
              <w:tr2bl w:val="nil"/>
            </w:tcBorders>
            <w:shd w:val="clear" w:color="auto" w:fill="auto"/>
            <w:vAlign w:val="center"/>
          </w:tcPr>
          <w:p>
            <w:pPr>
              <w:ind w:left="0" w:leftChars="0" w:firstLine="0" w:firstLineChar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消息中心</w:t>
            </w:r>
          </w:p>
        </w:tc>
        <w:tc>
          <w:tcPr>
            <w:tcW w:w="1550" w:type="dxa"/>
            <w:tcBorders>
              <w:top w:val="single" w:color="auto" w:sz="4" w:space="0"/>
              <w:bottom w:val="single" w:color="auto" w:sz="4" w:space="0"/>
              <w:tl2br w:val="nil"/>
              <w:tr2bl w:val="nil"/>
            </w:tcBorders>
            <w:shd w:val="clear" w:color="auto" w:fill="auto"/>
            <w:vAlign w:val="center"/>
          </w:tcPr>
          <w:p>
            <w:pPr>
              <w:ind w:left="0" w:leftChars="0"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消息中心</w:t>
            </w:r>
          </w:p>
        </w:tc>
        <w:tc>
          <w:tcPr>
            <w:tcW w:w="5690"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提供统一的消息发送服务，实现消息发送、待发、校验、状态跟踪、编辑等全面的消息管理服务，提供给各应用发送消息的标准接口</w:t>
            </w:r>
            <w:r>
              <w:rPr>
                <w:rFonts w:hint="eastAsia" w:ascii="宋体" w:hAnsi="宋体" w:eastAsia="宋体" w:cs="宋体"/>
                <w:sz w:val="24"/>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114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2" w:type="dxa"/>
            <w:vMerge w:val="restart"/>
            <w:tcBorders>
              <w:top w:val="single" w:color="auto" w:sz="4" w:space="0"/>
              <w:tl2br w:val="nil"/>
              <w:tr2bl w:val="nil"/>
            </w:tcBorders>
            <w:shd w:val="clear" w:color="auto" w:fill="auto"/>
            <w:vAlign w:val="center"/>
          </w:tcPr>
          <w:p>
            <w:pPr>
              <w:ind w:left="0" w:leftChars="0" w:firstLine="0" w:firstLineChar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拱墅区安置房源管理系统</w:t>
            </w:r>
          </w:p>
        </w:tc>
        <w:tc>
          <w:tcPr>
            <w:tcW w:w="1550" w:type="dxa"/>
            <w:tcBorders>
              <w:top w:val="single" w:color="auto" w:sz="4" w:space="0"/>
              <w:bottom w:val="single" w:color="auto" w:sz="4" w:space="0"/>
              <w:tl2br w:val="nil"/>
              <w:tr2bl w:val="nil"/>
            </w:tcBorders>
            <w:shd w:val="clear" w:color="auto" w:fill="auto"/>
            <w:vAlign w:val="center"/>
          </w:tcPr>
          <w:p>
            <w:pPr>
              <w:pStyle w:val="9"/>
              <w:numPr>
                <w:ilvl w:val="6"/>
                <w:numId w:val="0"/>
              </w:numPr>
              <w:bidi w:val="0"/>
              <w:ind w:leftChars="0"/>
              <w:jc w:val="center"/>
              <w:rPr>
                <w:rFonts w:hint="eastAsia" w:ascii="宋体" w:hAnsi="宋体" w:eastAsia="宋体" w:cs="宋体"/>
                <w:lang w:val="en-US" w:eastAsia="zh-CN"/>
              </w:rPr>
            </w:pPr>
            <w:r>
              <w:rPr>
                <w:rFonts w:hint="eastAsia" w:ascii="宋体" w:hAnsi="宋体" w:eastAsia="宋体" w:cs="宋体"/>
                <w:lang w:val="en-US" w:eastAsia="zh-CN"/>
              </w:rPr>
              <w:t>门户集成</w:t>
            </w:r>
          </w:p>
          <w:p>
            <w:pPr>
              <w:ind w:left="0" w:leftChars="0" w:firstLine="0" w:firstLineChars="0"/>
              <w:jc w:val="center"/>
              <w:rPr>
                <w:rFonts w:hint="eastAsia" w:ascii="宋体" w:hAnsi="宋体" w:eastAsia="宋体" w:cs="宋体"/>
                <w:i w:val="0"/>
                <w:iCs w:val="0"/>
                <w:color w:val="000000"/>
                <w:sz w:val="24"/>
                <w:szCs w:val="24"/>
                <w:u w:val="none"/>
                <w:lang w:val="en-US" w:eastAsia="zh-CN"/>
              </w:rPr>
            </w:pPr>
          </w:p>
        </w:tc>
        <w:tc>
          <w:tcPr>
            <w:tcW w:w="5690"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4"/>
                <w:szCs w:val="24"/>
              </w:rPr>
            </w:pPr>
            <w:r>
              <w:rPr>
                <w:rFonts w:hint="eastAsia" w:ascii="宋体" w:hAnsi="宋体" w:eastAsia="宋体" w:cs="宋体"/>
                <w:sz w:val="24"/>
                <w:szCs w:val="24"/>
              </w:rPr>
              <w:t>将拱墅区安置房源管理系统集成到拱墅区智慧“助”建平台整合集成实现一单位一平台，统一访问入口为拱墅区智慧“助”建登录入口。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114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2" w:type="dxa"/>
            <w:vMerge w:val="continue"/>
            <w:tcBorders>
              <w:bottom w:val="single" w:color="auto" w:sz="4" w:space="0"/>
              <w:tl2br w:val="nil"/>
              <w:tr2bl w:val="nil"/>
            </w:tcBorders>
            <w:shd w:val="clear" w:color="auto" w:fill="auto"/>
            <w:vAlign w:val="center"/>
          </w:tcPr>
          <w:p>
            <w:pPr>
              <w:ind w:left="0" w:leftChars="0" w:firstLine="0" w:firstLineChars="0"/>
              <w:jc w:val="center"/>
              <w:rPr>
                <w:rFonts w:hint="eastAsia" w:ascii="宋体" w:hAnsi="宋体" w:eastAsia="宋体" w:cs="宋体"/>
                <w:i w:val="0"/>
                <w:iCs w:val="0"/>
                <w:color w:val="000000"/>
                <w:sz w:val="24"/>
                <w:szCs w:val="24"/>
                <w:u w:val="none"/>
                <w:lang w:val="en-US" w:eastAsia="zh-CN"/>
              </w:rPr>
            </w:pPr>
          </w:p>
        </w:tc>
        <w:tc>
          <w:tcPr>
            <w:tcW w:w="1550" w:type="dxa"/>
            <w:tcBorders>
              <w:top w:val="single" w:color="auto" w:sz="4" w:space="0"/>
              <w:bottom w:val="single" w:color="auto" w:sz="4" w:space="0"/>
              <w:tl2br w:val="nil"/>
              <w:tr2bl w:val="nil"/>
            </w:tcBorders>
            <w:shd w:val="clear" w:color="auto" w:fill="auto"/>
            <w:vAlign w:val="center"/>
          </w:tcPr>
          <w:p>
            <w:pPr>
              <w:ind w:left="0" w:leftChars="0" w:firstLine="0" w:firstLineChar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统一用户和认证集成</w:t>
            </w:r>
          </w:p>
        </w:tc>
        <w:tc>
          <w:tcPr>
            <w:tcW w:w="5690"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sz w:val="24"/>
                <w:szCs w:val="24"/>
              </w:rPr>
            </w:pPr>
            <w:r>
              <w:rPr>
                <w:rFonts w:hint="eastAsia" w:ascii="宋体" w:hAnsi="宋体" w:eastAsia="宋体" w:cs="宋体"/>
                <w:sz w:val="24"/>
                <w:szCs w:val="24"/>
              </w:rPr>
              <w:t>采用拱墅区智慧“助”建平台认证作为用户管理及授权的核心服务，集成统一用户认和授权。</w:t>
            </w:r>
          </w:p>
        </w:tc>
      </w:tr>
    </w:tbl>
    <w:p>
      <w:pPr>
        <w:rPr>
          <w:rFonts w:hint="eastAsia" w:ascii="宋体" w:hAnsi="宋体" w:eastAsia="宋体" w:cs="宋体"/>
        </w:rPr>
      </w:pPr>
      <w:bookmarkStart w:id="40" w:name="_Toc139717437"/>
      <w:bookmarkStart w:id="41" w:name="_Toc15082"/>
      <w:bookmarkStart w:id="42" w:name="_Toc32733"/>
    </w:p>
    <w:bookmarkEnd w:id="40"/>
    <w:bookmarkEnd w:id="41"/>
    <w:bookmarkEnd w:id="42"/>
    <w:p>
      <w:pPr>
        <w:rPr>
          <w:rFonts w:hint="eastAsia" w:ascii="宋体" w:hAnsi="宋体" w:eastAsia="宋体" w:cs="宋体"/>
          <w:lang w:val="en-US" w:eastAsia="zh-CN"/>
        </w:rPr>
      </w:pPr>
    </w:p>
    <w:p>
      <w:pPr>
        <w:pStyle w:val="864"/>
        <w:spacing w:line="360" w:lineRule="auto"/>
        <w:ind w:firstLine="0" w:firstLineChars="0"/>
        <w:rPr>
          <w:rFonts w:ascii="宋体" w:hAnsi="宋体" w:eastAsia="宋体"/>
          <w:b/>
          <w:bCs/>
          <w:sz w:val="28"/>
          <w:szCs w:val="28"/>
        </w:rPr>
      </w:pPr>
      <w:r>
        <w:rPr>
          <w:rFonts w:hint="eastAsia" w:ascii="宋体" w:hAnsi="宋体"/>
          <w:b/>
          <w:bCs/>
          <w:sz w:val="28"/>
          <w:szCs w:val="28"/>
          <w:lang w:val="en-US" w:eastAsia="zh-CN"/>
        </w:rPr>
        <w:t>五</w:t>
      </w:r>
      <w:r>
        <w:rPr>
          <w:rFonts w:hint="eastAsia" w:ascii="宋体" w:hAnsi="宋体" w:eastAsia="宋体"/>
          <w:b/>
          <w:bCs/>
          <w:sz w:val="28"/>
          <w:szCs w:val="28"/>
        </w:rPr>
        <w:t>、实施要求</w:t>
      </w:r>
    </w:p>
    <w:p>
      <w:pPr>
        <w:spacing w:line="360" w:lineRule="auto"/>
        <w:ind w:firstLine="480" w:firstLineChars="200"/>
        <w:rPr>
          <w:rFonts w:ascii="宋体" w:hAnsi="宋体"/>
          <w:sz w:val="24"/>
        </w:rPr>
      </w:pPr>
      <w:r>
        <w:rPr>
          <w:rFonts w:hint="eastAsia" w:ascii="宋体" w:hAnsi="宋体"/>
          <w:sz w:val="24"/>
        </w:rPr>
        <w:t>投标方需具备完善的项目管理体系，负责项目开发和实施工作，具体包括开发、安装、调试、培训、与其它系统的数据交换接口开发。</w:t>
      </w:r>
    </w:p>
    <w:p>
      <w:pPr>
        <w:snapToGrid w:val="0"/>
        <w:spacing w:line="360" w:lineRule="auto"/>
        <w:ind w:firstLine="482" w:firstLineChars="200"/>
        <w:jc w:val="left"/>
        <w:rPr>
          <w:rFonts w:ascii="宋体" w:hAnsi="宋体" w:cs="Calibri"/>
          <w:b/>
          <w:bCs/>
          <w:sz w:val="24"/>
          <w:highlight w:val="none"/>
        </w:rPr>
      </w:pPr>
      <w:r>
        <w:rPr>
          <w:rFonts w:hint="eastAsia" w:ascii="宋体" w:hAnsi="宋体" w:cs="Calibri"/>
          <w:b/>
          <w:bCs/>
          <w:sz w:val="24"/>
          <w:highlight w:val="none"/>
          <w:lang w:val="en-US" w:eastAsia="zh-CN"/>
        </w:rPr>
        <w:t>1、</w:t>
      </w:r>
      <w:r>
        <w:rPr>
          <w:rFonts w:hint="eastAsia" w:ascii="宋体" w:hAnsi="宋体" w:cs="Calibri"/>
          <w:b/>
          <w:bCs/>
          <w:sz w:val="24"/>
          <w:highlight w:val="none"/>
        </w:rPr>
        <w:t>对项目组人员的要求</w:t>
      </w:r>
    </w:p>
    <w:p>
      <w:pPr>
        <w:snapToGrid w:val="0"/>
        <w:spacing w:line="360" w:lineRule="auto"/>
        <w:ind w:firstLine="480" w:firstLineChars="200"/>
        <w:jc w:val="left"/>
        <w:rPr>
          <w:rFonts w:hint="eastAsia" w:ascii="宋体" w:hAnsi="宋体" w:cs="宋体"/>
          <w:color w:val="auto"/>
          <w:kern w:val="0"/>
          <w:sz w:val="24"/>
          <w:highlight w:val="yellow"/>
          <w:lang w:val="en-US" w:eastAsia="zh-CN"/>
        </w:rPr>
      </w:pPr>
      <w:r>
        <w:rPr>
          <w:rFonts w:hint="eastAsia" w:ascii="宋体" w:hAnsi="宋体" w:cs="宋体"/>
          <w:color w:val="auto"/>
          <w:kern w:val="0"/>
          <w:sz w:val="24"/>
          <w:highlight w:val="none"/>
        </w:rPr>
        <w:t>中标方需为本项目组建有实力的团队，本项目负责人（项目经理）</w:t>
      </w:r>
      <w:r>
        <w:rPr>
          <w:rFonts w:hint="eastAsia" w:ascii="宋体" w:hAnsi="宋体" w:eastAsia="宋体" w:cs="宋体"/>
          <w:i w:val="0"/>
          <w:iCs w:val="0"/>
          <w:color w:val="000000"/>
          <w:kern w:val="0"/>
          <w:sz w:val="24"/>
          <w:szCs w:val="24"/>
          <w:u w:val="none"/>
          <w:lang w:val="en-US" w:eastAsia="zh-CN" w:bidi="ar"/>
        </w:rPr>
        <w:t>具有信息系统项目管理师（高级）证书</w:t>
      </w:r>
      <w:r>
        <w:rPr>
          <w:rFonts w:hint="eastAsia" w:ascii="宋体" w:hAnsi="宋体" w:cs="宋体"/>
          <w:i w:val="0"/>
          <w:iCs w:val="0"/>
          <w:color w:val="000000"/>
          <w:kern w:val="0"/>
          <w:sz w:val="24"/>
          <w:szCs w:val="24"/>
          <w:u w:val="none"/>
          <w:lang w:val="en-US" w:eastAsia="zh-CN" w:bidi="ar"/>
        </w:rPr>
        <w:t>，信息安全工程师证书</w:t>
      </w:r>
      <w:r>
        <w:rPr>
          <w:rFonts w:hint="eastAsia" w:ascii="宋体" w:hAnsi="宋体" w:cs="宋体"/>
          <w:color w:val="auto"/>
          <w:kern w:val="0"/>
          <w:sz w:val="24"/>
          <w:highlight w:val="none"/>
          <w:lang w:eastAsia="zh-CN"/>
        </w:rPr>
        <w:t>；</w:t>
      </w:r>
      <w:r>
        <w:rPr>
          <w:rFonts w:hint="eastAsia" w:ascii="宋体" w:hAnsi="宋体" w:cs="宋体"/>
          <w:b w:val="0"/>
          <w:bCs w:val="0"/>
          <w:i w:val="0"/>
          <w:iCs w:val="0"/>
          <w:color w:val="000000"/>
          <w:kern w:val="0"/>
          <w:sz w:val="24"/>
          <w:szCs w:val="24"/>
          <w:u w:val="none"/>
          <w:lang w:val="en-US" w:eastAsia="zh-CN" w:bidi="ar"/>
        </w:rPr>
        <w:t>技术负责人（除项目经理以外）具有系统分析师证书，系统架构设计师</w:t>
      </w:r>
      <w:r>
        <w:rPr>
          <w:rFonts w:hint="eastAsia" w:ascii="宋体" w:hAnsi="宋体" w:cs="宋体"/>
          <w:b w:val="0"/>
          <w:bCs w:val="0"/>
          <w:color w:val="000000"/>
          <w:kern w:val="0"/>
          <w:sz w:val="24"/>
          <w:u w:val="none"/>
          <w:lang w:val="en-US" w:eastAsia="zh-CN" w:bidi="ar"/>
        </w:rPr>
        <w:t>证书；</w:t>
      </w:r>
      <w:r>
        <w:rPr>
          <w:rFonts w:hint="eastAsia" w:ascii="宋体" w:hAnsi="宋体" w:eastAsia="宋体" w:cs="宋体"/>
          <w:b w:val="0"/>
          <w:bCs w:val="0"/>
          <w:i w:val="0"/>
          <w:iCs w:val="0"/>
          <w:color w:val="000000"/>
          <w:kern w:val="0"/>
          <w:sz w:val="24"/>
          <w:szCs w:val="24"/>
          <w:u w:val="none"/>
          <w:lang w:val="en-US" w:eastAsia="zh-CN" w:bidi="ar"/>
        </w:rPr>
        <w:t>团队服务人员（除项目经理</w:t>
      </w:r>
      <w:r>
        <w:rPr>
          <w:rFonts w:hint="eastAsia" w:ascii="宋体" w:hAnsi="宋体" w:cs="宋体"/>
          <w:b w:val="0"/>
          <w:bCs w:val="0"/>
          <w:i w:val="0"/>
          <w:iCs w:val="0"/>
          <w:color w:val="000000"/>
          <w:kern w:val="0"/>
          <w:sz w:val="24"/>
          <w:szCs w:val="24"/>
          <w:u w:val="none"/>
          <w:lang w:val="en-US" w:eastAsia="zh-CN" w:bidi="ar"/>
        </w:rPr>
        <w:t>和技术负责人</w:t>
      </w:r>
      <w:r>
        <w:rPr>
          <w:rFonts w:hint="eastAsia" w:ascii="宋体" w:hAnsi="宋体" w:eastAsia="宋体" w:cs="宋体"/>
          <w:b w:val="0"/>
          <w:bCs w:val="0"/>
          <w:i w:val="0"/>
          <w:iCs w:val="0"/>
          <w:color w:val="000000"/>
          <w:kern w:val="0"/>
          <w:sz w:val="24"/>
          <w:szCs w:val="24"/>
          <w:u w:val="none"/>
          <w:lang w:val="en-US" w:eastAsia="zh-CN" w:bidi="ar"/>
        </w:rPr>
        <w:t>以外）</w:t>
      </w:r>
      <w:r>
        <w:rPr>
          <w:rFonts w:hint="eastAsia" w:ascii="宋体" w:hAnsi="宋体" w:eastAsia="宋体" w:cs="宋体"/>
          <w:i w:val="0"/>
          <w:iCs w:val="0"/>
          <w:color w:val="000000"/>
          <w:kern w:val="0"/>
          <w:sz w:val="24"/>
          <w:szCs w:val="24"/>
          <w:u w:val="none"/>
          <w:lang w:val="en-US" w:eastAsia="zh-CN" w:bidi="ar"/>
        </w:rPr>
        <w:t>网络工程师、软件设计师、信息技术（</w:t>
      </w:r>
      <w:r>
        <w:rPr>
          <w:rFonts w:hint="eastAsia" w:ascii="宋体" w:hAnsi="宋体" w:cs="宋体"/>
          <w:i w:val="0"/>
          <w:iCs w:val="0"/>
          <w:color w:val="000000"/>
          <w:kern w:val="0"/>
          <w:sz w:val="24"/>
          <w:szCs w:val="24"/>
          <w:u w:val="none"/>
          <w:lang w:val="en-US" w:eastAsia="zh-CN" w:bidi="ar"/>
        </w:rPr>
        <w:t>技术开发</w:t>
      </w:r>
      <w:r>
        <w:rPr>
          <w:rFonts w:hint="eastAsia" w:ascii="宋体" w:hAnsi="宋体" w:eastAsia="宋体" w:cs="宋体"/>
          <w:i w:val="0"/>
          <w:iCs w:val="0"/>
          <w:color w:val="000000"/>
          <w:kern w:val="0"/>
          <w:sz w:val="24"/>
          <w:szCs w:val="24"/>
          <w:u w:val="none"/>
          <w:lang w:val="en-US" w:eastAsia="zh-CN" w:bidi="ar"/>
        </w:rPr>
        <w:t>）高级工程师</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信息技术（系统集成）高级工程师证书</w:t>
      </w:r>
      <w:r>
        <w:rPr>
          <w:rFonts w:hint="eastAsia" w:ascii="宋体" w:hAnsi="宋体" w:cs="宋体"/>
          <w:b w:val="0"/>
          <w:bCs w:val="0"/>
          <w:i w:val="0"/>
          <w:iCs w:val="0"/>
          <w:color w:val="000000"/>
          <w:kern w:val="0"/>
          <w:sz w:val="24"/>
          <w:szCs w:val="24"/>
          <w:u w:val="none"/>
          <w:lang w:val="en-US" w:eastAsia="zh-CN" w:bidi="ar"/>
        </w:rPr>
        <w:t>。团队</w:t>
      </w:r>
      <w:r>
        <w:rPr>
          <w:rFonts w:hint="eastAsia" w:ascii="宋体" w:hAnsi="宋体" w:eastAsia="宋体" w:cs="宋体"/>
          <w:i w:val="0"/>
          <w:iCs w:val="0"/>
          <w:color w:val="000000"/>
          <w:kern w:val="0"/>
          <w:sz w:val="24"/>
          <w:szCs w:val="24"/>
          <w:u w:val="none"/>
          <w:lang w:val="en-US" w:eastAsia="zh-CN" w:bidi="ar"/>
        </w:rPr>
        <w:t>至少配置人员</w:t>
      </w:r>
      <w:r>
        <w:rPr>
          <w:rFonts w:hint="eastAsia" w:ascii="宋体" w:hAnsi="宋体" w:cs="宋体"/>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名</w:t>
      </w:r>
      <w:r>
        <w:rPr>
          <w:rFonts w:hint="eastAsia" w:ascii="宋体" w:hAnsi="宋体" w:cs="宋体"/>
          <w:i w:val="0"/>
          <w:iCs w:val="0"/>
          <w:color w:val="000000"/>
          <w:kern w:val="0"/>
          <w:sz w:val="24"/>
          <w:szCs w:val="24"/>
          <w:u w:val="none"/>
          <w:lang w:val="en-US" w:eastAsia="zh-CN" w:bidi="ar"/>
        </w:rPr>
        <w:t>，</w:t>
      </w:r>
      <w:r>
        <w:rPr>
          <w:rFonts w:hint="eastAsia" w:ascii="宋体" w:hAnsi="宋体" w:cs="宋体"/>
          <w:kern w:val="0"/>
          <w:sz w:val="24"/>
        </w:rPr>
        <w:t>每人具有本科及以上学历</w:t>
      </w:r>
      <w:r>
        <w:rPr>
          <w:rFonts w:hint="eastAsia" w:ascii="宋体" w:hAnsi="宋体" w:cs="宋体"/>
          <w:kern w:val="0"/>
          <w:sz w:val="24"/>
          <w:lang w:eastAsia="zh-CN"/>
        </w:rPr>
        <w:t>。</w:t>
      </w:r>
      <w:r>
        <w:rPr>
          <w:rFonts w:hint="eastAsia" w:ascii="宋体" w:hAnsi="宋体" w:cs="宋体"/>
          <w:color w:val="auto"/>
          <w:kern w:val="0"/>
          <w:sz w:val="24"/>
          <w:highlight w:val="none"/>
        </w:rPr>
        <w:t>提供项目负责人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技术负责人</w:t>
      </w:r>
      <w:r>
        <w:rPr>
          <w:rFonts w:hint="eastAsia" w:ascii="宋体" w:hAnsi="宋体" w:cs="宋体"/>
          <w:color w:val="auto"/>
          <w:kern w:val="0"/>
          <w:sz w:val="24"/>
          <w:highlight w:val="none"/>
        </w:rPr>
        <w:t>及团队人员</w:t>
      </w:r>
      <w:r>
        <w:rPr>
          <w:rFonts w:hint="eastAsia" w:ascii="宋体" w:hAnsi="宋体" w:eastAsia="宋体" w:cs="宋体"/>
          <w:b w:val="0"/>
          <w:bCs w:val="0"/>
          <w:i w:val="0"/>
          <w:iCs w:val="0"/>
          <w:color w:val="000000"/>
          <w:kern w:val="0"/>
          <w:sz w:val="24"/>
          <w:szCs w:val="24"/>
          <w:u w:val="none"/>
          <w:lang w:val="en-US" w:eastAsia="zh-CN" w:bidi="ar"/>
        </w:rPr>
        <w:t>提供证书复印件及</w:t>
      </w:r>
      <w:r>
        <w:rPr>
          <w:rFonts w:hint="eastAsia" w:ascii="宋体" w:hAnsi="宋体" w:cs="宋体"/>
          <w:b w:val="0"/>
          <w:bCs w:val="0"/>
          <w:i w:val="0"/>
          <w:iCs w:val="0"/>
          <w:color w:val="000000"/>
          <w:kern w:val="0"/>
          <w:sz w:val="24"/>
          <w:szCs w:val="24"/>
          <w:u w:val="none"/>
          <w:lang w:val="en-US" w:eastAsia="zh-CN" w:bidi="ar"/>
        </w:rPr>
        <w:t>开标时间截止前连续3个月投标人为其缴纳的社保缴纳证明。</w:t>
      </w:r>
    </w:p>
    <w:p>
      <w:pPr>
        <w:snapToGrid w:val="0"/>
        <w:spacing w:line="360" w:lineRule="auto"/>
        <w:ind w:firstLine="482" w:firstLineChars="200"/>
        <w:jc w:val="left"/>
        <w:rPr>
          <w:rFonts w:ascii="宋体" w:hAnsi="宋体" w:cs="Calibri"/>
          <w:b/>
          <w:bCs/>
          <w:sz w:val="24"/>
        </w:rPr>
      </w:pPr>
      <w:r>
        <w:rPr>
          <w:rFonts w:hint="eastAsia" w:ascii="宋体" w:hAnsi="宋体" w:cs="Calibri"/>
          <w:b/>
          <w:bCs/>
          <w:sz w:val="24"/>
          <w:lang w:val="en-US" w:eastAsia="zh-CN"/>
        </w:rPr>
        <w:t>2、</w:t>
      </w:r>
      <w:r>
        <w:rPr>
          <w:rFonts w:hint="eastAsia" w:ascii="宋体" w:hAnsi="宋体" w:cs="Calibri"/>
          <w:b/>
          <w:bCs/>
          <w:sz w:val="24"/>
        </w:rPr>
        <w:t>培训要求</w:t>
      </w:r>
    </w:p>
    <w:p>
      <w:pPr>
        <w:snapToGrid w:val="0"/>
        <w:spacing w:line="360" w:lineRule="auto"/>
        <w:ind w:firstLine="480" w:firstLineChars="200"/>
        <w:jc w:val="left"/>
        <w:rPr>
          <w:rFonts w:ascii="宋体" w:hAnsi="宋体" w:cs="Calibri"/>
          <w:sz w:val="24"/>
        </w:rPr>
      </w:pPr>
      <w:r>
        <w:rPr>
          <w:rFonts w:hint="eastAsia" w:ascii="宋体" w:hAnsi="宋体" w:cs="Calibri"/>
          <w:sz w:val="24"/>
          <w:lang w:val="en-US" w:eastAsia="zh-CN"/>
        </w:rPr>
        <w:t>（1）</w:t>
      </w:r>
      <w:r>
        <w:rPr>
          <w:rFonts w:hint="eastAsia" w:ascii="宋体" w:hAnsi="宋体" w:cs="Calibri"/>
          <w:sz w:val="24"/>
        </w:rPr>
        <w:t>投标人应在投标文件中提出培训计划，根据项目的目标和现实情况，对相关人员进行培训，通过培训使技术及业务人员不仅对整个系统有足够的认识，而且可以熟练掌握应用系统的操作等，能够独立完成其操作对象；对核心管理员进行培训，能掌握并熟练运用。需明确培训目标、培训对象、培训方式、培训地点、培训内容等。</w:t>
      </w:r>
    </w:p>
    <w:p>
      <w:pPr>
        <w:snapToGrid w:val="0"/>
        <w:spacing w:line="360" w:lineRule="auto"/>
        <w:ind w:firstLine="480" w:firstLineChars="200"/>
        <w:jc w:val="left"/>
        <w:rPr>
          <w:rFonts w:ascii="宋体" w:hAnsi="宋体" w:cs="Calibri"/>
          <w:sz w:val="24"/>
        </w:rPr>
      </w:pPr>
      <w:r>
        <w:rPr>
          <w:rFonts w:hint="eastAsia" w:ascii="宋体" w:hAnsi="宋体" w:cs="Calibri"/>
          <w:sz w:val="24"/>
        </w:rPr>
        <w:t>培训目标：根据采购人要求，对采购人的管理人员、技术人员、操作人员、运维人员提供培训，以便对项目的实施和运营进行有效的管理。同时，工程验收移交后，能够胜任系统的全部运行操作、故障的分析处理。</w:t>
      </w:r>
    </w:p>
    <w:p>
      <w:pPr>
        <w:snapToGrid w:val="0"/>
        <w:spacing w:line="360" w:lineRule="auto"/>
        <w:ind w:firstLine="480" w:firstLineChars="200"/>
        <w:jc w:val="left"/>
        <w:rPr>
          <w:rFonts w:ascii="宋体" w:hAnsi="宋体" w:cs="Calibri"/>
          <w:sz w:val="24"/>
        </w:rPr>
      </w:pPr>
      <w:r>
        <w:rPr>
          <w:rFonts w:hint="eastAsia" w:ascii="宋体" w:hAnsi="宋体" w:cs="Calibri"/>
          <w:sz w:val="24"/>
        </w:rPr>
        <w:t>培训对象：培训对象包括但不限于以下人员：系统使用人员、系统运行维护管理人员等。</w:t>
      </w:r>
    </w:p>
    <w:p>
      <w:pPr>
        <w:snapToGrid w:val="0"/>
        <w:spacing w:line="360" w:lineRule="auto"/>
        <w:ind w:firstLine="480" w:firstLineChars="200"/>
        <w:jc w:val="left"/>
        <w:rPr>
          <w:rFonts w:ascii="宋体" w:hAnsi="宋体" w:cs="Calibri"/>
          <w:sz w:val="24"/>
        </w:rPr>
      </w:pPr>
      <w:r>
        <w:rPr>
          <w:rFonts w:hint="eastAsia" w:ascii="宋体" w:hAnsi="宋体" w:cs="Calibri"/>
          <w:sz w:val="24"/>
        </w:rPr>
        <w:t>培训方式：集中授课和现场操作应用指导培训，不少于1次，培训天数不少于1天。</w:t>
      </w:r>
    </w:p>
    <w:p>
      <w:pPr>
        <w:snapToGrid w:val="0"/>
        <w:spacing w:line="360" w:lineRule="auto"/>
        <w:ind w:firstLine="480" w:firstLineChars="200"/>
        <w:jc w:val="left"/>
        <w:rPr>
          <w:rFonts w:ascii="宋体" w:hAnsi="宋体" w:cs="Calibri"/>
          <w:sz w:val="24"/>
          <w:highlight w:val="none"/>
        </w:rPr>
      </w:pPr>
      <w:r>
        <w:rPr>
          <w:rFonts w:hint="eastAsia" w:ascii="宋体" w:hAnsi="宋体" w:cs="Calibri"/>
          <w:sz w:val="24"/>
          <w:highlight w:val="none"/>
        </w:rPr>
        <w:t>培训场地：由采购人提供。</w:t>
      </w:r>
    </w:p>
    <w:p>
      <w:pPr>
        <w:snapToGrid w:val="0"/>
        <w:spacing w:line="360" w:lineRule="auto"/>
        <w:ind w:firstLine="480" w:firstLineChars="200"/>
        <w:jc w:val="left"/>
        <w:rPr>
          <w:rFonts w:ascii="宋体" w:hAnsi="宋体" w:cs="Calibri"/>
          <w:sz w:val="24"/>
          <w:highlight w:val="none"/>
        </w:rPr>
      </w:pPr>
      <w:r>
        <w:rPr>
          <w:rFonts w:hint="eastAsia" w:ascii="宋体" w:hAnsi="宋体" w:cs="Calibri"/>
          <w:sz w:val="24"/>
          <w:highlight w:val="none"/>
        </w:rPr>
        <w:t>培训内容：内容包含但不限于系统总体情况进行介绍、业务操作、系统功能、简单的系统故障诊断和排除等（所有培训以中文进行）。</w:t>
      </w:r>
    </w:p>
    <w:p>
      <w:pPr>
        <w:snapToGrid w:val="0"/>
        <w:spacing w:line="360" w:lineRule="auto"/>
        <w:ind w:firstLine="480" w:firstLineChars="200"/>
        <w:jc w:val="left"/>
        <w:rPr>
          <w:rFonts w:ascii="宋体" w:hAnsi="宋体" w:cs="Calibri"/>
          <w:sz w:val="24"/>
          <w:highlight w:val="none"/>
        </w:rPr>
      </w:pPr>
      <w:r>
        <w:rPr>
          <w:rFonts w:hint="eastAsia" w:ascii="宋体" w:hAnsi="宋体" w:cs="Calibri"/>
          <w:sz w:val="24"/>
          <w:highlight w:val="none"/>
          <w:lang w:val="en-US" w:eastAsia="zh-CN"/>
        </w:rPr>
        <w:t>（2）</w:t>
      </w:r>
      <w:r>
        <w:rPr>
          <w:rFonts w:hint="eastAsia" w:ascii="宋体" w:hAnsi="宋体" w:cs="Calibri"/>
          <w:sz w:val="24"/>
          <w:highlight w:val="none"/>
        </w:rPr>
        <w:t>培训费用计入投标总价。</w:t>
      </w:r>
    </w:p>
    <w:p>
      <w:pPr>
        <w:snapToGrid w:val="0"/>
        <w:spacing w:line="360" w:lineRule="auto"/>
        <w:ind w:firstLine="482" w:firstLineChars="200"/>
        <w:jc w:val="left"/>
        <w:rPr>
          <w:rFonts w:ascii="宋体" w:hAnsi="宋体" w:cs="Calibri"/>
          <w:b/>
          <w:bCs/>
          <w:sz w:val="24"/>
          <w:highlight w:val="none"/>
        </w:rPr>
      </w:pPr>
      <w:r>
        <w:rPr>
          <w:rFonts w:hint="eastAsia" w:ascii="宋体" w:hAnsi="宋体" w:cs="Calibri"/>
          <w:b/>
          <w:bCs/>
          <w:sz w:val="24"/>
          <w:highlight w:val="none"/>
          <w:lang w:val="en-US" w:eastAsia="zh-CN"/>
        </w:rPr>
        <w:t>3、</w:t>
      </w:r>
      <w:r>
        <w:rPr>
          <w:rFonts w:hint="eastAsia" w:ascii="宋体" w:hAnsi="宋体" w:cs="Calibri"/>
          <w:b/>
          <w:bCs/>
          <w:sz w:val="24"/>
          <w:highlight w:val="none"/>
        </w:rPr>
        <w:t>系统安全要求</w:t>
      </w:r>
    </w:p>
    <w:p>
      <w:pPr>
        <w:snapToGrid w:val="0"/>
        <w:spacing w:line="360" w:lineRule="auto"/>
        <w:ind w:firstLine="480" w:firstLineChars="200"/>
        <w:jc w:val="left"/>
        <w:rPr>
          <w:rFonts w:hint="eastAsia" w:ascii="宋体" w:hAnsi="宋体" w:cs="Calibri"/>
          <w:sz w:val="24"/>
          <w:highlight w:val="none"/>
        </w:rPr>
      </w:pPr>
      <w:r>
        <w:rPr>
          <w:rFonts w:hint="eastAsia" w:ascii="宋体" w:hAnsi="宋体" w:cs="Calibri"/>
          <w:sz w:val="24"/>
          <w:highlight w:val="none"/>
          <w:lang w:eastAsia="zh-CN"/>
        </w:rPr>
        <w:t>（</w:t>
      </w:r>
      <w:r>
        <w:rPr>
          <w:rFonts w:hint="eastAsia" w:ascii="宋体" w:hAnsi="宋体" w:cs="Calibri"/>
          <w:sz w:val="24"/>
          <w:highlight w:val="none"/>
          <w:lang w:val="en-US" w:eastAsia="zh-CN"/>
        </w:rPr>
        <w:t>1</w:t>
      </w:r>
      <w:r>
        <w:rPr>
          <w:rFonts w:hint="eastAsia" w:ascii="宋体" w:hAnsi="宋体" w:cs="Calibri"/>
          <w:sz w:val="24"/>
          <w:highlight w:val="none"/>
          <w:lang w:eastAsia="zh-CN"/>
        </w:rPr>
        <w:t>）</w:t>
      </w:r>
      <w:r>
        <w:rPr>
          <w:rFonts w:hint="eastAsia" w:ascii="宋体" w:hAnsi="宋体" w:cs="Calibri"/>
          <w:sz w:val="24"/>
          <w:highlight w:val="none"/>
        </w:rPr>
        <w:t>根据国家及政府信息安全规范，保证系统及系统数据可用性、完整性、保密性，</w:t>
      </w:r>
      <w:r>
        <w:rPr>
          <w:rFonts w:hint="eastAsia" w:ascii="宋体" w:hAnsi="宋体" w:cs="Calibri"/>
          <w:sz w:val="24"/>
          <w:highlight w:val="none"/>
          <w:lang w:val="en-US" w:eastAsia="zh-CN"/>
        </w:rPr>
        <w:t>投标人需具备</w:t>
      </w:r>
      <w:r>
        <w:rPr>
          <w:rFonts w:hint="eastAsia" w:ascii="宋体" w:hAnsi="宋体" w:cs="Calibri"/>
          <w:color w:val="auto"/>
          <w:sz w:val="24"/>
          <w:highlight w:val="none"/>
        </w:rPr>
        <w:t>IS</w:t>
      </w:r>
      <w:r>
        <w:rPr>
          <w:rFonts w:hint="eastAsia" w:ascii="宋体" w:hAnsi="宋体" w:cs="Calibri"/>
          <w:color w:val="auto"/>
          <w:sz w:val="24"/>
          <w:highlight w:val="none"/>
          <w:lang w:val="en-US" w:eastAsia="zh-CN"/>
        </w:rPr>
        <w:t>O</w:t>
      </w:r>
      <w:r>
        <w:rPr>
          <w:rFonts w:hint="eastAsia" w:ascii="宋体" w:hAnsi="宋体" w:cs="Calibri"/>
          <w:color w:val="auto"/>
          <w:sz w:val="24"/>
          <w:highlight w:val="none"/>
        </w:rPr>
        <w:t>27001信息安全管理体系认证、</w:t>
      </w:r>
      <w:r>
        <w:rPr>
          <w:rFonts w:ascii="宋体" w:hAnsi="宋体" w:cs="宋体"/>
          <w:color w:val="auto"/>
          <w:kern w:val="0"/>
          <w:sz w:val="24"/>
          <w:highlight w:val="none"/>
        </w:rPr>
        <w:t>ISO20000信息技术服务管理体系认证</w:t>
      </w:r>
      <w:r>
        <w:rPr>
          <w:rFonts w:hint="eastAsia" w:ascii="宋体" w:hAnsi="宋体" w:cs="Calibri"/>
          <w:color w:val="auto"/>
          <w:sz w:val="24"/>
          <w:highlight w:val="none"/>
        </w:rPr>
        <w:t>。</w:t>
      </w:r>
    </w:p>
    <w:p>
      <w:pPr>
        <w:snapToGrid w:val="0"/>
        <w:spacing w:line="360" w:lineRule="auto"/>
        <w:ind w:firstLine="480" w:firstLineChars="200"/>
        <w:jc w:val="left"/>
        <w:rPr>
          <w:rFonts w:ascii="宋体" w:hAnsi="宋体" w:cs="Calibri"/>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Calibri"/>
          <w:sz w:val="24"/>
          <w:highlight w:val="none"/>
        </w:rPr>
        <w:t>系统需通过有资质的第三方</w:t>
      </w:r>
      <w:r>
        <w:rPr>
          <w:rFonts w:hint="eastAsia" w:ascii="宋体" w:hAnsi="宋体" w:cs="Calibri"/>
          <w:sz w:val="24"/>
          <w:highlight w:val="none"/>
          <w:lang w:eastAsia="zh-CN"/>
        </w:rPr>
        <w:t>二</w:t>
      </w:r>
      <w:r>
        <w:rPr>
          <w:rFonts w:hint="eastAsia" w:ascii="宋体" w:hAnsi="宋体" w:cs="Calibri"/>
          <w:sz w:val="24"/>
          <w:highlight w:val="none"/>
        </w:rPr>
        <w:t>级等保测评，系统上线前须进行安全性测试和整体安全评估；由此产生的等保测评费</w:t>
      </w:r>
      <w:r>
        <w:rPr>
          <w:rFonts w:hint="eastAsia" w:ascii="宋体" w:hAnsi="宋体" w:cs="Calibri"/>
          <w:sz w:val="24"/>
          <w:highlight w:val="none"/>
          <w:lang w:eastAsia="zh-CN"/>
        </w:rPr>
        <w:t>等保安全产品（一年）、</w:t>
      </w:r>
      <w:r>
        <w:rPr>
          <w:rFonts w:hint="eastAsia" w:ascii="宋体" w:hAnsi="宋体" w:cs="Calibri"/>
          <w:sz w:val="24"/>
          <w:highlight w:val="none"/>
          <w:lang w:val="en-US" w:eastAsia="zh-CN"/>
        </w:rPr>
        <w:t>信创符合性测试</w:t>
      </w:r>
      <w:r>
        <w:rPr>
          <w:rFonts w:hint="eastAsia" w:ascii="宋体" w:hAnsi="宋体" w:cs="Calibri"/>
          <w:sz w:val="24"/>
          <w:highlight w:val="none"/>
        </w:rPr>
        <w:t>费用由中标单位承担。</w:t>
      </w:r>
    </w:p>
    <w:p>
      <w:pPr>
        <w:snapToGrid w:val="0"/>
        <w:spacing w:line="360" w:lineRule="auto"/>
        <w:ind w:firstLine="480" w:firstLineChars="200"/>
        <w:jc w:val="left"/>
        <w:rPr>
          <w:rFonts w:hint="default" w:ascii="宋体" w:hAnsi="宋体" w:cs="Calibri"/>
          <w:sz w:val="24"/>
          <w:lang w:val="en-US" w:eastAsia="zh-CN"/>
        </w:rPr>
      </w:pPr>
      <w:r>
        <w:rPr>
          <w:rFonts w:hint="eastAsia" w:ascii="宋体" w:hAnsi="宋体" w:cs="宋体"/>
          <w:strike w:val="0"/>
          <w:dstrike w:val="0"/>
          <w:sz w:val="24"/>
          <w:highlight w:val="none"/>
          <w:lang w:val="en-US" w:eastAsia="zh-CN"/>
        </w:rPr>
        <w:t>（3）</w:t>
      </w:r>
      <w:r>
        <w:rPr>
          <w:rFonts w:hint="eastAsia" w:ascii="宋体" w:hAnsi="宋体" w:cs="Calibri"/>
          <w:sz w:val="24"/>
          <w:highlight w:val="none"/>
          <w:lang w:val="en-US" w:eastAsia="zh-CN"/>
        </w:rPr>
        <w:t>系统</w:t>
      </w:r>
      <w:r>
        <w:rPr>
          <w:rFonts w:hint="eastAsia" w:ascii="宋体" w:hAnsi="宋体" w:cs="Calibri"/>
          <w:sz w:val="24"/>
          <w:highlight w:val="none"/>
          <w:lang w:bidi="ar"/>
        </w:rPr>
        <w:t>服务器、存储等资源</w:t>
      </w:r>
      <w:r>
        <w:rPr>
          <w:rFonts w:hint="eastAsia" w:ascii="宋体" w:hAnsi="宋体" w:cs="Calibri"/>
          <w:sz w:val="24"/>
          <w:highlight w:val="none"/>
          <w:lang w:val="en-US" w:eastAsia="zh-CN" w:bidi="ar"/>
        </w:rPr>
        <w:t>需部署</w:t>
      </w:r>
      <w:r>
        <w:rPr>
          <w:rFonts w:hint="eastAsia" w:ascii="宋体" w:hAnsi="宋体" w:cs="Calibri"/>
          <w:sz w:val="24"/>
          <w:highlight w:val="none"/>
          <w:lang w:bidi="ar"/>
        </w:rPr>
        <w:t>于</w:t>
      </w:r>
      <w:r>
        <w:rPr>
          <w:rFonts w:hint="eastAsia" w:ascii="宋体" w:hAnsi="宋体" w:cs="Calibri"/>
          <w:sz w:val="24"/>
          <w:lang w:bidi="ar"/>
        </w:rPr>
        <w:t>信创云资源</w:t>
      </w:r>
    </w:p>
    <w:p>
      <w:pPr>
        <w:snapToGrid w:val="0"/>
        <w:spacing w:line="360" w:lineRule="auto"/>
        <w:ind w:firstLine="482" w:firstLineChars="200"/>
        <w:jc w:val="left"/>
        <w:rPr>
          <w:rFonts w:ascii="宋体" w:hAnsi="宋体" w:cs="Calibri"/>
          <w:b/>
          <w:bCs/>
          <w:sz w:val="24"/>
        </w:rPr>
      </w:pPr>
      <w:r>
        <w:rPr>
          <w:rFonts w:hint="eastAsia" w:ascii="宋体" w:hAnsi="宋体" w:cs="Calibri"/>
          <w:b/>
          <w:bCs/>
          <w:sz w:val="24"/>
          <w:lang w:val="en-US" w:eastAsia="zh-CN"/>
        </w:rPr>
        <w:t>4、</w:t>
      </w:r>
      <w:r>
        <w:rPr>
          <w:rFonts w:hint="eastAsia" w:ascii="宋体" w:hAnsi="宋体" w:cs="Calibri"/>
          <w:b/>
          <w:bCs/>
          <w:sz w:val="24"/>
        </w:rPr>
        <w:t>技术支持与售后服务要求</w:t>
      </w:r>
    </w:p>
    <w:p>
      <w:pPr>
        <w:snapToGrid w:val="0"/>
        <w:spacing w:line="360" w:lineRule="auto"/>
        <w:ind w:firstLine="480" w:firstLineChars="200"/>
        <w:jc w:val="left"/>
        <w:rPr>
          <w:rFonts w:hint="default" w:ascii="宋体" w:hAnsi="宋体" w:eastAsia="宋体" w:cs="Calibri"/>
          <w:sz w:val="24"/>
          <w:lang w:val="en-US" w:eastAsia="zh-CN"/>
        </w:rPr>
      </w:pPr>
      <w:r>
        <w:rPr>
          <w:rFonts w:hint="eastAsia" w:ascii="宋体" w:hAnsi="宋体" w:cs="Calibri"/>
          <w:sz w:val="24"/>
        </w:rPr>
        <w:t>本项目需提供</w:t>
      </w:r>
      <w:r>
        <w:rPr>
          <w:rFonts w:hint="eastAsia" w:ascii="宋体" w:hAnsi="宋体" w:cs="Calibri"/>
          <w:sz w:val="24"/>
          <w:lang w:val="en-US" w:eastAsia="zh-CN"/>
        </w:rPr>
        <w:t>1</w:t>
      </w:r>
      <w:r>
        <w:rPr>
          <w:rFonts w:hint="eastAsia" w:ascii="宋体" w:hAnsi="宋体" w:cs="Calibri"/>
          <w:sz w:val="24"/>
        </w:rPr>
        <w:t>年的免费运维期，运维期从验收合格之日开始计算，运维期内</w:t>
      </w:r>
      <w:r>
        <w:rPr>
          <w:rFonts w:hint="eastAsia" w:ascii="宋体" w:hAnsi="宋体" w:cs="Calibri"/>
          <w:sz w:val="24"/>
          <w:lang w:eastAsia="zh-CN"/>
        </w:rPr>
        <w:t>。</w:t>
      </w:r>
      <w:r>
        <w:rPr>
          <w:rFonts w:hint="eastAsia" w:ascii="宋体" w:hAnsi="宋体" w:cs="Calibri"/>
          <w:sz w:val="24"/>
        </w:rPr>
        <w:t>试运行期间需无条件响应并满足用户对系统的修改，并最迟不超过24小时提供免费服务。</w:t>
      </w:r>
      <w:r>
        <w:rPr>
          <w:rFonts w:hint="eastAsia" w:ascii="宋体" w:hAnsi="宋体" w:cs="Calibri"/>
          <w:sz w:val="24"/>
          <w:lang w:val="en-US" w:eastAsia="zh-CN"/>
        </w:rPr>
        <w:t>1</w:t>
      </w:r>
      <w:r>
        <w:rPr>
          <w:rFonts w:hint="eastAsia" w:ascii="宋体" w:hAnsi="宋体" w:cs="Calibri"/>
          <w:sz w:val="24"/>
        </w:rPr>
        <w:t>年的免费运维期间需及时响应并满足用户对于系统的问题故障处理和缺陷修正。运维期内所有的服务均为免费服务,提供7×24小时电话或电子邮件服务，1小时内做出明确响应和安排，如需专业工程师现场服务的，具有解决故障能力的技术工程师应在2小时内到场。</w:t>
      </w:r>
      <w:r>
        <w:rPr>
          <w:rFonts w:hint="eastAsia" w:ascii="宋体" w:hAnsi="宋体" w:cs="Calibri"/>
          <w:sz w:val="24"/>
          <w:lang w:val="en-US" w:eastAsia="zh-CN"/>
        </w:rPr>
        <w:t>1年免费运维期到期后维保费用由双方协商确定。</w:t>
      </w:r>
    </w:p>
    <w:p>
      <w:pPr>
        <w:snapToGrid w:val="0"/>
        <w:spacing w:line="360" w:lineRule="auto"/>
        <w:ind w:firstLine="482" w:firstLineChars="200"/>
        <w:jc w:val="left"/>
        <w:rPr>
          <w:rFonts w:ascii="宋体" w:hAnsi="宋体" w:cs="Calibri"/>
          <w:b/>
          <w:bCs/>
          <w:sz w:val="24"/>
        </w:rPr>
      </w:pPr>
      <w:r>
        <w:rPr>
          <w:rFonts w:hint="eastAsia" w:ascii="宋体" w:hAnsi="宋体" w:cs="Calibri"/>
          <w:b/>
          <w:bCs/>
          <w:sz w:val="24"/>
          <w:lang w:val="en-US" w:eastAsia="zh-CN"/>
        </w:rPr>
        <w:t>5、</w:t>
      </w:r>
      <w:r>
        <w:rPr>
          <w:rFonts w:hint="eastAsia" w:ascii="宋体" w:hAnsi="宋体" w:cs="Calibri"/>
          <w:b/>
          <w:bCs/>
          <w:sz w:val="24"/>
        </w:rPr>
        <w:t>质量保证要求</w:t>
      </w:r>
    </w:p>
    <w:p>
      <w:pPr>
        <w:snapToGrid w:val="0"/>
        <w:spacing w:line="360" w:lineRule="auto"/>
        <w:ind w:firstLine="480" w:firstLineChars="200"/>
        <w:jc w:val="left"/>
        <w:rPr>
          <w:rFonts w:ascii="宋体" w:hAnsi="宋体" w:cs="仿宋"/>
          <w:color w:val="auto"/>
          <w:sz w:val="24"/>
          <w:lang w:val="zh-CN"/>
        </w:rPr>
      </w:pPr>
      <w:r>
        <w:rPr>
          <w:rFonts w:hint="eastAsia" w:ascii="宋体" w:hAnsi="宋体" w:cs="仿宋"/>
          <w:color w:val="auto"/>
          <w:sz w:val="24"/>
          <w:lang w:val="zh-CN"/>
        </w:rPr>
        <w:t>（</w:t>
      </w:r>
      <w:r>
        <w:rPr>
          <w:rFonts w:hint="eastAsia" w:ascii="宋体" w:hAnsi="宋体" w:cs="仿宋"/>
          <w:color w:val="auto"/>
          <w:sz w:val="24"/>
          <w:lang w:val="en-US" w:eastAsia="zh-CN"/>
        </w:rPr>
        <w:t>1</w:t>
      </w:r>
      <w:r>
        <w:rPr>
          <w:rFonts w:hint="eastAsia" w:ascii="宋体" w:hAnsi="宋体" w:cs="仿宋"/>
          <w:color w:val="auto"/>
          <w:sz w:val="24"/>
          <w:lang w:val="zh-CN"/>
        </w:rPr>
        <w:t>）投标人应</w:t>
      </w:r>
      <w:r>
        <w:rPr>
          <w:rFonts w:hint="eastAsia" w:ascii="宋体" w:hAnsi="宋体" w:cs="仿宋"/>
          <w:color w:val="auto"/>
          <w:sz w:val="24"/>
          <w:lang w:val="en-US" w:eastAsia="zh-CN"/>
        </w:rPr>
        <w:t>具备</w:t>
      </w:r>
      <w:r>
        <w:rPr>
          <w:rFonts w:hint="eastAsia" w:cs="宋体" w:asciiTheme="minorEastAsia" w:hAnsiTheme="minorEastAsia"/>
          <w:color w:val="auto"/>
          <w:kern w:val="0"/>
          <w:sz w:val="24"/>
          <w:highlight w:val="none"/>
        </w:rPr>
        <w:t>ISO9001质量管理体系认证</w:t>
      </w:r>
      <w:r>
        <w:rPr>
          <w:rFonts w:hint="eastAsia" w:cs="宋体" w:asciiTheme="minorEastAsia" w:hAnsiTheme="minorEastAsia"/>
          <w:color w:val="auto"/>
          <w:kern w:val="0"/>
          <w:sz w:val="24"/>
          <w:highlight w:val="none"/>
          <w:lang w:val="en-US" w:eastAsia="zh-CN"/>
        </w:rPr>
        <w:t>证书，</w:t>
      </w:r>
      <w:r>
        <w:rPr>
          <w:rFonts w:hint="eastAsia" w:ascii="宋体" w:hAnsi="宋体" w:cs="仿宋"/>
          <w:color w:val="auto"/>
          <w:sz w:val="24"/>
          <w:lang w:val="zh-CN"/>
        </w:rPr>
        <w:t>建立和完善履行合同的内部质量保证体系并提供相关内部规章制度给采购人，以便甲方进行监督检查</w:t>
      </w:r>
      <w:r>
        <w:rPr>
          <w:rFonts w:hint="eastAsia" w:cs="宋体" w:asciiTheme="minorEastAsia" w:hAnsiTheme="minorEastAsia"/>
          <w:color w:val="auto"/>
          <w:kern w:val="0"/>
          <w:sz w:val="24"/>
          <w:highlight w:val="none"/>
          <w:lang w:val="en-US" w:eastAsia="zh-CN"/>
        </w:rPr>
        <w:t>。</w:t>
      </w:r>
    </w:p>
    <w:p>
      <w:pPr>
        <w:spacing w:line="360" w:lineRule="auto"/>
        <w:ind w:firstLine="480" w:firstLineChars="200"/>
        <w:rPr>
          <w:rFonts w:ascii="宋体" w:hAnsi="宋体" w:cs="仿宋"/>
          <w:sz w:val="24"/>
          <w:lang w:val="zh-CN"/>
        </w:rPr>
      </w:pPr>
      <w:r>
        <w:rPr>
          <w:rFonts w:hint="eastAsia" w:ascii="宋体" w:hAnsi="宋体" w:cs="仿宋"/>
          <w:sz w:val="24"/>
          <w:lang w:val="zh-CN"/>
        </w:rPr>
        <w:t>（</w:t>
      </w:r>
      <w:r>
        <w:rPr>
          <w:rFonts w:hint="eastAsia" w:ascii="宋体" w:hAnsi="宋体" w:cs="仿宋"/>
          <w:sz w:val="24"/>
          <w:lang w:val="en-US" w:eastAsia="zh-CN"/>
        </w:rPr>
        <w:t>2</w:t>
      </w:r>
      <w:r>
        <w:rPr>
          <w:rFonts w:hint="eastAsia" w:ascii="宋体" w:hAnsi="宋体" w:cs="仿宋"/>
          <w:sz w:val="24"/>
          <w:lang w:val="zh-CN"/>
        </w:rPr>
        <w:t>）投标人应</w:t>
      </w:r>
      <w:r>
        <w:rPr>
          <w:rFonts w:hint="eastAsia" w:ascii="宋体" w:hAnsi="宋体" w:cs="Calibri"/>
          <w:sz w:val="24"/>
        </w:rPr>
        <w:t>提供质量保证计划，</w:t>
      </w:r>
      <w:r>
        <w:rPr>
          <w:rFonts w:hint="eastAsia" w:ascii="宋体" w:hAnsi="宋体" w:cs="仿宋"/>
          <w:sz w:val="24"/>
          <w:lang w:val="zh-CN"/>
        </w:rPr>
        <w:t>保证履行合同的人员数量和素质、软件和硬件设备的配置、场地、环境和设施等满足全面履行合同的要求，并应接受采购人的监督检查。</w:t>
      </w:r>
    </w:p>
    <w:p>
      <w:pPr>
        <w:pStyle w:val="16"/>
        <w:spacing w:line="360" w:lineRule="auto"/>
        <w:ind w:firstLine="480"/>
        <w:rPr>
          <w:rFonts w:hAnsi="宋体" w:cs="Calibri"/>
          <w:color w:val="auto"/>
          <w:sz w:val="24"/>
        </w:rPr>
      </w:pPr>
      <w:r>
        <w:rPr>
          <w:rFonts w:hint="eastAsia" w:hAnsi="宋体" w:cs="Calibri"/>
          <w:color w:val="auto"/>
          <w:sz w:val="24"/>
          <w:lang w:eastAsia="zh-CN"/>
        </w:rPr>
        <w:t>（</w:t>
      </w:r>
      <w:r>
        <w:rPr>
          <w:rFonts w:hint="eastAsia" w:hAnsi="宋体" w:cs="Calibri"/>
          <w:color w:val="auto"/>
          <w:sz w:val="24"/>
          <w:lang w:val="en-US" w:eastAsia="zh-CN"/>
        </w:rPr>
        <w:t>3</w:t>
      </w:r>
      <w:r>
        <w:rPr>
          <w:rFonts w:hint="eastAsia" w:hAnsi="宋体" w:cs="Calibri"/>
          <w:color w:val="auto"/>
          <w:sz w:val="24"/>
          <w:lang w:eastAsia="zh-CN"/>
        </w:rPr>
        <w:t>）</w:t>
      </w:r>
      <w:r>
        <w:rPr>
          <w:rFonts w:hint="eastAsia" w:hAnsi="宋体" w:cs="Calibri"/>
          <w:color w:val="auto"/>
          <w:sz w:val="24"/>
        </w:rPr>
        <w:t>按照省、市、区的相关标准要求，软件系统平台应满足数据安全、数据归集要求。</w:t>
      </w:r>
    </w:p>
    <w:p>
      <w:pPr>
        <w:snapToGrid w:val="0"/>
        <w:spacing w:line="360" w:lineRule="auto"/>
        <w:ind w:firstLine="482" w:firstLineChars="200"/>
        <w:jc w:val="left"/>
        <w:rPr>
          <w:rFonts w:ascii="宋体" w:hAnsi="宋体" w:cs="Calibri"/>
          <w:sz w:val="24"/>
        </w:rPr>
      </w:pPr>
      <w:r>
        <w:rPr>
          <w:rFonts w:hint="eastAsia" w:ascii="宋体" w:hAnsi="宋体" w:cs="Calibri"/>
          <w:b/>
          <w:bCs/>
          <w:sz w:val="24"/>
          <w:lang w:val="en-US" w:eastAsia="zh-CN"/>
        </w:rPr>
        <w:t>6、</w:t>
      </w:r>
      <w:r>
        <w:rPr>
          <w:rFonts w:hint="eastAsia" w:ascii="宋体" w:hAnsi="宋体" w:cs="Calibri"/>
          <w:b/>
          <w:bCs/>
          <w:sz w:val="24"/>
        </w:rPr>
        <w:t>服务保密要求</w:t>
      </w:r>
    </w:p>
    <w:p>
      <w:pPr>
        <w:snapToGrid w:val="0"/>
        <w:spacing w:line="360" w:lineRule="auto"/>
        <w:ind w:firstLine="480" w:firstLineChars="200"/>
        <w:jc w:val="left"/>
        <w:rPr>
          <w:rFonts w:ascii="宋体" w:hAnsi="宋体" w:cs="Calibri"/>
          <w:sz w:val="24"/>
        </w:rPr>
      </w:pPr>
      <w:r>
        <w:rPr>
          <w:rFonts w:hint="eastAsia" w:ascii="宋体" w:hAnsi="宋体" w:cs="Calibri"/>
          <w:sz w:val="24"/>
        </w:rPr>
        <w:t>中标方须在签订合同时，与采购人签订保密协议。</w:t>
      </w:r>
    </w:p>
    <w:p>
      <w:pPr>
        <w:pStyle w:val="261"/>
        <w:ind w:firstLine="0" w:firstLineChars="0"/>
        <w:rPr>
          <w:rFonts w:ascii="宋体" w:hAnsi="宋体" w:eastAsia="宋体"/>
          <w:b/>
          <w:bCs/>
          <w:sz w:val="28"/>
          <w:szCs w:val="28"/>
        </w:rPr>
      </w:pPr>
      <w:r>
        <w:rPr>
          <w:rFonts w:hint="eastAsia" w:ascii="宋体" w:hAnsi="宋体" w:eastAsia="宋体"/>
          <w:b/>
          <w:bCs/>
          <w:sz w:val="28"/>
          <w:szCs w:val="28"/>
          <w:lang w:val="en-US" w:eastAsia="zh-CN"/>
        </w:rPr>
        <w:t>六</w:t>
      </w:r>
      <w:r>
        <w:rPr>
          <w:rFonts w:hint="eastAsia" w:ascii="宋体" w:hAnsi="宋体" w:eastAsia="宋体"/>
          <w:b/>
          <w:bCs/>
          <w:sz w:val="28"/>
          <w:szCs w:val="28"/>
        </w:rPr>
        <w:t>、网络安全要求</w:t>
      </w:r>
    </w:p>
    <w:p>
      <w:pPr>
        <w:pStyle w:val="16"/>
        <w:spacing w:line="360" w:lineRule="auto"/>
        <w:ind w:firstLine="480" w:firstLineChars="200"/>
        <w:rPr>
          <w:rFonts w:hAnsi="宋体" w:cs="仿宋"/>
          <w:snapToGrid/>
          <w:color w:val="auto"/>
          <w:kern w:val="0"/>
          <w:sz w:val="24"/>
          <w:szCs w:val="24"/>
        </w:rPr>
      </w:pPr>
      <w:r>
        <w:rPr>
          <w:rFonts w:hint="eastAsia" w:hAnsi="宋体" w:cs="仿宋"/>
          <w:snapToGrid/>
          <w:color w:val="auto"/>
          <w:kern w:val="0"/>
          <w:sz w:val="24"/>
          <w:szCs w:val="24"/>
        </w:rPr>
        <w:t>1、根据《浙江省信息技术服务外包网络安全管理办法》相关要求，中标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p>
    <w:p>
      <w:pPr>
        <w:pStyle w:val="16"/>
        <w:spacing w:line="360" w:lineRule="auto"/>
        <w:rPr>
          <w:rFonts w:hAnsi="宋体" w:cs="仿宋"/>
          <w:snapToGrid/>
          <w:color w:val="auto"/>
          <w:kern w:val="0"/>
          <w:sz w:val="24"/>
          <w:szCs w:val="24"/>
        </w:rPr>
      </w:pPr>
      <w:r>
        <w:rPr>
          <w:rFonts w:hint="eastAsia" w:hAnsi="宋体" w:cs="仿宋"/>
          <w:snapToGrid/>
          <w:color w:val="auto"/>
          <w:kern w:val="0"/>
          <w:sz w:val="24"/>
          <w:szCs w:val="24"/>
        </w:rPr>
        <w:t>2、中标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pPr>
        <w:pStyle w:val="16"/>
        <w:spacing w:line="360" w:lineRule="auto"/>
        <w:rPr>
          <w:rFonts w:hAnsi="宋体" w:cs="仿宋"/>
          <w:snapToGrid/>
          <w:color w:val="auto"/>
          <w:kern w:val="0"/>
          <w:sz w:val="24"/>
          <w:szCs w:val="24"/>
        </w:rPr>
      </w:pPr>
      <w:r>
        <w:rPr>
          <w:rFonts w:hint="eastAsia" w:hAnsi="宋体" w:cs="仿宋"/>
          <w:snapToGrid/>
          <w:color w:val="auto"/>
          <w:kern w:val="0"/>
          <w:sz w:val="24"/>
          <w:szCs w:val="24"/>
        </w:rPr>
        <w:t>3、中标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pPr>
        <w:pStyle w:val="16"/>
        <w:spacing w:line="360" w:lineRule="auto"/>
        <w:rPr>
          <w:rFonts w:hAnsi="宋体" w:cs="仿宋"/>
          <w:snapToGrid/>
          <w:color w:val="auto"/>
          <w:kern w:val="0"/>
          <w:sz w:val="24"/>
          <w:szCs w:val="24"/>
        </w:rPr>
      </w:pPr>
      <w:r>
        <w:rPr>
          <w:rFonts w:hint="eastAsia" w:hAnsi="宋体" w:cs="仿宋"/>
          <w:snapToGrid/>
          <w:color w:val="auto"/>
          <w:kern w:val="0"/>
          <w:sz w:val="24"/>
          <w:szCs w:val="24"/>
        </w:rPr>
        <w:t>4、中标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pPr>
        <w:pStyle w:val="261"/>
        <w:ind w:firstLine="0" w:firstLineChars="0"/>
        <w:rPr>
          <w:rFonts w:ascii="宋体" w:hAnsi="宋体" w:eastAsia="宋体"/>
          <w:b/>
          <w:bCs/>
          <w:color w:val="auto"/>
          <w:sz w:val="28"/>
          <w:szCs w:val="28"/>
          <w:highlight w:val="none"/>
        </w:rPr>
      </w:pPr>
      <w:r>
        <w:rPr>
          <w:rFonts w:hint="eastAsia" w:ascii="宋体" w:hAnsi="宋体" w:eastAsia="宋体"/>
          <w:b/>
          <w:bCs/>
          <w:sz w:val="28"/>
          <w:szCs w:val="28"/>
          <w:lang w:val="en-US" w:eastAsia="zh-CN"/>
        </w:rPr>
        <w:t>七</w:t>
      </w:r>
      <w:r>
        <w:rPr>
          <w:rFonts w:hint="eastAsia" w:ascii="宋体" w:hAnsi="宋体" w:eastAsia="宋体"/>
          <w:b/>
          <w:bCs/>
          <w:sz w:val="28"/>
          <w:szCs w:val="28"/>
        </w:rPr>
        <w:t>、项</w:t>
      </w:r>
      <w:r>
        <w:rPr>
          <w:rFonts w:hint="eastAsia" w:ascii="宋体" w:hAnsi="宋体" w:eastAsia="宋体"/>
          <w:b/>
          <w:bCs/>
          <w:color w:val="auto"/>
          <w:sz w:val="28"/>
          <w:szCs w:val="28"/>
          <w:highlight w:val="none"/>
        </w:rPr>
        <w:t>目进度要求</w:t>
      </w:r>
    </w:p>
    <w:p>
      <w:pPr>
        <w:pStyle w:val="261"/>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合同签订之日起1个月内完成项目建设。</w:t>
      </w:r>
    </w:p>
    <w:p>
      <w:pPr>
        <w:pStyle w:val="261"/>
        <w:ind w:firstLine="0" w:firstLineChars="0"/>
        <w:rPr>
          <w:rFonts w:ascii="宋体" w:hAnsi="宋体" w:eastAsia="宋体"/>
          <w:b/>
          <w:bCs/>
          <w:color w:val="auto"/>
          <w:sz w:val="28"/>
          <w:szCs w:val="28"/>
          <w:highlight w:val="none"/>
        </w:rPr>
      </w:pPr>
      <w:r>
        <w:rPr>
          <w:rFonts w:hint="eastAsia" w:ascii="宋体" w:hAnsi="宋体" w:eastAsia="宋体"/>
          <w:b/>
          <w:bCs/>
          <w:color w:val="auto"/>
          <w:sz w:val="28"/>
          <w:szCs w:val="28"/>
          <w:highlight w:val="none"/>
          <w:lang w:val="en-US" w:eastAsia="zh-CN"/>
        </w:rPr>
        <w:t>八</w:t>
      </w:r>
      <w:r>
        <w:rPr>
          <w:rFonts w:hint="eastAsia" w:ascii="宋体" w:hAnsi="宋体" w:eastAsia="宋体"/>
          <w:b/>
          <w:bCs/>
          <w:color w:val="auto"/>
          <w:sz w:val="28"/>
          <w:szCs w:val="28"/>
          <w:highlight w:val="none"/>
        </w:rPr>
        <w:t>、付款方式</w:t>
      </w:r>
    </w:p>
    <w:p>
      <w:pPr>
        <w:spacing w:line="360" w:lineRule="auto"/>
        <w:ind w:firstLine="480" w:firstLineChars="200"/>
        <w:rPr>
          <w:rFonts w:ascii="宋体" w:hAnsi="宋体" w:cs="仿宋"/>
          <w:color w:val="auto"/>
          <w:sz w:val="24"/>
          <w:highlight w:val="none"/>
          <w:lang w:val="en"/>
        </w:rPr>
      </w:pPr>
      <w:r>
        <w:rPr>
          <w:rFonts w:hint="eastAsia" w:ascii="宋体" w:hAnsi="宋体" w:cs="仿宋"/>
          <w:color w:val="auto"/>
          <w:sz w:val="24"/>
          <w:highlight w:val="none"/>
          <w:lang w:val="zh-CN"/>
        </w:rPr>
        <w:t>采用分期付款方式</w:t>
      </w:r>
      <w:r>
        <w:rPr>
          <w:rFonts w:hint="eastAsia" w:ascii="宋体" w:hAnsi="宋体" w:cs="仿宋"/>
          <w:color w:val="auto"/>
          <w:sz w:val="24"/>
          <w:highlight w:val="none"/>
          <w:lang w:val="en"/>
        </w:rPr>
        <w:t>：</w:t>
      </w:r>
    </w:p>
    <w:p>
      <w:pPr>
        <w:spacing w:line="360" w:lineRule="auto"/>
        <w:ind w:firstLine="480" w:firstLineChars="200"/>
        <w:rPr>
          <w:rFonts w:ascii="宋体" w:hAnsi="宋体" w:cs="仿宋"/>
          <w:color w:val="auto"/>
          <w:sz w:val="24"/>
          <w:highlight w:val="none"/>
          <w:lang w:val="en"/>
        </w:rPr>
      </w:pPr>
      <w:r>
        <w:rPr>
          <w:rFonts w:hint="eastAsia" w:ascii="宋体" w:hAnsi="宋体" w:cs="仿宋"/>
          <w:color w:val="auto"/>
          <w:sz w:val="24"/>
          <w:highlight w:val="none"/>
          <w:lang w:val="en"/>
        </w:rPr>
        <w:t>第一期付款：合同签订且采购人收到供应商开具的等额发票后</w:t>
      </w:r>
      <w:r>
        <w:rPr>
          <w:rFonts w:hint="eastAsia" w:ascii="宋体" w:hAnsi="宋体" w:cs="仿宋"/>
          <w:color w:val="auto"/>
          <w:sz w:val="24"/>
          <w:highlight w:val="none"/>
          <w:lang w:val="en-US" w:eastAsia="zh-CN"/>
        </w:rPr>
        <w:t>10</w:t>
      </w:r>
      <w:r>
        <w:rPr>
          <w:rFonts w:hint="eastAsia" w:ascii="宋体" w:hAnsi="宋体" w:cs="仿宋"/>
          <w:color w:val="auto"/>
          <w:sz w:val="24"/>
          <w:highlight w:val="none"/>
          <w:lang w:val="en"/>
        </w:rPr>
        <w:t>个工作日内，支付</w:t>
      </w:r>
      <w:r>
        <w:rPr>
          <w:rFonts w:hint="eastAsia" w:ascii="宋体" w:hAnsi="宋体" w:cs="仿宋"/>
          <w:color w:val="auto"/>
          <w:sz w:val="24"/>
          <w:highlight w:val="none"/>
          <w:lang w:val="en-US" w:eastAsia="zh-CN"/>
        </w:rPr>
        <w:t>合同金额的40%</w:t>
      </w:r>
      <w:r>
        <w:rPr>
          <w:rFonts w:hint="eastAsia" w:ascii="宋体" w:hAnsi="宋体" w:cs="仿宋"/>
          <w:color w:val="auto"/>
          <w:sz w:val="24"/>
          <w:highlight w:val="none"/>
          <w:lang w:val="en"/>
        </w:rPr>
        <w:t>作为项目启动资金；</w:t>
      </w:r>
    </w:p>
    <w:p>
      <w:pPr>
        <w:spacing w:line="360" w:lineRule="auto"/>
        <w:ind w:firstLine="480" w:firstLineChars="200"/>
        <w:rPr>
          <w:rFonts w:ascii="宋体" w:hAnsi="宋体" w:cs="仿宋"/>
          <w:sz w:val="24"/>
          <w:lang w:val="en"/>
        </w:rPr>
      </w:pPr>
      <w:r>
        <w:rPr>
          <w:rFonts w:hint="eastAsia" w:ascii="宋体" w:hAnsi="宋体" w:cs="仿宋"/>
          <w:color w:val="auto"/>
          <w:sz w:val="24"/>
          <w:highlight w:val="none"/>
          <w:lang w:val="en"/>
        </w:rPr>
        <w:t>第二期付款：项目通过初验后，</w:t>
      </w:r>
      <w:r>
        <w:rPr>
          <w:rFonts w:hint="eastAsia" w:ascii="宋体" w:hAnsi="宋体" w:cs="仿宋"/>
          <w:color w:val="auto"/>
          <w:sz w:val="24"/>
          <w:highlight w:val="none"/>
          <w:lang w:val="en-US" w:eastAsia="zh-CN"/>
        </w:rPr>
        <w:t>且当年财政资金下达后，</w:t>
      </w:r>
      <w:r>
        <w:rPr>
          <w:rFonts w:hint="eastAsia" w:ascii="宋体" w:hAnsi="宋体" w:cs="仿宋"/>
          <w:color w:val="auto"/>
          <w:sz w:val="24"/>
          <w:highlight w:val="none"/>
          <w:lang w:val="en"/>
        </w:rPr>
        <w:t>供应商可向采购人申请支</w:t>
      </w:r>
      <w:r>
        <w:rPr>
          <w:rFonts w:hint="eastAsia" w:ascii="宋体" w:hAnsi="宋体" w:cs="仿宋"/>
          <w:sz w:val="24"/>
          <w:lang w:val="en"/>
        </w:rPr>
        <w:t>付合同款的</w:t>
      </w:r>
      <w:r>
        <w:rPr>
          <w:rFonts w:hint="eastAsia" w:ascii="宋体" w:hAnsi="宋体" w:cs="仿宋"/>
          <w:sz w:val="24"/>
          <w:lang w:val="en-US" w:eastAsia="zh-CN"/>
        </w:rPr>
        <w:t>30</w:t>
      </w:r>
      <w:r>
        <w:rPr>
          <w:rFonts w:hint="eastAsia" w:ascii="宋体" w:hAnsi="宋体" w:cs="仿宋"/>
          <w:sz w:val="24"/>
          <w:lang w:val="en"/>
        </w:rPr>
        <w:t>%，采购人收到供应商开具的发票后</w:t>
      </w:r>
      <w:r>
        <w:rPr>
          <w:rFonts w:hint="eastAsia" w:ascii="宋体" w:hAnsi="宋体" w:cs="仿宋"/>
          <w:sz w:val="24"/>
          <w:lang w:val="en-US" w:eastAsia="zh-CN"/>
        </w:rPr>
        <w:t>10</w:t>
      </w:r>
      <w:r>
        <w:rPr>
          <w:rFonts w:hint="eastAsia" w:ascii="宋体" w:hAnsi="宋体" w:cs="仿宋"/>
          <w:sz w:val="24"/>
          <w:lang w:val="en"/>
        </w:rPr>
        <w:t>个工作日内支付款项；</w:t>
      </w:r>
    </w:p>
    <w:p>
      <w:pPr>
        <w:spacing w:line="360" w:lineRule="auto"/>
        <w:ind w:firstLine="480" w:firstLineChars="200"/>
        <w:rPr>
          <w:rFonts w:hint="default" w:ascii="宋体" w:hAnsi="宋体" w:eastAsia="宋体" w:cs="仿宋"/>
          <w:sz w:val="24"/>
          <w:highlight w:val="yellow"/>
          <w:lang w:val="en-US" w:eastAsia="zh-CN"/>
        </w:rPr>
      </w:pPr>
      <w:r>
        <w:rPr>
          <w:rFonts w:hint="eastAsia" w:ascii="宋体" w:hAnsi="宋体" w:cs="仿宋"/>
          <w:sz w:val="24"/>
          <w:highlight w:val="none"/>
          <w:lang w:val="en"/>
        </w:rPr>
        <w:t>第三期付款：项目通过终验后，供应商可向采购人申请支付合同款</w:t>
      </w:r>
      <w:r>
        <w:rPr>
          <w:rFonts w:hint="eastAsia" w:ascii="宋体" w:hAnsi="宋体" w:cs="仿宋"/>
          <w:sz w:val="24"/>
          <w:highlight w:val="none"/>
          <w:lang w:val="en-US" w:eastAsia="zh-CN"/>
        </w:rPr>
        <w:t>的20%</w:t>
      </w:r>
      <w:r>
        <w:rPr>
          <w:rFonts w:hint="eastAsia" w:ascii="宋体" w:hAnsi="宋体" w:cs="仿宋"/>
          <w:sz w:val="24"/>
          <w:highlight w:val="none"/>
          <w:lang w:val="en"/>
        </w:rPr>
        <w:t>，采购人收到供应商开具的发票后</w:t>
      </w:r>
      <w:r>
        <w:rPr>
          <w:rFonts w:hint="eastAsia" w:ascii="宋体" w:hAnsi="宋体" w:cs="仿宋"/>
          <w:sz w:val="24"/>
          <w:highlight w:val="none"/>
          <w:lang w:val="en-US" w:eastAsia="zh-CN"/>
        </w:rPr>
        <w:t>10</w:t>
      </w:r>
      <w:r>
        <w:rPr>
          <w:rFonts w:hint="eastAsia" w:ascii="宋体" w:hAnsi="宋体" w:cs="仿宋"/>
          <w:sz w:val="24"/>
          <w:highlight w:val="none"/>
          <w:lang w:val="en"/>
        </w:rPr>
        <w:t>个工作日内支付款项。</w:t>
      </w:r>
      <w:r>
        <w:rPr>
          <w:rFonts w:hint="eastAsia" w:ascii="宋体" w:hAnsi="宋体" w:cs="仿宋"/>
          <w:sz w:val="24"/>
          <w:highlight w:val="none"/>
          <w:lang w:val="en"/>
        </w:rPr>
        <w:br w:type="textWrapping"/>
      </w:r>
      <w:r>
        <w:rPr>
          <w:rFonts w:hint="eastAsia" w:ascii="宋体" w:hAnsi="宋体" w:cs="仿宋"/>
          <w:sz w:val="24"/>
          <w:highlight w:val="none"/>
          <w:lang w:val="en-US" w:eastAsia="zh-CN"/>
        </w:rPr>
        <w:t xml:space="preserve">    </w:t>
      </w:r>
      <w:r>
        <w:rPr>
          <w:rFonts w:hint="eastAsia" w:ascii="宋体" w:hAnsi="宋体" w:eastAsia="宋体" w:cs="仿宋"/>
          <w:color w:val="auto"/>
          <w:sz w:val="24"/>
          <w:highlight w:val="none"/>
          <w:lang w:val="en" w:eastAsia="zh-CN"/>
        </w:rPr>
        <w:t>第四期付款:</w:t>
      </w:r>
      <w:r>
        <w:rPr>
          <w:rFonts w:hint="eastAsia" w:ascii="宋体" w:hAnsi="宋体" w:eastAsia="宋体" w:cs="仿宋"/>
          <w:color w:val="auto"/>
          <w:sz w:val="24"/>
          <w:highlight w:val="none"/>
          <w:lang w:val="en"/>
        </w:rPr>
        <w:t>，</w:t>
      </w:r>
      <w:r>
        <w:rPr>
          <w:rFonts w:hint="eastAsia" w:ascii="宋体" w:hAnsi="宋体" w:eastAsia="宋体" w:cs="仿宋"/>
          <w:color w:val="auto"/>
          <w:sz w:val="24"/>
          <w:highlight w:val="none"/>
          <w:lang w:val="en" w:eastAsia="zh-CN"/>
        </w:rPr>
        <w:t>质保期结束后</w:t>
      </w:r>
      <w:r>
        <w:rPr>
          <w:rFonts w:hint="eastAsia" w:ascii="宋体" w:hAnsi="宋体" w:eastAsia="宋体" w:cs="仿宋"/>
          <w:color w:val="auto"/>
          <w:sz w:val="24"/>
          <w:highlight w:val="none"/>
          <w:lang w:val="en"/>
        </w:rPr>
        <w:t>后</w:t>
      </w:r>
      <w:r>
        <w:rPr>
          <w:rFonts w:hint="eastAsia" w:ascii="宋体" w:hAnsi="宋体" w:eastAsia="宋体" w:cs="仿宋"/>
          <w:color w:val="auto"/>
          <w:sz w:val="24"/>
          <w:highlight w:val="none"/>
          <w:lang w:val="en" w:eastAsia="zh-CN"/>
        </w:rPr>
        <w:t>10</w:t>
      </w:r>
      <w:r>
        <w:rPr>
          <w:rFonts w:hint="eastAsia" w:ascii="宋体" w:hAnsi="宋体" w:eastAsia="宋体" w:cs="仿宋"/>
          <w:color w:val="auto"/>
          <w:sz w:val="24"/>
          <w:highlight w:val="none"/>
          <w:lang w:val="en"/>
        </w:rPr>
        <w:t>个工作日内</w:t>
      </w:r>
      <w:r>
        <w:rPr>
          <w:rFonts w:hint="eastAsia" w:ascii="宋体" w:hAnsi="宋体" w:eastAsia="宋体" w:cs="仿宋"/>
          <w:color w:val="auto"/>
          <w:sz w:val="24"/>
          <w:highlight w:val="none"/>
          <w:lang w:val="en" w:eastAsia="zh-CN"/>
        </w:rPr>
        <w:t>，</w:t>
      </w:r>
      <w:r>
        <w:rPr>
          <w:rFonts w:hint="eastAsia" w:ascii="宋体" w:hAnsi="宋体" w:eastAsia="宋体" w:cs="仿宋"/>
          <w:color w:val="auto"/>
          <w:sz w:val="24"/>
          <w:highlight w:val="none"/>
          <w:lang w:val="en"/>
        </w:rPr>
        <w:t>供应商可向采购人申请</w:t>
      </w:r>
      <w:r>
        <w:rPr>
          <w:rFonts w:hint="eastAsia" w:ascii="宋体" w:hAnsi="宋体" w:eastAsia="宋体" w:cs="仿宋"/>
          <w:color w:val="auto"/>
          <w:sz w:val="24"/>
          <w:highlight w:val="none"/>
          <w:lang w:val="en" w:eastAsia="zh-CN"/>
        </w:rPr>
        <w:t>支付</w:t>
      </w:r>
      <w:r>
        <w:rPr>
          <w:rFonts w:hint="eastAsia" w:ascii="宋体" w:hAnsi="宋体" w:eastAsia="宋体" w:cs="仿宋"/>
          <w:color w:val="auto"/>
          <w:sz w:val="24"/>
          <w:highlight w:val="none"/>
          <w:lang w:val="en"/>
        </w:rPr>
        <w:t>付合同</w:t>
      </w:r>
      <w:r>
        <w:rPr>
          <w:rFonts w:hint="eastAsia" w:ascii="宋体" w:hAnsi="宋体" w:eastAsia="宋体" w:cs="仿宋"/>
          <w:color w:val="auto"/>
          <w:sz w:val="24"/>
          <w:highlight w:val="none"/>
          <w:lang w:val="en" w:eastAsia="zh-CN"/>
        </w:rPr>
        <w:t>剩余款项，</w:t>
      </w:r>
      <w:r>
        <w:rPr>
          <w:rFonts w:hint="eastAsia" w:ascii="宋体" w:hAnsi="宋体" w:eastAsia="宋体" w:cs="仿宋"/>
          <w:color w:val="auto"/>
          <w:sz w:val="24"/>
          <w:highlight w:val="none"/>
          <w:lang w:val="en"/>
        </w:rPr>
        <w:t>采购人收到供应商开具的发票后</w:t>
      </w:r>
      <w:r>
        <w:rPr>
          <w:rFonts w:hint="eastAsia" w:ascii="宋体" w:hAnsi="宋体" w:eastAsia="宋体" w:cs="仿宋"/>
          <w:color w:val="auto"/>
          <w:sz w:val="24"/>
          <w:highlight w:val="none"/>
          <w:lang w:val="en" w:eastAsia="zh-CN"/>
        </w:rPr>
        <w:t>10</w:t>
      </w:r>
      <w:r>
        <w:rPr>
          <w:rFonts w:hint="eastAsia" w:ascii="宋体" w:hAnsi="宋体" w:eastAsia="宋体" w:cs="仿宋"/>
          <w:color w:val="auto"/>
          <w:sz w:val="24"/>
          <w:highlight w:val="none"/>
          <w:lang w:val="en"/>
        </w:rPr>
        <w:t>个工作日内支付款项。</w:t>
      </w:r>
    </w:p>
    <w:p>
      <w:pPr>
        <w:pStyle w:val="261"/>
        <w:ind w:firstLine="0" w:firstLineChars="0"/>
        <w:rPr>
          <w:rFonts w:ascii="宋体" w:hAnsi="宋体" w:eastAsia="宋体"/>
          <w:b/>
          <w:bCs/>
          <w:sz w:val="28"/>
          <w:szCs w:val="28"/>
        </w:rPr>
      </w:pPr>
      <w:r>
        <w:rPr>
          <w:rFonts w:hint="eastAsia" w:ascii="宋体" w:hAnsi="宋体" w:eastAsia="宋体"/>
          <w:b/>
          <w:bCs/>
          <w:sz w:val="28"/>
          <w:szCs w:val="28"/>
          <w:lang w:val="en-US" w:eastAsia="zh-CN"/>
        </w:rPr>
        <w:t>九</w:t>
      </w:r>
      <w:r>
        <w:rPr>
          <w:rFonts w:hint="eastAsia" w:ascii="宋体" w:hAnsi="宋体" w:eastAsia="宋体"/>
          <w:b/>
          <w:bCs/>
          <w:sz w:val="28"/>
          <w:szCs w:val="28"/>
        </w:rPr>
        <w:t>、验收要求</w:t>
      </w:r>
    </w:p>
    <w:p>
      <w:pPr>
        <w:spacing w:line="360" w:lineRule="auto"/>
        <w:ind w:firstLine="480" w:firstLineChars="200"/>
        <w:rPr>
          <w:rFonts w:ascii="宋体" w:hAnsi="宋体" w:cs="仿宋"/>
          <w:sz w:val="24"/>
          <w:lang w:val="en"/>
        </w:rPr>
      </w:pPr>
      <w:r>
        <w:rPr>
          <w:rFonts w:hint="eastAsia" w:ascii="宋体" w:hAnsi="宋体" w:cs="仿宋"/>
          <w:sz w:val="24"/>
          <w:lang w:val="en"/>
        </w:rPr>
        <w:t>按照招投标文件和合同要求进行验收。根据《杭州市政府采购履约验收暂行办法》杭财采监〔2019〕10 号规定，进行履约验收，验收合格报告作为项目支付的依据。</w:t>
      </w:r>
    </w:p>
    <w:p>
      <w:pPr>
        <w:spacing w:line="360" w:lineRule="auto"/>
        <w:ind w:firstLine="480" w:firstLineChars="200"/>
        <w:rPr>
          <w:rFonts w:hint="eastAsia" w:ascii="宋体" w:hAnsi="宋体" w:eastAsia="宋体" w:cs="仿宋"/>
          <w:sz w:val="24"/>
          <w:lang w:val="en-US" w:eastAsia="zh-CN"/>
        </w:rPr>
      </w:pPr>
      <w:r>
        <w:rPr>
          <w:rFonts w:hint="eastAsia" w:ascii="宋体" w:hAnsi="宋体" w:cs="仿宋"/>
          <w:sz w:val="24"/>
          <w:lang w:val="en-US"/>
        </w:rPr>
        <w:t>1</w:t>
      </w:r>
      <w:r>
        <w:rPr>
          <w:rFonts w:hint="eastAsia" w:ascii="宋体" w:hAnsi="宋体" w:cs="仿宋"/>
          <w:sz w:val="24"/>
          <w:lang w:val="en-US" w:eastAsia="zh-CN"/>
        </w:rPr>
        <w:t>、</w:t>
      </w:r>
      <w:r>
        <w:rPr>
          <w:rFonts w:hint="eastAsia" w:ascii="宋体" w:hAnsi="宋体" w:cs="仿宋"/>
          <w:sz w:val="24"/>
          <w:lang w:val="en-US"/>
        </w:rPr>
        <w:t>验收主体：</w:t>
      </w:r>
      <w:r>
        <w:rPr>
          <w:rFonts w:hint="eastAsia" w:ascii="宋体" w:hAnsi="宋体" w:cs="仿宋"/>
          <w:sz w:val="24"/>
          <w:lang w:val="en-US" w:eastAsia="zh-CN"/>
        </w:rPr>
        <w:t>杭州市拱墅区住房和城市建设局</w:t>
      </w:r>
    </w:p>
    <w:p>
      <w:pPr>
        <w:spacing w:line="360" w:lineRule="auto"/>
        <w:ind w:firstLine="480" w:firstLineChars="200"/>
        <w:rPr>
          <w:rFonts w:hint="eastAsia" w:ascii="宋体" w:hAnsi="宋体" w:cs="仿宋"/>
          <w:sz w:val="24"/>
          <w:lang w:val="en-US"/>
        </w:rPr>
      </w:pPr>
      <w:r>
        <w:rPr>
          <w:rFonts w:hint="eastAsia" w:ascii="宋体" w:hAnsi="宋体" w:cs="仿宋"/>
          <w:sz w:val="24"/>
          <w:lang w:val="en-US"/>
        </w:rPr>
        <w:t>2</w:t>
      </w:r>
      <w:r>
        <w:rPr>
          <w:rFonts w:hint="eastAsia" w:ascii="宋体" w:hAnsi="宋体" w:cs="仿宋"/>
          <w:sz w:val="24"/>
          <w:lang w:val="en-US" w:eastAsia="zh-CN"/>
        </w:rPr>
        <w:t>、</w:t>
      </w:r>
      <w:r>
        <w:rPr>
          <w:rFonts w:hint="eastAsia" w:ascii="宋体" w:hAnsi="宋体" w:cs="仿宋"/>
          <w:sz w:val="24"/>
          <w:lang w:val="en-US"/>
        </w:rPr>
        <w:t>验收时间：</w:t>
      </w:r>
    </w:p>
    <w:p>
      <w:pPr>
        <w:spacing w:line="360" w:lineRule="auto"/>
        <w:ind w:firstLine="480" w:firstLineChars="200"/>
        <w:rPr>
          <w:rFonts w:hint="eastAsia" w:ascii="宋体" w:hAnsi="宋体" w:cs="仿宋"/>
          <w:sz w:val="24"/>
          <w:lang w:val="en-US"/>
        </w:rPr>
      </w:pPr>
      <w:r>
        <w:rPr>
          <w:rFonts w:hint="eastAsia" w:ascii="宋体" w:hAnsi="宋体" w:cs="仿宋"/>
          <w:sz w:val="24"/>
          <w:lang w:val="en-US"/>
        </w:rPr>
        <w:t>（1）完成全部项目系统信创改造任务并整合到杭州城市运行“一网统管”系统，并在投入试运行前，由采购人组织（或委托采购代理机构）对项目进行初步验收</w:t>
      </w:r>
    </w:p>
    <w:p>
      <w:pPr>
        <w:spacing w:line="360" w:lineRule="auto"/>
        <w:ind w:firstLine="480" w:firstLineChars="200"/>
        <w:rPr>
          <w:rFonts w:hint="eastAsia" w:ascii="宋体" w:hAnsi="宋体" w:cs="仿宋"/>
          <w:sz w:val="24"/>
          <w:lang w:val="en-US"/>
        </w:rPr>
      </w:pPr>
      <w:r>
        <w:rPr>
          <w:rFonts w:hint="eastAsia" w:ascii="宋体" w:hAnsi="宋体" w:cs="仿宋"/>
          <w:sz w:val="24"/>
          <w:lang w:val="en-US"/>
        </w:rPr>
        <w:t>（2）投入试运行后正常运行1个月，系统经采购人确认，已满足相关建设需求后。由采购人会同有关部门（或委托采购代理机构）对项目进行最终验收。</w:t>
      </w:r>
    </w:p>
    <w:p>
      <w:pPr>
        <w:spacing w:line="360" w:lineRule="auto"/>
        <w:ind w:firstLine="480" w:firstLineChars="200"/>
        <w:rPr>
          <w:rFonts w:hint="eastAsia" w:ascii="宋体" w:hAnsi="宋体" w:cs="仿宋"/>
          <w:sz w:val="24"/>
          <w:lang w:val="en-US"/>
        </w:rPr>
      </w:pPr>
      <w:r>
        <w:rPr>
          <w:rFonts w:hint="eastAsia" w:ascii="宋体" w:hAnsi="宋体" w:cs="仿宋"/>
          <w:sz w:val="24"/>
          <w:lang w:val="en-US"/>
        </w:rPr>
        <w:t>3</w:t>
      </w:r>
      <w:r>
        <w:rPr>
          <w:rFonts w:hint="eastAsia" w:ascii="宋体" w:hAnsi="宋体" w:cs="仿宋"/>
          <w:sz w:val="24"/>
          <w:lang w:val="en-US" w:eastAsia="zh-CN"/>
        </w:rPr>
        <w:t>、</w:t>
      </w:r>
      <w:r>
        <w:rPr>
          <w:rFonts w:hint="eastAsia" w:ascii="宋体" w:hAnsi="宋体" w:cs="仿宋"/>
          <w:sz w:val="24"/>
          <w:lang w:val="en-US"/>
        </w:rPr>
        <w:t>验收方式：采购人自行组织验收或委托采购代理机构验收</w:t>
      </w:r>
    </w:p>
    <w:p>
      <w:pPr>
        <w:spacing w:line="360" w:lineRule="auto"/>
        <w:ind w:firstLine="480" w:firstLineChars="200"/>
        <w:rPr>
          <w:rFonts w:hint="eastAsia" w:ascii="宋体" w:hAnsi="宋体" w:cs="仿宋"/>
          <w:sz w:val="24"/>
          <w:lang w:val="en-US"/>
        </w:rPr>
      </w:pPr>
      <w:r>
        <w:rPr>
          <w:rFonts w:hint="eastAsia" w:ascii="宋体" w:hAnsi="宋体" w:cs="仿宋"/>
          <w:sz w:val="24"/>
          <w:lang w:val="en-US"/>
        </w:rPr>
        <w:t>4</w:t>
      </w:r>
      <w:r>
        <w:rPr>
          <w:rFonts w:hint="eastAsia" w:ascii="宋体" w:hAnsi="宋体" w:cs="仿宋"/>
          <w:sz w:val="24"/>
          <w:lang w:val="en-US" w:eastAsia="zh-CN"/>
        </w:rPr>
        <w:t>、</w:t>
      </w:r>
      <w:r>
        <w:rPr>
          <w:rFonts w:hint="eastAsia" w:ascii="宋体" w:hAnsi="宋体" w:cs="仿宋"/>
          <w:sz w:val="24"/>
          <w:lang w:val="en-US"/>
        </w:rPr>
        <w:t>验收程序：</w:t>
      </w:r>
    </w:p>
    <w:p>
      <w:pPr>
        <w:spacing w:line="360" w:lineRule="auto"/>
        <w:ind w:firstLine="480" w:firstLineChars="200"/>
        <w:rPr>
          <w:rFonts w:hint="eastAsia" w:ascii="宋体" w:hAnsi="宋体" w:cs="仿宋"/>
          <w:sz w:val="24"/>
          <w:lang w:val="en-US"/>
        </w:rPr>
      </w:pPr>
      <w:r>
        <w:rPr>
          <w:rFonts w:hint="eastAsia" w:ascii="宋体" w:hAnsi="宋体" w:cs="仿宋"/>
          <w:sz w:val="24"/>
          <w:lang w:val="en-US"/>
        </w:rPr>
        <w:t>（1）中标人提供相关材料：</w:t>
      </w:r>
    </w:p>
    <w:p>
      <w:pPr>
        <w:spacing w:line="360" w:lineRule="auto"/>
        <w:ind w:firstLine="480" w:firstLineChars="200"/>
        <w:rPr>
          <w:rFonts w:hint="eastAsia" w:ascii="宋体" w:hAnsi="宋体" w:cs="仿宋"/>
          <w:sz w:val="24"/>
          <w:lang w:val="en-US"/>
        </w:rPr>
      </w:pPr>
      <w:r>
        <w:rPr>
          <w:rFonts w:hint="eastAsia" w:ascii="宋体" w:hAnsi="宋体" w:cs="仿宋"/>
          <w:sz w:val="24"/>
          <w:lang w:val="en-US"/>
        </w:rPr>
        <w:t>验收时需提供的文档包括但不仅限于：项目投标文件电子稿、项目实施方案、测试方案、测试记录及报告、配置和维护手册、系统试运行报告、项目总结报告等相关材料。</w:t>
      </w:r>
    </w:p>
    <w:p>
      <w:pPr>
        <w:spacing w:line="360" w:lineRule="auto"/>
        <w:ind w:firstLine="480" w:firstLineChars="200"/>
        <w:rPr>
          <w:rFonts w:hint="eastAsia" w:ascii="宋体" w:hAnsi="宋体" w:cs="仿宋"/>
          <w:sz w:val="24"/>
          <w:lang w:val="en-US"/>
        </w:rPr>
      </w:pPr>
      <w:r>
        <w:rPr>
          <w:rFonts w:hint="eastAsia" w:ascii="宋体" w:hAnsi="宋体" w:cs="仿宋"/>
          <w:sz w:val="24"/>
          <w:lang w:val="en-US"/>
        </w:rPr>
        <w:t>（2）材料验收：验收小组根据采购合同及服务内容，对项目履约过程中的相关档案及材料，过程文件资料和效果等方面进行逐项验收。</w:t>
      </w:r>
    </w:p>
    <w:p>
      <w:pPr>
        <w:spacing w:line="360" w:lineRule="auto"/>
        <w:ind w:firstLine="480" w:firstLineChars="200"/>
        <w:rPr>
          <w:rFonts w:hint="eastAsia" w:ascii="宋体" w:hAnsi="宋体" w:cs="仿宋"/>
          <w:sz w:val="24"/>
          <w:lang w:val="en-US"/>
        </w:rPr>
      </w:pPr>
      <w:r>
        <w:rPr>
          <w:rFonts w:hint="eastAsia" w:ascii="宋体" w:hAnsi="宋体" w:cs="仿宋"/>
          <w:sz w:val="24"/>
          <w:lang w:val="en-US"/>
        </w:rPr>
        <w:t>（3）验收小组在验收过程中，对验收的内容及情况与实际查验结果不符合采购合同约定的情况如实反馈，并在做相应记录。</w:t>
      </w:r>
    </w:p>
    <w:p>
      <w:pPr>
        <w:spacing w:line="360" w:lineRule="auto"/>
        <w:ind w:firstLine="480" w:firstLineChars="200"/>
        <w:rPr>
          <w:rFonts w:hint="eastAsia" w:ascii="宋体" w:hAnsi="宋体" w:cs="仿宋"/>
          <w:sz w:val="24"/>
          <w:lang w:val="en-US"/>
        </w:rPr>
      </w:pPr>
      <w:r>
        <w:rPr>
          <w:rFonts w:hint="eastAsia" w:ascii="宋体" w:hAnsi="宋体" w:cs="仿宋"/>
          <w:sz w:val="24"/>
          <w:lang w:val="en-US"/>
        </w:rPr>
        <w:t>（4）查验结束后召开验收讨论会。验收小组结合档案材料验收情况对项目履约完成情况进行讨论总结，得出验收结论，并出具验收报告。验收报告应当根据验收方案制作，并经验收小组全体成员签字。验收小组成员对验收报告载明的结论有异议的，应当在验收报告上签署不同意见并说明理由，否视为同意验收结论。</w:t>
      </w:r>
    </w:p>
    <w:p>
      <w:pPr>
        <w:spacing w:line="360" w:lineRule="auto"/>
        <w:ind w:firstLine="480" w:firstLineChars="200"/>
        <w:rPr>
          <w:rFonts w:hint="eastAsia" w:ascii="宋体" w:hAnsi="宋体" w:cs="仿宋"/>
          <w:sz w:val="24"/>
          <w:lang w:val="en-US"/>
        </w:rPr>
      </w:pPr>
      <w:r>
        <w:rPr>
          <w:rFonts w:hint="eastAsia" w:ascii="宋体" w:hAnsi="宋体" w:cs="仿宋"/>
          <w:sz w:val="24"/>
          <w:lang w:val="en-US"/>
        </w:rPr>
        <w:t>5</w:t>
      </w:r>
      <w:r>
        <w:rPr>
          <w:rFonts w:hint="eastAsia" w:ascii="宋体" w:hAnsi="宋体" w:cs="仿宋"/>
          <w:sz w:val="24"/>
          <w:lang w:val="en-US" w:eastAsia="zh-CN"/>
        </w:rPr>
        <w:t>、</w:t>
      </w:r>
      <w:r>
        <w:rPr>
          <w:rFonts w:hint="eastAsia" w:ascii="宋体" w:hAnsi="宋体" w:cs="仿宋"/>
          <w:sz w:val="24"/>
          <w:lang w:val="en-US"/>
        </w:rPr>
        <w:t>验收内容：</w:t>
      </w:r>
    </w:p>
    <w:p>
      <w:pPr>
        <w:spacing w:line="360" w:lineRule="auto"/>
        <w:ind w:firstLine="480" w:firstLineChars="200"/>
        <w:rPr>
          <w:rFonts w:hint="eastAsia" w:ascii="宋体" w:hAnsi="宋体" w:cs="仿宋"/>
          <w:sz w:val="24"/>
          <w:lang w:val="en-US"/>
        </w:rPr>
      </w:pPr>
      <w:r>
        <w:rPr>
          <w:rFonts w:hint="eastAsia" w:ascii="宋体" w:hAnsi="宋体" w:cs="仿宋"/>
          <w:sz w:val="24"/>
          <w:lang w:val="en-US"/>
        </w:rPr>
        <w:t>根据招标文件中“采购需求”内容进行验收。</w:t>
      </w:r>
    </w:p>
    <w:p>
      <w:pPr>
        <w:spacing w:line="360" w:lineRule="auto"/>
        <w:ind w:firstLine="480" w:firstLineChars="200"/>
        <w:rPr>
          <w:rFonts w:hint="eastAsia" w:ascii="宋体" w:hAnsi="宋体" w:cs="仿宋"/>
          <w:sz w:val="24"/>
          <w:lang w:val="en-US"/>
        </w:rPr>
      </w:pPr>
      <w:r>
        <w:rPr>
          <w:rFonts w:hint="eastAsia" w:ascii="宋体" w:hAnsi="宋体" w:cs="仿宋"/>
          <w:sz w:val="24"/>
          <w:lang w:val="en-US"/>
        </w:rPr>
        <w:t>6</w:t>
      </w:r>
      <w:r>
        <w:rPr>
          <w:rFonts w:hint="eastAsia" w:ascii="宋体" w:hAnsi="宋体" w:cs="仿宋"/>
          <w:sz w:val="24"/>
          <w:lang w:val="en-US" w:eastAsia="zh-CN"/>
        </w:rPr>
        <w:t>、</w:t>
      </w:r>
      <w:r>
        <w:rPr>
          <w:rFonts w:hint="eastAsia" w:ascii="宋体" w:hAnsi="宋体" w:cs="仿宋"/>
          <w:sz w:val="24"/>
          <w:lang w:val="en-US"/>
        </w:rPr>
        <w:t>验收标准：</w:t>
      </w:r>
    </w:p>
    <w:p>
      <w:pPr>
        <w:spacing w:line="360" w:lineRule="auto"/>
        <w:ind w:firstLine="480" w:firstLineChars="200"/>
        <w:rPr>
          <w:rFonts w:hint="eastAsia" w:ascii="宋体" w:hAnsi="宋体" w:cs="仿宋"/>
          <w:sz w:val="24"/>
          <w:highlight w:val="none"/>
          <w:lang w:val="en-US"/>
        </w:rPr>
      </w:pPr>
      <w:r>
        <w:rPr>
          <w:rFonts w:hint="eastAsia" w:ascii="宋体" w:hAnsi="宋体" w:cs="仿宋"/>
          <w:sz w:val="24"/>
          <w:lang w:val="en-US"/>
        </w:rPr>
        <w:t>根据招标文件、投标文件及采购合同等采购文件确定的技术指标或者服务要求确定。按照招投标文件和合同要求进行验收。根据《杭州市政府采购履约验收暂行办法》杭财采监〔2019〕10 号规定，进行履约验收，验收合格报告作为项目支付</w:t>
      </w:r>
      <w:r>
        <w:rPr>
          <w:rFonts w:hint="eastAsia" w:ascii="宋体" w:hAnsi="宋体" w:cs="仿宋"/>
          <w:sz w:val="24"/>
          <w:highlight w:val="none"/>
          <w:lang w:val="en-US"/>
        </w:rPr>
        <w:t>的依据。</w:t>
      </w:r>
    </w:p>
    <w:p>
      <w:pPr>
        <w:pStyle w:val="261"/>
        <w:ind w:firstLine="0" w:firstLineChars="0"/>
        <w:rPr>
          <w:rFonts w:ascii="宋体" w:hAnsi="宋体" w:eastAsia="宋体"/>
          <w:b/>
          <w:bCs/>
          <w:sz w:val="28"/>
          <w:szCs w:val="28"/>
          <w:highlight w:val="none"/>
        </w:rPr>
      </w:pPr>
      <w:r>
        <w:rPr>
          <w:rFonts w:hint="eastAsia" w:ascii="宋体" w:hAnsi="宋体" w:eastAsia="宋体"/>
          <w:b/>
          <w:bCs/>
          <w:sz w:val="28"/>
          <w:szCs w:val="28"/>
          <w:highlight w:val="none"/>
        </w:rPr>
        <w:t>十</w:t>
      </w:r>
      <w:r>
        <w:rPr>
          <w:rFonts w:hint="eastAsia" w:ascii="宋体" w:hAnsi="宋体" w:eastAsia="宋体"/>
          <w:b/>
          <w:bCs/>
          <w:sz w:val="28"/>
          <w:szCs w:val="28"/>
          <w:highlight w:val="none"/>
          <w:lang w:val="en-US" w:eastAsia="zh-CN"/>
        </w:rPr>
        <w:t>一</w:t>
      </w:r>
      <w:r>
        <w:rPr>
          <w:rFonts w:hint="eastAsia" w:ascii="宋体" w:hAnsi="宋体" w:eastAsia="宋体"/>
          <w:b/>
          <w:bCs/>
          <w:sz w:val="28"/>
          <w:szCs w:val="28"/>
          <w:highlight w:val="none"/>
        </w:rPr>
        <w:t>、知识产权</w:t>
      </w:r>
      <w:r>
        <w:rPr>
          <w:rFonts w:ascii="宋体" w:hAnsi="宋体" w:eastAsia="宋体"/>
          <w:b/>
          <w:bCs/>
          <w:sz w:val="28"/>
          <w:szCs w:val="28"/>
          <w:highlight w:val="none"/>
        </w:rPr>
        <w:t>要求</w:t>
      </w:r>
    </w:p>
    <w:p>
      <w:pPr>
        <w:autoSpaceDE w:val="0"/>
        <w:autoSpaceDN w:val="0"/>
        <w:spacing w:line="360" w:lineRule="auto"/>
        <w:ind w:firstLine="480" w:firstLineChars="200"/>
        <w:rPr>
          <w:rFonts w:ascii="宋体" w:hAnsi="宋体"/>
          <w:bCs/>
          <w:sz w:val="24"/>
          <w:highlight w:val="none"/>
        </w:rPr>
      </w:pPr>
      <w:r>
        <w:rPr>
          <w:rFonts w:hint="eastAsia" w:ascii="宋体" w:hAnsi="宋体"/>
          <w:bCs/>
          <w:sz w:val="24"/>
          <w:highlight w:val="none"/>
        </w:rPr>
        <w:t>1</w:t>
      </w:r>
      <w:r>
        <w:rPr>
          <w:rFonts w:hint="eastAsia" w:ascii="宋体" w:hAnsi="宋体"/>
          <w:bCs/>
          <w:sz w:val="24"/>
          <w:highlight w:val="none"/>
          <w:lang w:eastAsia="zh-CN"/>
        </w:rPr>
        <w:t>、</w:t>
      </w:r>
      <w:r>
        <w:rPr>
          <w:rFonts w:hint="eastAsia" w:ascii="宋体" w:hAnsi="宋体"/>
          <w:bCs/>
          <w:sz w:val="24"/>
          <w:highlight w:val="none"/>
        </w:rPr>
        <w:t>本项目的最终用户为杭州市拱墅区住房和城市建设局。</w:t>
      </w:r>
    </w:p>
    <w:p>
      <w:pPr>
        <w:autoSpaceDE w:val="0"/>
        <w:autoSpaceDN w:val="0"/>
        <w:spacing w:line="360" w:lineRule="auto"/>
        <w:ind w:firstLine="480" w:firstLineChars="200"/>
        <w:rPr>
          <w:rFonts w:ascii="宋体" w:hAnsi="宋体"/>
          <w:bCs/>
          <w:sz w:val="24"/>
          <w:highlight w:val="none"/>
        </w:rPr>
      </w:pPr>
      <w:r>
        <w:rPr>
          <w:rFonts w:hint="eastAsia" w:ascii="宋体" w:hAnsi="宋体" w:cs="Calibri"/>
          <w:sz w:val="24"/>
          <w:highlight w:val="none"/>
        </w:rPr>
        <w:t>2</w:t>
      </w:r>
      <w:r>
        <w:rPr>
          <w:rFonts w:hint="eastAsia" w:ascii="宋体" w:hAnsi="宋体" w:cs="Calibri"/>
          <w:sz w:val="24"/>
          <w:highlight w:val="none"/>
          <w:lang w:eastAsia="zh-CN"/>
        </w:rPr>
        <w:t>、</w:t>
      </w:r>
      <w:r>
        <w:rPr>
          <w:rFonts w:hint="eastAsia" w:ascii="宋体" w:hAnsi="宋体" w:cs="Calibri"/>
          <w:sz w:val="24"/>
          <w:highlight w:val="none"/>
        </w:rPr>
        <w:t>中标方应保证所提供的系统或其任何一部分均不会侵犯任何第三方的知识产权。</w:t>
      </w:r>
    </w:p>
    <w:p>
      <w:pPr>
        <w:snapToGrid w:val="0"/>
        <w:spacing w:line="360" w:lineRule="auto"/>
        <w:ind w:firstLine="480" w:firstLineChars="200"/>
        <w:jc w:val="left"/>
        <w:rPr>
          <w:rFonts w:ascii="宋体" w:hAnsi="宋体"/>
          <w:bCs/>
          <w:sz w:val="24"/>
          <w:highlight w:val="none"/>
        </w:rPr>
      </w:pPr>
      <w:r>
        <w:rPr>
          <w:rFonts w:hint="eastAsia" w:ascii="宋体" w:hAnsi="宋体"/>
          <w:bCs/>
          <w:sz w:val="24"/>
          <w:highlight w:val="none"/>
        </w:rPr>
        <w:t>3</w:t>
      </w:r>
      <w:r>
        <w:rPr>
          <w:rFonts w:hint="eastAsia" w:ascii="宋体" w:hAnsi="宋体"/>
          <w:bCs/>
          <w:sz w:val="24"/>
          <w:highlight w:val="none"/>
          <w:lang w:eastAsia="zh-CN"/>
        </w:rPr>
        <w:t>、</w:t>
      </w:r>
      <w:r>
        <w:rPr>
          <w:rFonts w:hint="eastAsia" w:ascii="宋体" w:hAnsi="宋体"/>
          <w:bCs/>
          <w:sz w:val="24"/>
          <w:highlight w:val="none"/>
        </w:rPr>
        <w:t>投标人须保证所提供产品具有合法的版权或使用权，本项目采购的产品，如在本项目范围内使用过程中出现版权或使用权纠纷，应由中标人负责，采购人和采购代理机构不承担责任。</w:t>
      </w:r>
    </w:p>
    <w:p>
      <w:pPr>
        <w:snapToGrid w:val="0"/>
        <w:spacing w:line="360" w:lineRule="auto"/>
        <w:ind w:firstLine="480" w:firstLineChars="200"/>
        <w:jc w:val="left"/>
        <w:rPr>
          <w:rFonts w:ascii="宋体" w:hAnsi="宋体" w:cs="Calibri"/>
          <w:sz w:val="24"/>
          <w:highlight w:val="none"/>
        </w:rPr>
      </w:pPr>
      <w:r>
        <w:rPr>
          <w:rFonts w:hint="eastAsia" w:ascii="宋体" w:hAnsi="宋体" w:cs="Calibri"/>
          <w:sz w:val="24"/>
          <w:highlight w:val="none"/>
        </w:rPr>
        <w:t>4</w:t>
      </w:r>
      <w:r>
        <w:rPr>
          <w:rFonts w:hint="eastAsia" w:ascii="宋体" w:hAnsi="宋体" w:cs="Calibri"/>
          <w:sz w:val="24"/>
          <w:highlight w:val="none"/>
          <w:lang w:eastAsia="zh-CN"/>
        </w:rPr>
        <w:t>、</w:t>
      </w:r>
      <w:r>
        <w:rPr>
          <w:rFonts w:hint="eastAsia" w:ascii="宋体" w:hAnsi="宋体" w:cs="Calibri"/>
          <w:sz w:val="24"/>
          <w:highlight w:val="none"/>
          <w:lang w:val="en-US" w:eastAsia="zh-CN"/>
        </w:rPr>
        <w:t>无</w:t>
      </w:r>
      <w:r>
        <w:rPr>
          <w:rFonts w:hint="eastAsia" w:ascii="宋体" w:hAnsi="宋体" w:cs="Calibri"/>
          <w:sz w:val="24"/>
          <w:highlight w:val="none"/>
        </w:rPr>
        <w:t>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w:t>
      </w:r>
    </w:p>
    <w:p>
      <w:pPr>
        <w:numPr>
          <w:ilvl w:val="0"/>
          <w:numId w:val="0"/>
        </w:numPr>
        <w:snapToGrid w:val="0"/>
        <w:spacing w:line="360" w:lineRule="auto"/>
        <w:ind w:left="0" w:leftChars="0" w:firstLine="480" w:firstLineChars="200"/>
        <w:jc w:val="left"/>
        <w:rPr>
          <w:rFonts w:hint="eastAsia" w:ascii="宋体" w:hAnsi="宋体" w:eastAsia="宋体" w:cs="宋体"/>
          <w:bCs/>
          <w:color w:val="auto"/>
          <w:kern w:val="2"/>
          <w:sz w:val="24"/>
          <w:szCs w:val="24"/>
          <w:highlight w:val="none"/>
          <w:lang w:val="en-US" w:eastAsia="zh-CN" w:bidi="ar-SA"/>
        </w:rPr>
      </w:pPr>
    </w:p>
    <w:p>
      <w:pPr>
        <w:spacing w:line="360" w:lineRule="auto"/>
        <w:jc w:val="center"/>
        <w:outlineLvl w:val="0"/>
        <w:rPr>
          <w:rFonts w:hint="eastAsia" w:ascii="宋体" w:hAnsi="宋体" w:cs="宋体"/>
          <w:b/>
          <w:color w:val="auto"/>
          <w:sz w:val="24"/>
          <w:highlight w:val="none"/>
        </w:rPr>
      </w:pPr>
      <w:r>
        <w:rPr>
          <w:rFonts w:hint="eastAsia" w:ascii="宋体" w:hAnsi="宋体" w:cs="宋体"/>
          <w:b/>
          <w:color w:val="auto"/>
          <w:sz w:val="24"/>
          <w:highlight w:val="none"/>
        </w:rPr>
        <w:br w:type="page"/>
      </w:r>
    </w:p>
    <w:p>
      <w:pPr>
        <w:pStyle w:val="3"/>
        <w:spacing w:line="360" w:lineRule="auto"/>
        <w:ind w:left="1090" w:leftChars="519" w:firstLine="343" w:firstLineChars="95"/>
        <w:jc w:val="center"/>
        <w:outlineLvl w:val="0"/>
        <w:rPr>
          <w:rFonts w:ascii="宋体" w:hAnsi="宋体" w:cs="宋体"/>
          <w:b/>
          <w:color w:val="auto"/>
          <w:sz w:val="36"/>
          <w:szCs w:val="36"/>
          <w:highlight w:val="none"/>
        </w:rPr>
      </w:pPr>
      <w:r>
        <w:rPr>
          <w:rStyle w:val="286"/>
          <w:rFonts w:hint="eastAsia" w:ascii="宋体" w:hAnsi="宋体" w:cs="宋体"/>
          <w:b/>
          <w:bCs/>
          <w:color w:val="auto"/>
          <w:sz w:val="36"/>
          <w:szCs w:val="36"/>
          <w:highlight w:val="none"/>
        </w:rPr>
        <w:t xml:space="preserve">第四部分   </w:t>
      </w:r>
      <w:bookmarkStart w:id="43" w:name="_Toc184312072"/>
      <w:bookmarkEnd w:id="43"/>
      <w:bookmarkStart w:id="44" w:name="_Toc184310308"/>
      <w:bookmarkEnd w:id="44"/>
      <w:bookmarkStart w:id="45" w:name="_Toc184312079"/>
      <w:bookmarkEnd w:id="45"/>
      <w:bookmarkStart w:id="46" w:name="_Toc184308069"/>
      <w:bookmarkEnd w:id="46"/>
      <w:bookmarkStart w:id="47" w:name="_Toc184312088"/>
      <w:bookmarkEnd w:id="47"/>
      <w:bookmarkStart w:id="48" w:name="_Toc184312137"/>
      <w:bookmarkEnd w:id="48"/>
      <w:bookmarkStart w:id="49" w:name="_Toc184310280"/>
      <w:bookmarkEnd w:id="49"/>
      <w:bookmarkStart w:id="50" w:name="_Toc184308062"/>
      <w:bookmarkEnd w:id="50"/>
      <w:bookmarkStart w:id="51" w:name="_Toc184312124"/>
      <w:bookmarkEnd w:id="51"/>
      <w:bookmarkStart w:id="52" w:name="_Toc184308072"/>
      <w:bookmarkEnd w:id="52"/>
      <w:bookmarkStart w:id="53" w:name="_Toc184313275"/>
      <w:bookmarkEnd w:id="53"/>
      <w:bookmarkStart w:id="54" w:name="_Toc184313293"/>
      <w:bookmarkEnd w:id="54"/>
      <w:bookmarkStart w:id="55" w:name="_Toc184313280"/>
      <w:bookmarkEnd w:id="55"/>
      <w:bookmarkStart w:id="56" w:name="_Toc184314468"/>
      <w:bookmarkEnd w:id="56"/>
      <w:bookmarkStart w:id="57" w:name="_Toc184308080"/>
      <w:bookmarkEnd w:id="57"/>
      <w:bookmarkStart w:id="58" w:name="_Toc184313240"/>
      <w:bookmarkEnd w:id="58"/>
      <w:bookmarkStart w:id="59" w:name="_Toc184310329"/>
      <w:bookmarkEnd w:id="59"/>
      <w:bookmarkStart w:id="60" w:name="_Toc184308081"/>
      <w:bookmarkEnd w:id="60"/>
      <w:bookmarkStart w:id="61" w:name="_Toc184314479"/>
      <w:bookmarkEnd w:id="61"/>
      <w:bookmarkStart w:id="62" w:name="_Toc184308078"/>
      <w:bookmarkEnd w:id="62"/>
      <w:bookmarkStart w:id="63" w:name="_Toc184313292"/>
      <w:bookmarkEnd w:id="63"/>
      <w:bookmarkStart w:id="64" w:name="_Toc184310279"/>
      <w:bookmarkEnd w:id="64"/>
      <w:bookmarkStart w:id="65" w:name="_Toc184314456"/>
      <w:bookmarkEnd w:id="65"/>
      <w:bookmarkStart w:id="66" w:name="_Toc184308079"/>
      <w:bookmarkEnd w:id="66"/>
      <w:bookmarkStart w:id="67" w:name="_Toc184310311"/>
      <w:bookmarkEnd w:id="67"/>
      <w:bookmarkStart w:id="68" w:name="_Toc184312114"/>
      <w:bookmarkEnd w:id="68"/>
      <w:bookmarkStart w:id="69" w:name="_Toc184308086"/>
      <w:bookmarkEnd w:id="69"/>
      <w:bookmarkStart w:id="70" w:name="_Toc184308073"/>
      <w:bookmarkEnd w:id="70"/>
      <w:bookmarkStart w:id="71" w:name="_Toc184314425"/>
      <w:bookmarkEnd w:id="71"/>
      <w:bookmarkStart w:id="72" w:name="_Toc184312125"/>
      <w:bookmarkEnd w:id="72"/>
      <w:bookmarkStart w:id="73" w:name="_Toc184313294"/>
      <w:bookmarkEnd w:id="73"/>
      <w:bookmarkStart w:id="74" w:name="_Toc184310273"/>
      <w:bookmarkEnd w:id="74"/>
      <w:bookmarkStart w:id="75" w:name="_Toc184312115"/>
      <w:bookmarkEnd w:id="75"/>
      <w:bookmarkStart w:id="76" w:name="_Toc184308065"/>
      <w:bookmarkEnd w:id="76"/>
      <w:bookmarkStart w:id="77" w:name="_Toc184314452"/>
      <w:bookmarkEnd w:id="77"/>
      <w:bookmarkStart w:id="78" w:name="_Toc184308088"/>
      <w:bookmarkEnd w:id="78"/>
      <w:bookmarkStart w:id="79" w:name="_Toc184308037"/>
      <w:bookmarkEnd w:id="79"/>
      <w:bookmarkStart w:id="80" w:name="_Toc184310294"/>
      <w:bookmarkEnd w:id="80"/>
      <w:bookmarkStart w:id="81" w:name="_Toc184308049"/>
      <w:bookmarkEnd w:id="81"/>
      <w:bookmarkStart w:id="82" w:name="_Toc184314477"/>
      <w:bookmarkEnd w:id="82"/>
      <w:bookmarkStart w:id="83" w:name="_Toc184308066"/>
      <w:bookmarkEnd w:id="83"/>
      <w:bookmarkStart w:id="84" w:name="_Toc184313259"/>
      <w:bookmarkEnd w:id="84"/>
      <w:bookmarkStart w:id="85" w:name="_Toc184312073"/>
      <w:bookmarkEnd w:id="85"/>
      <w:bookmarkStart w:id="86" w:name="_Toc184312095"/>
      <w:bookmarkEnd w:id="86"/>
      <w:bookmarkStart w:id="87" w:name="_Toc184314457"/>
      <w:bookmarkEnd w:id="87"/>
      <w:bookmarkStart w:id="88" w:name="_Toc184308105"/>
      <w:bookmarkEnd w:id="88"/>
      <w:bookmarkStart w:id="89" w:name="_Toc184312098"/>
      <w:bookmarkEnd w:id="89"/>
      <w:bookmarkStart w:id="90" w:name="_Toc184312108"/>
      <w:bookmarkEnd w:id="90"/>
      <w:bookmarkStart w:id="91" w:name="_Toc184313253"/>
      <w:bookmarkEnd w:id="91"/>
      <w:bookmarkStart w:id="92" w:name="_Toc184308058"/>
      <w:bookmarkEnd w:id="92"/>
      <w:bookmarkStart w:id="93" w:name="_Toc184310315"/>
      <w:bookmarkEnd w:id="93"/>
      <w:bookmarkStart w:id="94" w:name="_Toc184312117"/>
      <w:bookmarkEnd w:id="94"/>
      <w:bookmarkStart w:id="95" w:name="_Toc184313279"/>
      <w:bookmarkEnd w:id="95"/>
      <w:bookmarkStart w:id="96" w:name="_Toc184310314"/>
      <w:bookmarkEnd w:id="96"/>
      <w:bookmarkStart w:id="97" w:name="_Toc184314441"/>
      <w:bookmarkEnd w:id="97"/>
      <w:bookmarkStart w:id="98" w:name="_Toc184308043"/>
      <w:bookmarkEnd w:id="98"/>
      <w:bookmarkStart w:id="99" w:name="_Toc184308101"/>
      <w:bookmarkEnd w:id="99"/>
      <w:bookmarkStart w:id="100" w:name="_Toc184313268"/>
      <w:bookmarkEnd w:id="100"/>
      <w:bookmarkStart w:id="101" w:name="_Toc184310295"/>
      <w:bookmarkEnd w:id="101"/>
      <w:bookmarkStart w:id="102" w:name="_Toc184312102"/>
      <w:bookmarkEnd w:id="102"/>
      <w:bookmarkStart w:id="103" w:name="_Toc184313258"/>
      <w:bookmarkEnd w:id="103"/>
      <w:bookmarkStart w:id="104" w:name="_Toc184312130"/>
      <w:bookmarkEnd w:id="104"/>
      <w:bookmarkStart w:id="105" w:name="_Toc184310292"/>
      <w:bookmarkEnd w:id="105"/>
      <w:bookmarkStart w:id="106" w:name="_Toc184310340"/>
      <w:bookmarkEnd w:id="106"/>
      <w:bookmarkStart w:id="107" w:name="_Toc184310318"/>
      <w:bookmarkEnd w:id="107"/>
      <w:bookmarkStart w:id="108" w:name="_Toc184313251"/>
      <w:bookmarkEnd w:id="108"/>
      <w:bookmarkStart w:id="109" w:name="_Toc184308092"/>
      <w:bookmarkEnd w:id="109"/>
      <w:bookmarkStart w:id="110" w:name="_Toc184314472"/>
      <w:bookmarkEnd w:id="110"/>
      <w:bookmarkStart w:id="111" w:name="_Toc184308094"/>
      <w:bookmarkEnd w:id="111"/>
      <w:bookmarkStart w:id="112" w:name="_Toc184312077"/>
      <w:bookmarkEnd w:id="112"/>
      <w:bookmarkStart w:id="113" w:name="_Toc184312104"/>
      <w:bookmarkEnd w:id="113"/>
      <w:bookmarkStart w:id="114" w:name="_Toc184312109"/>
      <w:bookmarkEnd w:id="114"/>
      <w:bookmarkStart w:id="115" w:name="_Toc184312099"/>
      <w:bookmarkEnd w:id="115"/>
      <w:bookmarkStart w:id="116" w:name="_Toc184314436"/>
      <w:bookmarkEnd w:id="116"/>
      <w:bookmarkStart w:id="117" w:name="_Toc184308061"/>
      <w:bookmarkEnd w:id="117"/>
      <w:bookmarkStart w:id="118" w:name="_Toc184308051"/>
      <w:bookmarkEnd w:id="118"/>
      <w:bookmarkStart w:id="119" w:name="_Toc184314448"/>
      <w:bookmarkEnd w:id="119"/>
      <w:bookmarkStart w:id="120" w:name="_Toc184313256"/>
      <w:bookmarkEnd w:id="120"/>
      <w:bookmarkStart w:id="121" w:name="_Toc184312132"/>
      <w:bookmarkEnd w:id="121"/>
      <w:bookmarkStart w:id="122" w:name="_Toc184314464"/>
      <w:bookmarkEnd w:id="122"/>
      <w:bookmarkStart w:id="123" w:name="_Toc184310302"/>
      <w:bookmarkEnd w:id="123"/>
      <w:bookmarkStart w:id="124" w:name="_Toc184314435"/>
      <w:bookmarkEnd w:id="124"/>
      <w:bookmarkStart w:id="125" w:name="_Toc184314467"/>
      <w:bookmarkEnd w:id="125"/>
      <w:bookmarkStart w:id="126" w:name="_Toc184310281"/>
      <w:bookmarkEnd w:id="126"/>
      <w:bookmarkStart w:id="127" w:name="_Toc184308059"/>
      <w:bookmarkEnd w:id="127"/>
      <w:bookmarkStart w:id="128" w:name="_Toc184314413"/>
      <w:bookmarkEnd w:id="128"/>
      <w:bookmarkStart w:id="129" w:name="_Toc184313257"/>
      <w:bookmarkEnd w:id="129"/>
      <w:bookmarkStart w:id="130" w:name="_Toc184313303"/>
      <w:bookmarkEnd w:id="130"/>
      <w:bookmarkStart w:id="131" w:name="_Toc184308047"/>
      <w:bookmarkEnd w:id="131"/>
      <w:bookmarkStart w:id="132" w:name="_Toc184308082"/>
      <w:bookmarkEnd w:id="132"/>
      <w:bookmarkStart w:id="133" w:name="_Toc184313273"/>
      <w:bookmarkEnd w:id="133"/>
      <w:bookmarkStart w:id="134" w:name="_Toc184312076"/>
      <w:bookmarkEnd w:id="134"/>
      <w:bookmarkStart w:id="135" w:name="_Toc184313286"/>
      <w:bookmarkEnd w:id="135"/>
      <w:bookmarkStart w:id="136" w:name="_Toc184313304"/>
      <w:bookmarkEnd w:id="136"/>
      <w:bookmarkStart w:id="137" w:name="_Toc184308040"/>
      <w:bookmarkEnd w:id="137"/>
      <w:bookmarkStart w:id="138" w:name="_Toc184308057"/>
      <w:bookmarkEnd w:id="138"/>
      <w:bookmarkStart w:id="139" w:name="_Toc184312121"/>
      <w:bookmarkEnd w:id="139"/>
      <w:bookmarkStart w:id="140" w:name="_Toc184313246"/>
      <w:bookmarkEnd w:id="140"/>
      <w:bookmarkStart w:id="141" w:name="_Toc184314482"/>
      <w:bookmarkEnd w:id="141"/>
      <w:bookmarkStart w:id="142" w:name="_Toc184312074"/>
      <w:bookmarkEnd w:id="142"/>
      <w:bookmarkStart w:id="143" w:name="_Toc184312119"/>
      <w:bookmarkEnd w:id="143"/>
      <w:bookmarkStart w:id="144" w:name="_Toc184310309"/>
      <w:bookmarkEnd w:id="144"/>
      <w:bookmarkStart w:id="145" w:name="_Toc184314463"/>
      <w:bookmarkEnd w:id="145"/>
      <w:bookmarkStart w:id="146" w:name="_Toc184308093"/>
      <w:bookmarkEnd w:id="146"/>
      <w:bookmarkStart w:id="147" w:name="_Toc184313290"/>
      <w:bookmarkEnd w:id="147"/>
      <w:bookmarkStart w:id="148" w:name="_Toc184312123"/>
      <w:bookmarkEnd w:id="148"/>
      <w:bookmarkStart w:id="149" w:name="_Toc184310321"/>
      <w:bookmarkEnd w:id="149"/>
      <w:bookmarkStart w:id="150" w:name="_Toc184308064"/>
      <w:bookmarkEnd w:id="150"/>
      <w:bookmarkStart w:id="151" w:name="_Toc184314449"/>
      <w:bookmarkEnd w:id="151"/>
      <w:bookmarkStart w:id="152" w:name="_Toc184310298"/>
      <w:bookmarkEnd w:id="152"/>
      <w:bookmarkStart w:id="153" w:name="_Toc184314415"/>
      <w:bookmarkEnd w:id="153"/>
      <w:bookmarkStart w:id="154" w:name="_Toc184312112"/>
      <w:bookmarkEnd w:id="154"/>
      <w:bookmarkStart w:id="155" w:name="_Toc184314430"/>
      <w:bookmarkEnd w:id="155"/>
      <w:bookmarkStart w:id="156" w:name="_Toc184308071"/>
      <w:bookmarkEnd w:id="156"/>
      <w:bookmarkStart w:id="157" w:name="_Toc184310304"/>
      <w:bookmarkEnd w:id="157"/>
      <w:bookmarkStart w:id="158" w:name="_Toc184308104"/>
      <w:bookmarkEnd w:id="158"/>
      <w:bookmarkStart w:id="159" w:name="_Toc184313247"/>
      <w:bookmarkEnd w:id="159"/>
      <w:bookmarkStart w:id="160" w:name="_Toc184313309"/>
      <w:bookmarkEnd w:id="160"/>
      <w:bookmarkStart w:id="161" w:name="_Toc184314414"/>
      <w:bookmarkEnd w:id="161"/>
      <w:bookmarkStart w:id="162" w:name="_Toc184308108"/>
      <w:bookmarkEnd w:id="162"/>
      <w:bookmarkStart w:id="163" w:name="_Toc184313300"/>
      <w:bookmarkEnd w:id="163"/>
      <w:bookmarkStart w:id="164" w:name="_Toc184314421"/>
      <w:bookmarkEnd w:id="164"/>
      <w:bookmarkStart w:id="165" w:name="_Toc184310312"/>
      <w:bookmarkEnd w:id="165"/>
      <w:bookmarkStart w:id="166" w:name="_Toc184310282"/>
      <w:bookmarkEnd w:id="166"/>
      <w:bookmarkStart w:id="167" w:name="_Toc184310300"/>
      <w:bookmarkEnd w:id="167"/>
      <w:bookmarkStart w:id="168" w:name="_Toc184308107"/>
      <w:bookmarkEnd w:id="168"/>
      <w:bookmarkStart w:id="169" w:name="_Toc184313282"/>
      <w:bookmarkEnd w:id="169"/>
      <w:bookmarkStart w:id="170" w:name="_Toc184313265"/>
      <w:bookmarkEnd w:id="170"/>
      <w:bookmarkStart w:id="171" w:name="_Toc184308039"/>
      <w:bookmarkEnd w:id="171"/>
      <w:bookmarkStart w:id="172" w:name="_Toc184314470"/>
      <w:bookmarkEnd w:id="172"/>
      <w:bookmarkStart w:id="173" w:name="_Toc184312069"/>
      <w:bookmarkEnd w:id="173"/>
      <w:bookmarkStart w:id="174" w:name="_Toc184313310"/>
      <w:bookmarkEnd w:id="174"/>
      <w:bookmarkStart w:id="175" w:name="_Toc184313260"/>
      <w:bookmarkEnd w:id="175"/>
      <w:bookmarkStart w:id="176" w:name="_Toc184308050"/>
      <w:bookmarkEnd w:id="176"/>
      <w:bookmarkStart w:id="177" w:name="_Toc184308084"/>
      <w:bookmarkEnd w:id="177"/>
      <w:bookmarkStart w:id="178" w:name="_Toc184313262"/>
      <w:bookmarkEnd w:id="178"/>
      <w:bookmarkStart w:id="179" w:name="_Toc184314462"/>
      <w:bookmarkEnd w:id="179"/>
      <w:bookmarkStart w:id="180" w:name="_Toc184314427"/>
      <w:bookmarkEnd w:id="180"/>
      <w:bookmarkStart w:id="181" w:name="_Toc184312113"/>
      <w:bookmarkEnd w:id="181"/>
      <w:bookmarkStart w:id="182" w:name="_Toc184310289"/>
      <w:bookmarkEnd w:id="182"/>
      <w:bookmarkStart w:id="183" w:name="_Toc184310303"/>
      <w:bookmarkEnd w:id="183"/>
      <w:bookmarkStart w:id="184" w:name="_Toc184314481"/>
      <w:bookmarkEnd w:id="184"/>
      <w:bookmarkStart w:id="185" w:name="_Toc184314458"/>
      <w:bookmarkEnd w:id="185"/>
      <w:bookmarkStart w:id="186" w:name="_Toc184312094"/>
      <w:bookmarkEnd w:id="186"/>
      <w:bookmarkStart w:id="187" w:name="_Toc184314424"/>
      <w:bookmarkEnd w:id="187"/>
      <w:bookmarkStart w:id="188" w:name="_Toc184310316"/>
      <w:bookmarkEnd w:id="188"/>
      <w:bookmarkStart w:id="189" w:name="_Toc184308070"/>
      <w:bookmarkEnd w:id="189"/>
      <w:bookmarkStart w:id="190" w:name="_Toc184308089"/>
      <w:bookmarkEnd w:id="190"/>
      <w:bookmarkStart w:id="191" w:name="_Toc184314466"/>
      <w:bookmarkEnd w:id="191"/>
      <w:bookmarkStart w:id="192" w:name="_Toc184310297"/>
      <w:bookmarkEnd w:id="192"/>
      <w:bookmarkStart w:id="193" w:name="_Toc184310326"/>
      <w:bookmarkEnd w:id="193"/>
      <w:bookmarkStart w:id="194" w:name="_Toc184308063"/>
      <w:bookmarkEnd w:id="194"/>
      <w:bookmarkStart w:id="195" w:name="_Toc184308044"/>
      <w:bookmarkEnd w:id="195"/>
      <w:bookmarkStart w:id="196" w:name="_Toc184314434"/>
      <w:bookmarkEnd w:id="196"/>
      <w:bookmarkStart w:id="197" w:name="_Toc184313307"/>
      <w:bookmarkEnd w:id="197"/>
      <w:bookmarkStart w:id="198" w:name="_Toc184312136"/>
      <w:bookmarkEnd w:id="198"/>
      <w:bookmarkStart w:id="199" w:name="_Toc184312126"/>
      <w:bookmarkEnd w:id="199"/>
      <w:bookmarkStart w:id="200" w:name="_Toc184314459"/>
      <w:bookmarkEnd w:id="200"/>
      <w:bookmarkStart w:id="201" w:name="_Toc184310323"/>
      <w:bookmarkEnd w:id="201"/>
      <w:bookmarkStart w:id="202" w:name="_Toc184310284"/>
      <w:bookmarkEnd w:id="202"/>
      <w:bookmarkStart w:id="203" w:name="_Toc184312096"/>
      <w:bookmarkEnd w:id="203"/>
      <w:bookmarkStart w:id="204" w:name="_Toc184313284"/>
      <w:bookmarkEnd w:id="204"/>
      <w:bookmarkStart w:id="205" w:name="_Toc184308052"/>
      <w:bookmarkEnd w:id="205"/>
      <w:bookmarkStart w:id="206" w:name="_Toc184308091"/>
      <w:bookmarkEnd w:id="206"/>
      <w:bookmarkStart w:id="207" w:name="_Toc184313277"/>
      <w:bookmarkEnd w:id="207"/>
      <w:bookmarkStart w:id="208" w:name="_Toc184312083"/>
      <w:bookmarkEnd w:id="208"/>
      <w:bookmarkStart w:id="209" w:name="_Toc184310277"/>
      <w:bookmarkEnd w:id="209"/>
      <w:bookmarkStart w:id="210" w:name="_Toc184308053"/>
      <w:bookmarkEnd w:id="210"/>
      <w:bookmarkStart w:id="211" w:name="_Toc184313238"/>
      <w:bookmarkEnd w:id="211"/>
      <w:bookmarkStart w:id="212" w:name="_Toc184312067"/>
      <w:bookmarkEnd w:id="212"/>
      <w:bookmarkStart w:id="213" w:name="_Toc184308060"/>
      <w:bookmarkEnd w:id="213"/>
      <w:bookmarkStart w:id="214" w:name="_Toc184310328"/>
      <w:bookmarkEnd w:id="214"/>
      <w:bookmarkStart w:id="215" w:name="_Toc184308056"/>
      <w:bookmarkEnd w:id="215"/>
      <w:bookmarkStart w:id="216" w:name="_Toc184312134"/>
      <w:bookmarkEnd w:id="216"/>
      <w:bookmarkStart w:id="217" w:name="_Toc184310327"/>
      <w:bookmarkEnd w:id="217"/>
      <w:bookmarkStart w:id="218" w:name="_Toc184310290"/>
      <w:bookmarkEnd w:id="218"/>
      <w:bookmarkStart w:id="219" w:name="_Toc184308054"/>
      <w:bookmarkEnd w:id="219"/>
      <w:bookmarkStart w:id="220" w:name="_Toc184312084"/>
      <w:bookmarkEnd w:id="220"/>
      <w:bookmarkStart w:id="221" w:name="_Toc184314418"/>
      <w:bookmarkEnd w:id="221"/>
      <w:bookmarkStart w:id="222" w:name="_Toc184312087"/>
      <w:bookmarkEnd w:id="222"/>
      <w:bookmarkStart w:id="223" w:name="_Toc184310275"/>
      <w:bookmarkEnd w:id="223"/>
      <w:bookmarkStart w:id="224" w:name="_Toc184313248"/>
      <w:bookmarkEnd w:id="224"/>
      <w:bookmarkStart w:id="225" w:name="_Toc184310283"/>
      <w:bookmarkEnd w:id="225"/>
      <w:bookmarkStart w:id="226" w:name="_Toc184310322"/>
      <w:bookmarkEnd w:id="226"/>
      <w:bookmarkStart w:id="227" w:name="_Toc184310276"/>
      <w:bookmarkEnd w:id="227"/>
      <w:bookmarkStart w:id="228" w:name="_Toc184312080"/>
      <w:bookmarkEnd w:id="228"/>
      <w:bookmarkStart w:id="229" w:name="_Toc184312138"/>
      <w:bookmarkEnd w:id="229"/>
      <w:bookmarkStart w:id="230" w:name="_Toc184314422"/>
      <w:bookmarkEnd w:id="230"/>
      <w:bookmarkStart w:id="231" w:name="_Toc184314423"/>
      <w:bookmarkEnd w:id="231"/>
      <w:bookmarkStart w:id="232" w:name="_Toc184314478"/>
      <w:bookmarkEnd w:id="232"/>
      <w:bookmarkStart w:id="233" w:name="_Toc184314428"/>
      <w:bookmarkEnd w:id="233"/>
      <w:bookmarkStart w:id="234" w:name="_Toc184312086"/>
      <w:bookmarkEnd w:id="234"/>
      <w:bookmarkStart w:id="235" w:name="_Toc184308077"/>
      <w:bookmarkEnd w:id="235"/>
      <w:bookmarkStart w:id="236" w:name="_Toc184313271"/>
      <w:bookmarkEnd w:id="236"/>
      <w:bookmarkStart w:id="237" w:name="_Toc184314444"/>
      <w:bookmarkEnd w:id="237"/>
      <w:bookmarkStart w:id="238" w:name="_Toc184314476"/>
      <w:bookmarkEnd w:id="238"/>
      <w:bookmarkStart w:id="239" w:name="_Toc184314443"/>
      <w:bookmarkEnd w:id="239"/>
      <w:bookmarkStart w:id="240" w:name="_Toc184314438"/>
      <w:bookmarkEnd w:id="240"/>
      <w:bookmarkStart w:id="241" w:name="_Toc184313295"/>
      <w:bookmarkEnd w:id="241"/>
      <w:bookmarkStart w:id="242" w:name="_Toc184310307"/>
      <w:bookmarkEnd w:id="242"/>
      <w:bookmarkStart w:id="243" w:name="_Toc184310306"/>
      <w:bookmarkEnd w:id="243"/>
      <w:bookmarkStart w:id="244" w:name="_Toc184313254"/>
      <w:bookmarkEnd w:id="244"/>
      <w:bookmarkStart w:id="245" w:name="_Toc184308055"/>
      <w:bookmarkEnd w:id="245"/>
      <w:bookmarkStart w:id="246" w:name="_Toc184308098"/>
      <w:bookmarkEnd w:id="246"/>
      <w:bookmarkStart w:id="247" w:name="_Toc184313278"/>
      <w:bookmarkEnd w:id="247"/>
      <w:bookmarkStart w:id="248" w:name="_Toc184310335"/>
      <w:bookmarkEnd w:id="248"/>
      <w:bookmarkStart w:id="249" w:name="_Toc184313243"/>
      <w:bookmarkEnd w:id="249"/>
      <w:bookmarkStart w:id="250" w:name="_Toc184314419"/>
      <w:bookmarkEnd w:id="250"/>
      <w:bookmarkStart w:id="251" w:name="_Toc184313250"/>
      <w:bookmarkEnd w:id="251"/>
      <w:bookmarkStart w:id="252" w:name="_Toc184312091"/>
      <w:bookmarkEnd w:id="252"/>
      <w:bookmarkStart w:id="253" w:name="_Toc184314475"/>
      <w:bookmarkEnd w:id="253"/>
      <w:bookmarkStart w:id="254" w:name="_Toc184314454"/>
      <w:bookmarkEnd w:id="254"/>
      <w:bookmarkStart w:id="255" w:name="_Toc184313283"/>
      <w:bookmarkEnd w:id="255"/>
      <w:bookmarkStart w:id="256" w:name="_Toc184313264"/>
      <w:bookmarkEnd w:id="256"/>
      <w:bookmarkStart w:id="257" w:name="_Toc184313302"/>
      <w:bookmarkEnd w:id="257"/>
      <w:bookmarkStart w:id="258" w:name="_Toc184308083"/>
      <w:bookmarkEnd w:id="258"/>
      <w:bookmarkStart w:id="259" w:name="_Toc184314453"/>
      <w:bookmarkEnd w:id="259"/>
      <w:bookmarkStart w:id="260" w:name="_Toc184310272"/>
      <w:bookmarkEnd w:id="260"/>
      <w:bookmarkStart w:id="261" w:name="_Toc184308042"/>
      <w:bookmarkEnd w:id="261"/>
      <w:bookmarkStart w:id="262" w:name="_Toc184313296"/>
      <w:bookmarkEnd w:id="262"/>
      <w:bookmarkStart w:id="263" w:name="_Toc184308095"/>
      <w:bookmarkEnd w:id="263"/>
      <w:bookmarkStart w:id="264" w:name="_Toc184310337"/>
      <w:bookmarkEnd w:id="264"/>
      <w:bookmarkStart w:id="265" w:name="_Toc184308041"/>
      <w:bookmarkEnd w:id="265"/>
      <w:bookmarkStart w:id="266" w:name="_Toc184313269"/>
      <w:bookmarkEnd w:id="266"/>
      <w:bookmarkStart w:id="267" w:name="_Toc184310325"/>
      <w:bookmarkEnd w:id="267"/>
      <w:bookmarkStart w:id="268" w:name="_Toc184312075"/>
      <w:bookmarkEnd w:id="268"/>
      <w:bookmarkStart w:id="269" w:name="_Toc184312100"/>
      <w:bookmarkEnd w:id="269"/>
      <w:bookmarkStart w:id="270" w:name="_Toc184308106"/>
      <w:bookmarkEnd w:id="270"/>
      <w:bookmarkStart w:id="271" w:name="_Toc184312090"/>
      <w:bookmarkEnd w:id="271"/>
      <w:bookmarkStart w:id="272" w:name="_Toc184310305"/>
      <w:bookmarkEnd w:id="272"/>
      <w:bookmarkStart w:id="273" w:name="_Toc184310341"/>
      <w:bookmarkEnd w:id="273"/>
      <w:bookmarkStart w:id="274" w:name="_Toc184308038"/>
      <w:bookmarkEnd w:id="274"/>
      <w:bookmarkStart w:id="275" w:name="_Toc184314429"/>
      <w:bookmarkEnd w:id="275"/>
      <w:bookmarkStart w:id="276" w:name="_Toc184310342"/>
      <w:bookmarkEnd w:id="276"/>
      <w:bookmarkStart w:id="277" w:name="_Toc184314410"/>
      <w:bookmarkEnd w:id="277"/>
      <w:bookmarkStart w:id="278" w:name="_Toc184313289"/>
      <w:bookmarkEnd w:id="278"/>
      <w:bookmarkStart w:id="279" w:name="_Toc184313242"/>
      <w:bookmarkEnd w:id="279"/>
      <w:bookmarkStart w:id="280" w:name="_Toc184310278"/>
      <w:bookmarkEnd w:id="280"/>
      <w:bookmarkStart w:id="281" w:name="_Toc184308087"/>
      <w:bookmarkEnd w:id="281"/>
      <w:bookmarkStart w:id="282" w:name="_Toc184312111"/>
      <w:bookmarkEnd w:id="282"/>
      <w:bookmarkStart w:id="283" w:name="_Toc184310274"/>
      <w:bookmarkEnd w:id="283"/>
      <w:bookmarkStart w:id="284" w:name="_Toc184308048"/>
      <w:bookmarkEnd w:id="284"/>
      <w:bookmarkStart w:id="285" w:name="_Toc184313291"/>
      <w:bookmarkEnd w:id="285"/>
      <w:bookmarkStart w:id="286" w:name="_Toc184313239"/>
      <w:bookmarkEnd w:id="286"/>
      <w:bookmarkStart w:id="287" w:name="_Toc184310288"/>
      <w:bookmarkEnd w:id="287"/>
      <w:bookmarkStart w:id="288" w:name="_Toc184312101"/>
      <w:bookmarkEnd w:id="288"/>
      <w:bookmarkStart w:id="289" w:name="_Toc184313305"/>
      <w:bookmarkEnd w:id="289"/>
      <w:bookmarkStart w:id="290" w:name="_Toc184308046"/>
      <w:bookmarkEnd w:id="290"/>
      <w:bookmarkStart w:id="291" w:name="_Toc184310336"/>
      <w:bookmarkEnd w:id="291"/>
      <w:bookmarkStart w:id="292" w:name="_Toc184312097"/>
      <w:bookmarkEnd w:id="292"/>
      <w:bookmarkStart w:id="293" w:name="_Toc184314445"/>
      <w:bookmarkEnd w:id="293"/>
      <w:bookmarkStart w:id="294" w:name="_Toc184313288"/>
      <w:bookmarkEnd w:id="294"/>
      <w:bookmarkStart w:id="295" w:name="_Toc184308036"/>
      <w:bookmarkEnd w:id="295"/>
      <w:bookmarkStart w:id="296" w:name="_Toc184310331"/>
      <w:bookmarkEnd w:id="296"/>
      <w:bookmarkStart w:id="297" w:name="_Toc184310317"/>
      <w:bookmarkEnd w:id="297"/>
      <w:bookmarkStart w:id="298" w:name="_Toc184314416"/>
      <w:bookmarkEnd w:id="298"/>
      <w:bookmarkStart w:id="299" w:name="_Toc184310310"/>
      <w:bookmarkEnd w:id="299"/>
      <w:bookmarkStart w:id="300" w:name="_Toc184314431"/>
      <w:bookmarkEnd w:id="300"/>
      <w:bookmarkStart w:id="301" w:name="_Toc184312071"/>
      <w:bookmarkEnd w:id="301"/>
      <w:bookmarkStart w:id="302" w:name="_Toc184310285"/>
      <w:bookmarkEnd w:id="302"/>
      <w:bookmarkStart w:id="303" w:name="_Toc184310339"/>
      <w:bookmarkEnd w:id="303"/>
      <w:bookmarkStart w:id="304" w:name="_Toc184310313"/>
      <w:bookmarkEnd w:id="304"/>
      <w:bookmarkStart w:id="305" w:name="_Toc184312120"/>
      <w:bookmarkEnd w:id="305"/>
      <w:bookmarkStart w:id="306" w:name="_Toc184312127"/>
      <w:bookmarkEnd w:id="306"/>
      <w:bookmarkStart w:id="307" w:name="_Toc184313266"/>
      <w:bookmarkEnd w:id="307"/>
      <w:bookmarkStart w:id="308" w:name="_Toc184314473"/>
      <w:bookmarkEnd w:id="308"/>
      <w:bookmarkStart w:id="309" w:name="_Toc184313255"/>
      <w:bookmarkEnd w:id="309"/>
      <w:bookmarkStart w:id="310" w:name="_Toc184310333"/>
      <w:bookmarkEnd w:id="310"/>
      <w:bookmarkStart w:id="311" w:name="_Toc184310301"/>
      <w:bookmarkEnd w:id="311"/>
      <w:bookmarkStart w:id="312" w:name="_Toc184308045"/>
      <w:bookmarkEnd w:id="312"/>
      <w:bookmarkStart w:id="313" w:name="_Toc184313270"/>
      <w:bookmarkEnd w:id="313"/>
      <w:bookmarkStart w:id="314" w:name="_Toc184314432"/>
      <w:bookmarkEnd w:id="314"/>
      <w:bookmarkStart w:id="315" w:name="_Toc184313245"/>
      <w:bookmarkEnd w:id="315"/>
      <w:bookmarkStart w:id="316" w:name="_Toc184314442"/>
      <w:bookmarkEnd w:id="316"/>
      <w:bookmarkStart w:id="317" w:name="_Toc184310299"/>
      <w:bookmarkEnd w:id="317"/>
      <w:bookmarkStart w:id="318" w:name="_Toc184313244"/>
      <w:bookmarkEnd w:id="318"/>
      <w:bookmarkStart w:id="319" w:name="_Toc184313252"/>
      <w:bookmarkEnd w:id="319"/>
      <w:bookmarkStart w:id="320" w:name="_Toc184314412"/>
      <w:bookmarkEnd w:id="320"/>
      <w:bookmarkStart w:id="321" w:name="_Toc184313298"/>
      <w:bookmarkEnd w:id="321"/>
      <w:bookmarkStart w:id="322" w:name="_Toc184313281"/>
      <w:bookmarkEnd w:id="322"/>
      <w:bookmarkStart w:id="323" w:name="_Toc184313249"/>
      <w:bookmarkEnd w:id="323"/>
      <w:bookmarkStart w:id="324" w:name="_Toc184312068"/>
      <w:bookmarkEnd w:id="324"/>
      <w:bookmarkStart w:id="325" w:name="_Toc184312092"/>
      <w:bookmarkEnd w:id="325"/>
      <w:bookmarkStart w:id="326" w:name="_Toc184312085"/>
      <w:bookmarkEnd w:id="326"/>
      <w:bookmarkStart w:id="327" w:name="_Toc184313274"/>
      <w:bookmarkEnd w:id="327"/>
      <w:bookmarkStart w:id="328" w:name="_Toc184312110"/>
      <w:bookmarkEnd w:id="328"/>
      <w:bookmarkStart w:id="329" w:name="_Toc184308090"/>
      <w:bookmarkEnd w:id="329"/>
      <w:bookmarkStart w:id="330" w:name="_Toc184314465"/>
      <w:bookmarkEnd w:id="330"/>
      <w:bookmarkStart w:id="331" w:name="_Toc184308068"/>
      <w:bookmarkEnd w:id="331"/>
      <w:bookmarkStart w:id="332" w:name="_Toc184313241"/>
      <w:bookmarkEnd w:id="332"/>
      <w:bookmarkStart w:id="333" w:name="_Toc184310344"/>
      <w:bookmarkEnd w:id="333"/>
      <w:bookmarkStart w:id="334" w:name="_Toc184308067"/>
      <w:bookmarkEnd w:id="334"/>
      <w:bookmarkStart w:id="335" w:name="_Toc184314420"/>
      <w:bookmarkEnd w:id="335"/>
      <w:bookmarkStart w:id="336" w:name="_Toc184310320"/>
      <w:bookmarkEnd w:id="336"/>
      <w:bookmarkStart w:id="337" w:name="_Toc184312129"/>
      <w:bookmarkEnd w:id="337"/>
      <w:bookmarkStart w:id="338" w:name="_Toc184312105"/>
      <w:bookmarkEnd w:id="338"/>
      <w:bookmarkStart w:id="339" w:name="_Toc184308097"/>
      <w:bookmarkEnd w:id="339"/>
      <w:bookmarkStart w:id="340" w:name="_Toc184314411"/>
      <w:bookmarkEnd w:id="340"/>
      <w:bookmarkStart w:id="341" w:name="_Toc184312089"/>
      <w:bookmarkEnd w:id="341"/>
      <w:bookmarkStart w:id="342" w:name="_Toc184312128"/>
      <w:bookmarkEnd w:id="342"/>
      <w:bookmarkStart w:id="343" w:name="_Toc184308085"/>
      <w:bookmarkEnd w:id="343"/>
      <w:bookmarkStart w:id="344" w:name="_Toc184313285"/>
      <w:bookmarkEnd w:id="344"/>
      <w:bookmarkStart w:id="345" w:name="_Toc184310338"/>
      <w:bookmarkEnd w:id="345"/>
      <w:bookmarkStart w:id="346" w:name="_Toc184313306"/>
      <w:bookmarkEnd w:id="346"/>
      <w:bookmarkStart w:id="347" w:name="_Toc184310319"/>
      <w:bookmarkEnd w:id="347"/>
      <w:bookmarkStart w:id="348" w:name="_Toc184313263"/>
      <w:bookmarkEnd w:id="348"/>
      <w:bookmarkStart w:id="349" w:name="_Toc184308103"/>
      <w:bookmarkEnd w:id="349"/>
      <w:bookmarkStart w:id="350" w:name="_Toc184313308"/>
      <w:bookmarkEnd w:id="350"/>
      <w:bookmarkStart w:id="351" w:name="_Toc184312135"/>
      <w:bookmarkEnd w:id="351"/>
      <w:bookmarkStart w:id="352" w:name="_Toc184310332"/>
      <w:bookmarkEnd w:id="352"/>
      <w:bookmarkStart w:id="353" w:name="_Toc184313272"/>
      <w:bookmarkEnd w:id="353"/>
      <w:bookmarkStart w:id="354" w:name="_Toc184314417"/>
      <w:bookmarkEnd w:id="354"/>
      <w:bookmarkStart w:id="355" w:name="_Toc184313276"/>
      <w:bookmarkEnd w:id="355"/>
      <w:bookmarkStart w:id="356" w:name="_Toc184310334"/>
      <w:bookmarkEnd w:id="356"/>
      <w:bookmarkStart w:id="357" w:name="_Toc184312118"/>
      <w:bookmarkEnd w:id="357"/>
      <w:bookmarkStart w:id="358" w:name="_Toc184313261"/>
      <w:bookmarkEnd w:id="358"/>
      <w:bookmarkStart w:id="359" w:name="_Toc184314450"/>
      <w:bookmarkEnd w:id="359"/>
      <w:bookmarkStart w:id="360" w:name="_Toc184314446"/>
      <w:bookmarkEnd w:id="360"/>
      <w:bookmarkStart w:id="361" w:name="_Toc184312131"/>
      <w:bookmarkEnd w:id="361"/>
      <w:bookmarkStart w:id="362" w:name="_Toc184314460"/>
      <w:bookmarkEnd w:id="362"/>
      <w:bookmarkStart w:id="363" w:name="_Toc184314447"/>
      <w:bookmarkEnd w:id="363"/>
      <w:bookmarkStart w:id="364" w:name="_Toc184312078"/>
      <w:bookmarkEnd w:id="364"/>
      <w:bookmarkStart w:id="365" w:name="_Toc184313297"/>
      <w:bookmarkEnd w:id="365"/>
      <w:bookmarkStart w:id="366" w:name="_Toc184312107"/>
      <w:bookmarkEnd w:id="366"/>
      <w:bookmarkStart w:id="367" w:name="_Toc184310324"/>
      <w:bookmarkEnd w:id="367"/>
      <w:bookmarkStart w:id="368" w:name="_Toc184310296"/>
      <w:bookmarkEnd w:id="368"/>
      <w:bookmarkStart w:id="369" w:name="_Toc184308096"/>
      <w:bookmarkEnd w:id="369"/>
      <w:bookmarkStart w:id="370" w:name="_Toc184310287"/>
      <w:bookmarkEnd w:id="370"/>
      <w:bookmarkStart w:id="371" w:name="_Toc184312106"/>
      <w:bookmarkEnd w:id="371"/>
      <w:bookmarkStart w:id="372" w:name="_Toc184314455"/>
      <w:bookmarkEnd w:id="372"/>
      <w:bookmarkStart w:id="373" w:name="_Toc184312133"/>
      <w:bookmarkEnd w:id="373"/>
      <w:bookmarkStart w:id="374" w:name="_Toc184308074"/>
      <w:bookmarkEnd w:id="374"/>
      <w:bookmarkStart w:id="375" w:name="_Toc184310286"/>
      <w:bookmarkEnd w:id="375"/>
      <w:bookmarkStart w:id="376" w:name="_Toc184313267"/>
      <w:bookmarkEnd w:id="376"/>
      <w:bookmarkStart w:id="377" w:name="_Toc184314426"/>
      <w:bookmarkEnd w:id="377"/>
      <w:bookmarkStart w:id="378" w:name="_Toc184310343"/>
      <w:bookmarkEnd w:id="378"/>
      <w:bookmarkStart w:id="379" w:name="_Toc184308076"/>
      <w:bookmarkEnd w:id="379"/>
      <w:bookmarkStart w:id="380" w:name="_Toc184312122"/>
      <w:bookmarkEnd w:id="380"/>
      <w:bookmarkStart w:id="381" w:name="_Toc184314471"/>
      <w:bookmarkEnd w:id="381"/>
      <w:bookmarkStart w:id="382" w:name="_Toc184312139"/>
      <w:bookmarkEnd w:id="382"/>
      <w:bookmarkStart w:id="383" w:name="_Toc184314437"/>
      <w:bookmarkEnd w:id="383"/>
      <w:bookmarkStart w:id="384" w:name="_Toc184310330"/>
      <w:bookmarkEnd w:id="384"/>
      <w:bookmarkStart w:id="385" w:name="_Toc184314451"/>
      <w:bookmarkEnd w:id="385"/>
      <w:bookmarkStart w:id="386" w:name="_Toc184312103"/>
      <w:bookmarkEnd w:id="386"/>
      <w:bookmarkStart w:id="387" w:name="_Toc184312116"/>
      <w:bookmarkEnd w:id="387"/>
      <w:bookmarkStart w:id="388" w:name="_Toc184312081"/>
      <w:bookmarkEnd w:id="388"/>
      <w:bookmarkStart w:id="389" w:name="_Toc184308102"/>
      <w:bookmarkEnd w:id="389"/>
      <w:bookmarkStart w:id="390" w:name="_Toc184310291"/>
      <w:bookmarkEnd w:id="390"/>
      <w:bookmarkStart w:id="391" w:name="_Toc184312093"/>
      <w:bookmarkEnd w:id="391"/>
      <w:bookmarkStart w:id="392" w:name="_Toc184314439"/>
      <w:bookmarkEnd w:id="392"/>
      <w:bookmarkStart w:id="393" w:name="_Toc184314469"/>
      <w:bookmarkEnd w:id="393"/>
      <w:bookmarkStart w:id="394" w:name="_Toc184313299"/>
      <w:bookmarkEnd w:id="394"/>
      <w:bookmarkStart w:id="395" w:name="_Toc184314440"/>
      <w:bookmarkEnd w:id="395"/>
      <w:bookmarkStart w:id="396" w:name="_Toc184313287"/>
      <w:bookmarkEnd w:id="396"/>
      <w:bookmarkStart w:id="397" w:name="_Toc184313301"/>
      <w:bookmarkEnd w:id="397"/>
      <w:bookmarkStart w:id="398" w:name="_Toc184308075"/>
      <w:bookmarkEnd w:id="398"/>
      <w:bookmarkStart w:id="399" w:name="_Toc184314474"/>
      <w:bookmarkEnd w:id="399"/>
      <w:bookmarkStart w:id="400" w:name="_Toc184308099"/>
      <w:bookmarkEnd w:id="400"/>
      <w:bookmarkStart w:id="401" w:name="_Toc184312070"/>
      <w:bookmarkEnd w:id="401"/>
      <w:bookmarkStart w:id="402" w:name="_Toc184310293"/>
      <w:bookmarkEnd w:id="402"/>
      <w:bookmarkStart w:id="403" w:name="_Toc184314480"/>
      <w:bookmarkEnd w:id="403"/>
      <w:bookmarkStart w:id="404" w:name="_Toc184314433"/>
      <w:bookmarkEnd w:id="404"/>
      <w:bookmarkStart w:id="405" w:name="_Toc184314461"/>
      <w:bookmarkEnd w:id="405"/>
      <w:bookmarkStart w:id="406" w:name="_Toc184308100"/>
      <w:bookmarkEnd w:id="406"/>
      <w:bookmarkStart w:id="407" w:name="_Toc184312082"/>
      <w:bookmarkEnd w:id="407"/>
      <w:r>
        <w:rPr>
          <w:rStyle w:val="286"/>
          <w:rFonts w:hint="eastAsia" w:ascii="宋体" w:hAnsi="宋体" w:cs="宋体"/>
          <w:b/>
          <w:bCs/>
          <w:color w:val="auto"/>
          <w:sz w:val="36"/>
          <w:szCs w:val="36"/>
          <w:highlight w:val="none"/>
        </w:rPr>
        <w:t>评标办法</w:t>
      </w:r>
      <w:r>
        <w:rPr>
          <w:rStyle w:val="286"/>
          <w:rFonts w:hint="eastAsia" w:ascii="宋体" w:hAnsi="宋体" w:cs="宋体"/>
          <w:b/>
          <w:bCs/>
          <w:color w:val="auto"/>
          <w:sz w:val="36"/>
          <w:szCs w:val="36"/>
          <w:highlight w:val="none"/>
        </w:rPr>
        <w:br w:type="textWrapping"/>
      </w:r>
    </w:p>
    <w:tbl>
      <w:tblPr>
        <w:tblStyle w:val="65"/>
        <w:tblW w:w="9240"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0"/>
        <w:gridCol w:w="4083"/>
        <w:gridCol w:w="1127"/>
        <w:gridCol w:w="1037"/>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0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评标标准</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权重</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主观分/客观分属性</w:t>
            </w:r>
          </w:p>
        </w:tc>
        <w:tc>
          <w:tcPr>
            <w:tcW w:w="19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8" w:hRule="atLeast"/>
        </w:trPr>
        <w:tc>
          <w:tcPr>
            <w:tcW w:w="1060"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4083" w:type="dxa"/>
            <w:shd w:val="clear" w:color="auto" w:fill="auto"/>
            <w:vAlign w:val="center"/>
          </w:tcPr>
          <w:p>
            <w:pPr>
              <w:rPr>
                <w:rFonts w:hint="eastAsia" w:eastAsia="宋体"/>
                <w:sz w:val="24"/>
                <w:lang w:eastAsia="zh-CN"/>
              </w:rPr>
            </w:pPr>
            <w:r>
              <w:rPr>
                <w:rFonts w:hint="eastAsia"/>
                <w:sz w:val="24"/>
                <w:lang w:eastAsia="zh-CN"/>
              </w:rPr>
              <w:t>【</w:t>
            </w:r>
            <w:r>
              <w:rPr>
                <w:rFonts w:hint="eastAsia"/>
                <w:sz w:val="24"/>
              </w:rPr>
              <w:t>投标人认证</w:t>
            </w:r>
            <w:r>
              <w:rPr>
                <w:rFonts w:hint="eastAsia"/>
                <w:sz w:val="24"/>
                <w:lang w:eastAsia="zh-CN"/>
              </w:rPr>
              <w:t>】</w:t>
            </w:r>
          </w:p>
          <w:p>
            <w:pPr>
              <w:rPr>
                <w:rFonts w:hint="eastAsia"/>
                <w:sz w:val="24"/>
              </w:rPr>
            </w:pPr>
            <w:r>
              <w:rPr>
                <w:rFonts w:hint="eastAsia"/>
                <w:sz w:val="24"/>
              </w:rPr>
              <w:t>（1）投标人通过质量管理体系认证（认证依据：GB/T19001/ISO9001）的得1分；</w:t>
            </w:r>
          </w:p>
          <w:p>
            <w:pPr>
              <w:rPr>
                <w:rFonts w:hint="eastAsia"/>
                <w:sz w:val="24"/>
              </w:rPr>
            </w:pPr>
            <w:r>
              <w:rPr>
                <w:rFonts w:hint="eastAsia"/>
                <w:sz w:val="24"/>
              </w:rPr>
              <w:t>（2）投标人通过环境管理体系认证（认证依据：GB/T24001/ISO14001）的得1分；</w:t>
            </w:r>
          </w:p>
          <w:p>
            <w:pPr>
              <w:rPr>
                <w:rFonts w:hint="eastAsia"/>
                <w:sz w:val="24"/>
              </w:rPr>
            </w:pPr>
            <w:r>
              <w:rPr>
                <w:rFonts w:hint="eastAsia"/>
                <w:sz w:val="24"/>
              </w:rPr>
              <w:t>（</w:t>
            </w:r>
            <w:r>
              <w:rPr>
                <w:rFonts w:hint="eastAsia"/>
                <w:sz w:val="24"/>
                <w:lang w:val="en-US" w:eastAsia="zh-CN"/>
              </w:rPr>
              <w:t>3</w:t>
            </w:r>
            <w:r>
              <w:rPr>
                <w:rFonts w:hint="eastAsia"/>
                <w:sz w:val="24"/>
              </w:rPr>
              <w:t>）投标人通过信息技术服务管理体系认证（认证依据：ISO20000）的得1分；</w:t>
            </w:r>
          </w:p>
          <w:p>
            <w:pPr>
              <w:rPr>
                <w:rFonts w:hint="eastAsia"/>
                <w:sz w:val="24"/>
              </w:rPr>
            </w:pPr>
            <w:r>
              <w:rPr>
                <w:rFonts w:hint="eastAsia"/>
                <w:sz w:val="24"/>
              </w:rPr>
              <w:t>（</w:t>
            </w:r>
            <w:r>
              <w:rPr>
                <w:rFonts w:hint="eastAsia"/>
                <w:sz w:val="24"/>
                <w:lang w:val="en-US" w:eastAsia="zh-CN"/>
              </w:rPr>
              <w:t>4</w:t>
            </w:r>
            <w:r>
              <w:rPr>
                <w:rFonts w:hint="eastAsia"/>
                <w:sz w:val="24"/>
              </w:rPr>
              <w:t>）投标人通过信息安全管理体系认证（认证依据：ISO27001）的得1分。</w:t>
            </w:r>
          </w:p>
          <w:p>
            <w:pPr>
              <w:rPr>
                <w:b/>
                <w:bCs/>
                <w:sz w:val="24"/>
              </w:rPr>
            </w:pPr>
            <w:r>
              <w:rPr>
                <w:rFonts w:hint="eastAsia"/>
                <w:b/>
                <w:bCs/>
                <w:sz w:val="24"/>
              </w:rPr>
              <w:t>证明材料：以上证书须都在有效期内，提供以上证书扫描件及全国认证认可信息公共服务平台（http://cx.cnca.cn/）查询记录截图加盖电子签章。</w:t>
            </w:r>
          </w:p>
          <w:p>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b/>
                <w:bCs/>
                <w:sz w:val="24"/>
              </w:rPr>
              <w:t>联合体投标的，联合体中有一方或者联合体成员根据分工按招标文件要求提供资信证明文件的，视为符合了相关要求。</w:t>
            </w:r>
          </w:p>
        </w:tc>
        <w:tc>
          <w:tcPr>
            <w:tcW w:w="112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客观分</w:t>
            </w:r>
          </w:p>
        </w:tc>
        <w:tc>
          <w:tcPr>
            <w:tcW w:w="1933" w:type="dxa"/>
            <w:shd w:val="clear" w:color="auto" w:fill="auto"/>
            <w:vAlign w:val="center"/>
          </w:tcPr>
          <w:p>
            <w:pPr>
              <w:jc w:val="center"/>
              <w:rPr>
                <w:rFonts w:hint="eastAsia" w:ascii="宋体" w:hAnsi="宋体" w:cs="宋体"/>
                <w:i w:val="0"/>
                <w:iCs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70" w:hRule="atLeast"/>
        </w:trPr>
        <w:tc>
          <w:tcPr>
            <w:tcW w:w="106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w:t>
            </w:r>
          </w:p>
        </w:tc>
        <w:tc>
          <w:tcPr>
            <w:tcW w:w="40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投标人业绩</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提供自2021年1月1日以来（以合同签订时间为准）承担过信息化系统建设项目，每个0.5分，最高得</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分。</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说明：提供合同扫描件并加盖电子签章。未按要求提供或提供不清晰导致专家无法判断的不得分。（同一个合同甲方不得重复计分）。</w:t>
            </w:r>
          </w:p>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联合体投标的，联合体各方分别提供与联合体协议中规定的分工内容相应的业绩证明材料，业绩数量以提供材料较少的一方为准。</w:t>
            </w:r>
          </w:p>
        </w:tc>
        <w:tc>
          <w:tcPr>
            <w:tcW w:w="112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kern w:val="0"/>
                <w:sz w:val="24"/>
                <w:szCs w:val="24"/>
                <w:u w:val="none"/>
                <w:lang w:val="en-US" w:eastAsia="zh-CN" w:bidi="ar"/>
              </w:rPr>
              <w:t>对本项目的理解</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1060"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3.1</w:t>
            </w:r>
          </w:p>
        </w:tc>
        <w:tc>
          <w:tcPr>
            <w:tcW w:w="4083" w:type="dxa"/>
            <w:shd w:val="clear" w:color="auto" w:fill="auto"/>
            <w:vAlign w:val="center"/>
          </w:tcPr>
          <w:p>
            <w:pPr>
              <w:keepNext w:val="0"/>
              <w:keepLines w:val="0"/>
              <w:widowControl/>
              <w:suppressLineNumbers w:val="0"/>
              <w:jc w:val="both"/>
              <w:textAlignment w:val="center"/>
              <w:rPr>
                <w:rFonts w:hint="default" w:ascii="宋体" w:hAnsi="宋体" w:cs="宋体"/>
                <w:b/>
                <w:bCs/>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根据采购需求对采购人信息化项目现状的理解程度，包括原4个系统的部署情况、使用情况等。每一个系统的</w:t>
            </w:r>
            <w:r>
              <w:rPr>
                <w:rFonts w:hint="eastAsia" w:ascii="Calibri" w:hAnsi="Calibri" w:eastAsia="宋体" w:cs="Calibri"/>
                <w:b w:val="0"/>
                <w:bCs w:val="0"/>
                <w:i w:val="0"/>
                <w:iCs w:val="0"/>
                <w:color w:val="000000"/>
                <w:kern w:val="0"/>
                <w:sz w:val="24"/>
                <w:szCs w:val="24"/>
                <w:u w:val="none"/>
                <w:lang w:val="en-US" w:eastAsia="zh-CN" w:bidi="ar"/>
              </w:rPr>
              <w:t>（1）部</w:t>
            </w:r>
            <w:r>
              <w:rPr>
                <w:rFonts w:hint="eastAsia" w:ascii="宋体" w:hAnsi="宋体" w:cs="宋体"/>
                <w:b w:val="0"/>
                <w:bCs w:val="0"/>
                <w:i w:val="0"/>
                <w:iCs w:val="0"/>
                <w:color w:val="000000"/>
                <w:kern w:val="0"/>
                <w:sz w:val="24"/>
                <w:szCs w:val="24"/>
                <w:u w:val="none"/>
                <w:lang w:val="en-US" w:eastAsia="zh-CN" w:bidi="ar"/>
              </w:rPr>
              <w:t>署情况和</w:t>
            </w:r>
            <w:r>
              <w:rPr>
                <w:rFonts w:hint="eastAsia" w:ascii="Calibri" w:hAnsi="Calibri" w:cs="Calibri"/>
                <w:b w:val="0"/>
                <w:bCs w:val="0"/>
                <w:i w:val="0"/>
                <w:iCs w:val="0"/>
                <w:color w:val="000000"/>
                <w:kern w:val="0"/>
                <w:sz w:val="24"/>
                <w:szCs w:val="24"/>
                <w:u w:val="none"/>
                <w:lang w:val="en-US" w:eastAsia="zh-CN" w:bidi="ar"/>
              </w:rPr>
              <w:t>（2）</w:t>
            </w:r>
            <w:r>
              <w:rPr>
                <w:rFonts w:hint="eastAsia" w:ascii="宋体" w:hAnsi="宋体" w:cs="宋体"/>
                <w:b w:val="0"/>
                <w:bCs w:val="0"/>
                <w:i w:val="0"/>
                <w:iCs w:val="0"/>
                <w:color w:val="000000"/>
                <w:kern w:val="0"/>
                <w:sz w:val="24"/>
                <w:szCs w:val="24"/>
                <w:u w:val="none"/>
                <w:lang w:val="en-US" w:eastAsia="zh-CN" w:bidi="ar"/>
              </w:rPr>
              <w:t>使用情况</w:t>
            </w:r>
            <w:r>
              <w:rPr>
                <w:rFonts w:hint="default" w:ascii="宋体" w:hAnsi="宋体" w:cs="宋体"/>
                <w:b w:val="0"/>
                <w:bCs w:val="0"/>
                <w:i w:val="0"/>
                <w:iCs w:val="0"/>
                <w:color w:val="000000"/>
                <w:kern w:val="0"/>
                <w:sz w:val="24"/>
                <w:szCs w:val="24"/>
                <w:u w:val="none"/>
                <w:lang w:val="en-US" w:eastAsia="zh-CN" w:bidi="ar"/>
              </w:rPr>
              <w:t>各0.5分</w:t>
            </w:r>
            <w:r>
              <w:rPr>
                <w:rFonts w:hint="eastAsia" w:ascii="宋体" w:hAnsi="宋体" w:cs="宋体"/>
                <w:b w:val="0"/>
                <w:bCs w:val="0"/>
                <w:i w:val="0"/>
                <w:iCs w:val="0"/>
                <w:color w:val="000000"/>
                <w:kern w:val="0"/>
                <w:sz w:val="24"/>
                <w:szCs w:val="24"/>
                <w:u w:val="none"/>
                <w:lang w:val="en-US" w:eastAsia="zh-CN" w:bidi="ar"/>
              </w:rPr>
              <w:t>。本项共4分。</w:t>
            </w:r>
          </w:p>
        </w:tc>
        <w:tc>
          <w:tcPr>
            <w:tcW w:w="112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1060" w:type="dxa"/>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3.2</w:t>
            </w:r>
          </w:p>
        </w:tc>
        <w:tc>
          <w:tcPr>
            <w:tcW w:w="4083" w:type="dxa"/>
            <w:shd w:val="clear" w:color="auto" w:fill="auto"/>
            <w:vAlign w:val="center"/>
          </w:tcPr>
          <w:p>
            <w:pPr>
              <w:keepNext w:val="0"/>
              <w:keepLines w:val="0"/>
              <w:widowControl/>
              <w:suppressLineNumbers w:val="0"/>
              <w:jc w:val="both"/>
              <w:textAlignment w:val="center"/>
              <w:rPr>
                <w:rFonts w:hint="default" w:ascii="宋体" w:hAnsi="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根据采购需求，对于（1）项目总体设计、系统的体系架构、（2）实现思路和关键技术的方案、（3）项目的重难点阐述及解决方案，每一项评分范围（2,1,0）。本项共6分</w:t>
            </w:r>
          </w:p>
        </w:tc>
        <w:tc>
          <w:tcPr>
            <w:tcW w:w="1127" w:type="dxa"/>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6</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933" w:type="dxa"/>
            <w:shd w:val="clear" w:color="auto" w:fill="auto"/>
            <w:vAlign w:val="center"/>
          </w:tcPr>
          <w:p>
            <w:pPr>
              <w:jc w:val="center"/>
              <w:rPr>
                <w:rFonts w:hint="eastAsia" w:ascii="宋体" w:hAnsi="宋体" w:eastAsia="宋体" w:cs="宋体"/>
                <w:b w:val="0"/>
                <w:bCs w:val="0"/>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1060"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总平台及各子系统的建设方案</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.1</w:t>
            </w:r>
          </w:p>
        </w:tc>
        <w:tc>
          <w:tcPr>
            <w:tcW w:w="4083" w:type="dxa"/>
            <w:shd w:val="clear" w:color="auto" w:fill="auto"/>
            <w:vAlign w:val="center"/>
          </w:tcPr>
          <w:p>
            <w:pPr>
              <w:keepNext w:val="0"/>
              <w:keepLines w:val="0"/>
              <w:widowControl/>
              <w:numPr>
                <w:ilvl w:val="-1"/>
                <w:numId w:val="0"/>
              </w:numPr>
              <w:suppressLineNumbers w:val="0"/>
              <w:jc w:val="both"/>
              <w:textAlignment w:val="center"/>
              <w:rPr>
                <w:rFonts w:hint="eastAsia" w:ascii="宋体" w:hAnsi="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拱墅区智慧工地监管系统建设方案；</w:t>
            </w:r>
            <w:r>
              <w:rPr>
                <w:rFonts w:hint="eastAsia" w:ascii="宋体" w:hAnsi="宋体" w:cs="宋体"/>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包括但不限于对系统的基本情况</w:t>
            </w:r>
            <w:r>
              <w:rPr>
                <w:rFonts w:hint="eastAsia" w:ascii="宋体" w:hAnsi="宋体" w:cs="宋体"/>
                <w:b w:val="0"/>
                <w:bCs w:val="0"/>
                <w:i w:val="0"/>
                <w:iCs w:val="0"/>
                <w:color w:val="000000"/>
                <w:kern w:val="0"/>
                <w:sz w:val="24"/>
                <w:szCs w:val="24"/>
                <w:u w:val="none"/>
                <w:lang w:val="en-US" w:eastAsia="zh-CN" w:bidi="ar"/>
              </w:rPr>
              <w:t>和</w:t>
            </w:r>
            <w:r>
              <w:rPr>
                <w:rFonts w:hint="eastAsia" w:ascii="宋体" w:hAnsi="宋体" w:eastAsia="宋体" w:cs="宋体"/>
                <w:b w:val="0"/>
                <w:bCs w:val="0"/>
                <w:i w:val="0"/>
                <w:iCs w:val="0"/>
                <w:color w:val="000000"/>
                <w:kern w:val="0"/>
                <w:sz w:val="24"/>
                <w:szCs w:val="24"/>
                <w:u w:val="none"/>
                <w:lang w:val="en-US" w:eastAsia="zh-CN" w:bidi="ar"/>
              </w:rPr>
              <w:t>整体架构</w:t>
            </w:r>
            <w:r>
              <w:rPr>
                <w:rFonts w:hint="eastAsia" w:ascii="宋体" w:hAnsi="宋体" w:cs="宋体"/>
                <w:b w:val="0"/>
                <w:bCs w:val="0"/>
                <w:i w:val="0"/>
                <w:iCs w:val="0"/>
                <w:color w:val="000000"/>
                <w:kern w:val="0"/>
                <w:sz w:val="24"/>
                <w:szCs w:val="24"/>
                <w:u w:val="none"/>
                <w:lang w:val="en-US" w:eastAsia="zh-CN" w:bidi="ar"/>
              </w:rPr>
              <w:t>。基本情况和整体架构方案满足采购人需求的每项可得1分，不能满足的不得分。本小项最多2分。</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cs="宋体"/>
                <w:b w:val="0"/>
                <w:bCs w:val="0"/>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详细功能设计</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模块包括数据中心、监督管理、现场管理、人员管理、机械管理、系统管理、综合驾驶舱、移动端</w:t>
            </w:r>
            <w:r>
              <w:rPr>
                <w:rFonts w:hint="eastAsia" w:ascii="宋体" w:hAnsi="宋体" w:cs="宋体"/>
                <w:b w:val="0"/>
                <w:bCs w:val="0"/>
                <w:i w:val="0"/>
                <w:iCs w:val="0"/>
                <w:color w:val="000000"/>
                <w:kern w:val="0"/>
                <w:sz w:val="24"/>
                <w:szCs w:val="24"/>
                <w:u w:val="none"/>
                <w:lang w:val="en-US" w:eastAsia="zh-CN" w:bidi="ar"/>
              </w:rPr>
              <w:t>。</w:t>
            </w:r>
          </w:p>
          <w:p>
            <w:pPr>
              <w:keepNext w:val="0"/>
              <w:keepLines w:val="0"/>
              <w:widowControl/>
              <w:numPr>
                <w:ilvl w:val="0"/>
                <w:numId w:val="0"/>
              </w:numPr>
              <w:suppressLineNumbers w:val="0"/>
              <w:jc w:val="both"/>
              <w:textAlignment w:val="center"/>
              <w:rPr>
                <w:rFonts w:hint="default" w:ascii="宋体" w:hAnsi="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详细功能设计每个功能模块满足采购人需求的得0.5分，否则不得分。本小项最多得4分。</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.2</w:t>
            </w:r>
          </w:p>
        </w:tc>
        <w:tc>
          <w:tcPr>
            <w:tcW w:w="4083" w:type="dxa"/>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拱墅区住建局干部日常实绩考核评价系统建设方案；</w:t>
            </w:r>
          </w:p>
          <w:p>
            <w:pPr>
              <w:keepNext w:val="0"/>
              <w:keepLines w:val="0"/>
              <w:widowControl/>
              <w:numPr>
                <w:ilvl w:val="0"/>
                <w:numId w:val="0"/>
              </w:numPr>
              <w:suppressLineNumbers w:val="0"/>
              <w:ind w:left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包括但不限于对系统的基本情况</w:t>
            </w:r>
            <w:r>
              <w:rPr>
                <w:rFonts w:hint="eastAsia" w:ascii="宋体" w:hAnsi="宋体" w:cs="宋体"/>
                <w:b w:val="0"/>
                <w:bCs w:val="0"/>
                <w:i w:val="0"/>
                <w:iCs w:val="0"/>
                <w:color w:val="000000"/>
                <w:kern w:val="0"/>
                <w:sz w:val="24"/>
                <w:szCs w:val="24"/>
                <w:u w:val="none"/>
                <w:lang w:val="en-US" w:eastAsia="zh-CN" w:bidi="ar"/>
              </w:rPr>
              <w:t>和</w:t>
            </w:r>
            <w:r>
              <w:rPr>
                <w:rFonts w:hint="eastAsia" w:ascii="宋体" w:hAnsi="宋体" w:eastAsia="宋体" w:cs="宋体"/>
                <w:b w:val="0"/>
                <w:bCs w:val="0"/>
                <w:i w:val="0"/>
                <w:iCs w:val="0"/>
                <w:color w:val="000000"/>
                <w:kern w:val="0"/>
                <w:sz w:val="24"/>
                <w:szCs w:val="24"/>
                <w:u w:val="none"/>
                <w:lang w:val="en-US" w:eastAsia="zh-CN" w:bidi="ar"/>
              </w:rPr>
              <w:t>整体架构</w:t>
            </w:r>
            <w:r>
              <w:rPr>
                <w:rFonts w:hint="eastAsia" w:ascii="宋体" w:hAnsi="宋体" w:cs="宋体"/>
                <w:b w:val="0"/>
                <w:bCs w:val="0"/>
                <w:i w:val="0"/>
                <w:iCs w:val="0"/>
                <w:color w:val="000000"/>
                <w:kern w:val="0"/>
                <w:sz w:val="24"/>
                <w:szCs w:val="24"/>
                <w:u w:val="none"/>
                <w:lang w:val="en-US" w:eastAsia="zh-CN" w:bidi="ar"/>
              </w:rPr>
              <w:t>。基本情况和整体架构方案满足采购人需求的，每项可得1分，不能满足的不得分。本小项最多2分。</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cs="宋体"/>
                <w:b w:val="0"/>
                <w:bCs w:val="0"/>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详细功能设计</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模块包括首页、用户信息、业绩晾晒、日志评看、荣誉榜单、目标管理、科室互评、系统维护</w:t>
            </w:r>
            <w:r>
              <w:rPr>
                <w:rFonts w:hint="eastAsia" w:ascii="宋体" w:hAnsi="宋体" w:cs="宋体"/>
                <w:b w:val="0"/>
                <w:bCs w:val="0"/>
                <w:i w:val="0"/>
                <w:iCs w:val="0"/>
                <w:color w:val="000000"/>
                <w:kern w:val="0"/>
                <w:sz w:val="24"/>
                <w:szCs w:val="24"/>
                <w:u w:val="none"/>
                <w:lang w:val="en-US" w:eastAsia="zh-CN" w:bidi="ar"/>
              </w:rPr>
              <w:t>。</w:t>
            </w:r>
          </w:p>
          <w:p>
            <w:pPr>
              <w:keepNext w:val="0"/>
              <w:keepLines w:val="0"/>
              <w:widowControl/>
              <w:numPr>
                <w:ilvl w:val="0"/>
                <w:numId w:val="0"/>
              </w:numPr>
              <w:suppressLineNumbers w:val="0"/>
              <w:ind w:left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详细功能设计每个功能模块满足采购人需求的得0.5分，否则不得分。本小项最多得4分。</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.3</w:t>
            </w:r>
          </w:p>
        </w:tc>
        <w:tc>
          <w:tcPr>
            <w:tcW w:w="4083" w:type="dxa"/>
            <w:shd w:val="clear" w:color="auto" w:fill="auto"/>
            <w:vAlign w:val="center"/>
          </w:tcPr>
          <w:p>
            <w:pPr>
              <w:keepNext w:val="0"/>
              <w:keepLines w:val="0"/>
              <w:widowControl/>
              <w:numPr>
                <w:ilvl w:val="-1"/>
                <w:numId w:val="0"/>
              </w:numPr>
              <w:suppressLineNumbers w:val="0"/>
              <w:ind w:left="0" w:leftChars="0"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拱墅区直管公房租住服务系统建设方案；</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cs="宋体"/>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包括但不限于对系统的基本情况</w:t>
            </w:r>
            <w:r>
              <w:rPr>
                <w:rFonts w:hint="eastAsia" w:ascii="宋体" w:hAnsi="宋体" w:cs="宋体"/>
                <w:b w:val="0"/>
                <w:bCs w:val="0"/>
                <w:i w:val="0"/>
                <w:iCs w:val="0"/>
                <w:color w:val="000000"/>
                <w:kern w:val="0"/>
                <w:sz w:val="24"/>
                <w:szCs w:val="24"/>
                <w:u w:val="none"/>
                <w:lang w:val="en-US" w:eastAsia="zh-CN" w:bidi="ar"/>
              </w:rPr>
              <w:t>和</w:t>
            </w:r>
            <w:r>
              <w:rPr>
                <w:rFonts w:hint="eastAsia" w:ascii="宋体" w:hAnsi="宋体" w:eastAsia="宋体" w:cs="宋体"/>
                <w:b w:val="0"/>
                <w:bCs w:val="0"/>
                <w:i w:val="0"/>
                <w:iCs w:val="0"/>
                <w:color w:val="000000"/>
                <w:kern w:val="0"/>
                <w:sz w:val="24"/>
                <w:szCs w:val="24"/>
                <w:u w:val="none"/>
                <w:lang w:val="en-US" w:eastAsia="zh-CN" w:bidi="ar"/>
              </w:rPr>
              <w:t>整体架构</w:t>
            </w:r>
            <w:r>
              <w:rPr>
                <w:rFonts w:hint="eastAsia" w:ascii="宋体" w:hAnsi="宋体" w:cs="宋体"/>
                <w:b w:val="0"/>
                <w:bCs w:val="0"/>
                <w:i w:val="0"/>
                <w:iCs w:val="0"/>
                <w:color w:val="000000"/>
                <w:kern w:val="0"/>
                <w:sz w:val="24"/>
                <w:szCs w:val="24"/>
                <w:u w:val="none"/>
                <w:lang w:val="en-US" w:eastAsia="zh-CN" w:bidi="ar"/>
              </w:rPr>
              <w:t>。基本情况和整体架构方案满足采购人需求的，每项可得1分，不能满足的不得分。本小项最多2分。</w:t>
            </w:r>
            <w:r>
              <w:rPr>
                <w:rFonts w:hint="eastAsia" w:ascii="宋体" w:hAnsi="宋体" w:cs="宋体"/>
                <w:b w:val="0"/>
                <w:bCs w:val="0"/>
                <w:i w:val="0"/>
                <w:iCs w:val="0"/>
                <w:color w:val="000000"/>
                <w:kern w:val="0"/>
                <w:sz w:val="24"/>
                <w:szCs w:val="24"/>
                <w:u w:val="none"/>
                <w:lang w:val="en-US" w:eastAsia="zh-CN" w:bidi="ar"/>
              </w:rPr>
              <w:br w:type="textWrapping"/>
            </w:r>
            <w:r>
              <w:rPr>
                <w:rFonts w:hint="eastAsia" w:ascii="宋体" w:hAnsi="宋体" w:cs="宋体"/>
                <w:b w:val="0"/>
                <w:bCs w:val="0"/>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详细功能设计</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模块包括小区管理、收费管理、报表管理、系统模块&amp;基础模块</w:t>
            </w:r>
            <w:r>
              <w:rPr>
                <w:rFonts w:hint="eastAsia" w:ascii="宋体" w:hAnsi="宋体" w:cs="宋体"/>
                <w:b w:val="0"/>
                <w:bCs w:val="0"/>
                <w:i w:val="0"/>
                <w:iCs w:val="0"/>
                <w:color w:val="000000"/>
                <w:kern w:val="0"/>
                <w:sz w:val="24"/>
                <w:szCs w:val="24"/>
                <w:u w:val="none"/>
                <w:lang w:val="en-US" w:eastAsia="zh-CN" w:bidi="ar"/>
              </w:rPr>
              <w:t>。</w:t>
            </w:r>
          </w:p>
          <w:p>
            <w:pPr>
              <w:keepNext w:val="0"/>
              <w:keepLines w:val="0"/>
              <w:widowControl/>
              <w:numPr>
                <w:ilvl w:val="0"/>
                <w:numId w:val="0"/>
              </w:numPr>
              <w:suppressLineNumbers w:val="0"/>
              <w:ind w:left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详细功能设计每个功能模块满足采购人需求的得0.5分，否则不得分。本小项最多得2分。</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.4</w:t>
            </w:r>
          </w:p>
        </w:tc>
        <w:tc>
          <w:tcPr>
            <w:tcW w:w="4083" w:type="dxa"/>
            <w:shd w:val="clear" w:color="auto" w:fill="auto"/>
            <w:vAlign w:val="center"/>
          </w:tcPr>
          <w:p>
            <w:pPr>
              <w:keepNext w:val="0"/>
              <w:keepLines w:val="0"/>
              <w:widowControl/>
              <w:numPr>
                <w:ilvl w:val="-1"/>
                <w:numId w:val="0"/>
              </w:numPr>
              <w:suppressLineNumbers w:val="0"/>
              <w:ind w:left="0" w:leftChars="0" w:firstLine="0" w:firstLineChars="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拱墅区住安宝二期既有房屋安全监测管理系统建设方案；</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cs="宋体"/>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包括但不限于对系统的基本情况</w:t>
            </w:r>
            <w:r>
              <w:rPr>
                <w:rFonts w:hint="eastAsia" w:ascii="宋体" w:hAnsi="宋体" w:cs="宋体"/>
                <w:b w:val="0"/>
                <w:bCs w:val="0"/>
                <w:i w:val="0"/>
                <w:iCs w:val="0"/>
                <w:color w:val="000000"/>
                <w:kern w:val="0"/>
                <w:sz w:val="24"/>
                <w:szCs w:val="24"/>
                <w:u w:val="none"/>
                <w:lang w:val="en-US" w:eastAsia="zh-CN" w:bidi="ar"/>
              </w:rPr>
              <w:t>和</w:t>
            </w:r>
            <w:r>
              <w:rPr>
                <w:rFonts w:hint="eastAsia" w:ascii="宋体" w:hAnsi="宋体" w:eastAsia="宋体" w:cs="宋体"/>
                <w:b w:val="0"/>
                <w:bCs w:val="0"/>
                <w:i w:val="0"/>
                <w:iCs w:val="0"/>
                <w:color w:val="000000"/>
                <w:kern w:val="0"/>
                <w:sz w:val="24"/>
                <w:szCs w:val="24"/>
                <w:u w:val="none"/>
                <w:lang w:val="en-US" w:eastAsia="zh-CN" w:bidi="ar"/>
              </w:rPr>
              <w:t>整体架构</w:t>
            </w:r>
            <w:r>
              <w:rPr>
                <w:rFonts w:hint="eastAsia" w:ascii="宋体" w:hAnsi="宋体" w:cs="宋体"/>
                <w:b w:val="0"/>
                <w:bCs w:val="0"/>
                <w:i w:val="0"/>
                <w:iCs w:val="0"/>
                <w:color w:val="000000"/>
                <w:kern w:val="0"/>
                <w:sz w:val="24"/>
                <w:szCs w:val="24"/>
                <w:u w:val="none"/>
                <w:lang w:val="en-US" w:eastAsia="zh-CN" w:bidi="ar"/>
              </w:rPr>
              <w:t>。基本情况和整体架构方案满足采购人需求的，每项可得1分，不能满足的不得分。本小项最多2分。</w:t>
            </w:r>
            <w:r>
              <w:rPr>
                <w:rFonts w:hint="eastAsia" w:ascii="宋体" w:hAnsi="宋体" w:cs="宋体"/>
                <w:b w:val="0"/>
                <w:bCs w:val="0"/>
                <w:i w:val="0"/>
                <w:iCs w:val="0"/>
                <w:color w:val="000000"/>
                <w:kern w:val="0"/>
                <w:sz w:val="24"/>
                <w:szCs w:val="24"/>
                <w:u w:val="none"/>
                <w:lang w:val="en-US" w:eastAsia="zh-CN" w:bidi="ar"/>
              </w:rPr>
              <w:br w:type="textWrapping"/>
            </w:r>
            <w:r>
              <w:rPr>
                <w:rFonts w:hint="eastAsia" w:ascii="宋体" w:hAnsi="宋体" w:cs="宋体"/>
                <w:b w:val="0"/>
                <w:bCs w:val="0"/>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详细功能设计</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模块包括房屋档案管理、物联感知、巡检功能、预警功能、处置功能、浙政钉移动端</w:t>
            </w:r>
            <w:r>
              <w:rPr>
                <w:rFonts w:hint="eastAsia" w:ascii="宋体" w:hAnsi="宋体" w:cs="宋体"/>
                <w:b w:val="0"/>
                <w:bCs w:val="0"/>
                <w:i w:val="0"/>
                <w:iCs w:val="0"/>
                <w:color w:val="000000"/>
                <w:kern w:val="0"/>
                <w:sz w:val="24"/>
                <w:szCs w:val="24"/>
                <w:u w:val="none"/>
                <w:lang w:val="en-US" w:eastAsia="zh-CN" w:bidi="ar"/>
              </w:rPr>
              <w:t>。</w:t>
            </w:r>
          </w:p>
          <w:p>
            <w:pPr>
              <w:keepNext w:val="0"/>
              <w:keepLines w:val="0"/>
              <w:widowControl/>
              <w:numPr>
                <w:ilvl w:val="0"/>
                <w:numId w:val="0"/>
              </w:numPr>
              <w:suppressLineNumbers w:val="0"/>
              <w:ind w:leftChars="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详细功能设计每个功能模块满足采购人需求的得0.5分，否则不得分。本小项最多得3分。</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.5</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4个信创改造系统和拱墅区安置房源管理系统</w:t>
            </w:r>
            <w:r>
              <w:rPr>
                <w:rFonts w:hint="eastAsia" w:ascii="宋体" w:hAnsi="宋体" w:cs="宋体"/>
                <w:b/>
                <w:bCs/>
                <w:i w:val="0"/>
                <w:iCs w:val="0"/>
                <w:color w:val="000000"/>
                <w:kern w:val="0"/>
                <w:sz w:val="24"/>
                <w:szCs w:val="24"/>
                <w:u w:val="none"/>
                <w:lang w:val="en-US" w:eastAsia="zh-CN" w:bidi="ar"/>
              </w:rPr>
              <w:t>集成</w:t>
            </w:r>
            <w:r>
              <w:rPr>
                <w:rFonts w:hint="eastAsia" w:ascii="宋体" w:hAnsi="宋体" w:eastAsia="宋体" w:cs="宋体"/>
                <w:b/>
                <w:bCs/>
                <w:i w:val="0"/>
                <w:iCs w:val="0"/>
                <w:color w:val="000000"/>
                <w:kern w:val="0"/>
                <w:sz w:val="24"/>
                <w:szCs w:val="24"/>
                <w:u w:val="none"/>
                <w:lang w:val="en-US" w:eastAsia="zh-CN" w:bidi="ar"/>
              </w:rPr>
              <w:t>方案；</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cs="宋体"/>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包括但不限于对系统的基本情况</w:t>
            </w:r>
            <w:r>
              <w:rPr>
                <w:rFonts w:hint="eastAsia" w:ascii="宋体" w:hAnsi="宋体" w:cs="宋体"/>
                <w:b w:val="0"/>
                <w:bCs w:val="0"/>
                <w:i w:val="0"/>
                <w:iCs w:val="0"/>
                <w:color w:val="000000"/>
                <w:kern w:val="0"/>
                <w:sz w:val="24"/>
                <w:szCs w:val="24"/>
                <w:u w:val="none"/>
                <w:lang w:val="en-US" w:eastAsia="zh-CN" w:bidi="ar"/>
              </w:rPr>
              <w:t>和</w:t>
            </w:r>
            <w:r>
              <w:rPr>
                <w:rFonts w:hint="eastAsia" w:ascii="宋体" w:hAnsi="宋体" w:eastAsia="宋体" w:cs="宋体"/>
                <w:b w:val="0"/>
                <w:bCs w:val="0"/>
                <w:i w:val="0"/>
                <w:iCs w:val="0"/>
                <w:color w:val="000000"/>
                <w:kern w:val="0"/>
                <w:sz w:val="24"/>
                <w:szCs w:val="24"/>
                <w:u w:val="none"/>
                <w:lang w:val="en-US" w:eastAsia="zh-CN" w:bidi="ar"/>
              </w:rPr>
              <w:t>整体架构</w:t>
            </w:r>
            <w:r>
              <w:rPr>
                <w:rFonts w:hint="eastAsia" w:ascii="宋体" w:hAnsi="宋体" w:cs="宋体"/>
                <w:b w:val="0"/>
                <w:bCs w:val="0"/>
                <w:i w:val="0"/>
                <w:iCs w:val="0"/>
                <w:color w:val="000000"/>
                <w:kern w:val="0"/>
                <w:sz w:val="24"/>
                <w:szCs w:val="24"/>
                <w:u w:val="none"/>
                <w:lang w:val="en-US" w:eastAsia="zh-CN" w:bidi="ar"/>
              </w:rPr>
              <w:t>。基本情况和整体架构方案满足采购人需求的，每项可得1分，不能满足的不得分。本小项最多2分。（2）</w:t>
            </w:r>
            <w:r>
              <w:rPr>
                <w:rFonts w:hint="eastAsia" w:ascii="宋体" w:hAnsi="宋体" w:eastAsia="宋体" w:cs="宋体"/>
                <w:b w:val="0"/>
                <w:bCs w:val="0"/>
                <w:i w:val="0"/>
                <w:iCs w:val="0"/>
                <w:color w:val="000000"/>
                <w:kern w:val="0"/>
                <w:sz w:val="24"/>
                <w:szCs w:val="24"/>
                <w:u w:val="none"/>
                <w:lang w:val="en-US" w:eastAsia="zh-CN" w:bidi="ar"/>
              </w:rPr>
              <w:t>详细功能设计</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模块包括统一门户管理、统一用户管理、统一授权管理、消息中心、拱墅区安置房源管理系统门户集成、拱墅区安置房源管理系统统一用户和认证集成</w:t>
            </w:r>
            <w:r>
              <w:rPr>
                <w:rFonts w:hint="eastAsia" w:ascii="宋体" w:hAnsi="宋体" w:cs="宋体"/>
                <w:b w:val="0"/>
                <w:bCs w:val="0"/>
                <w:i w:val="0"/>
                <w:iCs w:val="0"/>
                <w:color w:val="000000"/>
                <w:kern w:val="0"/>
                <w:sz w:val="24"/>
                <w:szCs w:val="24"/>
                <w:u w:val="none"/>
                <w:lang w:val="en-US" w:eastAsia="zh-CN" w:bidi="ar"/>
              </w:rPr>
              <w:t>。</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详细功能设计每个功能模块满足采购人需求的得0.5分，否则不得分。本小项最多得3分。</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060"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4083" w:type="dxa"/>
            <w:shd w:val="clear" w:color="auto" w:fill="auto"/>
            <w:vAlign w:val="center"/>
          </w:tcPr>
          <w:p>
            <w:pPr>
              <w:rPr>
                <w:sz w:val="24"/>
                <w:highlight w:val="none"/>
                <w:lang w:val="zh-CN"/>
              </w:rPr>
            </w:pPr>
            <w:r>
              <w:rPr>
                <w:rFonts w:hint="eastAsia"/>
                <w:sz w:val="24"/>
                <w:highlight w:val="none"/>
                <w:lang w:val="zh-CN"/>
              </w:rPr>
              <w:t>系统方案讲解演示（演示时间为15</w:t>
            </w:r>
            <w:r>
              <w:rPr>
                <w:rFonts w:hint="eastAsia"/>
                <w:sz w:val="24"/>
                <w:highlight w:val="none"/>
              </w:rPr>
              <w:t>分钟</w:t>
            </w:r>
            <w:r>
              <w:rPr>
                <w:rFonts w:hint="eastAsia"/>
                <w:sz w:val="24"/>
                <w:highlight w:val="none"/>
                <w:lang w:val="zh-CN"/>
              </w:rPr>
              <w:t>）</w:t>
            </w:r>
          </w:p>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bidi="ar"/>
              </w:rPr>
            </w:pPr>
            <w:r>
              <w:rPr>
                <w:rFonts w:hint="eastAsia"/>
                <w:sz w:val="24"/>
                <w:highlight w:val="none"/>
                <w:lang w:val="zh-CN"/>
              </w:rPr>
              <w:t>说明：提供视频演示，未提供演示的不得分。投标人演示形式包括但不限于真实系统、原型、demo等，图片、ppt演示不得分。</w:t>
            </w:r>
            <w:r>
              <w:rPr>
                <w:rFonts w:hint="eastAsia"/>
                <w:sz w:val="24"/>
                <w:highlight w:val="none"/>
                <w:lang w:val="zh-CN" w:bidi="ar"/>
              </w:rPr>
              <w:t>▲未提供演示视频或演示分为0分的，该投标文件作无效标处理</w:t>
            </w:r>
          </w:p>
        </w:tc>
        <w:tc>
          <w:tcPr>
            <w:tcW w:w="1127"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103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06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5.1</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方案演示</w:t>
            </w:r>
          </w:p>
          <w:p>
            <w:pPr>
              <w:keepNext w:val="0"/>
              <w:keepLines w:val="0"/>
              <w:widowControl/>
              <w:numPr>
                <w:ilvl w:val="-1"/>
                <w:numId w:val="0"/>
              </w:numPr>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（1）门户应用平台展示，展示集成系统，支持待办、已办信息快速分类切换，支持按时间排序；</w:t>
            </w:r>
            <w:r>
              <w:rPr>
                <w:rFonts w:hint="default" w:ascii="宋体" w:hAnsi="宋体" w:cs="宋体"/>
                <w:i w:val="0"/>
                <w:iCs w:val="0"/>
                <w:color w:val="000000"/>
                <w:kern w:val="0"/>
                <w:sz w:val="24"/>
                <w:szCs w:val="24"/>
                <w:highlight w:val="none"/>
                <w:u w:val="none"/>
                <w:lang w:val="en-US" w:eastAsia="zh-CN" w:bidi="ar"/>
              </w:rPr>
              <w:t>且满足采购需求</w:t>
            </w:r>
            <w:r>
              <w:rPr>
                <w:rFonts w:hint="eastAsia" w:ascii="宋体" w:hAnsi="宋体" w:cs="宋体"/>
                <w:i w:val="0"/>
                <w:iCs w:val="0"/>
                <w:color w:val="000000"/>
                <w:kern w:val="0"/>
                <w:sz w:val="24"/>
                <w:szCs w:val="24"/>
                <w:highlight w:val="none"/>
                <w:u w:val="none"/>
                <w:lang w:val="en-US" w:eastAsia="zh-CN" w:bidi="ar"/>
              </w:rPr>
              <w:t>，</w:t>
            </w:r>
            <w:r>
              <w:rPr>
                <w:rFonts w:hint="default" w:ascii="宋体" w:hAnsi="宋体" w:cs="宋体"/>
                <w:i w:val="0"/>
                <w:iCs w:val="0"/>
                <w:color w:val="000000"/>
                <w:kern w:val="0"/>
                <w:sz w:val="24"/>
                <w:szCs w:val="24"/>
                <w:highlight w:val="none"/>
                <w:u w:val="none"/>
                <w:lang w:val="en-US" w:eastAsia="zh-CN" w:bidi="ar"/>
              </w:rPr>
              <w:t>评分范围（</w:t>
            </w:r>
            <w:r>
              <w:rPr>
                <w:rFonts w:hint="eastAsia" w:ascii="宋体" w:hAnsi="宋体" w:cs="宋体"/>
                <w:i w:val="0"/>
                <w:iCs w:val="0"/>
                <w:color w:val="000000"/>
                <w:kern w:val="0"/>
                <w:sz w:val="24"/>
                <w:szCs w:val="24"/>
                <w:highlight w:val="none"/>
                <w:u w:val="none"/>
                <w:lang w:val="en-US" w:eastAsia="zh-CN" w:bidi="ar"/>
              </w:rPr>
              <w:t>1.5,1,0.5,0</w:t>
            </w:r>
            <w:r>
              <w:rPr>
                <w:rFonts w:hint="default" w:ascii="宋体" w:hAnsi="宋体" w:cs="宋体"/>
                <w:i w:val="0"/>
                <w:iCs w:val="0"/>
                <w:color w:val="000000"/>
                <w:kern w:val="0"/>
                <w:sz w:val="24"/>
                <w:szCs w:val="24"/>
                <w:highlight w:val="none"/>
                <w:u w:val="none"/>
                <w:lang w:val="en-US" w:eastAsia="zh-CN" w:bidi="ar"/>
              </w:rPr>
              <w:t>）</w:t>
            </w:r>
          </w:p>
          <w:p>
            <w:pPr>
              <w:keepNext w:val="0"/>
              <w:keepLines w:val="0"/>
              <w:widowControl/>
              <w:numPr>
                <w:ilvl w:val="0"/>
                <w:numId w:val="0"/>
              </w:numPr>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（2）用户中心，支持可管理用户的基本信息，可与浙政钉架构进行同步（能展示具备完成此能力即可）；满足采购人需求的的1分，否则不得分。</w:t>
            </w:r>
          </w:p>
          <w:p>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（3）对接入平台的5个子系统进行页面展示，要求风格一致。每个系统满足采购人需求的得0.5分，否则不得分。本项最多得2.5分。</w:t>
            </w:r>
          </w:p>
          <w:p>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（4）消息中心状态追踪，可以查看信息的当前状态，如发送中、已发送、发送失败。满足采购人需求的的1分，否则不得分。</w:t>
            </w:r>
          </w:p>
        </w:tc>
        <w:tc>
          <w:tcPr>
            <w:tcW w:w="112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6</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数据对接、归集方案是否满足项目需求，</w:t>
            </w:r>
            <w:r>
              <w:rPr>
                <w:rFonts w:hint="eastAsia" w:ascii="宋体" w:hAnsi="宋体" w:eastAsia="宋体" w:cs="宋体"/>
                <w:b w:val="0"/>
                <w:bCs w:val="0"/>
                <w:i w:val="0"/>
                <w:iCs w:val="0"/>
                <w:color w:val="000000"/>
                <w:kern w:val="0"/>
                <w:sz w:val="24"/>
                <w:szCs w:val="24"/>
                <w:highlight w:val="none"/>
                <w:u w:val="none"/>
                <w:lang w:val="en-US" w:eastAsia="zh-CN" w:bidi="ar"/>
              </w:rPr>
              <w:t>内容提供完整的技术方案且完全满足采购人要求</w:t>
            </w:r>
            <w:r>
              <w:rPr>
                <w:rFonts w:hint="eastAsia" w:ascii="宋体" w:hAnsi="宋体" w:cs="宋体"/>
                <w:b w:val="0"/>
                <w:bCs w:val="0"/>
                <w:i w:val="0"/>
                <w:iCs w:val="0"/>
                <w:color w:val="000000"/>
                <w:kern w:val="0"/>
                <w:sz w:val="24"/>
                <w:szCs w:val="24"/>
                <w:highlight w:val="none"/>
                <w:u w:val="none"/>
                <w:lang w:val="en-US" w:eastAsia="zh-CN" w:bidi="ar"/>
              </w:rPr>
              <w:t>。（评分范围：2,1,0）</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2</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1060"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4083"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安全防护及信创部署</w:t>
            </w:r>
          </w:p>
        </w:tc>
        <w:tc>
          <w:tcPr>
            <w:tcW w:w="112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103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1060"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7.1</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提供完整详尽的安全服务解决方案且满足采购需求的：</w:t>
            </w:r>
          </w:p>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评分范围（3,2,1,0）</w:t>
            </w:r>
          </w:p>
        </w:tc>
        <w:tc>
          <w:tcPr>
            <w:tcW w:w="112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1060"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7.2</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提供完整详尽的信创部署方案且满足采购需求的：</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评分范围（3,2,1,0）</w:t>
            </w:r>
          </w:p>
        </w:tc>
        <w:tc>
          <w:tcPr>
            <w:tcW w:w="112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项目组人员素质情况</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9"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.1</w:t>
            </w:r>
          </w:p>
        </w:tc>
        <w:tc>
          <w:tcPr>
            <w:tcW w:w="4083"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项目经理要求</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具备信息系统项目管理师（高级）得</w:t>
            </w:r>
            <w:r>
              <w:rPr>
                <w:rFonts w:hint="eastAsia" w:ascii="宋体" w:hAnsi="宋体" w:eastAsia="宋体" w:cs="宋体"/>
                <w:i w:val="0"/>
                <w:iCs w:val="0"/>
                <w:color w:val="000000"/>
                <w:kern w:val="0"/>
                <w:sz w:val="24"/>
                <w:szCs w:val="24"/>
                <w:highlight w:val="none"/>
                <w:u w:val="none"/>
                <w:lang w:val="en-US" w:eastAsia="zh-CN" w:bidi="ar"/>
              </w:rPr>
              <w:t>1分，具备信息安全工程师得</w:t>
            </w:r>
            <w:r>
              <w:rPr>
                <w:rFonts w:hint="eastAsia" w:ascii="宋体" w:hAnsi="宋体" w:eastAsia="宋体" w:cs="宋体"/>
                <w:i w:val="0"/>
                <w:iCs w:val="0"/>
                <w:color w:val="000000"/>
                <w:kern w:val="0"/>
                <w:sz w:val="24"/>
                <w:szCs w:val="24"/>
                <w:u w:val="none"/>
                <w:lang w:val="en-US" w:eastAsia="zh-CN" w:bidi="ar"/>
              </w:rPr>
              <w:t>1分</w:t>
            </w:r>
          </w:p>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证明材料：提供证书复印件及</w:t>
            </w:r>
            <w:r>
              <w:rPr>
                <w:rFonts w:hint="eastAsia" w:ascii="宋体" w:hAnsi="宋体" w:cs="宋体"/>
                <w:b/>
                <w:bCs/>
                <w:i w:val="0"/>
                <w:iCs w:val="0"/>
                <w:color w:val="000000"/>
                <w:kern w:val="0"/>
                <w:sz w:val="24"/>
                <w:szCs w:val="24"/>
                <w:u w:val="none"/>
                <w:lang w:val="en-US" w:eastAsia="zh-CN" w:bidi="ar"/>
              </w:rPr>
              <w:t>开标时间截止前连续3个月投标人为其缴纳的社保缴纳证明</w:t>
            </w:r>
            <w:r>
              <w:rPr>
                <w:rFonts w:hint="eastAsia" w:ascii="宋体" w:hAnsi="宋体" w:eastAsia="宋体" w:cs="宋体"/>
                <w:b/>
                <w:bCs/>
                <w:i w:val="0"/>
                <w:iCs w:val="0"/>
                <w:color w:val="000000"/>
                <w:kern w:val="0"/>
                <w:sz w:val="24"/>
                <w:szCs w:val="24"/>
                <w:u w:val="none"/>
                <w:lang w:val="en-US" w:eastAsia="zh-CN" w:bidi="ar"/>
              </w:rPr>
              <w:t>加盖电子签章，否则不得分。</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9" w:hRule="atLeast"/>
        </w:trPr>
        <w:tc>
          <w:tcPr>
            <w:tcW w:w="1060"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8.2</w:t>
            </w:r>
          </w:p>
        </w:tc>
        <w:tc>
          <w:tcPr>
            <w:tcW w:w="4083" w:type="dxa"/>
            <w:shd w:val="clear" w:color="auto" w:fill="auto"/>
            <w:vAlign w:val="center"/>
          </w:tcPr>
          <w:p>
            <w:pPr>
              <w:keepNext w:val="0"/>
              <w:keepLines w:val="0"/>
              <w:widowControl/>
              <w:suppressLineNumbers w:val="0"/>
              <w:jc w:val="both"/>
              <w:textAlignment w:val="center"/>
              <w:rPr>
                <w:rFonts w:hint="default" w:ascii="宋体" w:hAnsi="宋体" w:cs="宋体"/>
                <w:b w:val="0"/>
                <w:bCs w:val="0"/>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技术负责人（除项目经理以外）：</w:t>
            </w:r>
            <w:r>
              <w:rPr>
                <w:rFonts w:hint="eastAsia" w:ascii="宋体" w:hAnsi="宋体" w:cs="宋体"/>
                <w:b/>
                <w:bCs/>
                <w:i w:val="0"/>
                <w:iCs w:val="0"/>
                <w:color w:val="000000"/>
                <w:kern w:val="0"/>
                <w:sz w:val="24"/>
                <w:szCs w:val="24"/>
                <w:u w:val="none"/>
                <w:lang w:val="en-US" w:eastAsia="zh-CN" w:bidi="ar"/>
              </w:rPr>
              <w:br w:type="textWrapping"/>
            </w:r>
            <w:r>
              <w:rPr>
                <w:rFonts w:hint="eastAsia" w:ascii="宋体" w:hAnsi="宋体" w:cs="宋体"/>
                <w:b w:val="0"/>
                <w:bCs w:val="0"/>
                <w:i w:val="0"/>
                <w:iCs w:val="0"/>
                <w:color w:val="000000"/>
                <w:kern w:val="0"/>
                <w:sz w:val="24"/>
                <w:szCs w:val="24"/>
                <w:u w:val="none"/>
                <w:lang w:val="en-US" w:eastAsia="zh-CN" w:bidi="ar"/>
              </w:rPr>
              <w:t>具备系统分析师得1分，具备系统架构设计师得1分。</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证明材料：提供证书复印件及</w:t>
            </w:r>
            <w:r>
              <w:rPr>
                <w:rFonts w:hint="eastAsia" w:ascii="宋体" w:hAnsi="宋体" w:cs="宋体"/>
                <w:b/>
                <w:bCs/>
                <w:i w:val="0"/>
                <w:iCs w:val="0"/>
                <w:color w:val="000000"/>
                <w:kern w:val="0"/>
                <w:sz w:val="24"/>
                <w:szCs w:val="24"/>
                <w:u w:val="none"/>
                <w:lang w:val="en-US" w:eastAsia="zh-CN" w:bidi="ar"/>
              </w:rPr>
              <w:t>开标时间截止前连续3个月投标人为其缴纳的社保缴纳证明</w:t>
            </w:r>
            <w:r>
              <w:rPr>
                <w:rFonts w:hint="eastAsia" w:ascii="宋体" w:hAnsi="宋体" w:eastAsia="宋体" w:cs="宋体"/>
                <w:b/>
                <w:bCs/>
                <w:i w:val="0"/>
                <w:iCs w:val="0"/>
                <w:color w:val="000000"/>
                <w:kern w:val="0"/>
                <w:sz w:val="24"/>
                <w:szCs w:val="24"/>
                <w:u w:val="none"/>
                <w:lang w:val="en-US" w:eastAsia="zh-CN" w:bidi="ar"/>
              </w:rPr>
              <w:t>加盖电子签章，否则不得分。</w:t>
            </w:r>
          </w:p>
        </w:tc>
        <w:tc>
          <w:tcPr>
            <w:tcW w:w="112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33" w:type="dxa"/>
            <w:shd w:val="clear" w:color="auto" w:fill="auto"/>
            <w:vAlign w:val="center"/>
          </w:tcPr>
          <w:p>
            <w:pPr>
              <w:jc w:val="center"/>
              <w:rPr>
                <w:rFonts w:hint="eastAsia" w:ascii="宋体" w:hAnsi="宋体" w:eastAsia="宋体" w:cs="宋体"/>
                <w:i w:val="0"/>
                <w:iCs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9"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3</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团队服务人员要求（除项目经理</w:t>
            </w:r>
            <w:r>
              <w:rPr>
                <w:rFonts w:hint="eastAsia" w:ascii="宋体" w:hAnsi="宋体" w:cs="宋体"/>
                <w:b/>
                <w:bCs/>
                <w:i w:val="0"/>
                <w:iCs w:val="0"/>
                <w:color w:val="000000"/>
                <w:kern w:val="0"/>
                <w:sz w:val="24"/>
                <w:szCs w:val="24"/>
                <w:u w:val="none"/>
                <w:lang w:val="en-US" w:eastAsia="zh-CN" w:bidi="ar"/>
              </w:rPr>
              <w:t>和技术负责人</w:t>
            </w:r>
            <w:r>
              <w:rPr>
                <w:rFonts w:hint="eastAsia" w:ascii="宋体" w:hAnsi="宋体" w:eastAsia="宋体" w:cs="宋体"/>
                <w:b/>
                <w:bCs/>
                <w:i w:val="0"/>
                <w:iCs w:val="0"/>
                <w:color w:val="000000"/>
                <w:kern w:val="0"/>
                <w:sz w:val="24"/>
                <w:szCs w:val="24"/>
                <w:u w:val="none"/>
                <w:lang w:val="en-US" w:eastAsia="zh-CN" w:bidi="ar"/>
              </w:rPr>
              <w:t>以外）</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团队成员需有人具备网络工程师、软件设计师、信息技术（</w:t>
            </w:r>
            <w:r>
              <w:rPr>
                <w:rFonts w:hint="eastAsia" w:ascii="宋体" w:hAnsi="宋体" w:cs="宋体"/>
                <w:i w:val="0"/>
                <w:iCs w:val="0"/>
                <w:color w:val="000000"/>
                <w:kern w:val="0"/>
                <w:sz w:val="24"/>
                <w:szCs w:val="24"/>
                <w:u w:val="none"/>
                <w:lang w:val="en-US" w:eastAsia="zh-CN" w:bidi="ar"/>
              </w:rPr>
              <w:t>技术开发</w:t>
            </w:r>
            <w:r>
              <w:rPr>
                <w:rFonts w:hint="eastAsia" w:ascii="宋体" w:hAnsi="宋体" w:eastAsia="宋体" w:cs="宋体"/>
                <w:i w:val="0"/>
                <w:iCs w:val="0"/>
                <w:color w:val="000000"/>
                <w:kern w:val="0"/>
                <w:sz w:val="24"/>
                <w:szCs w:val="24"/>
                <w:u w:val="none"/>
                <w:lang w:val="en-US" w:eastAsia="zh-CN" w:bidi="ar"/>
              </w:rPr>
              <w:t>）高级工程师</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信息技术（系统集成）高级工程师证书的，</w:t>
            </w:r>
            <w:r>
              <w:rPr>
                <w:rFonts w:hint="eastAsia" w:ascii="宋体" w:hAnsi="宋体" w:cs="宋体"/>
                <w:i w:val="0"/>
                <w:iCs w:val="0"/>
                <w:color w:val="000000"/>
                <w:kern w:val="0"/>
                <w:sz w:val="24"/>
                <w:szCs w:val="24"/>
                <w:u w:val="none"/>
                <w:lang w:val="en-US" w:eastAsia="zh-CN" w:bidi="ar"/>
              </w:rPr>
              <w:t>每具有一本证书得0.5分，</w:t>
            </w:r>
            <w:r>
              <w:rPr>
                <w:rFonts w:hint="eastAsia" w:ascii="宋体" w:hAnsi="宋体" w:eastAsia="宋体" w:cs="宋体"/>
                <w:i w:val="0"/>
                <w:iCs w:val="0"/>
                <w:color w:val="000000"/>
                <w:kern w:val="0"/>
                <w:sz w:val="24"/>
                <w:szCs w:val="24"/>
                <w:u w:val="none"/>
                <w:lang w:val="en-US" w:eastAsia="zh-CN" w:bidi="ar"/>
              </w:rPr>
              <w:t>每</w:t>
            </w:r>
            <w:r>
              <w:rPr>
                <w:rFonts w:hint="eastAsia" w:ascii="宋体" w:hAnsi="宋体" w:cs="宋体"/>
                <w:i w:val="0"/>
                <w:iCs w:val="0"/>
                <w:color w:val="000000"/>
                <w:kern w:val="0"/>
                <w:sz w:val="24"/>
                <w:szCs w:val="24"/>
                <w:u w:val="none"/>
                <w:lang w:val="en-US" w:eastAsia="zh-CN" w:bidi="ar"/>
              </w:rPr>
              <w:t>类</w:t>
            </w:r>
            <w:r>
              <w:rPr>
                <w:rFonts w:hint="eastAsia" w:ascii="宋体" w:hAnsi="宋体" w:eastAsia="宋体" w:cs="宋体"/>
                <w:i w:val="0"/>
                <w:iCs w:val="0"/>
                <w:color w:val="000000"/>
                <w:kern w:val="0"/>
                <w:sz w:val="24"/>
                <w:szCs w:val="24"/>
                <w:u w:val="none"/>
                <w:lang w:val="en-US" w:eastAsia="zh-CN" w:bidi="ar"/>
              </w:rPr>
              <w:t>证书</w:t>
            </w:r>
            <w:r>
              <w:rPr>
                <w:rFonts w:hint="eastAsia" w:ascii="宋体" w:hAnsi="宋体" w:cs="宋体"/>
                <w:i w:val="0"/>
                <w:iCs w:val="0"/>
                <w:color w:val="000000"/>
                <w:kern w:val="0"/>
                <w:sz w:val="24"/>
                <w:szCs w:val="24"/>
                <w:u w:val="none"/>
                <w:lang w:val="en-US" w:eastAsia="zh-CN" w:bidi="ar"/>
              </w:rPr>
              <w:t>最多得1分，相同人员</w:t>
            </w:r>
            <w:r>
              <w:rPr>
                <w:rFonts w:hint="eastAsia" w:ascii="宋体" w:hAnsi="宋体" w:eastAsia="宋体" w:cs="宋体"/>
                <w:i w:val="0"/>
                <w:iCs w:val="0"/>
                <w:color w:val="000000"/>
                <w:kern w:val="0"/>
                <w:sz w:val="24"/>
                <w:szCs w:val="24"/>
                <w:u w:val="none"/>
                <w:lang w:val="en-US" w:eastAsia="zh-CN" w:bidi="ar"/>
              </w:rPr>
              <w:t>具备多本证书不同时得分，最高得</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w:t>
            </w:r>
          </w:p>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证明材料：提供</w:t>
            </w:r>
            <w:r>
              <w:rPr>
                <w:rFonts w:hint="eastAsia" w:ascii="宋体" w:hAnsi="宋体" w:cs="宋体"/>
                <w:b/>
                <w:bCs/>
                <w:i w:val="0"/>
                <w:iCs w:val="0"/>
                <w:color w:val="000000"/>
                <w:kern w:val="0"/>
                <w:sz w:val="24"/>
                <w:szCs w:val="24"/>
                <w:u w:val="none"/>
                <w:lang w:val="en-US" w:eastAsia="zh-CN" w:bidi="ar"/>
              </w:rPr>
              <w:t>开标时间截止前连续3个月投标人为其缴纳的社保缴纳证明</w:t>
            </w:r>
            <w:r>
              <w:rPr>
                <w:rFonts w:hint="eastAsia" w:ascii="宋体" w:hAnsi="宋体" w:eastAsia="宋体" w:cs="宋体"/>
                <w:b/>
                <w:bCs/>
                <w:i w:val="0"/>
                <w:iCs w:val="0"/>
                <w:color w:val="000000"/>
                <w:kern w:val="0"/>
                <w:sz w:val="24"/>
                <w:szCs w:val="24"/>
                <w:u w:val="none"/>
                <w:lang w:val="en-US" w:eastAsia="zh-CN" w:bidi="ar"/>
              </w:rPr>
              <w:t>加盖电子签章，否则不得分。</w:t>
            </w:r>
          </w:p>
        </w:tc>
        <w:tc>
          <w:tcPr>
            <w:tcW w:w="112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5" w:hRule="atLeast"/>
        </w:trPr>
        <w:tc>
          <w:tcPr>
            <w:tcW w:w="1060"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8.4</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w:t>
            </w: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提供的项目组团队（包括项目经理</w:t>
            </w:r>
            <w:r>
              <w:rPr>
                <w:rFonts w:hint="eastAsia" w:ascii="宋体" w:hAnsi="宋体" w:cs="宋体"/>
                <w:i w:val="0"/>
                <w:iCs w:val="0"/>
                <w:color w:val="000000"/>
                <w:kern w:val="0"/>
                <w:sz w:val="24"/>
                <w:szCs w:val="24"/>
                <w:u w:val="none"/>
                <w:lang w:val="en-US" w:eastAsia="zh-CN" w:bidi="ar"/>
              </w:rPr>
              <w:t>和项目负责人</w:t>
            </w:r>
            <w:r>
              <w:rPr>
                <w:rFonts w:hint="eastAsia" w:ascii="宋体" w:hAnsi="宋体" w:eastAsia="宋体" w:cs="宋体"/>
                <w:i w:val="0"/>
                <w:iCs w:val="0"/>
                <w:color w:val="000000"/>
                <w:kern w:val="0"/>
                <w:sz w:val="24"/>
                <w:szCs w:val="24"/>
                <w:u w:val="none"/>
                <w:lang w:val="en-US" w:eastAsia="zh-CN" w:bidi="ar"/>
              </w:rPr>
              <w:t>）至少配置人员</w:t>
            </w:r>
            <w:r>
              <w:rPr>
                <w:rFonts w:hint="eastAsia" w:ascii="宋体" w:hAnsi="宋体" w:cs="宋体"/>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名</w:t>
            </w:r>
            <w:r>
              <w:rPr>
                <w:rFonts w:hint="eastAsia" w:ascii="宋体" w:hAnsi="宋体" w:cs="宋体"/>
                <w:i w:val="0"/>
                <w:iCs w:val="0"/>
                <w:color w:val="000000"/>
                <w:kern w:val="0"/>
                <w:sz w:val="24"/>
                <w:szCs w:val="24"/>
                <w:u w:val="none"/>
                <w:lang w:val="en-US" w:eastAsia="zh-CN" w:bidi="ar"/>
              </w:rPr>
              <w:t>，</w:t>
            </w:r>
            <w:r>
              <w:rPr>
                <w:rFonts w:hint="eastAsia" w:ascii="宋体" w:hAnsi="宋体" w:cs="宋体"/>
                <w:kern w:val="0"/>
                <w:sz w:val="24"/>
              </w:rPr>
              <w:t>每人具有本科及以上学历</w:t>
            </w:r>
            <w:r>
              <w:rPr>
                <w:rFonts w:hint="eastAsia" w:ascii="宋体" w:hAnsi="宋体" w:cs="宋体"/>
                <w:kern w:val="0"/>
                <w:sz w:val="24"/>
                <w:lang w:eastAsia="zh-CN"/>
              </w:rPr>
              <w:t>。</w:t>
            </w:r>
            <w:r>
              <w:rPr>
                <w:rFonts w:hint="eastAsia" w:ascii="宋体" w:hAnsi="宋体" w:cs="宋体"/>
                <w:i w:val="0"/>
                <w:iCs w:val="0"/>
                <w:color w:val="000000"/>
                <w:kern w:val="0"/>
                <w:sz w:val="24"/>
                <w:szCs w:val="24"/>
                <w:u w:val="none"/>
                <w:lang w:val="en-US" w:eastAsia="zh-CN" w:bidi="ar"/>
              </w:rPr>
              <w:t>的得2分。</w:t>
            </w:r>
            <w:r>
              <w:rPr>
                <w:rFonts w:hint="eastAsia" w:ascii="宋体" w:hAnsi="宋体" w:eastAsia="宋体" w:cs="宋体"/>
                <w:b/>
                <w:bCs/>
                <w:i w:val="0"/>
                <w:iCs w:val="0"/>
                <w:color w:val="000000"/>
                <w:kern w:val="0"/>
                <w:sz w:val="24"/>
                <w:szCs w:val="24"/>
                <w:u w:val="none"/>
                <w:lang w:val="en-US" w:eastAsia="zh-CN" w:bidi="ar"/>
              </w:rPr>
              <w:t>证明材料：提供</w:t>
            </w:r>
            <w:r>
              <w:rPr>
                <w:rFonts w:hint="eastAsia" w:ascii="宋体" w:hAnsi="宋体" w:cs="宋体"/>
                <w:b/>
                <w:bCs/>
                <w:i w:val="0"/>
                <w:iCs w:val="0"/>
                <w:color w:val="000000"/>
                <w:kern w:val="0"/>
                <w:sz w:val="24"/>
                <w:szCs w:val="24"/>
                <w:u w:val="none"/>
                <w:lang w:val="en-US" w:eastAsia="zh-CN" w:bidi="ar"/>
              </w:rPr>
              <w:t>开标时间截止前连续3个月投标人为其缴纳的社保缴纳证明</w:t>
            </w:r>
            <w:r>
              <w:rPr>
                <w:rFonts w:hint="eastAsia" w:ascii="宋体" w:hAnsi="宋体" w:eastAsia="宋体" w:cs="宋体"/>
                <w:b/>
                <w:bCs/>
                <w:i w:val="0"/>
                <w:iCs w:val="0"/>
                <w:color w:val="000000"/>
                <w:kern w:val="0"/>
                <w:sz w:val="24"/>
                <w:szCs w:val="24"/>
                <w:u w:val="none"/>
                <w:lang w:val="en-US" w:eastAsia="zh-CN" w:bidi="ar"/>
              </w:rPr>
              <w:t>加盖电子签章，否则不得分。</w:t>
            </w:r>
          </w:p>
        </w:tc>
        <w:tc>
          <w:tcPr>
            <w:tcW w:w="112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5"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组织实施方案：</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投标人项目组织实施方案的科学性、合理性、规范性和可操作性，包括</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①组织机构</w:t>
            </w:r>
            <w:r>
              <w:rPr>
                <w:rFonts w:hint="eastAsia" w:ascii="宋体" w:hAnsi="宋体" w:eastAsia="宋体" w:cs="宋体"/>
                <w:i w:val="0"/>
                <w:iCs w:val="0"/>
                <w:color w:val="000000"/>
                <w:kern w:val="0"/>
                <w:sz w:val="24"/>
                <w:szCs w:val="24"/>
                <w:u w:val="none"/>
                <w:lang w:val="en-US" w:eastAsia="zh-CN" w:bidi="ar"/>
              </w:rPr>
              <w:t>。内容完整、措施有效、符合采购人实际视为合理，合理得1分，部分合理得0.5分，否则不得分。</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2</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②工作时间进度表。</w:t>
            </w:r>
            <w:r>
              <w:rPr>
                <w:rFonts w:hint="eastAsia" w:ascii="宋体" w:hAnsi="宋体" w:eastAsia="宋体" w:cs="宋体"/>
                <w:i w:val="0"/>
                <w:iCs w:val="0"/>
                <w:color w:val="000000"/>
                <w:kern w:val="0"/>
                <w:sz w:val="24"/>
                <w:szCs w:val="24"/>
                <w:u w:val="none"/>
                <w:lang w:val="en-US" w:eastAsia="zh-CN" w:bidi="ar"/>
              </w:rPr>
              <w:t>内容完整、措施有效、符合采购人实际视为合理，合理得1分，部分合理得0.5分，否则不得分。</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3</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③工作程序和步骤</w:t>
            </w:r>
            <w:r>
              <w:rPr>
                <w:rFonts w:hint="eastAsia" w:ascii="宋体" w:hAnsi="宋体" w:eastAsia="宋体" w:cs="宋体"/>
                <w:i w:val="0"/>
                <w:iCs w:val="0"/>
                <w:color w:val="000000"/>
                <w:kern w:val="0"/>
                <w:sz w:val="24"/>
                <w:szCs w:val="24"/>
                <w:u w:val="none"/>
                <w:lang w:val="en-US" w:eastAsia="zh-CN" w:bidi="ar"/>
              </w:rPr>
              <w:t>。内容完整、措施有效、符合采购人实际视为合理，合理得1分，部分合理得0.5分，否则不得分。</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4</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④</w:t>
            </w:r>
            <w:r>
              <w:rPr>
                <w:rFonts w:hint="eastAsia" w:ascii="宋体" w:hAnsi="宋体" w:eastAsia="宋体" w:cs="宋体"/>
                <w:b/>
                <w:bCs/>
                <w:i w:val="0"/>
                <w:iCs w:val="0"/>
                <w:color w:val="000000"/>
                <w:kern w:val="0"/>
                <w:sz w:val="24"/>
                <w:szCs w:val="24"/>
                <w:u w:val="none"/>
                <w:lang w:val="en-US" w:eastAsia="zh-CN" w:bidi="ar"/>
              </w:rPr>
              <w:t>管理和协调方法</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kern w:val="0"/>
                <w:sz w:val="24"/>
                <w:szCs w:val="24"/>
                <w:lang w:val="en-US" w:eastAsia="zh-CN" w:bidi="ar"/>
              </w:rPr>
              <w:t>内容完整、措施有效、符合采购人实际视为合理，合理得1分，部分合理得0.5分，否则不得分。</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6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质量保证措施和建设工期</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.1</w:t>
            </w:r>
          </w:p>
        </w:tc>
        <w:tc>
          <w:tcPr>
            <w:tcW w:w="4083" w:type="dxa"/>
            <w:shd w:val="clear" w:color="auto" w:fill="auto"/>
            <w:vAlign w:val="center"/>
          </w:tcPr>
          <w:p>
            <w:pPr>
              <w:keepNext w:val="0"/>
              <w:keepLines w:val="0"/>
              <w:widowControl/>
              <w:suppressLineNumbers w:val="0"/>
              <w:jc w:val="both"/>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①是否有明确的建设质量目标</w:t>
            </w:r>
            <w:r>
              <w:rPr>
                <w:rFonts w:hint="eastAsia" w:ascii="宋体" w:hAnsi="宋体" w:eastAsia="宋体" w:cs="宋体"/>
                <w:i w:val="0"/>
                <w:iCs w:val="0"/>
                <w:color w:val="000000"/>
                <w:kern w:val="0"/>
                <w:sz w:val="24"/>
                <w:szCs w:val="24"/>
                <w:u w:val="none"/>
                <w:lang w:val="en-US" w:eastAsia="zh-CN" w:bidi="ar"/>
              </w:rPr>
              <w:t>。内容完整、措施有效、符合采购人实际</w:t>
            </w:r>
            <w:r>
              <w:rPr>
                <w:rFonts w:hint="eastAsia" w:ascii="宋体" w:hAnsi="宋体" w:cs="宋体"/>
                <w:i w:val="0"/>
                <w:iCs w:val="0"/>
                <w:color w:val="000000"/>
                <w:kern w:val="0"/>
                <w:sz w:val="24"/>
                <w:szCs w:val="24"/>
                <w:u w:val="none"/>
                <w:lang w:val="en-US" w:eastAsia="zh-CN" w:bidi="ar"/>
              </w:rPr>
              <w:t>的。（评分范围3,2,1,0）</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.2</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②是否有质量保证措施。</w:t>
            </w:r>
            <w:r>
              <w:rPr>
                <w:rFonts w:hint="eastAsia" w:ascii="宋体" w:hAnsi="宋体" w:eastAsia="宋体" w:cs="宋体"/>
                <w:i w:val="0"/>
                <w:iCs w:val="0"/>
                <w:color w:val="000000"/>
                <w:kern w:val="0"/>
                <w:sz w:val="24"/>
                <w:szCs w:val="24"/>
                <w:u w:val="none"/>
                <w:lang w:val="en-US" w:eastAsia="zh-CN" w:bidi="ar"/>
              </w:rPr>
              <w:t>内容完整、措施有效、符合采购人实际</w:t>
            </w:r>
            <w:r>
              <w:rPr>
                <w:rFonts w:hint="eastAsia" w:ascii="宋体" w:hAnsi="宋体" w:cs="宋体"/>
                <w:i w:val="0"/>
                <w:iCs w:val="0"/>
                <w:color w:val="000000"/>
                <w:kern w:val="0"/>
                <w:sz w:val="24"/>
                <w:szCs w:val="24"/>
                <w:u w:val="none"/>
                <w:lang w:val="en-US" w:eastAsia="zh-CN" w:bidi="ar"/>
              </w:rPr>
              <w:t>的。（评分范围3,2,1,0）</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.3</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③是否具有详细可行的实施内容</w:t>
            </w:r>
            <w:r>
              <w:rPr>
                <w:rFonts w:hint="eastAsia" w:ascii="宋体" w:hAnsi="宋体" w:eastAsia="宋体" w:cs="宋体"/>
                <w:i w:val="0"/>
                <w:iCs w:val="0"/>
                <w:color w:val="000000"/>
                <w:kern w:val="0"/>
                <w:sz w:val="24"/>
                <w:szCs w:val="24"/>
                <w:u w:val="none"/>
                <w:lang w:val="en-US" w:eastAsia="zh-CN" w:bidi="ar"/>
              </w:rPr>
              <w:t>。内容完整、措施有效、符合采购人</w:t>
            </w:r>
            <w:r>
              <w:rPr>
                <w:rFonts w:hint="eastAsia" w:ascii="宋体" w:hAnsi="宋体" w:cs="宋体"/>
                <w:i w:val="0"/>
                <w:iCs w:val="0"/>
                <w:color w:val="000000"/>
                <w:kern w:val="0"/>
                <w:sz w:val="24"/>
                <w:szCs w:val="24"/>
                <w:u w:val="none"/>
                <w:lang w:val="en-US" w:eastAsia="zh-CN" w:bidi="ar"/>
              </w:rPr>
              <w:t>的。（评分范围3,2,1,0）</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.4</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④工期保证措施等</w:t>
            </w:r>
            <w:r>
              <w:rPr>
                <w:rFonts w:hint="eastAsia" w:ascii="宋体" w:hAnsi="宋体" w:eastAsia="宋体" w:cs="宋体"/>
                <w:i w:val="0"/>
                <w:iCs w:val="0"/>
                <w:color w:val="000000"/>
                <w:kern w:val="0"/>
                <w:sz w:val="24"/>
                <w:szCs w:val="24"/>
                <w:u w:val="none"/>
                <w:lang w:val="en-US" w:eastAsia="zh-CN" w:bidi="ar"/>
              </w:rPr>
              <w:t>。内容完整、措施有效、符合采购人实际</w:t>
            </w:r>
            <w:r>
              <w:rPr>
                <w:rFonts w:hint="eastAsia" w:ascii="宋体" w:hAnsi="宋体" w:cs="宋体"/>
                <w:i w:val="0"/>
                <w:iCs w:val="0"/>
                <w:color w:val="000000"/>
                <w:kern w:val="0"/>
                <w:sz w:val="24"/>
                <w:szCs w:val="24"/>
                <w:u w:val="none"/>
                <w:lang w:val="en-US" w:eastAsia="zh-CN" w:bidi="ar"/>
              </w:rPr>
              <w:t>的。（评分范围3,2,1,0）</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06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培训、测试、试运行、验收</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.1</w:t>
            </w:r>
          </w:p>
        </w:tc>
        <w:tc>
          <w:tcPr>
            <w:tcW w:w="40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（1）投标人是否提出合理性、可行性的①功能测试、②试运行方案、③验收方案。每项（评分范围1,0.5，0）</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2</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（2）培训计划包括培训内容、培训时间地点、培训对象，培训师资力量等；根据投标方案内容进行评分，</w:t>
            </w:r>
            <w:r>
              <w:rPr>
                <w:rFonts w:hint="eastAsia" w:ascii="宋体" w:hAnsi="宋体" w:cs="宋体"/>
                <w:i w:val="0"/>
                <w:iCs w:val="0"/>
                <w:color w:val="000000"/>
                <w:kern w:val="0"/>
                <w:sz w:val="24"/>
                <w:szCs w:val="24"/>
                <w:u w:val="none"/>
                <w:lang w:val="en-US" w:eastAsia="zh-CN" w:bidi="ar"/>
              </w:rPr>
              <w:t>（评分范围2,1,0）。</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60"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12</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112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3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33" w:type="dxa"/>
            <w:vMerge w:val="restart"/>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060"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提供完整详尽的售后服务方案：</w:t>
            </w:r>
          </w:p>
        </w:tc>
        <w:tc>
          <w:tcPr>
            <w:tcW w:w="1127"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37"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93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.1</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年的免费运维期间需及时响应并满足用户对于系统的问题故障处理和缺陷修正；满足得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分，不满足不得分</w:t>
            </w:r>
            <w:r>
              <w:rPr>
                <w:rFonts w:hint="eastAsia" w:ascii="宋体" w:hAnsi="宋体" w:cs="宋体"/>
                <w:i w:val="0"/>
                <w:iCs w:val="0"/>
                <w:color w:val="000000"/>
                <w:kern w:val="0"/>
                <w:sz w:val="24"/>
                <w:szCs w:val="24"/>
                <w:u w:val="none"/>
                <w:lang w:val="en-US" w:eastAsia="zh-CN" w:bidi="ar"/>
              </w:rPr>
              <w:t>。</w:t>
            </w:r>
            <w:r>
              <w:rPr>
                <w:rFonts w:hint="eastAsia" w:ascii="宋体" w:hAnsi="宋体" w:cs="宋体"/>
                <w:b/>
                <w:bCs/>
                <w:sz w:val="24"/>
                <w:lang w:val="en-US" w:eastAsia="zh-CN"/>
              </w:rPr>
              <w:t>提供承诺函，不提供不得分。格式自拟。</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1"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.2</w:t>
            </w:r>
          </w:p>
        </w:tc>
        <w:tc>
          <w:tcPr>
            <w:tcW w:w="40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②</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年运维期内所有的服务均为免费服务,提供7×24小时电话或电子邮件服务，1小时内做出明确响应和安排，如需专业工程师现场服务的，具有解决故障能力的技术工程师应在2小时内到场；满足得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分，不满足不得分</w:t>
            </w:r>
            <w:r>
              <w:rPr>
                <w:rFonts w:hint="eastAsia" w:ascii="宋体" w:hAnsi="宋体" w:cs="宋体"/>
                <w:i w:val="0"/>
                <w:iCs w:val="0"/>
                <w:color w:val="000000"/>
                <w:kern w:val="0"/>
                <w:sz w:val="24"/>
                <w:szCs w:val="24"/>
                <w:u w:val="none"/>
                <w:lang w:val="en-US" w:eastAsia="zh-CN" w:bidi="ar"/>
              </w:rPr>
              <w:t>。</w:t>
            </w:r>
            <w:r>
              <w:rPr>
                <w:rFonts w:hint="eastAsia" w:ascii="宋体" w:hAnsi="宋体" w:cs="宋体"/>
                <w:b/>
                <w:bCs/>
                <w:sz w:val="24"/>
                <w:lang w:val="en-US" w:eastAsia="zh-CN"/>
              </w:rPr>
              <w:t>提供承诺函，不提供不得分。格式自拟。</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10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w:t>
            </w:r>
          </w:p>
        </w:tc>
        <w:tc>
          <w:tcPr>
            <w:tcW w:w="40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投标报价：</w:t>
            </w:r>
          </w:p>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有效投标报价的最低价作为评标基准价，其最低报价为满分；按［投标报价得分=（评标基准价/投标报价）*10］的计算公式计算。</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评标过程中，不得去掉报价中的最高报价和最低报价。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color w:val="000000"/>
                <w:kern w:val="0"/>
                <w:sz w:val="24"/>
                <w:szCs w:val="24"/>
                <w:u w:val="none"/>
                <w:lang w:bidi="ar"/>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11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1933" w:type="dxa"/>
            <w:shd w:val="clear" w:color="auto" w:fill="auto"/>
            <w:vAlign w:val="center"/>
          </w:tcPr>
          <w:p>
            <w:pPr>
              <w:jc w:val="center"/>
              <w:rPr>
                <w:rFonts w:hint="eastAsia" w:ascii="宋体" w:hAnsi="宋体" w:eastAsia="宋体" w:cs="宋体"/>
                <w:i w:val="0"/>
                <w:iCs w:val="0"/>
                <w:color w:val="000000"/>
                <w:sz w:val="24"/>
                <w:szCs w:val="24"/>
                <w:u w:val="none"/>
              </w:rPr>
            </w:pPr>
          </w:p>
        </w:tc>
      </w:tr>
    </w:tbl>
    <w:p>
      <w:pPr>
        <w:rPr>
          <w:color w:val="auto"/>
          <w:highlight w:val="none"/>
        </w:rPr>
      </w:pPr>
    </w:p>
    <w:p>
      <w:pPr>
        <w:snapToGrid w:val="0"/>
        <w:spacing w:line="360" w:lineRule="auto"/>
        <w:jc w:val="center"/>
        <w:rPr>
          <w:rFonts w:hint="eastAsia" w:ascii="宋体" w:hAnsi="宋体" w:cs="宋体"/>
          <w:b/>
          <w:color w:val="auto"/>
          <w:sz w:val="32"/>
          <w:szCs w:val="20"/>
          <w:highlight w:val="none"/>
          <w:shd w:val="clear"/>
          <w:lang w:val="en-US" w:eastAsia="zh-CN"/>
        </w:rPr>
      </w:pPr>
    </w:p>
    <w:p>
      <w:pPr>
        <w:spacing w:line="240" w:lineRule="auto"/>
        <w:jc w:val="left"/>
        <w:outlineLvl w:val="9"/>
        <w:rPr>
          <w:rFonts w:hint="eastAsia" w:ascii="宋体" w:hAnsi="宋体" w:cs="宋体"/>
          <w:b/>
          <w:color w:val="auto"/>
          <w:sz w:val="32"/>
          <w:szCs w:val="20"/>
          <w:highlight w:val="none"/>
          <w:lang w:val="en-US" w:eastAsia="zh-CN"/>
        </w:rPr>
      </w:pPr>
      <w:r>
        <w:rPr>
          <w:rFonts w:hint="eastAsia" w:ascii="宋体" w:hAnsi="宋体" w:cs="宋体"/>
          <w:b/>
          <w:color w:val="auto"/>
          <w:sz w:val="32"/>
          <w:szCs w:val="20"/>
          <w:highlight w:val="none"/>
          <w:lang w:val="en-US" w:eastAsia="zh-CN"/>
        </w:rPr>
        <w:br w:type="page"/>
      </w: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408" w:name="第五部分"/>
      <w:bookmarkStart w:id="409"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240" w:lineRule="auto"/>
        <w:ind w:left="0" w:leftChars="0" w:firstLine="0" w:firstLineChars="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hint="eastAsia" w:ascii="宋体" w:hAnsi="宋体" w:cs="宋体"/>
          <w:b/>
          <w:sz w:val="28"/>
          <w:szCs w:val="28"/>
        </w:rPr>
      </w:pPr>
    </w:p>
    <w:p>
      <w:pPr>
        <w:spacing w:line="480" w:lineRule="auto"/>
        <w:jc w:val="center"/>
        <w:rPr>
          <w:rFonts w:hint="eastAsia" w:ascii="宋体" w:hAnsi="宋体" w:cs="宋体"/>
          <w:b/>
          <w:sz w:val="24"/>
        </w:rPr>
      </w:pPr>
    </w:p>
    <w:p>
      <w:pPr>
        <w:spacing w:line="480" w:lineRule="auto"/>
        <w:jc w:val="center"/>
        <w:rPr>
          <w:rFonts w:hint="eastAsia" w:ascii="宋体" w:hAnsi="宋体" w:cs="宋体"/>
          <w:b/>
          <w:sz w:val="24"/>
        </w:rPr>
      </w:pPr>
    </w:p>
    <w:p>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hint="eastAsia" w:ascii="宋体" w:hAnsi="宋体" w:cs="宋体"/>
          <w:b/>
          <w:sz w:val="36"/>
          <w:szCs w:val="36"/>
        </w:rPr>
      </w:pPr>
      <w:r>
        <w:rPr>
          <w:rFonts w:hint="eastAsia" w:ascii="宋体" w:hAnsi="宋体" w:cs="宋体"/>
          <w:b/>
          <w:sz w:val="36"/>
          <w:szCs w:val="36"/>
        </w:rPr>
        <w:t>（服务类）</w:t>
      </w:r>
    </w:p>
    <w:p>
      <w:pPr>
        <w:pStyle w:val="704"/>
        <w:spacing w:before="120"/>
        <w:ind w:firstLine="2843" w:firstLineChars="1180"/>
        <w:rPr>
          <w:rFonts w:hint="eastAsia" w:ascii="宋体" w:hAnsi="宋体" w:cs="宋体"/>
          <w:b/>
          <w:szCs w:val="24"/>
        </w:rPr>
      </w:pPr>
      <w:r>
        <w:rPr>
          <w:rFonts w:hint="eastAsia" w:ascii="宋体" w:hAnsi="宋体" w:cs="宋体"/>
          <w:b/>
          <w:szCs w:val="24"/>
        </w:rPr>
        <w:t>第一部分 合同书</w:t>
      </w:r>
    </w:p>
    <w:p>
      <w:pPr>
        <w:spacing w:before="120" w:line="22" w:lineRule="atLeast"/>
        <w:rPr>
          <w:rFonts w:hint="eastAsia" w:ascii="宋体" w:hAnsi="宋体" w:cs="宋体"/>
          <w:sz w:val="24"/>
        </w:rPr>
      </w:pPr>
    </w:p>
    <w:p>
      <w:pPr>
        <w:pStyle w:val="4"/>
        <w:rPr>
          <w:rFonts w:hint="eastAsia"/>
        </w:rPr>
      </w:pPr>
    </w:p>
    <w:p>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1"/>
        <w:spacing w:before="120" w:line="22" w:lineRule="atLeast"/>
        <w:rPr>
          <w:rFonts w:hint="eastAsia" w:ascii="宋体" w:hAnsi="宋体" w:eastAsia="宋体" w:cs="宋体"/>
          <w:szCs w:val="24"/>
        </w:rPr>
      </w:pPr>
    </w:p>
    <w:p>
      <w:pPr>
        <w:pStyle w:val="601"/>
        <w:spacing w:before="120" w:line="22" w:lineRule="atLeast"/>
        <w:rPr>
          <w:rFonts w:hint="eastAsia" w:ascii="宋体" w:hAnsi="宋体" w:eastAsia="宋体" w:cs="宋体"/>
          <w:szCs w:val="24"/>
        </w:rPr>
      </w:pPr>
    </w:p>
    <w:p>
      <w:pPr>
        <w:rPr>
          <w:rFonts w:hint="eastAsia" w:ascii="宋体" w:hAnsi="宋体" w:cs="宋体"/>
          <w:sz w:val="24"/>
        </w:rPr>
      </w:pPr>
    </w:p>
    <w:p>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hint="eastAsia" w:ascii="宋体" w:hAnsi="宋体" w:cs="宋体"/>
          <w:sz w:val="24"/>
        </w:rPr>
      </w:pPr>
    </w:p>
    <w:p>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hint="eastAsia" w:ascii="宋体" w:hAnsi="宋体" w:cs="宋体"/>
          <w:sz w:val="24"/>
        </w:rPr>
      </w:pPr>
    </w:p>
    <w:p>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hint="eastAsia" w:ascii="宋体" w:hAnsi="宋体" w:cs="宋体"/>
          <w:sz w:val="24"/>
        </w:rPr>
      </w:pPr>
    </w:p>
    <w:p>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hint="eastAsia"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rPr>
          <w:rFonts w:hint="eastAsia" w:ascii="宋体" w:hAnsi="宋体" w:cs="宋体"/>
          <w:b/>
          <w:sz w:val="24"/>
        </w:rPr>
      </w:pPr>
    </w:p>
    <w:p>
      <w:pPr>
        <w:spacing w:line="560" w:lineRule="exact"/>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lang w:eastAsia="zh-CN"/>
        </w:rPr>
        <w:t>杭州市拱墅区住房和城市建设局</w:t>
      </w:r>
      <w:r>
        <w:rPr>
          <w:rFonts w:ascii="宋体" w:hAnsi="宋体"/>
          <w:sz w:val="24"/>
          <w:u w:val="single"/>
        </w:rPr>
        <w:t xml:space="preserve">   </w:t>
      </w:r>
      <w:r>
        <w:rPr>
          <w:rFonts w:hint="eastAsia" w:ascii="宋体" w:hAnsi="宋体"/>
          <w:sz w:val="24"/>
        </w:rPr>
        <w:t>以</w:t>
      </w:r>
      <w:r>
        <w:rPr>
          <w:rFonts w:ascii="宋体" w:hAnsi="宋体"/>
          <w:sz w:val="24"/>
          <w:u w:val="single"/>
        </w:rPr>
        <w:t xml:space="preserve">   </w:t>
      </w:r>
      <w:r>
        <w:rPr>
          <w:rFonts w:hint="eastAsia" w:ascii="宋体" w:hAnsi="宋体"/>
          <w:sz w:val="24"/>
          <w:u w:val="single"/>
        </w:rPr>
        <w:t>公开招标</w:t>
      </w:r>
      <w:r>
        <w:rPr>
          <w:rFonts w:ascii="宋体" w:hAnsi="宋体"/>
          <w:sz w:val="24"/>
          <w:u w:val="single"/>
        </w:rPr>
        <w:t xml:space="preserve">  </w:t>
      </w:r>
      <w:r>
        <w:rPr>
          <w:rFonts w:hint="eastAsia" w:ascii="宋体" w:hAnsi="宋体"/>
          <w:sz w:val="24"/>
        </w:rPr>
        <w:t>对</w:t>
      </w:r>
      <w:r>
        <w:rPr>
          <w:rFonts w:ascii="宋体" w:hAnsi="宋体"/>
          <w:sz w:val="24"/>
          <w:u w:val="single"/>
        </w:rPr>
        <w:t xml:space="preserve">  </w:t>
      </w:r>
      <w:r>
        <w:rPr>
          <w:rFonts w:hint="eastAsia" w:ascii="宋体" w:hAnsi="宋体"/>
          <w:sz w:val="24"/>
          <w:u w:val="single"/>
          <w:lang w:eastAsia="zh-CN"/>
        </w:rPr>
        <w:t>区住建局智慧“助”建平台深化信创（2024年）项目</w:t>
      </w:r>
      <w:r>
        <w:rPr>
          <w:rFonts w:hint="eastAsia" w:ascii="宋体" w:hAnsi="宋体" w:cs="宋体"/>
          <w:sz w:val="24"/>
          <w:u w:val="single"/>
        </w:rPr>
        <w:t xml:space="preserve">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lang w:eastAsia="zh-CN"/>
        </w:rPr>
        <w:t>区住建局智慧“助”建平台深化信创（2024年）项目</w:t>
      </w:r>
      <w:r>
        <w:rPr>
          <w:rFonts w:hint="eastAsia" w:ascii="宋体" w:hAnsi="宋体" w:cs="宋体"/>
          <w:sz w:val="24"/>
          <w:u w:val="single"/>
        </w:rPr>
        <w:t>评审委员会</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cs="宋体"/>
          <w:sz w:val="24"/>
          <w:u w:val="single"/>
          <w:lang w:eastAsia="zh-CN"/>
        </w:rPr>
        <w:t>杭州市拱墅区住房和城市建设局</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标或者成交</w:t>
      </w:r>
      <w:r>
        <w:rPr>
          <w:rFonts w:ascii="宋体" w:hAnsi="宋体"/>
          <w:sz w:val="24"/>
          <w:u w:val="single"/>
        </w:rPr>
        <w:t xml:space="preserve">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hint="eastAsia" w:ascii="宋体" w:hAnsi="宋体"/>
          <w:sz w:val="24"/>
        </w:rPr>
      </w:pPr>
      <w:bookmarkStart w:id="410" w:name="_Toc20421"/>
      <w:bookmarkStart w:id="411" w:name="_Toc15367"/>
      <w:bookmarkStart w:id="412" w:name="_Toc19273"/>
      <w:bookmarkStart w:id="413" w:name="_Toc28855"/>
      <w:bookmarkStart w:id="414" w:name="_Toc22967"/>
      <w:r>
        <w:rPr>
          <w:rFonts w:ascii="宋体" w:hAnsi="宋体"/>
          <w:b/>
          <w:sz w:val="24"/>
        </w:rPr>
        <w:t xml:space="preserve">1.1 </w:t>
      </w:r>
      <w:r>
        <w:rPr>
          <w:rFonts w:hint="eastAsia" w:ascii="宋体" w:hAnsi="宋体"/>
          <w:b/>
          <w:sz w:val="24"/>
        </w:rPr>
        <w:t>合同组成部分</w:t>
      </w:r>
      <w:bookmarkEnd w:id="410"/>
      <w:bookmarkEnd w:id="411"/>
      <w:bookmarkEnd w:id="412"/>
      <w:bookmarkEnd w:id="413"/>
      <w:bookmarkEnd w:id="414"/>
    </w:p>
    <w:p>
      <w:pPr>
        <w:spacing w:line="560" w:lineRule="exact"/>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hint="eastAsia" w:ascii="宋体" w:hAnsi="宋体"/>
          <w:b/>
          <w:sz w:val="24"/>
        </w:rPr>
      </w:pPr>
      <w:bookmarkStart w:id="415" w:name="_Toc22185"/>
      <w:bookmarkStart w:id="416" w:name="_Toc6311"/>
      <w:bookmarkStart w:id="417" w:name="_Toc18585"/>
      <w:bookmarkStart w:id="418" w:name="_Toc2918"/>
      <w:bookmarkStart w:id="419" w:name="_Toc6773"/>
      <w:r>
        <w:rPr>
          <w:rFonts w:ascii="宋体" w:hAnsi="宋体"/>
          <w:b/>
          <w:sz w:val="24"/>
        </w:rPr>
        <w:t xml:space="preserve">1.2 </w:t>
      </w:r>
      <w:r>
        <w:rPr>
          <w:rFonts w:hint="eastAsia" w:ascii="宋体" w:hAnsi="宋体"/>
          <w:b/>
          <w:sz w:val="24"/>
        </w:rPr>
        <w:t>标的</w:t>
      </w:r>
      <w:bookmarkEnd w:id="415"/>
      <w:bookmarkEnd w:id="416"/>
      <w:bookmarkEnd w:id="417"/>
      <w:bookmarkEnd w:id="418"/>
      <w:bookmarkEnd w:id="419"/>
    </w:p>
    <w:p>
      <w:pPr>
        <w:spacing w:line="360" w:lineRule="auto"/>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hint="eastAsia" w:ascii="宋体" w:hAnsi="宋体"/>
          <w:sz w:val="24"/>
          <w:lang w:val="en-US" w:eastAsia="zh-CN"/>
        </w:rPr>
        <w:t>标项名称</w:t>
      </w:r>
      <w:r>
        <w:rPr>
          <w:rFonts w:ascii="宋体" w:hAnsi="宋体"/>
          <w:sz w:val="24"/>
          <w:u w:val="single"/>
        </w:rPr>
        <w:t xml:space="preserve">                                        </w:t>
      </w:r>
      <w:r>
        <w:rPr>
          <w:rFonts w:hint="eastAsia" w:ascii="宋体" w:hAnsi="宋体"/>
          <w:sz w:val="24"/>
        </w:rPr>
        <w:t>；</w:t>
      </w:r>
    </w:p>
    <w:p>
      <w:pPr>
        <w:spacing w:line="360" w:lineRule="auto"/>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360" w:lineRule="auto"/>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360" w:lineRule="auto"/>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24"/>
        <w:ind w:firstLine="480" w:firstLineChars="200"/>
        <w:rPr>
          <w:rFonts w:hint="eastAsia" w:hAnsi="宋体" w:cs="宋体"/>
          <w:bCs/>
          <w:snapToGrid/>
          <w:szCs w:val="24"/>
          <w:u w:val="single"/>
          <w:lang w:val="en-US"/>
        </w:rPr>
      </w:pPr>
      <w:r>
        <w:rPr>
          <w:rFonts w:hAnsi="宋体" w:cs="宋体"/>
          <w:bCs/>
          <w:snapToGrid/>
          <w:szCs w:val="24"/>
          <w:lang w:val="en-US"/>
        </w:rPr>
        <w:t>1.2.4.1项目经理</w:t>
      </w:r>
      <w:r>
        <w:rPr>
          <w:rFonts w:hint="eastAsia" w:hAnsi="宋体" w:cs="宋体"/>
          <w:bCs/>
          <w:snapToGrid/>
          <w:szCs w:val="24"/>
          <w:lang w:val="en-US"/>
        </w:rPr>
        <w:t>：人数</w:t>
      </w:r>
      <w:r>
        <w:rPr>
          <w:rFonts w:hint="eastAsia" w:hAnsi="宋体" w:cs="宋体"/>
          <w:bCs/>
          <w:snapToGrid/>
          <w:szCs w:val="24"/>
          <w:u w:val="single"/>
          <w:lang w:val="en-US"/>
        </w:rPr>
        <w:t xml:space="preserve">   </w:t>
      </w:r>
      <w:r>
        <w:rPr>
          <w:rFonts w:hAnsi="宋体" w:cs="宋体"/>
          <w:bCs/>
          <w:snapToGrid/>
          <w:szCs w:val="24"/>
          <w:lang w:val="en-US"/>
        </w:rPr>
        <w:t>人，姓名：</w:t>
      </w:r>
      <w:r>
        <w:rPr>
          <w:rFonts w:hAnsi="宋体" w:cs="宋体"/>
          <w:bCs/>
          <w:snapToGrid/>
          <w:szCs w:val="24"/>
          <w:u w:val="single"/>
          <w:lang w:val="en-US"/>
        </w:rPr>
        <w:t xml:space="preserve">    </w:t>
      </w:r>
      <w:r>
        <w:rPr>
          <w:rFonts w:hAnsi="宋体" w:cs="宋体"/>
          <w:bCs/>
          <w:snapToGrid/>
          <w:szCs w:val="24"/>
          <w:lang w:val="en-US"/>
        </w:rPr>
        <w:t xml:space="preserve"> </w:t>
      </w:r>
      <w:r>
        <w:rPr>
          <w:rFonts w:hint="eastAsia" w:hAnsi="宋体" w:cs="宋体"/>
          <w:bCs/>
          <w:snapToGrid/>
          <w:szCs w:val="24"/>
          <w:lang w:val="en-US"/>
        </w:rPr>
        <w:t>身份证号码：</w:t>
      </w:r>
      <w:r>
        <w:rPr>
          <w:rFonts w:hAnsi="宋体" w:cs="宋体"/>
          <w:bCs/>
          <w:snapToGrid/>
          <w:szCs w:val="24"/>
          <w:u w:val="single"/>
          <w:lang w:val="en-US"/>
        </w:rPr>
        <w:t xml:space="preserve">     </w:t>
      </w:r>
      <w:r>
        <w:rPr>
          <w:rFonts w:hint="eastAsia" w:hAnsi="宋体" w:cs="宋体"/>
          <w:bCs/>
          <w:snapToGrid/>
          <w:szCs w:val="24"/>
          <w:lang w:val="en-US"/>
        </w:rPr>
        <w:t>联系电话：</w:t>
      </w:r>
      <w:r>
        <w:rPr>
          <w:rFonts w:hAnsi="宋体" w:cs="宋体"/>
          <w:bCs/>
          <w:snapToGrid/>
          <w:szCs w:val="24"/>
          <w:u w:val="single"/>
          <w:lang w:val="en-US"/>
        </w:rPr>
        <w:t xml:space="preserve">    </w:t>
      </w:r>
    </w:p>
    <w:p>
      <w:pPr>
        <w:pStyle w:val="24"/>
        <w:ind w:firstLine="480" w:firstLineChars="200"/>
        <w:rPr>
          <w:rFonts w:hint="eastAsia" w:hAnsi="宋体" w:cs="宋体"/>
          <w:bCs/>
          <w:snapToGrid/>
          <w:szCs w:val="24"/>
          <w:lang w:val="en-US"/>
        </w:rPr>
      </w:pPr>
      <w:r>
        <w:rPr>
          <w:rFonts w:hAnsi="宋体" w:cs="宋体"/>
          <w:bCs/>
          <w:snapToGrid/>
          <w:szCs w:val="24"/>
          <w:lang w:val="en-US"/>
        </w:rPr>
        <w:t>1.2.4.2</w:t>
      </w:r>
      <w:r>
        <w:rPr>
          <w:rFonts w:hint="eastAsia" w:hAnsi="宋体" w:cs="宋体"/>
          <w:bCs/>
          <w:snapToGrid/>
          <w:szCs w:val="24"/>
          <w:lang w:val="en-US"/>
        </w:rPr>
        <w:t>技术负责人</w:t>
      </w:r>
      <w:r>
        <w:rPr>
          <w:rFonts w:hAnsi="宋体" w:cs="宋体"/>
          <w:bCs/>
          <w:snapToGrid/>
          <w:szCs w:val="24"/>
          <w:lang w:val="en-US"/>
        </w:rPr>
        <w:t xml:space="preserve">：人数 </w:t>
      </w:r>
      <w:r>
        <w:rPr>
          <w:rFonts w:hAnsi="宋体" w:cs="宋体"/>
          <w:bCs/>
          <w:snapToGrid/>
          <w:szCs w:val="24"/>
          <w:u w:val="single"/>
          <w:lang w:val="en-US"/>
        </w:rPr>
        <w:t xml:space="preserve">   </w:t>
      </w:r>
      <w:r>
        <w:rPr>
          <w:rFonts w:hint="eastAsia" w:hAnsi="宋体" w:cs="宋体"/>
          <w:bCs/>
          <w:snapToGrid/>
          <w:szCs w:val="24"/>
          <w:lang w:val="en-US"/>
        </w:rPr>
        <w:t>人；姓名：</w:t>
      </w:r>
      <w:r>
        <w:rPr>
          <w:rFonts w:hAnsi="宋体" w:cs="宋体"/>
          <w:bCs/>
          <w:snapToGrid/>
          <w:szCs w:val="24"/>
          <w:u w:val="single"/>
          <w:lang w:val="en-US"/>
        </w:rPr>
        <w:t xml:space="preserve">     </w:t>
      </w:r>
      <w:r>
        <w:rPr>
          <w:rFonts w:hAnsi="宋体" w:cs="宋体"/>
          <w:bCs/>
          <w:snapToGrid/>
          <w:szCs w:val="24"/>
          <w:lang w:val="en-US"/>
        </w:rPr>
        <w:t xml:space="preserve"> </w:t>
      </w:r>
      <w:r>
        <w:rPr>
          <w:rFonts w:hint="eastAsia" w:hAnsi="宋体" w:cs="宋体"/>
          <w:bCs/>
          <w:snapToGrid/>
          <w:szCs w:val="24"/>
          <w:lang w:val="en-US"/>
        </w:rPr>
        <w:t>身份证号码：</w:t>
      </w:r>
      <w:r>
        <w:rPr>
          <w:rFonts w:hAnsi="宋体" w:cs="宋体"/>
          <w:bCs/>
          <w:snapToGrid/>
          <w:szCs w:val="24"/>
          <w:u w:val="single"/>
          <w:lang w:val="en-US"/>
        </w:rPr>
        <w:t xml:space="preserve">         </w:t>
      </w:r>
      <w:r>
        <w:rPr>
          <w:rFonts w:hint="eastAsia" w:hAnsi="宋体" w:cs="宋体"/>
          <w:bCs/>
          <w:snapToGrid/>
          <w:szCs w:val="24"/>
          <w:lang w:val="en-US"/>
        </w:rPr>
        <w:t>联系电话：</w:t>
      </w:r>
    </w:p>
    <w:p>
      <w:pPr>
        <w:pStyle w:val="962"/>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pPr>
        <w:spacing w:line="360" w:lineRule="auto"/>
        <w:ind w:firstLine="480" w:firstLineChars="200"/>
        <w:rPr>
          <w:rFonts w:hint="eastAsia" w:ascii="宋体" w:hAnsi="宋体" w:cs="宋体"/>
          <w:sz w:val="24"/>
          <w:u w:val="single"/>
        </w:rPr>
      </w:pPr>
      <w:bookmarkStart w:id="420" w:name="_Toc1386"/>
      <w:bookmarkStart w:id="421" w:name="_Toc21124"/>
      <w:bookmarkStart w:id="422" w:name="_Toc5635"/>
      <w:bookmarkStart w:id="423" w:name="_Toc13918"/>
      <w:bookmarkStart w:id="424"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360" w:lineRule="auto"/>
        <w:ind w:firstLine="482" w:firstLineChars="200"/>
        <w:outlineLvl w:val="0"/>
        <w:rPr>
          <w:rFonts w:hint="eastAsia" w:ascii="宋体" w:hAnsi="宋体"/>
          <w:b/>
          <w:sz w:val="24"/>
        </w:rPr>
      </w:pPr>
      <w:r>
        <w:rPr>
          <w:rFonts w:ascii="宋体" w:hAnsi="宋体"/>
          <w:b/>
          <w:sz w:val="24"/>
        </w:rPr>
        <w:t>1.3 价款</w:t>
      </w:r>
      <w:bookmarkEnd w:id="420"/>
      <w:bookmarkEnd w:id="421"/>
      <w:bookmarkEnd w:id="422"/>
      <w:bookmarkEnd w:id="423"/>
      <w:bookmarkEnd w:id="424"/>
    </w:p>
    <w:p>
      <w:pPr>
        <w:spacing w:line="360" w:lineRule="auto"/>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1.3.1</w:t>
      </w:r>
      <w:r>
        <w:rPr>
          <w:rFonts w:hint="eastAsia" w:ascii="宋体" w:hAnsi="宋体" w:cs="宋体"/>
          <w:sz w:val="24"/>
        </w:rPr>
        <w:t>条款规定的计价方式计价。</w:t>
      </w:r>
    </w:p>
    <w:p>
      <w:pPr>
        <w:spacing w:line="360" w:lineRule="auto"/>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360" w:lineRule="auto"/>
        <w:ind w:firstLine="480" w:firstLineChars="200"/>
        <w:rPr>
          <w:rFonts w:hint="eastAsia" w:ascii="宋体" w:hAnsi="宋体"/>
          <w:sz w:val="24"/>
          <w:u w:val="single"/>
        </w:rPr>
      </w:pPr>
      <w:r>
        <w:rPr>
          <w:rFonts w:ascii="宋体" w:hAnsi="宋体"/>
          <w:sz w:val="24"/>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360" w:lineRule="auto"/>
              <w:ind w:firstLine="485"/>
              <w:jc w:val="center"/>
              <w:rPr>
                <w:rFonts w:hint="eastAsia" w:hAnsi="宋体"/>
                <w:sz w:val="24"/>
                <w:szCs w:val="24"/>
              </w:rPr>
            </w:pPr>
            <w:r>
              <w:rPr>
                <w:rFonts w:hAnsi="宋体"/>
                <w:sz w:val="24"/>
                <w:szCs w:val="24"/>
              </w:rPr>
              <w:t>序号</w:t>
            </w:r>
          </w:p>
        </w:tc>
        <w:tc>
          <w:tcPr>
            <w:tcW w:w="3402" w:type="dxa"/>
            <w:vAlign w:val="center"/>
          </w:tcPr>
          <w:p>
            <w:pPr>
              <w:pStyle w:val="323"/>
              <w:spacing w:line="360" w:lineRule="auto"/>
              <w:ind w:firstLine="485"/>
              <w:jc w:val="center"/>
              <w:rPr>
                <w:rFonts w:hint="eastAsia" w:hAnsi="宋体"/>
                <w:sz w:val="24"/>
                <w:szCs w:val="24"/>
              </w:rPr>
            </w:pPr>
            <w:r>
              <w:rPr>
                <w:rFonts w:hint="eastAsia" w:hAnsi="宋体"/>
                <w:sz w:val="24"/>
                <w:szCs w:val="24"/>
              </w:rPr>
              <w:t>分项名称</w:t>
            </w:r>
          </w:p>
        </w:tc>
        <w:tc>
          <w:tcPr>
            <w:tcW w:w="2552" w:type="dxa"/>
            <w:vAlign w:val="center"/>
          </w:tcPr>
          <w:p>
            <w:pPr>
              <w:pStyle w:val="323"/>
              <w:spacing w:line="360" w:lineRule="auto"/>
              <w:ind w:firstLine="485"/>
              <w:jc w:val="center"/>
              <w:rPr>
                <w:rFonts w:hint="eastAsia"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360" w:lineRule="auto"/>
              <w:ind w:firstLine="485"/>
              <w:jc w:val="center"/>
              <w:rPr>
                <w:rFonts w:hint="eastAsia" w:hAnsi="宋体"/>
                <w:sz w:val="24"/>
                <w:szCs w:val="24"/>
              </w:rPr>
            </w:pPr>
          </w:p>
        </w:tc>
        <w:tc>
          <w:tcPr>
            <w:tcW w:w="3402" w:type="dxa"/>
            <w:vAlign w:val="center"/>
          </w:tcPr>
          <w:p>
            <w:pPr>
              <w:pStyle w:val="323"/>
              <w:spacing w:line="360" w:lineRule="auto"/>
              <w:ind w:firstLine="485"/>
              <w:jc w:val="center"/>
              <w:rPr>
                <w:rFonts w:hint="eastAsia" w:hAnsi="宋体"/>
                <w:sz w:val="24"/>
                <w:szCs w:val="24"/>
              </w:rPr>
            </w:pPr>
          </w:p>
        </w:tc>
        <w:tc>
          <w:tcPr>
            <w:tcW w:w="2552" w:type="dxa"/>
            <w:vAlign w:val="center"/>
          </w:tcPr>
          <w:p>
            <w:pPr>
              <w:pStyle w:val="323"/>
              <w:spacing w:line="360" w:lineRule="auto"/>
              <w:ind w:firstLine="485"/>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360" w:lineRule="auto"/>
              <w:ind w:firstLine="485"/>
              <w:jc w:val="center"/>
              <w:rPr>
                <w:rFonts w:hint="eastAsia" w:hAnsi="宋体"/>
                <w:sz w:val="24"/>
                <w:szCs w:val="24"/>
              </w:rPr>
            </w:pPr>
          </w:p>
        </w:tc>
        <w:tc>
          <w:tcPr>
            <w:tcW w:w="3402" w:type="dxa"/>
            <w:vAlign w:val="center"/>
          </w:tcPr>
          <w:p>
            <w:pPr>
              <w:pStyle w:val="323"/>
              <w:spacing w:line="360" w:lineRule="auto"/>
              <w:ind w:firstLine="485"/>
              <w:jc w:val="center"/>
              <w:rPr>
                <w:rFonts w:hint="eastAsia" w:hAnsi="宋体"/>
                <w:sz w:val="24"/>
                <w:szCs w:val="24"/>
              </w:rPr>
            </w:pPr>
          </w:p>
        </w:tc>
        <w:tc>
          <w:tcPr>
            <w:tcW w:w="2552" w:type="dxa"/>
            <w:vAlign w:val="center"/>
          </w:tcPr>
          <w:p>
            <w:pPr>
              <w:pStyle w:val="323"/>
              <w:spacing w:line="360" w:lineRule="auto"/>
              <w:ind w:firstLine="485"/>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360" w:lineRule="auto"/>
              <w:ind w:firstLine="485"/>
              <w:jc w:val="center"/>
              <w:rPr>
                <w:rFonts w:hint="eastAsia" w:hAnsi="宋体"/>
                <w:sz w:val="24"/>
                <w:szCs w:val="24"/>
              </w:rPr>
            </w:pPr>
          </w:p>
        </w:tc>
        <w:tc>
          <w:tcPr>
            <w:tcW w:w="3402" w:type="dxa"/>
            <w:vAlign w:val="center"/>
          </w:tcPr>
          <w:p>
            <w:pPr>
              <w:pStyle w:val="323"/>
              <w:spacing w:line="360" w:lineRule="auto"/>
              <w:ind w:firstLine="485"/>
              <w:jc w:val="center"/>
              <w:rPr>
                <w:rFonts w:hint="eastAsia" w:hAnsi="宋体"/>
                <w:sz w:val="24"/>
                <w:szCs w:val="24"/>
              </w:rPr>
            </w:pPr>
          </w:p>
        </w:tc>
        <w:tc>
          <w:tcPr>
            <w:tcW w:w="2552" w:type="dxa"/>
            <w:vAlign w:val="center"/>
          </w:tcPr>
          <w:p>
            <w:pPr>
              <w:pStyle w:val="323"/>
              <w:spacing w:line="360" w:lineRule="auto"/>
              <w:ind w:firstLine="485"/>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360" w:lineRule="auto"/>
              <w:ind w:firstLine="485"/>
              <w:jc w:val="center"/>
              <w:rPr>
                <w:rFonts w:hint="eastAsia" w:hAnsi="宋体"/>
                <w:sz w:val="24"/>
                <w:szCs w:val="24"/>
              </w:rPr>
            </w:pPr>
          </w:p>
        </w:tc>
        <w:tc>
          <w:tcPr>
            <w:tcW w:w="3402" w:type="dxa"/>
            <w:vAlign w:val="center"/>
          </w:tcPr>
          <w:p>
            <w:pPr>
              <w:pStyle w:val="323"/>
              <w:spacing w:line="360" w:lineRule="auto"/>
              <w:ind w:firstLine="485"/>
              <w:jc w:val="center"/>
              <w:rPr>
                <w:rFonts w:hint="eastAsia" w:hAnsi="宋体"/>
                <w:sz w:val="24"/>
                <w:szCs w:val="24"/>
              </w:rPr>
            </w:pPr>
          </w:p>
        </w:tc>
        <w:tc>
          <w:tcPr>
            <w:tcW w:w="2552" w:type="dxa"/>
            <w:vAlign w:val="center"/>
          </w:tcPr>
          <w:p>
            <w:pPr>
              <w:pStyle w:val="323"/>
              <w:spacing w:line="360" w:lineRule="auto"/>
              <w:ind w:firstLine="485"/>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3"/>
              <w:spacing w:line="360" w:lineRule="auto"/>
              <w:ind w:firstLine="485"/>
              <w:jc w:val="center"/>
              <w:rPr>
                <w:rFonts w:hint="eastAsia" w:hAnsi="宋体"/>
                <w:sz w:val="24"/>
                <w:szCs w:val="24"/>
              </w:rPr>
            </w:pPr>
            <w:r>
              <w:rPr>
                <w:rFonts w:hint="eastAsia" w:hAnsi="宋体"/>
                <w:sz w:val="24"/>
                <w:szCs w:val="24"/>
              </w:rPr>
              <w:t>总价</w:t>
            </w:r>
          </w:p>
        </w:tc>
        <w:tc>
          <w:tcPr>
            <w:tcW w:w="2552" w:type="dxa"/>
            <w:vAlign w:val="center"/>
          </w:tcPr>
          <w:p>
            <w:pPr>
              <w:pStyle w:val="323"/>
              <w:spacing w:line="360" w:lineRule="auto"/>
              <w:ind w:firstLine="485"/>
              <w:jc w:val="center"/>
              <w:rPr>
                <w:rFonts w:hint="eastAsia" w:hAnsi="宋体"/>
                <w:sz w:val="24"/>
                <w:szCs w:val="24"/>
              </w:rPr>
            </w:pPr>
          </w:p>
        </w:tc>
      </w:tr>
    </w:tbl>
    <w:p>
      <w:pPr>
        <w:spacing w:line="360" w:lineRule="auto"/>
        <w:ind w:firstLine="480" w:firstLineChars="200"/>
        <w:rPr>
          <w:rFonts w:hint="eastAsia" w:ascii="宋体" w:hAnsi="宋体"/>
          <w:sz w:val="24"/>
        </w:rPr>
      </w:pPr>
      <w:bookmarkStart w:id="425" w:name="_Toc26916"/>
      <w:bookmarkStart w:id="426" w:name="_Toc3654"/>
      <w:bookmarkStart w:id="427" w:name="_Toc30158"/>
      <w:bookmarkStart w:id="428" w:name="_Toc30506"/>
      <w:bookmarkStart w:id="429"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4"/>
        <w:ind w:left="0"/>
        <w:rPr>
          <w:rFonts w:hint="eastAsia"/>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25"/>
    <w:bookmarkEnd w:id="426"/>
    <w:bookmarkEnd w:id="427"/>
    <w:bookmarkEnd w:id="428"/>
    <w:bookmarkEnd w:id="429"/>
    <w:p>
      <w:pPr>
        <w:pStyle w:val="962"/>
        <w:spacing w:before="0" w:beforeAutospacing="0" w:after="0" w:afterAutospacing="0" w:line="360" w:lineRule="auto"/>
        <w:ind w:firstLine="480"/>
        <w:rPr>
          <w:rFonts w:hint="eastAsia"/>
          <w:b/>
        </w:rPr>
      </w:pPr>
      <w:bookmarkStart w:id="430" w:name="_Toc22618"/>
      <w:bookmarkStart w:id="431" w:name="_Toc1814"/>
      <w:bookmarkStart w:id="432" w:name="_Toc10340"/>
      <w:bookmarkStart w:id="433" w:name="_Toc3625"/>
      <w:bookmarkStart w:id="434" w:name="_Toc11108"/>
      <w:bookmarkStart w:id="435" w:name="_Toc31421"/>
      <w:bookmarkStart w:id="436" w:name="_Toc8772"/>
      <w:bookmarkStart w:id="437" w:name="_Toc4760"/>
      <w:r>
        <w:rPr>
          <w:rFonts w:hint="eastAsia"/>
          <w:b/>
        </w:rPr>
        <w:t>1.4履约保证金</w:t>
      </w:r>
    </w:p>
    <w:p>
      <w:pPr>
        <w:pStyle w:val="962"/>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u w:val="single"/>
          <w:lang w:val="en-US" w:eastAsia="zh-CN"/>
        </w:rPr>
        <w:t xml:space="preserve">否  </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lang w:val="en-US" w:eastAsia="zh-CN"/>
        </w:rPr>
        <w:t>1</w:t>
      </w:r>
      <w:r>
        <w:rPr>
          <w:rFonts w:hint="eastAsia" w:ascii="宋体" w:hAnsi="宋体" w:cs="宋体"/>
          <w:kern w:val="0"/>
          <w:sz w:val="24"/>
        </w:rPr>
        <w:t>%；</w:t>
      </w:r>
    </w:p>
    <w:p>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4"/>
        <w:tabs>
          <w:tab w:val="left" w:pos="0"/>
        </w:tabs>
        <w:ind w:left="0" w:firstLine="480" w:firstLineChars="200"/>
        <w:rPr>
          <w:rFonts w:hint="eastAsia"/>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5</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360" w:lineRule="auto"/>
        <w:ind w:firstLine="482" w:firstLineChars="200"/>
        <w:outlineLvl w:val="0"/>
        <w:rPr>
          <w:rFonts w:hint="eastAsia" w:ascii="宋体" w:hAnsi="宋体" w:cs="宋体"/>
          <w:b/>
          <w:sz w:val="24"/>
        </w:rPr>
      </w:pPr>
      <w:r>
        <w:rPr>
          <w:rFonts w:hint="eastAsia" w:ascii="宋体" w:hAnsi="宋体" w:cs="宋体"/>
          <w:b/>
          <w:sz w:val="24"/>
        </w:rPr>
        <w:t>1.5</w:t>
      </w:r>
      <w:bookmarkEnd w:id="430"/>
      <w:bookmarkEnd w:id="431"/>
      <w:bookmarkEnd w:id="432"/>
      <w:r>
        <w:rPr>
          <w:rFonts w:hint="eastAsia" w:ascii="宋体" w:hAnsi="宋体" w:cs="宋体"/>
          <w:b/>
          <w:sz w:val="24"/>
        </w:rPr>
        <w:t>预付款</w:t>
      </w:r>
    </w:p>
    <w:p>
      <w:pPr>
        <w:pStyle w:val="962"/>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360" w:lineRule="auto"/>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62"/>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2"/>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2"/>
        <w:spacing w:before="0" w:beforeAutospacing="0" w:after="0" w:afterAutospacing="0" w:line="360" w:lineRule="auto"/>
        <w:ind w:firstLine="480"/>
        <w:rPr>
          <w:rFonts w:hint="eastAsia"/>
          <w:b/>
          <w:bCs/>
        </w:rPr>
      </w:pPr>
      <w:r>
        <w:rPr>
          <w:rFonts w:hint="eastAsia"/>
          <w:b/>
          <w:bCs/>
        </w:rPr>
        <w:t>1.6资金支付</w:t>
      </w:r>
    </w:p>
    <w:p>
      <w:pPr>
        <w:pStyle w:val="962"/>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hint="eastAsia"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33"/>
      <w:bookmarkEnd w:id="434"/>
      <w:bookmarkEnd w:id="435"/>
      <w:bookmarkEnd w:id="436"/>
      <w:bookmarkEnd w:id="437"/>
    </w:p>
    <w:p>
      <w:pPr>
        <w:spacing w:line="360" w:lineRule="auto"/>
        <w:ind w:firstLine="480" w:firstLineChars="200"/>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360" w:lineRule="auto"/>
        <w:ind w:firstLine="480" w:firstLineChars="200"/>
        <w:outlineLvl w:val="0"/>
        <w:rPr>
          <w:rFonts w:hint="eastAsia" w:ascii="宋体" w:hAnsi="宋体"/>
          <w:bCs/>
          <w:sz w:val="24"/>
        </w:rPr>
      </w:pPr>
      <w:bookmarkStart w:id="438" w:name="_Toc5698"/>
      <w:bookmarkStart w:id="439" w:name="_Toc2375"/>
      <w:bookmarkStart w:id="440" w:name="_Toc8586"/>
      <w:bookmarkStart w:id="441" w:name="_Toc24662"/>
      <w:bookmarkStart w:id="442" w:name="_Toc3079"/>
      <w:r>
        <w:rPr>
          <w:rFonts w:hint="eastAsia" w:ascii="宋体" w:hAnsi="宋体"/>
          <w:bCs/>
          <w:sz w:val="24"/>
        </w:rPr>
        <w:t>1.7.4若服务</w:t>
      </w:r>
      <w:r>
        <w:rPr>
          <w:rFonts w:hint="eastAsia"/>
          <w:bCs/>
          <w:sz w:val="24"/>
        </w:rPr>
        <w:t>涉及货物的，则货物的：</w:t>
      </w:r>
    </w:p>
    <w:p>
      <w:pPr>
        <w:spacing w:line="360" w:lineRule="auto"/>
        <w:ind w:firstLine="480" w:firstLineChars="200"/>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hint="eastAsia" w:ascii="宋体" w:hAnsi="宋体"/>
          <w:sz w:val="24"/>
          <w:u w:val="single"/>
        </w:rPr>
      </w:pPr>
      <w:r>
        <w:rPr>
          <w:rFonts w:ascii="宋体" w:hAnsi="宋体"/>
          <w:b/>
          <w:sz w:val="24"/>
        </w:rPr>
        <w:t>1.</w:t>
      </w:r>
      <w:r>
        <w:rPr>
          <w:rFonts w:hint="eastAsia" w:ascii="宋体" w:hAnsi="宋体"/>
          <w:b/>
          <w:sz w:val="24"/>
        </w:rPr>
        <w:t>8违约责任</w:t>
      </w:r>
      <w:bookmarkEnd w:id="438"/>
      <w:bookmarkEnd w:id="439"/>
      <w:bookmarkEnd w:id="440"/>
      <w:bookmarkEnd w:id="441"/>
      <w:bookmarkEnd w:id="442"/>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4"/>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360" w:lineRule="auto"/>
        <w:ind w:firstLine="480" w:firstLineChars="200"/>
        <w:rPr>
          <w:rFonts w:hint="eastAsia" w:ascii="宋体" w:hAnsi="宋体" w:cs="宋体"/>
          <w:sz w:val="24"/>
        </w:rPr>
      </w:pPr>
      <w:bookmarkStart w:id="443" w:name="_Toc30329"/>
      <w:bookmarkStart w:id="444" w:name="_Toc9497"/>
      <w:bookmarkStart w:id="445" w:name="_Toc26807"/>
      <w:bookmarkStart w:id="446" w:name="_Toc32454"/>
      <w:bookmarkStart w:id="447"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firstLine="480" w:firstLineChars="200"/>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43"/>
    <w:bookmarkEnd w:id="444"/>
    <w:bookmarkEnd w:id="445"/>
    <w:bookmarkEnd w:id="446"/>
    <w:bookmarkEnd w:id="447"/>
    <w:p>
      <w:pPr>
        <w:spacing w:line="360" w:lineRule="auto"/>
        <w:ind w:firstLine="482" w:firstLineChars="200"/>
        <w:outlineLvl w:val="0"/>
        <w:rPr>
          <w:rFonts w:hint="eastAsia" w:ascii="宋体" w:hAnsi="宋体" w:cs="宋体"/>
          <w:b/>
          <w:sz w:val="24"/>
        </w:rPr>
      </w:pPr>
      <w:bookmarkStart w:id="448" w:name="_Toc16021"/>
      <w:bookmarkStart w:id="449" w:name="_Toc15583"/>
      <w:bookmarkStart w:id="450" w:name="_Toc28375"/>
      <w:r>
        <w:rPr>
          <w:rFonts w:hint="eastAsia" w:ascii="宋体" w:hAnsi="宋体" w:cs="宋体"/>
          <w:b/>
          <w:sz w:val="24"/>
        </w:rPr>
        <w:t>1.9合同争议的解决</w:t>
      </w:r>
      <w:bookmarkEnd w:id="448"/>
      <w:bookmarkEnd w:id="449"/>
      <w:bookmarkEnd w:id="450"/>
    </w:p>
    <w:p>
      <w:pPr>
        <w:spacing w:line="360" w:lineRule="auto"/>
        <w:ind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1.9.1 </w:t>
      </w:r>
      <w:r>
        <w:rPr>
          <w:rFonts w:hint="eastAsia" w:ascii="宋体" w:hAnsi="宋体" w:cs="宋体"/>
          <w:sz w:val="24"/>
        </w:rPr>
        <w:t>条款规定的方式解决：</w:t>
      </w:r>
    </w:p>
    <w:p>
      <w:pPr>
        <w:spacing w:line="360" w:lineRule="auto"/>
        <w:ind w:firstLine="600" w:firstLineChars="2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360" w:lineRule="auto"/>
        <w:ind w:firstLine="600" w:firstLineChars="2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360" w:lineRule="auto"/>
        <w:ind w:firstLine="482" w:firstLineChars="200"/>
        <w:outlineLvl w:val="0"/>
        <w:rPr>
          <w:rFonts w:hint="eastAsia" w:ascii="宋体" w:hAnsi="宋体" w:cs="宋体"/>
          <w:b/>
          <w:sz w:val="24"/>
        </w:rPr>
      </w:pPr>
      <w:bookmarkStart w:id="451" w:name="_Toc7245"/>
      <w:bookmarkStart w:id="452" w:name="_Toc15322"/>
      <w:bookmarkStart w:id="453" w:name="_Toc11173"/>
      <w:r>
        <w:rPr>
          <w:rFonts w:hint="eastAsia" w:ascii="宋体" w:hAnsi="宋体" w:cs="宋体"/>
          <w:b/>
          <w:sz w:val="24"/>
        </w:rPr>
        <w:t>2.0 合同生效</w:t>
      </w:r>
      <w:bookmarkEnd w:id="451"/>
      <w:bookmarkEnd w:id="452"/>
      <w:bookmarkEnd w:id="453"/>
    </w:p>
    <w:p>
      <w:pPr>
        <w:spacing w:line="360" w:lineRule="auto"/>
        <w:ind w:firstLine="480" w:firstLineChars="200"/>
        <w:rPr>
          <w:rFonts w:hint="eastAsia" w:ascii="宋体" w:hAnsi="宋体" w:cs="宋体"/>
          <w:b/>
          <w:sz w:val="24"/>
        </w:rPr>
      </w:pPr>
      <w:r>
        <w:rPr>
          <w:rFonts w:hint="eastAsia" w:ascii="宋体" w:hAnsi="宋体" w:cs="宋体"/>
          <w:sz w:val="24"/>
        </w:rPr>
        <w:t>本合同自双方当事人盖章签字时生效。</w:t>
      </w:r>
    </w:p>
    <w:p>
      <w:pPr>
        <w:autoSpaceDE w:val="0"/>
        <w:autoSpaceDN w:val="0"/>
        <w:spacing w:line="360" w:lineRule="auto"/>
        <w:rPr>
          <w:rFonts w:hint="eastAsia" w:ascii="宋体" w:hAnsi="宋体"/>
          <w:sz w:val="24"/>
          <w:lang w:val="zh-CN"/>
        </w:rPr>
      </w:pPr>
    </w:p>
    <w:p>
      <w:pPr>
        <w:autoSpaceDE w:val="0"/>
        <w:autoSpaceDN w:val="0"/>
        <w:spacing w:line="360" w:lineRule="auto"/>
        <w:ind w:firstLine="420"/>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360" w:lineRule="auto"/>
        <w:ind w:firstLine="420"/>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360" w:lineRule="auto"/>
        <w:rPr>
          <w:rFonts w:hint="eastAsia" w:ascii="宋体" w:hAnsi="宋体"/>
          <w:sz w:val="24"/>
          <w:lang w:val="zh-CN"/>
        </w:rPr>
      </w:pPr>
    </w:p>
    <w:p>
      <w:pPr>
        <w:autoSpaceDE w:val="0"/>
        <w:autoSpaceDN w:val="0"/>
        <w:spacing w:line="360" w:lineRule="auto"/>
        <w:ind w:firstLine="420"/>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360" w:lineRule="auto"/>
        <w:ind w:firstLine="420"/>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360" w:lineRule="auto"/>
        <w:ind w:firstLine="420"/>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360" w:lineRule="auto"/>
        <w:ind w:firstLine="420"/>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360" w:lineRule="auto"/>
        <w:ind w:firstLine="420"/>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360" w:lineRule="auto"/>
        <w:ind w:firstLine="420"/>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360" w:lineRule="auto"/>
        <w:ind w:firstLine="420"/>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360" w:lineRule="auto"/>
        <w:ind w:firstLine="420"/>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360" w:lineRule="auto"/>
        <w:ind w:firstLine="420"/>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360" w:lineRule="auto"/>
        <w:ind w:firstLine="420"/>
        <w:rPr>
          <w:rFonts w:hint="eastAsia"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360" w:lineRule="auto"/>
        <w:ind w:firstLine="420"/>
        <w:rPr>
          <w:rFonts w:hint="eastAsia"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360" w:lineRule="auto"/>
        <w:ind w:firstLine="420"/>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hint="eastAsia" w:ascii="宋体" w:hAnsi="宋体"/>
          <w:b/>
          <w:sz w:val="24"/>
        </w:rPr>
      </w:pPr>
    </w:p>
    <w:p>
      <w:pPr>
        <w:widowControl/>
        <w:adjustRightInd/>
        <w:jc w:val="left"/>
        <w:rPr>
          <w:rFonts w:hint="eastAsia" w:ascii="宋体" w:hAnsi="宋体"/>
          <w:b/>
          <w:sz w:val="24"/>
        </w:rPr>
      </w:pPr>
      <w:r>
        <w:rPr>
          <w:rFonts w:ascii="宋体" w:hAnsi="宋体"/>
          <w:b/>
        </w:rPr>
        <w:br w:type="page"/>
      </w:r>
    </w:p>
    <w:p>
      <w:pPr>
        <w:pStyle w:val="704"/>
        <w:spacing w:before="120" w:line="560" w:lineRule="exact"/>
        <w:ind w:firstLine="482"/>
        <w:jc w:val="center"/>
        <w:rPr>
          <w:rFonts w:hint="eastAsia"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360" w:lineRule="auto"/>
        <w:ind w:firstLine="482" w:firstLineChars="200"/>
        <w:outlineLvl w:val="0"/>
        <w:rPr>
          <w:rFonts w:hint="eastAsia" w:ascii="宋体" w:hAnsi="宋体"/>
          <w:b/>
          <w:sz w:val="24"/>
        </w:rPr>
      </w:pPr>
      <w:bookmarkStart w:id="454" w:name="_Toc19680"/>
      <w:bookmarkStart w:id="455" w:name="_Toc31297"/>
      <w:bookmarkStart w:id="456" w:name="_Toc5228"/>
      <w:bookmarkStart w:id="457" w:name="_Toc25079"/>
      <w:bookmarkStart w:id="458" w:name="_Toc14021"/>
      <w:r>
        <w:rPr>
          <w:rFonts w:ascii="宋体" w:hAnsi="宋体"/>
          <w:b/>
          <w:sz w:val="24"/>
        </w:rPr>
        <w:t>2.1 定义</w:t>
      </w:r>
      <w:bookmarkEnd w:id="454"/>
      <w:bookmarkEnd w:id="455"/>
      <w:bookmarkEnd w:id="456"/>
      <w:bookmarkEnd w:id="457"/>
      <w:bookmarkEnd w:id="458"/>
    </w:p>
    <w:p>
      <w:pPr>
        <w:spacing w:line="360" w:lineRule="auto"/>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360" w:lineRule="auto"/>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360" w:lineRule="auto"/>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360" w:lineRule="auto"/>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360" w:lineRule="auto"/>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360" w:lineRule="auto"/>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sz w:val="24"/>
        </w:rPr>
      </w:pPr>
      <w:r>
        <w:rPr>
          <w:rFonts w:ascii="宋体" w:hAnsi="宋体"/>
          <w:sz w:val="24"/>
        </w:rPr>
        <w:t>2.1.6 “现场”系指合同约定提供服务的地点。</w:t>
      </w:r>
    </w:p>
    <w:p>
      <w:pPr>
        <w:spacing w:line="360" w:lineRule="auto"/>
        <w:ind w:firstLine="482" w:firstLineChars="200"/>
        <w:outlineLvl w:val="0"/>
        <w:rPr>
          <w:rFonts w:hint="eastAsia" w:ascii="宋体" w:hAnsi="宋体"/>
          <w:b/>
          <w:sz w:val="24"/>
        </w:rPr>
      </w:pPr>
      <w:bookmarkStart w:id="459" w:name="_Toc19539"/>
      <w:bookmarkStart w:id="460" w:name="_Toc23289"/>
      <w:bookmarkStart w:id="461" w:name="_Toc16752"/>
      <w:bookmarkStart w:id="462" w:name="_Toc3769"/>
      <w:bookmarkStart w:id="463" w:name="_Toc31402"/>
      <w:r>
        <w:rPr>
          <w:rFonts w:ascii="宋体" w:hAnsi="宋体"/>
          <w:b/>
          <w:sz w:val="24"/>
        </w:rPr>
        <w:t>2.2 技术规范</w:t>
      </w:r>
      <w:bookmarkEnd w:id="459"/>
      <w:bookmarkEnd w:id="460"/>
      <w:bookmarkEnd w:id="461"/>
      <w:bookmarkEnd w:id="462"/>
      <w:bookmarkEnd w:id="463"/>
    </w:p>
    <w:p>
      <w:pPr>
        <w:spacing w:line="360" w:lineRule="auto"/>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360" w:lineRule="auto"/>
        <w:ind w:firstLine="482" w:firstLineChars="200"/>
        <w:outlineLvl w:val="0"/>
        <w:rPr>
          <w:rFonts w:hint="eastAsia" w:ascii="宋体" w:hAnsi="宋体"/>
          <w:b/>
          <w:sz w:val="24"/>
        </w:rPr>
      </w:pPr>
      <w:bookmarkStart w:id="464" w:name="_Toc4133"/>
      <w:bookmarkStart w:id="465" w:name="_Toc12412"/>
      <w:bookmarkStart w:id="466" w:name="_Toc27945"/>
      <w:bookmarkStart w:id="467" w:name="_Toc9161"/>
      <w:bookmarkStart w:id="468" w:name="_Toc13673"/>
      <w:r>
        <w:rPr>
          <w:rFonts w:ascii="宋体" w:hAnsi="宋体"/>
          <w:b/>
          <w:sz w:val="24"/>
        </w:rPr>
        <w:t>2.3 知识产权</w:t>
      </w:r>
      <w:bookmarkEnd w:id="464"/>
      <w:bookmarkEnd w:id="465"/>
      <w:bookmarkEnd w:id="466"/>
      <w:bookmarkEnd w:id="467"/>
      <w:bookmarkEnd w:id="468"/>
    </w:p>
    <w:p>
      <w:pPr>
        <w:spacing w:line="360" w:lineRule="auto"/>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360" w:lineRule="auto"/>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360" w:lineRule="auto"/>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pPr>
        <w:spacing w:line="360" w:lineRule="auto"/>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hint="eastAsia"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360" w:lineRule="auto"/>
        <w:ind w:firstLine="482" w:firstLineChars="200"/>
        <w:outlineLvl w:val="0"/>
        <w:rPr>
          <w:rFonts w:hint="eastAsia" w:ascii="宋体" w:hAnsi="宋体"/>
          <w:b/>
          <w:sz w:val="24"/>
        </w:rPr>
      </w:pPr>
      <w:bookmarkStart w:id="469" w:name="_Toc15447"/>
      <w:bookmarkStart w:id="470" w:name="_Toc26555"/>
      <w:bookmarkStart w:id="471" w:name="_Toc31233"/>
      <w:bookmarkStart w:id="472" w:name="_Toc32670"/>
      <w:bookmarkStart w:id="473" w:name="_Toc22011"/>
      <w:r>
        <w:rPr>
          <w:rFonts w:ascii="宋体" w:hAnsi="宋体"/>
          <w:b/>
          <w:sz w:val="24"/>
        </w:rPr>
        <w:t>2.5 结算方式和付款条件</w:t>
      </w:r>
      <w:bookmarkEnd w:id="469"/>
      <w:bookmarkEnd w:id="470"/>
      <w:bookmarkEnd w:id="471"/>
      <w:bookmarkEnd w:id="472"/>
      <w:bookmarkEnd w:id="473"/>
    </w:p>
    <w:p>
      <w:pPr>
        <w:spacing w:line="360" w:lineRule="auto"/>
        <w:ind w:firstLine="480" w:firstLineChars="200"/>
        <w:rPr>
          <w:rFonts w:hint="eastAsia"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360" w:lineRule="auto"/>
        <w:ind w:firstLine="482" w:firstLineChars="200"/>
        <w:outlineLvl w:val="0"/>
        <w:rPr>
          <w:rFonts w:hint="eastAsia" w:ascii="宋体" w:hAnsi="宋体"/>
          <w:b/>
          <w:sz w:val="24"/>
        </w:rPr>
      </w:pPr>
      <w:bookmarkStart w:id="474" w:name="_Toc13154"/>
      <w:bookmarkStart w:id="475" w:name="_Toc16163"/>
      <w:bookmarkStart w:id="476" w:name="_Toc18990"/>
      <w:bookmarkStart w:id="477" w:name="_Toc13467"/>
      <w:bookmarkStart w:id="478" w:name="_Toc30507"/>
      <w:r>
        <w:rPr>
          <w:rFonts w:ascii="宋体" w:hAnsi="宋体"/>
          <w:b/>
          <w:sz w:val="24"/>
        </w:rPr>
        <w:t>2.6 技术资料和保密义务</w:t>
      </w:r>
      <w:bookmarkEnd w:id="474"/>
      <w:bookmarkEnd w:id="475"/>
      <w:bookmarkEnd w:id="476"/>
      <w:bookmarkEnd w:id="477"/>
      <w:bookmarkEnd w:id="478"/>
    </w:p>
    <w:p>
      <w:pPr>
        <w:spacing w:line="360" w:lineRule="auto"/>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pPr>
        <w:spacing w:line="360" w:lineRule="auto"/>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360" w:lineRule="auto"/>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宋体" w:hAnsi="宋体"/>
          <w:b/>
          <w:sz w:val="24"/>
        </w:rPr>
      </w:pPr>
      <w:bookmarkStart w:id="479" w:name="_Toc19069"/>
      <w:r>
        <w:rPr>
          <w:rFonts w:ascii="宋体" w:hAnsi="宋体"/>
          <w:b/>
          <w:sz w:val="24"/>
        </w:rPr>
        <w:t xml:space="preserve">2.7 </w:t>
      </w:r>
      <w:r>
        <w:rPr>
          <w:rFonts w:hint="eastAsia" w:ascii="宋体" w:hAnsi="宋体"/>
          <w:b/>
          <w:sz w:val="24"/>
        </w:rPr>
        <w:t>质量保证</w:t>
      </w:r>
      <w:bookmarkEnd w:id="479"/>
    </w:p>
    <w:p>
      <w:pPr>
        <w:spacing w:line="360" w:lineRule="auto"/>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360" w:lineRule="auto"/>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宋体" w:hAnsi="宋体"/>
          <w:b/>
          <w:sz w:val="24"/>
        </w:rPr>
      </w:pPr>
      <w:bookmarkStart w:id="480" w:name="_Toc22267"/>
      <w:r>
        <w:rPr>
          <w:rFonts w:ascii="宋体" w:hAnsi="宋体"/>
          <w:b/>
          <w:sz w:val="24"/>
        </w:rPr>
        <w:t xml:space="preserve">2.8 </w:t>
      </w:r>
      <w:r>
        <w:rPr>
          <w:rFonts w:hint="eastAsia" w:ascii="宋体" w:hAnsi="宋体"/>
          <w:b/>
          <w:sz w:val="24"/>
        </w:rPr>
        <w:t>延迟履行</w:t>
      </w:r>
      <w:bookmarkEnd w:id="480"/>
    </w:p>
    <w:p>
      <w:pPr>
        <w:spacing w:line="360" w:lineRule="auto"/>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360" w:lineRule="auto"/>
        <w:ind w:firstLine="482" w:firstLineChars="200"/>
        <w:outlineLvl w:val="0"/>
        <w:rPr>
          <w:rFonts w:hint="eastAsia" w:ascii="宋体" w:hAnsi="宋体"/>
          <w:b/>
          <w:sz w:val="24"/>
        </w:rPr>
      </w:pPr>
      <w:bookmarkStart w:id="481" w:name="_Toc10611"/>
      <w:r>
        <w:rPr>
          <w:rFonts w:ascii="宋体" w:hAnsi="宋体"/>
          <w:b/>
          <w:sz w:val="24"/>
        </w:rPr>
        <w:t xml:space="preserve">2.9 </w:t>
      </w:r>
      <w:r>
        <w:rPr>
          <w:rFonts w:hint="eastAsia" w:ascii="宋体" w:hAnsi="宋体"/>
          <w:b/>
          <w:sz w:val="24"/>
        </w:rPr>
        <w:t>合同变更</w:t>
      </w:r>
      <w:bookmarkEnd w:id="481"/>
    </w:p>
    <w:p>
      <w:pPr>
        <w:spacing w:line="360" w:lineRule="auto"/>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hint="eastAsia" w:ascii="宋体" w:hAnsi="宋体"/>
          <w:b/>
          <w:sz w:val="24"/>
        </w:rPr>
      </w:pPr>
      <w:bookmarkStart w:id="482" w:name="_Toc42"/>
      <w:bookmarkStart w:id="483" w:name="_Toc23368"/>
      <w:bookmarkStart w:id="484" w:name="_Toc26689"/>
      <w:bookmarkStart w:id="485" w:name="_Toc21830"/>
      <w:bookmarkStart w:id="486" w:name="_Toc10663"/>
      <w:r>
        <w:rPr>
          <w:rFonts w:ascii="宋体" w:hAnsi="宋体"/>
          <w:b/>
          <w:sz w:val="24"/>
        </w:rPr>
        <w:t>2.10 合同转让和分包</w:t>
      </w:r>
      <w:bookmarkEnd w:id="482"/>
      <w:bookmarkEnd w:id="483"/>
      <w:bookmarkEnd w:id="484"/>
      <w:bookmarkEnd w:id="485"/>
      <w:bookmarkEnd w:id="486"/>
    </w:p>
    <w:p>
      <w:pPr>
        <w:spacing w:line="360" w:lineRule="auto"/>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360" w:lineRule="auto"/>
        <w:ind w:firstLine="482" w:firstLineChars="200"/>
        <w:outlineLvl w:val="0"/>
        <w:rPr>
          <w:rFonts w:hint="eastAsia" w:ascii="宋体" w:hAnsi="宋体"/>
          <w:b/>
          <w:sz w:val="24"/>
        </w:rPr>
      </w:pPr>
      <w:bookmarkStart w:id="487" w:name="_Toc32494"/>
      <w:bookmarkStart w:id="488" w:name="_Toc14371"/>
      <w:bookmarkStart w:id="489" w:name="_Toc25571"/>
      <w:bookmarkStart w:id="490" w:name="_Toc26633"/>
      <w:bookmarkStart w:id="491" w:name="_Toc4720"/>
      <w:r>
        <w:rPr>
          <w:rFonts w:ascii="宋体" w:hAnsi="宋体"/>
          <w:b/>
          <w:sz w:val="24"/>
        </w:rPr>
        <w:t>2.11 不可抗力</w:t>
      </w:r>
      <w:bookmarkEnd w:id="487"/>
      <w:bookmarkEnd w:id="488"/>
      <w:bookmarkEnd w:id="489"/>
      <w:bookmarkEnd w:id="490"/>
      <w:bookmarkEnd w:id="491"/>
    </w:p>
    <w:p>
      <w:pPr>
        <w:spacing w:line="360" w:lineRule="auto"/>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360" w:lineRule="auto"/>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hint="eastAsia" w:ascii="宋体" w:hAnsi="宋体"/>
          <w:b/>
          <w:sz w:val="24"/>
        </w:rPr>
      </w:pPr>
      <w:bookmarkStart w:id="492" w:name="_Toc24465"/>
      <w:bookmarkStart w:id="493" w:name="_Toc23854"/>
      <w:bookmarkStart w:id="494" w:name="_Toc3638"/>
      <w:bookmarkStart w:id="495" w:name="_Toc25783"/>
      <w:bookmarkStart w:id="496" w:name="_Toc14115"/>
      <w:r>
        <w:rPr>
          <w:rFonts w:ascii="宋体" w:hAnsi="宋体"/>
          <w:b/>
          <w:sz w:val="24"/>
        </w:rPr>
        <w:t>2.12 税费</w:t>
      </w:r>
      <w:bookmarkEnd w:id="492"/>
      <w:bookmarkEnd w:id="493"/>
      <w:bookmarkEnd w:id="494"/>
      <w:bookmarkEnd w:id="495"/>
      <w:bookmarkEnd w:id="496"/>
    </w:p>
    <w:p>
      <w:pPr>
        <w:spacing w:line="360" w:lineRule="auto"/>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360" w:lineRule="auto"/>
        <w:ind w:firstLine="482" w:firstLineChars="200"/>
        <w:outlineLvl w:val="0"/>
        <w:rPr>
          <w:rFonts w:hint="eastAsia" w:ascii="宋体" w:hAnsi="宋体"/>
          <w:b/>
          <w:sz w:val="24"/>
        </w:rPr>
      </w:pPr>
      <w:bookmarkStart w:id="497" w:name="_Toc7315"/>
      <w:bookmarkStart w:id="498" w:name="_Toc26883"/>
      <w:bookmarkStart w:id="499" w:name="_Toc14814"/>
      <w:bookmarkStart w:id="500" w:name="_Toc30105"/>
      <w:bookmarkStart w:id="501" w:name="_Toc25525"/>
      <w:r>
        <w:rPr>
          <w:rFonts w:ascii="宋体" w:hAnsi="宋体"/>
          <w:b/>
          <w:sz w:val="24"/>
        </w:rPr>
        <w:t>2.13 乙方破产</w:t>
      </w:r>
      <w:bookmarkEnd w:id="497"/>
      <w:bookmarkEnd w:id="498"/>
      <w:bookmarkEnd w:id="499"/>
      <w:bookmarkEnd w:id="500"/>
      <w:bookmarkEnd w:id="501"/>
    </w:p>
    <w:p>
      <w:pPr>
        <w:spacing w:line="360" w:lineRule="auto"/>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360" w:lineRule="auto"/>
        <w:ind w:firstLine="482" w:firstLineChars="200"/>
        <w:outlineLvl w:val="0"/>
        <w:rPr>
          <w:rFonts w:hint="eastAsia" w:ascii="宋体" w:hAnsi="宋体"/>
          <w:b/>
          <w:sz w:val="24"/>
        </w:rPr>
      </w:pPr>
      <w:bookmarkStart w:id="502" w:name="_Toc2016"/>
      <w:bookmarkStart w:id="503" w:name="_Toc1123"/>
      <w:bookmarkStart w:id="504" w:name="_Toc23323"/>
      <w:r>
        <w:rPr>
          <w:rFonts w:ascii="宋体" w:hAnsi="宋体"/>
          <w:b/>
          <w:sz w:val="24"/>
        </w:rPr>
        <w:t>2.14 合同中止、终止</w:t>
      </w:r>
      <w:bookmarkEnd w:id="502"/>
      <w:bookmarkEnd w:id="503"/>
      <w:bookmarkEnd w:id="504"/>
    </w:p>
    <w:p>
      <w:pPr>
        <w:spacing w:line="360" w:lineRule="auto"/>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360" w:lineRule="auto"/>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宋体" w:hAnsi="宋体"/>
          <w:b/>
          <w:sz w:val="24"/>
        </w:rPr>
      </w:pPr>
      <w:bookmarkStart w:id="505" w:name="_Toc14525"/>
      <w:bookmarkStart w:id="506" w:name="_Toc1969"/>
      <w:bookmarkStart w:id="507" w:name="_Toc17363"/>
      <w:r>
        <w:rPr>
          <w:rFonts w:ascii="宋体" w:hAnsi="宋体"/>
          <w:b/>
          <w:sz w:val="24"/>
        </w:rPr>
        <w:t>2.15 检验和验收</w:t>
      </w:r>
      <w:bookmarkEnd w:id="505"/>
      <w:bookmarkEnd w:id="506"/>
      <w:bookmarkEnd w:id="507"/>
    </w:p>
    <w:p>
      <w:pPr>
        <w:tabs>
          <w:tab w:val="left" w:pos="360"/>
          <w:tab w:val="left" w:pos="540"/>
          <w:tab w:val="left" w:pos="1080"/>
        </w:tabs>
        <w:spacing w:line="360" w:lineRule="auto"/>
        <w:ind w:firstLine="480" w:firstLineChars="200"/>
        <w:rPr>
          <w:rFonts w:hint="eastAsia" w:ascii="宋体" w:hAnsi="宋体"/>
          <w:sz w:val="24"/>
        </w:rPr>
      </w:pPr>
      <w:r>
        <w:rPr>
          <w:rFonts w:ascii="宋体" w:hAnsi="宋体"/>
          <w:sz w:val="24"/>
        </w:rPr>
        <w:t>2.15.1</w:t>
      </w:r>
      <w:r>
        <w:rPr>
          <w:rFonts w:hint="eastAsia" w:ascii="宋体" w:hAnsi="宋体"/>
          <w:sz w:val="24"/>
        </w:rPr>
        <w:t xml:space="preserve"> 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p>
    <w:p>
      <w:pPr>
        <w:tabs>
          <w:tab w:val="left" w:pos="360"/>
          <w:tab w:val="left" w:pos="540"/>
          <w:tab w:val="left" w:pos="1080"/>
        </w:tabs>
        <w:spacing w:line="360" w:lineRule="auto"/>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hint="eastAsia"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360" w:lineRule="auto"/>
        <w:ind w:firstLine="482" w:firstLineChars="200"/>
        <w:outlineLvl w:val="0"/>
        <w:rPr>
          <w:rFonts w:hint="eastAsia" w:ascii="宋体" w:hAnsi="宋体"/>
          <w:b/>
          <w:sz w:val="24"/>
        </w:rPr>
      </w:pPr>
      <w:bookmarkStart w:id="508" w:name="_Toc25198"/>
      <w:bookmarkStart w:id="509" w:name="_Toc9808"/>
      <w:bookmarkStart w:id="510" w:name="_Toc31892"/>
      <w:bookmarkStart w:id="511" w:name="_Toc12666"/>
      <w:bookmarkStart w:id="512" w:name="_Toc2308"/>
      <w:r>
        <w:rPr>
          <w:rFonts w:ascii="宋体" w:hAnsi="宋体"/>
          <w:b/>
          <w:sz w:val="24"/>
        </w:rPr>
        <w:t>2.16 通知和送达</w:t>
      </w:r>
      <w:bookmarkEnd w:id="508"/>
      <w:bookmarkEnd w:id="509"/>
      <w:bookmarkEnd w:id="510"/>
      <w:bookmarkEnd w:id="511"/>
      <w:bookmarkEnd w:id="512"/>
    </w:p>
    <w:p>
      <w:pPr>
        <w:spacing w:line="360" w:lineRule="auto"/>
        <w:ind w:firstLine="480" w:firstLineChars="200"/>
        <w:rPr>
          <w:rFonts w:hint="eastAsia" w:ascii="宋体" w:hAnsi="宋体"/>
          <w:sz w:val="24"/>
        </w:rPr>
      </w:pPr>
      <w:bookmarkStart w:id="513" w:name="_Toc27674"/>
      <w:bookmarkStart w:id="514"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hint="eastAsia"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13"/>
      <w:bookmarkEnd w:id="514"/>
    </w:p>
    <w:p>
      <w:pPr>
        <w:spacing w:line="360" w:lineRule="auto"/>
        <w:ind w:firstLine="482" w:firstLineChars="200"/>
        <w:outlineLvl w:val="0"/>
        <w:rPr>
          <w:rFonts w:hint="eastAsia" w:ascii="宋体" w:hAnsi="宋体"/>
          <w:b/>
          <w:sz w:val="24"/>
        </w:rPr>
      </w:pPr>
      <w:bookmarkStart w:id="515" w:name="_Toc5063"/>
      <w:bookmarkStart w:id="516" w:name="_Toc20808"/>
      <w:bookmarkStart w:id="517" w:name="_Toc12254"/>
      <w:bookmarkStart w:id="518" w:name="_Toc27644"/>
      <w:bookmarkStart w:id="519"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15"/>
      <w:bookmarkEnd w:id="516"/>
      <w:bookmarkEnd w:id="517"/>
      <w:bookmarkEnd w:id="518"/>
      <w:bookmarkEnd w:id="519"/>
    </w:p>
    <w:p>
      <w:pPr>
        <w:spacing w:line="360" w:lineRule="auto"/>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360" w:lineRule="auto"/>
        <w:ind w:firstLine="482" w:firstLineChars="200"/>
        <w:outlineLvl w:val="0"/>
        <w:rPr>
          <w:rFonts w:hint="eastAsia" w:ascii="宋体" w:hAnsi="宋体" w:cs="宋体"/>
          <w:b/>
          <w:sz w:val="24"/>
        </w:rPr>
      </w:pPr>
      <w:bookmarkStart w:id="520" w:name="_Toc4355"/>
      <w:bookmarkStart w:id="521" w:name="_Toc18540"/>
      <w:bookmarkStart w:id="522" w:name="_Toc30599"/>
      <w:r>
        <w:rPr>
          <w:rFonts w:hint="eastAsia" w:ascii="宋体" w:hAnsi="宋体" w:cs="宋体"/>
          <w:b/>
          <w:sz w:val="24"/>
        </w:rPr>
        <w:t>2.18 计量单位</w:t>
      </w:r>
      <w:bookmarkEnd w:id="520"/>
      <w:bookmarkEnd w:id="521"/>
      <w:bookmarkEnd w:id="522"/>
    </w:p>
    <w:p>
      <w:pPr>
        <w:spacing w:line="360" w:lineRule="auto"/>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pPr>
        <w:spacing w:line="360" w:lineRule="auto"/>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360" w:lineRule="auto"/>
        <w:ind w:firstLine="480" w:firstLineChars="200"/>
        <w:rPr>
          <w:rFonts w:hint="eastAsia"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pStyle w:val="2"/>
        <w:ind w:firstLine="482"/>
        <w:rPr>
          <w:rFonts w:hint="eastAsia" w:ascii="宋体" w:hAnsi="宋体" w:eastAsia="宋体"/>
          <w:b/>
          <w:sz w:val="24"/>
        </w:rPr>
      </w:pPr>
      <w:r>
        <w:rPr>
          <w:rFonts w:hint="eastAsia" w:ascii="宋体" w:hAnsi="宋体" w:eastAsia="宋体"/>
          <w:b/>
          <w:sz w:val="24"/>
        </w:rPr>
        <w:t>2.20 合同附件</w:t>
      </w:r>
    </w:p>
    <w:p>
      <w:pPr>
        <w:pStyle w:val="2"/>
        <w:ind w:firstLine="482"/>
        <w:rPr>
          <w:rFonts w:hint="eastAsia" w:ascii="宋体" w:hAnsi="宋体" w:eastAsia="宋体"/>
          <w:b/>
          <w:sz w:val="24"/>
        </w:rPr>
      </w:pPr>
      <w:r>
        <w:rPr>
          <w:rFonts w:hint="eastAsia" w:ascii="宋体" w:hAnsi="宋体" w:eastAsia="宋体"/>
          <w:b/>
          <w:sz w:val="24"/>
        </w:rPr>
        <w:t>合同附件1   报价明细清单</w:t>
      </w:r>
    </w:p>
    <w:p>
      <w:pPr>
        <w:pStyle w:val="2"/>
        <w:ind w:firstLine="482"/>
        <w:rPr>
          <w:rFonts w:hint="eastAsia" w:ascii="宋体" w:hAnsi="宋体" w:eastAsia="宋体"/>
          <w:b/>
          <w:sz w:val="24"/>
        </w:rPr>
      </w:pPr>
      <w:r>
        <w:rPr>
          <w:rFonts w:hint="eastAsia" w:ascii="宋体" w:hAnsi="宋体" w:eastAsia="宋体"/>
          <w:b/>
          <w:sz w:val="24"/>
        </w:rPr>
        <w:t>合同附件2   保密协议</w:t>
      </w:r>
    </w:p>
    <w:p>
      <w:pPr>
        <w:spacing w:line="360" w:lineRule="auto"/>
        <w:jc w:val="center"/>
        <w:outlineLvl w:val="0"/>
        <w:rPr>
          <w:rFonts w:hint="eastAsia" w:ascii="宋体" w:hAnsi="宋体" w:cs="宋体"/>
          <w:b/>
          <w:sz w:val="24"/>
        </w:rPr>
      </w:pPr>
      <w:r>
        <w:rPr>
          <w:rFonts w:hint="eastAsia" w:ascii="宋体" w:hAnsi="宋体" w:cs="宋体"/>
          <w:kern w:val="0"/>
        </w:rPr>
        <w:br w:type="page"/>
      </w:r>
      <w:bookmarkStart w:id="523" w:name="_Toc331685784"/>
      <w:r>
        <w:rPr>
          <w:rFonts w:hint="eastAsia" w:ascii="宋体" w:hAnsi="宋体" w:cs="宋体"/>
          <w:b/>
          <w:sz w:val="24"/>
        </w:rPr>
        <w:t xml:space="preserve"> </w:t>
      </w:r>
      <w:bookmarkEnd w:id="523"/>
      <w:r>
        <w:rPr>
          <w:rFonts w:hint="eastAsia" w:ascii="宋体" w:hAnsi="宋体" w:cs="宋体"/>
          <w:b/>
          <w:sz w:val="24"/>
        </w:rPr>
        <w:t>第三部分  合同专用条款</w:t>
      </w:r>
    </w:p>
    <w:p>
      <w:pPr>
        <w:spacing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51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3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214" w:type="dxa"/>
          </w:tcPr>
          <w:p>
            <w:pPr>
              <w:adjustRightInd/>
              <w:spacing w:line="460" w:lineRule="exact"/>
              <w:jc w:val="center"/>
              <w:rPr>
                <w:rFonts w:hint="eastAsia" w:ascii="宋体" w:hAnsi="宋体" w:cs="宋体"/>
                <w:b/>
                <w:bCs/>
                <w:kern w:val="0"/>
                <w:sz w:val="24"/>
              </w:rPr>
            </w:pPr>
            <w:r>
              <w:rPr>
                <w:rFonts w:hint="eastAsia" w:ascii="宋体" w:hAnsi="宋体" w:cs="宋体"/>
                <w:b/>
                <w:bCs/>
                <w:kern w:val="0"/>
                <w:sz w:val="24"/>
              </w:rPr>
              <w:t>条款号</w:t>
            </w:r>
          </w:p>
        </w:tc>
        <w:tc>
          <w:tcPr>
            <w:tcW w:w="8300" w:type="dxa"/>
          </w:tcPr>
          <w:p>
            <w:pPr>
              <w:adjustRightInd/>
              <w:spacing w:line="460" w:lineRule="exact"/>
              <w:jc w:val="center"/>
              <w:rPr>
                <w:rFonts w:hint="eastAsia" w:ascii="宋体" w:hAnsi="宋体" w:cs="宋体"/>
                <w:b/>
                <w:bCs/>
                <w:kern w:val="0"/>
                <w:sz w:val="24"/>
              </w:rPr>
            </w:pPr>
            <w:r>
              <w:rPr>
                <w:rFonts w:hint="eastAsia" w:ascii="宋体" w:hAnsi="宋体" w:cs="宋体"/>
                <w:b/>
                <w:bCs/>
                <w:kern w:val="0"/>
                <w:sz w:val="24"/>
              </w:rPr>
              <w:t>约定内容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adjustRightInd/>
              <w:spacing w:line="460" w:lineRule="exact"/>
              <w:jc w:val="center"/>
              <w:rPr>
                <w:rFonts w:hint="eastAsia" w:ascii="宋体" w:hAnsi="宋体" w:cs="宋体"/>
                <w:kern w:val="0"/>
                <w:sz w:val="24"/>
              </w:rPr>
            </w:pPr>
            <w:r>
              <w:rPr>
                <w:rFonts w:ascii="宋体" w:hAnsi="宋体" w:cs="宋体"/>
                <w:kern w:val="0"/>
                <w:sz w:val="24"/>
              </w:rPr>
              <w:t>1.3.2</w:t>
            </w:r>
          </w:p>
        </w:tc>
        <w:tc>
          <w:tcPr>
            <w:tcW w:w="8300" w:type="dxa"/>
            <w:vAlign w:val="center"/>
          </w:tcPr>
          <w:p>
            <w:pPr>
              <w:adjustRightInd/>
              <w:spacing w:line="460" w:lineRule="exact"/>
              <w:rPr>
                <w:rFonts w:hint="eastAsia" w:ascii="宋体" w:hAnsi="宋体" w:cs="宋体"/>
                <w:kern w:val="0"/>
                <w:sz w:val="24"/>
              </w:rPr>
            </w:pPr>
            <w:r>
              <w:rPr>
                <w:rFonts w:hint="eastAsia" w:ascii="宋体" w:hAnsi="宋体" w:cs="宋体"/>
                <w:kern w:val="0"/>
                <w:sz w:val="24"/>
              </w:rPr>
              <w:t>单价合同</w:t>
            </w:r>
            <w:r>
              <w:rPr>
                <w:rFonts w:hint="eastAsia" w:ascii="宋体" w:hAnsi="宋体" w:cs="宋体"/>
                <w:kern w:val="0"/>
                <w:sz w:val="24"/>
                <w:lang w:val="zh-TW" w:eastAsia="zh-TW"/>
              </w:rPr>
              <w:t>服务工作量的计量方式</w:t>
            </w:r>
            <w:r>
              <w:rPr>
                <w:rFonts w:hint="eastAsia" w:ascii="宋体" w:hAnsi="宋体" w:cs="宋体"/>
                <w:kern w:val="0"/>
                <w:sz w:val="24"/>
                <w:lang w:val="zh-TW"/>
              </w:rPr>
              <w:t>：</w:t>
            </w:r>
            <w:r>
              <w:rPr>
                <w:rFonts w:ascii="宋体" w:hAnsi="宋体" w:cs="宋体"/>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adjustRightInd/>
              <w:spacing w:line="460" w:lineRule="exact"/>
              <w:jc w:val="center"/>
              <w:rPr>
                <w:rFonts w:hint="eastAsia" w:ascii="宋体" w:hAnsi="宋体" w:cs="宋体"/>
                <w:kern w:val="0"/>
                <w:sz w:val="24"/>
              </w:rPr>
            </w:pPr>
            <w:r>
              <w:rPr>
                <w:rFonts w:ascii="宋体" w:hAnsi="宋体" w:cs="宋体"/>
                <w:kern w:val="0"/>
                <w:sz w:val="24"/>
              </w:rPr>
              <w:t>1.4.2</w:t>
            </w:r>
          </w:p>
        </w:tc>
        <w:tc>
          <w:tcPr>
            <w:tcW w:w="8300" w:type="dxa"/>
            <w:vAlign w:val="center"/>
          </w:tcPr>
          <w:p>
            <w:pPr>
              <w:adjustRightInd/>
              <w:spacing w:line="460" w:lineRule="exact"/>
              <w:rPr>
                <w:rFonts w:hint="default" w:ascii="宋体" w:hAnsi="宋体" w:eastAsia="宋体" w:cs="宋体"/>
                <w:kern w:val="0"/>
                <w:sz w:val="24"/>
                <w:lang w:val="en-US" w:eastAsia="zh-CN"/>
              </w:rPr>
            </w:pPr>
            <w:r>
              <w:rPr>
                <w:rFonts w:hint="eastAsia" w:ascii="宋体" w:hAnsi="宋体" w:cs="宋体"/>
                <w:kern w:val="0"/>
                <w:sz w:val="24"/>
                <w:lang w:val="en-US" w:eastAsia="zh-CN"/>
              </w:rPr>
              <w:t>本项目不需要缴纳履约保证金。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adjustRightInd/>
              <w:spacing w:line="460" w:lineRule="exact"/>
              <w:jc w:val="center"/>
              <w:rPr>
                <w:rFonts w:hint="eastAsia" w:ascii="宋体" w:hAnsi="宋体" w:cs="宋体"/>
                <w:kern w:val="0"/>
                <w:sz w:val="24"/>
              </w:rPr>
            </w:pPr>
            <w:r>
              <w:rPr>
                <w:rFonts w:ascii="宋体" w:hAnsi="宋体" w:cs="宋体"/>
                <w:kern w:val="0"/>
                <w:sz w:val="24"/>
              </w:rPr>
              <w:t>1.5.1</w:t>
            </w:r>
          </w:p>
        </w:tc>
        <w:tc>
          <w:tcPr>
            <w:tcW w:w="8300" w:type="dxa"/>
            <w:vAlign w:val="center"/>
          </w:tcPr>
          <w:p>
            <w:pPr>
              <w:adjustRightInd/>
              <w:spacing w:line="460" w:lineRule="exact"/>
              <w:rPr>
                <w:rFonts w:hint="eastAsia" w:ascii="宋体" w:hAnsi="宋体" w:cs="宋体"/>
                <w:kern w:val="0"/>
                <w:sz w:val="24"/>
                <w:lang w:val="zh-TW"/>
              </w:rPr>
            </w:pPr>
            <w:r>
              <w:rPr>
                <w:rFonts w:hint="eastAsia" w:ascii="宋体" w:hAnsi="宋体" w:cs="仿宋"/>
                <w:color w:val="auto"/>
                <w:sz w:val="24"/>
                <w:highlight w:val="none"/>
                <w:lang w:val="en"/>
              </w:rPr>
              <w:t>合同签订且采购人收到供应商开具的等额发票后</w:t>
            </w:r>
            <w:r>
              <w:rPr>
                <w:rFonts w:hint="eastAsia" w:ascii="宋体" w:hAnsi="宋体" w:cs="仿宋"/>
                <w:color w:val="auto"/>
                <w:sz w:val="24"/>
                <w:highlight w:val="none"/>
                <w:lang w:val="en-US" w:eastAsia="zh-CN"/>
              </w:rPr>
              <w:t>10</w:t>
            </w:r>
            <w:r>
              <w:rPr>
                <w:rFonts w:hint="eastAsia" w:ascii="宋体" w:hAnsi="宋体" w:cs="仿宋"/>
                <w:color w:val="auto"/>
                <w:sz w:val="24"/>
                <w:highlight w:val="none"/>
                <w:lang w:val="en"/>
              </w:rPr>
              <w:t>个工作日内，支付</w:t>
            </w:r>
            <w:r>
              <w:rPr>
                <w:rFonts w:hint="eastAsia" w:ascii="宋体" w:hAnsi="宋体" w:cs="仿宋"/>
                <w:color w:val="auto"/>
                <w:sz w:val="24"/>
                <w:highlight w:val="none"/>
                <w:lang w:val="en-US" w:eastAsia="zh-CN"/>
              </w:rPr>
              <w:t>合同金额的40%</w:t>
            </w:r>
            <w:r>
              <w:rPr>
                <w:rFonts w:hint="eastAsia" w:ascii="宋体" w:hAnsi="宋体" w:cs="仿宋"/>
                <w:color w:val="auto"/>
                <w:sz w:val="24"/>
                <w:highlight w:val="none"/>
                <w:lang w:val="en"/>
              </w:rPr>
              <w:t>作为项目启动资金；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adjustRightInd/>
              <w:spacing w:line="460" w:lineRule="exact"/>
              <w:jc w:val="center"/>
              <w:rPr>
                <w:rFonts w:hint="eastAsia" w:ascii="宋体" w:hAnsi="宋体" w:cs="宋体"/>
                <w:kern w:val="0"/>
                <w:sz w:val="24"/>
              </w:rPr>
            </w:pPr>
            <w:r>
              <w:rPr>
                <w:rFonts w:ascii="宋体" w:hAnsi="宋体" w:cs="宋体"/>
                <w:kern w:val="0"/>
                <w:sz w:val="24"/>
              </w:rPr>
              <w:t>1.5.2</w:t>
            </w:r>
          </w:p>
        </w:tc>
        <w:tc>
          <w:tcPr>
            <w:tcW w:w="8300" w:type="dxa"/>
            <w:vAlign w:val="center"/>
          </w:tcPr>
          <w:p>
            <w:pPr>
              <w:adjustRightInd/>
              <w:spacing w:line="460" w:lineRule="exact"/>
              <w:rPr>
                <w:rFonts w:hint="eastAsia" w:ascii="宋体" w:hAnsi="宋体" w:cs="宋体"/>
                <w:kern w:val="0"/>
                <w:sz w:val="24"/>
              </w:rPr>
            </w:pPr>
            <w:r>
              <w:rPr>
                <w:rFonts w:hint="eastAsia" w:ascii="宋体" w:hAnsi="宋体" w:cs="宋体"/>
                <w:kern w:val="0"/>
                <w:sz w:val="24"/>
              </w:rPr>
              <w:t>不扣回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adjustRightInd/>
              <w:spacing w:line="460" w:lineRule="exact"/>
              <w:jc w:val="center"/>
              <w:rPr>
                <w:rFonts w:hint="eastAsia" w:ascii="宋体" w:hAnsi="宋体" w:cs="宋体"/>
                <w:kern w:val="0"/>
                <w:sz w:val="24"/>
              </w:rPr>
            </w:pPr>
            <w:r>
              <w:rPr>
                <w:rFonts w:ascii="宋体" w:hAnsi="宋体" w:cs="宋体"/>
                <w:kern w:val="0"/>
                <w:sz w:val="24"/>
              </w:rPr>
              <w:t>1.5.3</w:t>
            </w:r>
          </w:p>
        </w:tc>
        <w:tc>
          <w:tcPr>
            <w:tcW w:w="8300" w:type="dxa"/>
            <w:vAlign w:val="center"/>
          </w:tcPr>
          <w:p>
            <w:pPr>
              <w:adjustRightInd/>
              <w:spacing w:line="460" w:lineRule="exact"/>
              <w:rPr>
                <w:rFonts w:hint="eastAsia" w:ascii="宋体" w:hAnsi="宋体" w:cs="宋体"/>
                <w:kern w:val="0"/>
                <w:sz w:val="24"/>
              </w:rPr>
            </w:pPr>
            <w:r>
              <w:rPr>
                <w:rFonts w:hint="eastAsia" w:ascii="宋体" w:hAnsi="宋体" w:cs="宋体"/>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adjustRightInd/>
              <w:spacing w:line="460" w:lineRule="exact"/>
              <w:jc w:val="center"/>
              <w:rPr>
                <w:rFonts w:hint="eastAsia" w:ascii="宋体" w:hAnsi="宋体" w:cs="宋体"/>
                <w:kern w:val="0"/>
                <w:sz w:val="24"/>
              </w:rPr>
            </w:pPr>
            <w:r>
              <w:rPr>
                <w:rFonts w:ascii="宋体" w:hAnsi="宋体" w:cs="宋体"/>
                <w:kern w:val="0"/>
                <w:sz w:val="24"/>
              </w:rPr>
              <w:t>1.6.2</w:t>
            </w:r>
          </w:p>
        </w:tc>
        <w:tc>
          <w:tcPr>
            <w:tcW w:w="8300" w:type="dxa"/>
            <w:vAlign w:val="center"/>
          </w:tcPr>
          <w:p>
            <w:pPr>
              <w:spacing w:line="360" w:lineRule="auto"/>
              <w:ind w:firstLine="0" w:firstLineChars="0"/>
              <w:rPr>
                <w:rFonts w:hint="eastAsia" w:ascii="宋体" w:hAnsi="宋体" w:cs="仿宋"/>
                <w:color w:val="auto"/>
                <w:sz w:val="24"/>
                <w:highlight w:val="none"/>
                <w:lang w:val="en-US" w:eastAsia="zh-CN"/>
              </w:rPr>
            </w:pPr>
            <w:r>
              <w:rPr>
                <w:rFonts w:hint="eastAsia" w:ascii="宋体" w:hAnsi="宋体" w:cs="仿宋"/>
                <w:color w:val="auto"/>
                <w:sz w:val="24"/>
                <w:highlight w:val="none"/>
                <w:lang w:val="en"/>
              </w:rPr>
              <w:t>第一期付款：</w:t>
            </w:r>
            <w:r>
              <w:rPr>
                <w:rFonts w:hint="eastAsia" w:ascii="宋体" w:hAnsi="宋体" w:cs="仿宋"/>
                <w:color w:val="auto"/>
                <w:sz w:val="24"/>
                <w:highlight w:val="none"/>
                <w:lang w:val="en-US" w:eastAsia="zh-CN"/>
              </w:rPr>
              <w:t>同1.5.1</w:t>
            </w:r>
          </w:p>
          <w:p>
            <w:pPr>
              <w:spacing w:line="360" w:lineRule="auto"/>
              <w:ind w:firstLine="0" w:firstLineChars="0"/>
              <w:rPr>
                <w:rFonts w:ascii="宋体" w:hAnsi="宋体" w:cs="仿宋"/>
                <w:sz w:val="24"/>
                <w:lang w:val="en"/>
              </w:rPr>
            </w:pPr>
            <w:r>
              <w:rPr>
                <w:rFonts w:hint="eastAsia" w:ascii="宋体" w:hAnsi="宋体" w:cs="仿宋"/>
                <w:color w:val="auto"/>
                <w:sz w:val="24"/>
                <w:highlight w:val="none"/>
                <w:lang w:val="en"/>
              </w:rPr>
              <w:t>第二期付款：项目通过初验后，</w:t>
            </w:r>
            <w:r>
              <w:rPr>
                <w:rFonts w:hint="eastAsia" w:ascii="宋体" w:hAnsi="宋体" w:cs="仿宋"/>
                <w:color w:val="auto"/>
                <w:sz w:val="24"/>
                <w:highlight w:val="none"/>
                <w:lang w:val="en-US" w:eastAsia="zh-CN"/>
              </w:rPr>
              <w:t>且当年财政资金下达后，</w:t>
            </w:r>
            <w:r>
              <w:rPr>
                <w:rFonts w:hint="eastAsia" w:ascii="宋体" w:hAnsi="宋体" w:cs="仿宋"/>
                <w:color w:val="auto"/>
                <w:sz w:val="24"/>
                <w:highlight w:val="none"/>
                <w:lang w:val="en"/>
              </w:rPr>
              <w:t>供应商可向采购人申请支</w:t>
            </w:r>
            <w:r>
              <w:rPr>
                <w:rFonts w:hint="eastAsia" w:ascii="宋体" w:hAnsi="宋体" w:cs="仿宋"/>
                <w:sz w:val="24"/>
                <w:lang w:val="en"/>
              </w:rPr>
              <w:t>付合同款的</w:t>
            </w:r>
            <w:r>
              <w:rPr>
                <w:rFonts w:hint="eastAsia" w:ascii="宋体" w:hAnsi="宋体" w:cs="仿宋"/>
                <w:sz w:val="24"/>
                <w:lang w:val="en-US" w:eastAsia="zh-CN"/>
              </w:rPr>
              <w:t>30</w:t>
            </w:r>
            <w:r>
              <w:rPr>
                <w:rFonts w:hint="eastAsia" w:ascii="宋体" w:hAnsi="宋体" w:cs="仿宋"/>
                <w:sz w:val="24"/>
                <w:lang w:val="en"/>
              </w:rPr>
              <w:t>%，采购人收到供应商开具的发票后</w:t>
            </w:r>
            <w:r>
              <w:rPr>
                <w:rFonts w:hint="eastAsia" w:ascii="宋体" w:hAnsi="宋体" w:cs="仿宋"/>
                <w:sz w:val="24"/>
                <w:lang w:val="en-US" w:eastAsia="zh-CN"/>
              </w:rPr>
              <w:t>10</w:t>
            </w:r>
            <w:r>
              <w:rPr>
                <w:rFonts w:hint="eastAsia" w:ascii="宋体" w:hAnsi="宋体" w:cs="仿宋"/>
                <w:sz w:val="24"/>
                <w:lang w:val="en"/>
              </w:rPr>
              <w:t>个工作日内支付款项；</w:t>
            </w:r>
          </w:p>
          <w:p>
            <w:pPr>
              <w:adjustRightInd/>
              <w:spacing w:line="360" w:lineRule="auto"/>
              <w:rPr>
                <w:rFonts w:hint="default" w:ascii="宋体" w:hAnsi="宋体" w:eastAsia="宋体" w:cs="宋体"/>
                <w:kern w:val="0"/>
                <w:sz w:val="24"/>
                <w:lang w:val="en-US" w:eastAsia="zh-CN"/>
              </w:rPr>
            </w:pPr>
            <w:r>
              <w:rPr>
                <w:rFonts w:hint="eastAsia" w:ascii="宋体" w:hAnsi="宋体" w:cs="仿宋"/>
                <w:sz w:val="24"/>
                <w:lang w:val="en"/>
              </w:rPr>
              <w:t>第三期付款：项目通过终验后，供应商可向采购人申请支付合同款</w:t>
            </w:r>
            <w:r>
              <w:rPr>
                <w:rFonts w:hint="eastAsia" w:ascii="宋体" w:hAnsi="宋体" w:cs="仿宋"/>
                <w:sz w:val="24"/>
                <w:lang w:val="en-US" w:eastAsia="zh-CN"/>
              </w:rPr>
              <w:t>的20%</w:t>
            </w:r>
            <w:r>
              <w:rPr>
                <w:rFonts w:hint="eastAsia" w:ascii="宋体" w:hAnsi="宋体" w:cs="仿宋"/>
                <w:sz w:val="24"/>
                <w:lang w:val="en"/>
              </w:rPr>
              <w:t>，采购人收到供应商开具的发票后</w:t>
            </w:r>
            <w:r>
              <w:rPr>
                <w:rFonts w:hint="eastAsia" w:ascii="宋体" w:hAnsi="宋体" w:cs="仿宋"/>
                <w:sz w:val="24"/>
                <w:lang w:val="en-US" w:eastAsia="zh-CN"/>
              </w:rPr>
              <w:t>10</w:t>
            </w:r>
            <w:r>
              <w:rPr>
                <w:rFonts w:hint="eastAsia" w:ascii="宋体" w:hAnsi="宋体" w:cs="仿宋"/>
                <w:sz w:val="24"/>
                <w:lang w:val="en"/>
              </w:rPr>
              <w:t>个工作日内支付款项。</w:t>
            </w:r>
            <w:r>
              <w:rPr>
                <w:rFonts w:hint="eastAsia" w:ascii="宋体" w:hAnsi="宋体" w:cs="仿宋"/>
                <w:sz w:val="24"/>
                <w:lang w:val="en"/>
              </w:rPr>
              <w:br w:type="textWrapping"/>
            </w:r>
            <w:r>
              <w:rPr>
                <w:rFonts w:hint="eastAsia" w:ascii="宋体" w:hAnsi="宋体" w:eastAsia="宋体" w:cs="仿宋"/>
                <w:color w:val="auto"/>
                <w:sz w:val="24"/>
                <w:highlight w:val="none"/>
                <w:lang w:val="en" w:eastAsia="zh-CN"/>
              </w:rPr>
              <w:t>第四期付款:</w:t>
            </w:r>
            <w:r>
              <w:rPr>
                <w:rFonts w:hint="eastAsia" w:ascii="宋体" w:hAnsi="宋体" w:eastAsia="宋体" w:cs="仿宋"/>
                <w:color w:val="auto"/>
                <w:sz w:val="24"/>
                <w:highlight w:val="none"/>
                <w:lang w:val="en"/>
              </w:rPr>
              <w:t>，</w:t>
            </w:r>
            <w:r>
              <w:rPr>
                <w:rFonts w:hint="eastAsia" w:ascii="宋体" w:hAnsi="宋体" w:eastAsia="宋体" w:cs="仿宋"/>
                <w:color w:val="auto"/>
                <w:sz w:val="24"/>
                <w:highlight w:val="none"/>
                <w:lang w:val="en" w:eastAsia="zh-CN"/>
              </w:rPr>
              <w:t>质保期结束后</w:t>
            </w:r>
            <w:r>
              <w:rPr>
                <w:rFonts w:hint="eastAsia" w:ascii="宋体" w:hAnsi="宋体" w:eastAsia="宋体" w:cs="仿宋"/>
                <w:color w:val="auto"/>
                <w:sz w:val="24"/>
                <w:highlight w:val="none"/>
                <w:lang w:val="en"/>
              </w:rPr>
              <w:t>后</w:t>
            </w:r>
            <w:r>
              <w:rPr>
                <w:rFonts w:hint="eastAsia" w:ascii="宋体" w:hAnsi="宋体" w:eastAsia="宋体" w:cs="仿宋"/>
                <w:color w:val="auto"/>
                <w:sz w:val="24"/>
                <w:highlight w:val="none"/>
                <w:lang w:val="en" w:eastAsia="zh-CN"/>
              </w:rPr>
              <w:t>10</w:t>
            </w:r>
            <w:r>
              <w:rPr>
                <w:rFonts w:hint="eastAsia" w:ascii="宋体" w:hAnsi="宋体" w:eastAsia="宋体" w:cs="仿宋"/>
                <w:color w:val="auto"/>
                <w:sz w:val="24"/>
                <w:highlight w:val="none"/>
                <w:lang w:val="en"/>
              </w:rPr>
              <w:t>个工作日内</w:t>
            </w:r>
            <w:r>
              <w:rPr>
                <w:rFonts w:hint="eastAsia" w:ascii="宋体" w:hAnsi="宋体" w:eastAsia="宋体" w:cs="仿宋"/>
                <w:color w:val="auto"/>
                <w:sz w:val="24"/>
                <w:highlight w:val="none"/>
                <w:lang w:val="en" w:eastAsia="zh-CN"/>
              </w:rPr>
              <w:t>，</w:t>
            </w:r>
            <w:r>
              <w:rPr>
                <w:rFonts w:hint="eastAsia" w:ascii="宋体" w:hAnsi="宋体" w:eastAsia="宋体" w:cs="仿宋"/>
                <w:color w:val="auto"/>
                <w:sz w:val="24"/>
                <w:highlight w:val="none"/>
                <w:lang w:val="en"/>
              </w:rPr>
              <w:t>供应商可向采购人申请</w:t>
            </w:r>
            <w:r>
              <w:rPr>
                <w:rFonts w:hint="eastAsia" w:ascii="宋体" w:hAnsi="宋体" w:eastAsia="宋体" w:cs="仿宋"/>
                <w:color w:val="auto"/>
                <w:sz w:val="24"/>
                <w:highlight w:val="none"/>
                <w:lang w:val="en" w:eastAsia="zh-CN"/>
              </w:rPr>
              <w:t>支付</w:t>
            </w:r>
            <w:r>
              <w:rPr>
                <w:rFonts w:hint="eastAsia" w:ascii="宋体" w:hAnsi="宋体" w:eastAsia="宋体" w:cs="仿宋"/>
                <w:color w:val="auto"/>
                <w:sz w:val="24"/>
                <w:highlight w:val="none"/>
                <w:lang w:val="en"/>
              </w:rPr>
              <w:t>付合同</w:t>
            </w:r>
            <w:r>
              <w:rPr>
                <w:rFonts w:hint="eastAsia" w:ascii="宋体" w:hAnsi="宋体" w:eastAsia="宋体" w:cs="仿宋"/>
                <w:color w:val="auto"/>
                <w:sz w:val="24"/>
                <w:highlight w:val="none"/>
                <w:lang w:val="en" w:eastAsia="zh-CN"/>
              </w:rPr>
              <w:t>剩余款项，</w:t>
            </w:r>
            <w:r>
              <w:rPr>
                <w:rFonts w:hint="eastAsia" w:ascii="宋体" w:hAnsi="宋体" w:eastAsia="宋体" w:cs="仿宋"/>
                <w:color w:val="auto"/>
                <w:sz w:val="24"/>
                <w:highlight w:val="none"/>
                <w:lang w:val="en"/>
              </w:rPr>
              <w:t>采购人收到供应商开具的发票后</w:t>
            </w:r>
            <w:r>
              <w:rPr>
                <w:rFonts w:hint="eastAsia" w:ascii="宋体" w:hAnsi="宋体" w:eastAsia="宋体" w:cs="仿宋"/>
                <w:color w:val="auto"/>
                <w:sz w:val="24"/>
                <w:highlight w:val="none"/>
                <w:lang w:val="en" w:eastAsia="zh-CN"/>
              </w:rPr>
              <w:t>10</w:t>
            </w:r>
            <w:r>
              <w:rPr>
                <w:rFonts w:hint="eastAsia" w:ascii="宋体" w:hAnsi="宋体" w:eastAsia="宋体" w:cs="仿宋"/>
                <w:color w:val="auto"/>
                <w:sz w:val="24"/>
                <w:highlight w:val="none"/>
                <w:lang w:val="en"/>
              </w:rPr>
              <w:t>个工作日内支付款项。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adjustRightInd/>
              <w:spacing w:line="460" w:lineRule="exact"/>
              <w:jc w:val="center"/>
              <w:rPr>
                <w:rFonts w:hint="eastAsia" w:ascii="宋体" w:hAnsi="宋体" w:cs="宋体"/>
                <w:kern w:val="0"/>
                <w:sz w:val="24"/>
              </w:rPr>
            </w:pPr>
            <w:r>
              <w:rPr>
                <w:rFonts w:ascii="宋体" w:hAnsi="宋体" w:cs="宋体"/>
                <w:kern w:val="0"/>
                <w:sz w:val="24"/>
              </w:rPr>
              <w:t>1.7.1</w:t>
            </w:r>
          </w:p>
        </w:tc>
        <w:tc>
          <w:tcPr>
            <w:tcW w:w="8300" w:type="dxa"/>
            <w:vAlign w:val="center"/>
          </w:tcPr>
          <w:p>
            <w:pPr>
              <w:adjustRightInd/>
              <w:spacing w:line="460" w:lineRule="exact"/>
              <w:rPr>
                <w:rFonts w:hint="default" w:ascii="宋体" w:hAnsi="宋体" w:eastAsia="宋体" w:cs="宋体"/>
                <w:kern w:val="0"/>
                <w:sz w:val="24"/>
                <w:lang w:val="en-US" w:eastAsia="zh-CN"/>
              </w:rPr>
            </w:pPr>
            <w:r>
              <w:rPr>
                <w:rFonts w:hint="eastAsia" w:ascii="宋体" w:hAnsi="宋体" w:cs="宋体"/>
                <w:kern w:val="0"/>
                <w:sz w:val="24"/>
                <w:lang w:val="zh-TW" w:eastAsia="zh-TW"/>
              </w:rPr>
              <w:t>服务交付（实施）的时间（期限）</w:t>
            </w:r>
            <w:r>
              <w:rPr>
                <w:rFonts w:hint="eastAsia" w:ascii="宋体" w:hAnsi="宋体" w:cs="宋体"/>
                <w:kern w:val="0"/>
                <w:sz w:val="24"/>
                <w:lang w:val="zh-TW"/>
              </w:rPr>
              <w:t>：</w:t>
            </w:r>
            <w:r>
              <w:rPr>
                <w:rFonts w:hint="eastAsia" w:ascii="宋体" w:hAnsi="宋体" w:cs="宋体"/>
                <w:kern w:val="0"/>
                <w:sz w:val="24"/>
                <w:lang w:val="en-US" w:eastAsia="zh-CN"/>
              </w:rPr>
              <w:t>合同签订后1个月内完成项目建设。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adjustRightInd/>
              <w:spacing w:line="460" w:lineRule="exact"/>
              <w:jc w:val="center"/>
              <w:rPr>
                <w:rFonts w:hint="eastAsia" w:ascii="宋体" w:hAnsi="宋体" w:cs="宋体"/>
                <w:kern w:val="0"/>
                <w:sz w:val="24"/>
              </w:rPr>
            </w:pPr>
            <w:r>
              <w:rPr>
                <w:rFonts w:ascii="宋体" w:hAnsi="宋体" w:cs="宋体"/>
                <w:kern w:val="0"/>
                <w:sz w:val="24"/>
              </w:rPr>
              <w:t>1.7.2</w:t>
            </w:r>
          </w:p>
        </w:tc>
        <w:tc>
          <w:tcPr>
            <w:tcW w:w="8300" w:type="dxa"/>
            <w:vAlign w:val="center"/>
          </w:tcPr>
          <w:p>
            <w:pPr>
              <w:adjustRightInd/>
              <w:spacing w:line="460" w:lineRule="exact"/>
              <w:rPr>
                <w:rFonts w:hint="eastAsia" w:ascii="宋体" w:hAnsi="宋体" w:cs="宋体"/>
                <w:kern w:val="0"/>
                <w:sz w:val="24"/>
              </w:rPr>
            </w:pPr>
            <w:r>
              <w:rPr>
                <w:rFonts w:hint="eastAsia" w:ascii="宋体" w:hAnsi="宋体" w:cs="宋体"/>
                <w:kern w:val="0"/>
                <w:sz w:val="24"/>
                <w:lang w:val="zh-TW" w:eastAsia="zh-TW"/>
              </w:rPr>
              <w:t>服务交付（实施）的地点（地域范围）：</w:t>
            </w:r>
            <w:r>
              <w:rPr>
                <w:rFonts w:hint="eastAsia" w:ascii="宋体" w:hAnsi="宋体" w:cs="宋体"/>
                <w:kern w:val="0"/>
                <w:sz w:val="24"/>
              </w:rPr>
              <w:t>甲方指定地点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adjustRightInd/>
              <w:spacing w:line="460" w:lineRule="exact"/>
              <w:jc w:val="center"/>
              <w:rPr>
                <w:rFonts w:hint="eastAsia" w:ascii="宋体" w:hAnsi="宋体" w:cs="宋体"/>
                <w:kern w:val="0"/>
                <w:sz w:val="24"/>
              </w:rPr>
            </w:pPr>
            <w:r>
              <w:rPr>
                <w:rFonts w:ascii="宋体" w:hAnsi="宋体" w:cs="宋体"/>
                <w:kern w:val="0"/>
                <w:sz w:val="24"/>
              </w:rPr>
              <w:t>1.7.3</w:t>
            </w:r>
          </w:p>
        </w:tc>
        <w:tc>
          <w:tcPr>
            <w:tcW w:w="8300" w:type="dxa"/>
            <w:vAlign w:val="center"/>
          </w:tcPr>
          <w:p>
            <w:pPr>
              <w:adjustRightInd/>
              <w:spacing w:line="460" w:lineRule="exact"/>
              <w:rPr>
                <w:rFonts w:hint="eastAsia" w:ascii="宋体" w:hAnsi="宋体" w:cs="宋体"/>
                <w:kern w:val="0"/>
                <w:sz w:val="24"/>
              </w:rPr>
            </w:pPr>
            <w:r>
              <w:rPr>
                <w:rFonts w:hint="eastAsia" w:ascii="宋体" w:hAnsi="宋体" w:cs="宋体"/>
                <w:kern w:val="0"/>
                <w:sz w:val="24"/>
                <w:lang w:val="zh-TW" w:eastAsia="zh-TW"/>
              </w:rPr>
              <w:t>服务交付（实施）的方式：</w:t>
            </w:r>
            <w:r>
              <w:rPr>
                <w:rFonts w:hint="eastAsia" w:ascii="宋体" w:hAnsi="宋体" w:cs="宋体"/>
                <w:kern w:val="0"/>
                <w:sz w:val="24"/>
              </w:rPr>
              <w:t>根据采购合同、投标文件、招标文件要求，乙方完成项目相关内容。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adjustRightInd/>
              <w:spacing w:line="460" w:lineRule="exact"/>
              <w:jc w:val="center"/>
              <w:rPr>
                <w:rFonts w:hint="eastAsia" w:ascii="宋体" w:hAnsi="宋体" w:cs="宋体"/>
                <w:kern w:val="0"/>
                <w:sz w:val="24"/>
              </w:rPr>
            </w:pPr>
            <w:r>
              <w:rPr>
                <w:rFonts w:ascii="宋体" w:hAnsi="宋体" w:cs="宋体"/>
                <w:kern w:val="0"/>
                <w:sz w:val="24"/>
              </w:rPr>
              <w:t>1.7.4.1</w:t>
            </w:r>
          </w:p>
        </w:tc>
        <w:tc>
          <w:tcPr>
            <w:tcW w:w="8300" w:type="dxa"/>
            <w:vAlign w:val="center"/>
          </w:tcPr>
          <w:p>
            <w:pPr>
              <w:adjustRightInd/>
              <w:spacing w:line="460" w:lineRule="exact"/>
              <w:rPr>
                <w:rFonts w:hint="eastAsia" w:ascii="宋体" w:hAnsi="宋体" w:cs="宋体"/>
                <w:kern w:val="0"/>
                <w:sz w:val="24"/>
              </w:rPr>
            </w:pPr>
            <w:r>
              <w:rPr>
                <w:rFonts w:hint="eastAsia" w:ascii="宋体" w:hAnsi="宋体" w:cs="宋体"/>
                <w:kern w:val="0"/>
                <w:sz w:val="24"/>
              </w:rPr>
              <w:t>项目涉及货物的</w:t>
            </w:r>
            <w:r>
              <w:rPr>
                <w:rFonts w:hint="eastAsia" w:ascii="宋体" w:hAnsi="宋体" w:cs="宋体"/>
                <w:kern w:val="0"/>
                <w:sz w:val="24"/>
                <w:lang w:val="zh-TW" w:eastAsia="zh-TW"/>
              </w:rPr>
              <w:t>交付期限：</w:t>
            </w:r>
            <w:r>
              <w:rPr>
                <w:rFonts w:ascii="宋体" w:hAnsi="宋体" w:cs="宋体"/>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adjustRightInd/>
              <w:spacing w:line="460" w:lineRule="exact"/>
              <w:jc w:val="center"/>
              <w:rPr>
                <w:rFonts w:hint="eastAsia" w:ascii="宋体" w:hAnsi="宋体" w:cs="宋体"/>
                <w:kern w:val="0"/>
                <w:sz w:val="24"/>
              </w:rPr>
            </w:pPr>
            <w:r>
              <w:rPr>
                <w:rFonts w:ascii="宋体" w:hAnsi="宋体" w:cs="宋体"/>
                <w:kern w:val="0"/>
                <w:sz w:val="24"/>
              </w:rPr>
              <w:t>1.7.4.2</w:t>
            </w:r>
          </w:p>
        </w:tc>
        <w:tc>
          <w:tcPr>
            <w:tcW w:w="8300" w:type="dxa"/>
            <w:vAlign w:val="center"/>
          </w:tcPr>
          <w:p>
            <w:pPr>
              <w:adjustRightInd/>
              <w:spacing w:line="460" w:lineRule="exact"/>
              <w:rPr>
                <w:rFonts w:hint="eastAsia" w:ascii="宋体" w:hAnsi="宋体" w:cs="宋体"/>
                <w:kern w:val="0"/>
                <w:sz w:val="24"/>
              </w:rPr>
            </w:pPr>
            <w:r>
              <w:rPr>
                <w:rFonts w:hint="eastAsia" w:ascii="宋体" w:hAnsi="宋体" w:cs="宋体"/>
                <w:kern w:val="0"/>
                <w:sz w:val="24"/>
              </w:rPr>
              <w:t>项目涉及货物的</w:t>
            </w:r>
            <w:r>
              <w:rPr>
                <w:rFonts w:hint="eastAsia" w:ascii="宋体" w:hAnsi="宋体" w:cs="宋体"/>
                <w:kern w:val="0"/>
                <w:sz w:val="24"/>
                <w:lang w:val="zh-TW" w:eastAsia="zh-TW"/>
              </w:rPr>
              <w:t>交付地点：</w:t>
            </w:r>
            <w:r>
              <w:rPr>
                <w:rFonts w:ascii="宋体" w:hAnsi="宋体" w:cs="宋体"/>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adjustRightInd/>
              <w:spacing w:line="460" w:lineRule="exact"/>
              <w:jc w:val="center"/>
              <w:rPr>
                <w:rFonts w:hint="eastAsia" w:ascii="宋体" w:hAnsi="宋体" w:cs="宋体"/>
                <w:kern w:val="0"/>
                <w:sz w:val="24"/>
              </w:rPr>
            </w:pPr>
            <w:r>
              <w:rPr>
                <w:rFonts w:ascii="宋体" w:hAnsi="宋体" w:cs="宋体"/>
                <w:kern w:val="0"/>
                <w:sz w:val="24"/>
              </w:rPr>
              <w:t>1.7.4.3</w:t>
            </w:r>
          </w:p>
        </w:tc>
        <w:tc>
          <w:tcPr>
            <w:tcW w:w="8300" w:type="dxa"/>
            <w:vAlign w:val="center"/>
          </w:tcPr>
          <w:p>
            <w:pPr>
              <w:adjustRightInd/>
              <w:spacing w:line="460" w:lineRule="exact"/>
              <w:rPr>
                <w:rFonts w:hint="eastAsia" w:ascii="宋体" w:hAnsi="宋体" w:cs="宋体"/>
                <w:kern w:val="0"/>
                <w:sz w:val="24"/>
              </w:rPr>
            </w:pPr>
            <w:r>
              <w:rPr>
                <w:rFonts w:hint="eastAsia" w:ascii="宋体" w:hAnsi="宋体" w:cs="宋体"/>
                <w:kern w:val="0"/>
                <w:sz w:val="24"/>
              </w:rPr>
              <w:t>项目涉及货物的</w:t>
            </w:r>
            <w:r>
              <w:rPr>
                <w:rFonts w:hint="eastAsia" w:ascii="宋体" w:hAnsi="宋体" w:cs="宋体"/>
                <w:kern w:val="0"/>
                <w:sz w:val="24"/>
                <w:lang w:val="zh-TW" w:eastAsia="zh-TW"/>
              </w:rPr>
              <w:t>交付方式：</w:t>
            </w:r>
            <w:r>
              <w:rPr>
                <w:rFonts w:ascii="宋体" w:hAnsi="宋体" w:cs="宋体"/>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adjustRightInd/>
              <w:spacing w:line="460" w:lineRule="exact"/>
              <w:jc w:val="center"/>
              <w:rPr>
                <w:rFonts w:hint="eastAsia" w:ascii="宋体" w:hAnsi="宋体" w:cs="宋体"/>
                <w:kern w:val="0"/>
                <w:sz w:val="24"/>
              </w:rPr>
            </w:pPr>
            <w:r>
              <w:rPr>
                <w:rFonts w:ascii="宋体" w:hAnsi="宋体" w:cs="宋体"/>
                <w:kern w:val="0"/>
                <w:sz w:val="24"/>
              </w:rPr>
              <w:t>1.8.</w:t>
            </w:r>
            <w:r>
              <w:rPr>
                <w:rFonts w:hint="eastAsia" w:ascii="宋体" w:hAnsi="宋体" w:cs="宋体"/>
                <w:kern w:val="0"/>
                <w:sz w:val="24"/>
              </w:rPr>
              <w:t>7</w:t>
            </w:r>
          </w:p>
        </w:tc>
        <w:tc>
          <w:tcPr>
            <w:tcW w:w="8300" w:type="dxa"/>
            <w:vAlign w:val="center"/>
          </w:tcPr>
          <w:p>
            <w:pPr>
              <w:keepNext w:val="0"/>
              <w:keepLines w:val="0"/>
              <w:suppressLineNumbers w:val="0"/>
              <w:spacing w:before="0" w:beforeAutospacing="0" w:after="0" w:afterAutospacing="0" w:line="360" w:lineRule="auto"/>
              <w:ind w:left="0" w:right="0"/>
              <w:rPr>
                <w:rFonts w:hint="eastAsia" w:cs="仿宋" w:asciiTheme="minorEastAsia" w:hAnsiTheme="minorEastAsia"/>
                <w:color w:val="auto"/>
                <w:sz w:val="24"/>
                <w:highlight w:val="none"/>
                <w:lang w:val="en"/>
              </w:rPr>
            </w:pPr>
            <w:r>
              <w:rPr>
                <w:rFonts w:hint="default" w:ascii="宋体" w:hAnsi="宋体" w:cs="宋体"/>
                <w:color w:val="auto"/>
                <w:kern w:val="0"/>
                <w:sz w:val="24"/>
                <w:highlight w:val="none"/>
              </w:rPr>
              <w:t>违约责任：</w:t>
            </w:r>
            <w:r>
              <w:rPr>
                <w:rFonts w:hint="eastAsia" w:cs="仿宋" w:asciiTheme="minorEastAsia" w:hAnsiTheme="minorEastAsia"/>
                <w:color w:val="auto"/>
                <w:sz w:val="24"/>
                <w:highlight w:val="none"/>
                <w:lang w:val="zh-CN"/>
              </w:rPr>
              <w:t>1.未经甲方同意，乙方不得在任何时期擅自更换投标文件中规定的项目负责人和技术负责人，同时必须确保项目技术人员的数量和水平与投标文件一致，</w:t>
            </w:r>
            <w:r>
              <w:rPr>
                <w:rFonts w:hint="eastAsia" w:cs="仿宋" w:asciiTheme="minorEastAsia" w:hAnsiTheme="minorEastAsia"/>
                <w:color w:val="auto"/>
                <w:sz w:val="24"/>
                <w:highlight w:val="none"/>
                <w:lang w:val="zh-CN" w:eastAsia="zh-CN"/>
              </w:rPr>
              <w:t>如项目技术人员少于投标文件提供的人员数量或提供的项目技术人员水平与投标文件不一致则扣除合同总金额的2%，如擅自更换</w:t>
            </w:r>
            <w:r>
              <w:rPr>
                <w:rFonts w:hint="eastAsia" w:cs="仿宋" w:asciiTheme="minorEastAsia" w:hAnsiTheme="minorEastAsia"/>
                <w:color w:val="auto"/>
                <w:sz w:val="24"/>
                <w:highlight w:val="none"/>
                <w:lang w:val="zh-CN"/>
              </w:rPr>
              <w:t>项目负责人和技术负责人</w:t>
            </w:r>
            <w:r>
              <w:rPr>
                <w:rFonts w:hint="eastAsia" w:cs="仿宋" w:asciiTheme="minorEastAsia" w:hAnsiTheme="minorEastAsia"/>
                <w:color w:val="auto"/>
                <w:sz w:val="24"/>
                <w:highlight w:val="none"/>
                <w:lang w:val="zh-CN" w:eastAsia="zh-CN"/>
              </w:rPr>
              <w:t>则扣除合同总金额的5%。</w:t>
            </w:r>
          </w:p>
          <w:p>
            <w:pPr>
              <w:keepNext w:val="0"/>
              <w:keepLines w:val="0"/>
              <w:suppressLineNumbers w:val="0"/>
              <w:spacing w:before="0" w:beforeAutospacing="0" w:after="0" w:afterAutospacing="0" w:line="360" w:lineRule="auto"/>
              <w:ind w:left="0" w:right="0"/>
              <w:rPr>
                <w:rFonts w:hint="eastAsia" w:cs="仿宋" w:asciiTheme="minorEastAsia" w:hAnsiTheme="minorEastAsia"/>
                <w:color w:val="auto"/>
                <w:sz w:val="24"/>
                <w:highlight w:val="none"/>
                <w:lang w:val="en"/>
              </w:rPr>
            </w:pPr>
            <w:r>
              <w:rPr>
                <w:rFonts w:hint="eastAsia" w:cs="仿宋" w:asciiTheme="minorEastAsia" w:hAnsiTheme="minorEastAsia"/>
                <w:color w:val="auto"/>
                <w:sz w:val="24"/>
                <w:highlight w:val="none"/>
                <w:lang w:val="en"/>
              </w:rPr>
              <w:t>2.乙方对监理工程师提出的整改意见不能按时按要求整改完成超过1次，自第2次起，每次按5000元支付违约金。</w:t>
            </w:r>
          </w:p>
          <w:p>
            <w:pPr>
              <w:keepNext w:val="0"/>
              <w:keepLines w:val="0"/>
              <w:suppressLineNumbers w:val="0"/>
              <w:spacing w:before="0" w:beforeAutospacing="0" w:after="0" w:afterAutospacing="0" w:line="360" w:lineRule="auto"/>
              <w:ind w:left="0" w:right="0"/>
              <w:rPr>
                <w:rFonts w:hint="eastAsia" w:cs="仿宋" w:asciiTheme="minorEastAsia" w:hAnsiTheme="minorEastAsia"/>
                <w:color w:val="auto"/>
                <w:sz w:val="24"/>
                <w:highlight w:val="none"/>
                <w:lang w:val="en"/>
              </w:rPr>
            </w:pPr>
            <w:r>
              <w:rPr>
                <w:rFonts w:hint="eastAsia" w:cs="仿宋" w:asciiTheme="minorEastAsia" w:hAnsiTheme="minorEastAsia"/>
                <w:color w:val="auto"/>
                <w:sz w:val="24"/>
                <w:highlight w:val="none"/>
                <w:lang w:val="en"/>
              </w:rPr>
              <w:t>3.因乙方实施本项目原因造成甲方其他系统不能正常运行，酿成重大事故（正常工作日系统中断一天或一天以上）的，应承担全部法律责任，并赔偿经济损失，赔偿金额为项目总价的20%，如该金额不能弥补甲方损失的，甲方仍有权要求乙方赔偿。</w:t>
            </w:r>
          </w:p>
          <w:p>
            <w:pPr>
              <w:spacing w:line="360" w:lineRule="auto"/>
              <w:ind w:firstLine="0" w:firstLineChars="0"/>
              <w:rPr>
                <w:rFonts w:hint="eastAsia" w:cs="仿宋" w:asciiTheme="minorEastAsia" w:hAnsiTheme="minorEastAsia"/>
                <w:sz w:val="24"/>
                <w:lang w:val="en"/>
              </w:rPr>
            </w:pPr>
            <w:r>
              <w:rPr>
                <w:rFonts w:hint="eastAsia" w:cs="仿宋" w:asciiTheme="minorEastAsia" w:hAnsiTheme="minorEastAsia"/>
                <w:color w:val="auto"/>
                <w:sz w:val="24"/>
                <w:highlight w:val="none"/>
                <w:lang w:val="en"/>
              </w:rPr>
              <w:t>4. 履行本合同的过程中，确因在现有水平和条件下难以克服的技术困难，导致部分或全部失败所造成的损失，风险责任由乙方全部承担。5. 因不可抗力导致合同不能全部或部分履行，甲、乙双方协商解决。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adjustRightInd/>
              <w:spacing w:line="460" w:lineRule="exact"/>
              <w:jc w:val="center"/>
              <w:rPr>
                <w:rFonts w:hint="eastAsia" w:ascii="宋体" w:hAnsi="宋体" w:cs="宋体"/>
                <w:kern w:val="0"/>
                <w:sz w:val="24"/>
              </w:rPr>
            </w:pPr>
            <w:r>
              <w:rPr>
                <w:rFonts w:ascii="宋体" w:hAnsi="宋体" w:cs="宋体"/>
                <w:kern w:val="0"/>
                <w:sz w:val="24"/>
              </w:rPr>
              <w:t>1.9.1</w:t>
            </w:r>
          </w:p>
        </w:tc>
        <w:tc>
          <w:tcPr>
            <w:tcW w:w="8300" w:type="dxa"/>
            <w:vAlign w:val="center"/>
          </w:tcPr>
          <w:p>
            <w:pPr>
              <w:adjustRightInd/>
              <w:spacing w:line="460" w:lineRule="exact"/>
              <w:rPr>
                <w:rFonts w:hint="eastAsia" w:ascii="宋体" w:hAnsi="宋体" w:cs="宋体"/>
                <w:kern w:val="0"/>
                <w:sz w:val="24"/>
              </w:rPr>
            </w:pPr>
            <w:r>
              <w:rPr>
                <w:rFonts w:hint="eastAsia" w:ascii="宋体" w:hAnsi="宋体" w:cs="宋体"/>
                <w:kern w:val="0"/>
                <w:sz w:val="24"/>
              </w:rPr>
              <w:t>仲裁机构：杭州仲裁委员会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adjustRightInd/>
              <w:spacing w:line="460" w:lineRule="exact"/>
              <w:jc w:val="center"/>
              <w:rPr>
                <w:rFonts w:hint="eastAsia" w:ascii="宋体" w:hAnsi="宋体" w:cs="宋体"/>
                <w:kern w:val="0"/>
                <w:sz w:val="24"/>
              </w:rPr>
            </w:pPr>
            <w:r>
              <w:rPr>
                <w:rFonts w:ascii="宋体" w:hAnsi="宋体" w:cs="宋体"/>
                <w:kern w:val="0"/>
                <w:sz w:val="24"/>
              </w:rPr>
              <w:t>1.9.2</w:t>
            </w:r>
          </w:p>
        </w:tc>
        <w:tc>
          <w:tcPr>
            <w:tcW w:w="8300" w:type="dxa"/>
            <w:vAlign w:val="center"/>
          </w:tcPr>
          <w:p>
            <w:pPr>
              <w:adjustRightInd/>
              <w:spacing w:line="460" w:lineRule="exact"/>
              <w:rPr>
                <w:rFonts w:hint="eastAsia" w:ascii="宋体" w:hAnsi="宋体" w:cs="宋体"/>
                <w:kern w:val="0"/>
                <w:sz w:val="24"/>
              </w:rPr>
            </w:pPr>
            <w:r>
              <w:rPr>
                <w:rFonts w:hint="eastAsia" w:ascii="宋体" w:hAnsi="宋体" w:cs="宋体"/>
                <w:kern w:val="0"/>
                <w:sz w:val="24"/>
              </w:rPr>
              <w:t>诉讼法院：甲方所在地人民法院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adjustRightInd/>
              <w:spacing w:line="460" w:lineRule="exact"/>
              <w:jc w:val="center"/>
              <w:rPr>
                <w:rFonts w:hint="eastAsia" w:ascii="宋体" w:hAnsi="宋体" w:cs="宋体"/>
                <w:kern w:val="0"/>
                <w:sz w:val="24"/>
              </w:rPr>
            </w:pPr>
            <w:r>
              <w:rPr>
                <w:rFonts w:ascii="宋体" w:hAnsi="宋体" w:cs="宋体"/>
                <w:kern w:val="0"/>
                <w:sz w:val="24"/>
              </w:rPr>
              <w:t>2.3.2</w:t>
            </w:r>
          </w:p>
        </w:tc>
        <w:tc>
          <w:tcPr>
            <w:tcW w:w="8300" w:type="dxa"/>
            <w:vAlign w:val="center"/>
          </w:tcPr>
          <w:p>
            <w:pPr>
              <w:adjustRightInd/>
              <w:spacing w:line="460" w:lineRule="exact"/>
              <w:rPr>
                <w:rFonts w:hint="eastAsia" w:ascii="宋体" w:hAnsi="宋体" w:cs="宋体"/>
                <w:kern w:val="0"/>
                <w:sz w:val="24"/>
              </w:rPr>
            </w:pPr>
            <w:r>
              <w:rPr>
                <w:rFonts w:hint="eastAsia" w:ascii="宋体" w:hAnsi="宋体" w:cs="宋体"/>
                <w:kern w:val="0"/>
                <w:sz w:val="24"/>
              </w:rPr>
              <w:t>合同涉及技术成果的归属和收益的分成办法：项目成果的所有权、使用权归采购人所有，同时供应商享有项目成果的署名权。中标人应保证提供服务过程中不会侵犯任何第三方的知识产权。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adjustRightInd/>
              <w:spacing w:line="460" w:lineRule="exact"/>
              <w:jc w:val="center"/>
              <w:rPr>
                <w:rFonts w:hint="eastAsia" w:ascii="宋体" w:hAnsi="宋体" w:cs="宋体"/>
                <w:kern w:val="0"/>
                <w:sz w:val="24"/>
              </w:rPr>
            </w:pPr>
            <w:r>
              <w:rPr>
                <w:rFonts w:ascii="宋体" w:hAnsi="宋体" w:cs="宋体"/>
                <w:kern w:val="0"/>
                <w:sz w:val="24"/>
              </w:rPr>
              <w:t>2.5</w:t>
            </w:r>
          </w:p>
        </w:tc>
        <w:tc>
          <w:tcPr>
            <w:tcW w:w="8300" w:type="dxa"/>
            <w:vAlign w:val="center"/>
          </w:tcPr>
          <w:p>
            <w:pPr>
              <w:adjustRightInd/>
              <w:spacing w:line="460" w:lineRule="exact"/>
              <w:rPr>
                <w:rFonts w:hint="eastAsia" w:ascii="宋体" w:hAnsi="宋体" w:cs="宋体"/>
                <w:kern w:val="0"/>
                <w:sz w:val="24"/>
              </w:rPr>
            </w:pPr>
            <w:r>
              <w:rPr>
                <w:rFonts w:hint="eastAsia" w:ascii="宋体" w:hAnsi="宋体" w:cs="宋体"/>
                <w:kern w:val="0"/>
                <w:sz w:val="24"/>
              </w:rPr>
              <w:t>结算方式和付款条件：同</w:t>
            </w:r>
            <w:r>
              <w:rPr>
                <w:rFonts w:ascii="宋体" w:hAnsi="宋体" w:cs="宋体"/>
                <w:kern w:val="0"/>
                <w:sz w:val="24"/>
              </w:rPr>
              <w:t>1.6.2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adjustRightInd/>
              <w:spacing w:line="460" w:lineRule="exact"/>
              <w:jc w:val="center"/>
              <w:rPr>
                <w:rFonts w:hint="eastAsia" w:ascii="宋体" w:hAnsi="宋体" w:cs="宋体"/>
                <w:kern w:val="0"/>
                <w:sz w:val="24"/>
              </w:rPr>
            </w:pPr>
            <w:r>
              <w:rPr>
                <w:rFonts w:ascii="宋体" w:hAnsi="宋体" w:cs="宋体"/>
                <w:kern w:val="0"/>
                <w:sz w:val="24"/>
              </w:rPr>
              <w:t>2.11.3</w:t>
            </w:r>
          </w:p>
        </w:tc>
        <w:tc>
          <w:tcPr>
            <w:tcW w:w="8300" w:type="dxa"/>
            <w:vAlign w:val="center"/>
          </w:tcPr>
          <w:p>
            <w:pPr>
              <w:adjustRightInd/>
              <w:spacing w:line="460" w:lineRule="exact"/>
              <w:rPr>
                <w:rFonts w:hint="eastAsia" w:ascii="宋体" w:hAnsi="宋体" w:cs="宋体"/>
                <w:kern w:val="0"/>
                <w:sz w:val="24"/>
              </w:rPr>
            </w:pPr>
            <w:r>
              <w:rPr>
                <w:rFonts w:hint="eastAsia" w:ascii="宋体" w:hAnsi="宋体" w:cs="宋体"/>
                <w:kern w:val="0"/>
                <w:sz w:val="24"/>
              </w:rPr>
              <w:t>因不可抗力致使合同有变更必要的，双方当事人应在14日内以书面形式变更合同；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Pr>
          <w:p>
            <w:pPr>
              <w:adjustRightInd/>
              <w:spacing w:line="460" w:lineRule="exact"/>
              <w:jc w:val="center"/>
              <w:rPr>
                <w:rFonts w:hint="eastAsia" w:ascii="宋体" w:hAnsi="宋体" w:cs="宋体"/>
                <w:kern w:val="0"/>
                <w:sz w:val="24"/>
              </w:rPr>
            </w:pPr>
            <w:r>
              <w:rPr>
                <w:rFonts w:ascii="宋体" w:hAnsi="宋体" w:cs="宋体"/>
                <w:kern w:val="0"/>
                <w:sz w:val="24"/>
              </w:rPr>
              <w:t>2.11.4</w:t>
            </w:r>
          </w:p>
        </w:tc>
        <w:tc>
          <w:tcPr>
            <w:tcW w:w="8300" w:type="dxa"/>
            <w:vAlign w:val="center"/>
          </w:tcPr>
          <w:p>
            <w:pPr>
              <w:adjustRightInd/>
              <w:spacing w:line="460" w:lineRule="exact"/>
              <w:rPr>
                <w:rFonts w:hint="eastAsia" w:ascii="宋体" w:hAnsi="宋体" w:cs="宋体"/>
                <w:kern w:val="0"/>
                <w:sz w:val="24"/>
              </w:rPr>
            </w:pPr>
            <w:r>
              <w:rPr>
                <w:rFonts w:hint="eastAsia" w:ascii="宋体" w:hAnsi="宋体" w:cs="宋体"/>
                <w:kern w:val="0"/>
                <w:sz w:val="24"/>
              </w:rPr>
              <w:t>受不可抗力影响的一方在不可抗力发生后，应在</w:t>
            </w:r>
            <w:r>
              <w:rPr>
                <w:rFonts w:ascii="宋体" w:hAnsi="宋体" w:cs="宋体"/>
                <w:kern w:val="0"/>
                <w:sz w:val="24"/>
              </w:rPr>
              <w:t>3日</w:t>
            </w:r>
            <w:r>
              <w:rPr>
                <w:rFonts w:hint="eastAsia" w:ascii="宋体" w:hAnsi="宋体" w:cs="宋体"/>
                <w:kern w:val="0"/>
                <w:sz w:val="24"/>
              </w:rPr>
              <w:t>内以书面形式通知对方当事人，并在事故发生后7日内，将有关部门出具的证明文件送达对方当事人。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adjustRightInd/>
              <w:spacing w:line="460" w:lineRule="exact"/>
              <w:jc w:val="center"/>
              <w:rPr>
                <w:rFonts w:hint="eastAsia" w:ascii="宋体" w:hAnsi="宋体" w:cs="宋体"/>
                <w:kern w:val="0"/>
                <w:sz w:val="24"/>
              </w:rPr>
            </w:pPr>
            <w:r>
              <w:rPr>
                <w:rFonts w:ascii="宋体" w:hAnsi="宋体" w:cs="宋体"/>
                <w:kern w:val="0"/>
                <w:sz w:val="24"/>
              </w:rPr>
              <w:t>2.15.1</w:t>
            </w:r>
          </w:p>
        </w:tc>
        <w:tc>
          <w:tcPr>
            <w:tcW w:w="8300" w:type="dxa"/>
            <w:vAlign w:val="center"/>
          </w:tcPr>
          <w:p>
            <w:pPr>
              <w:adjustRightInd/>
              <w:spacing w:line="460" w:lineRule="exact"/>
              <w:rPr>
                <w:rFonts w:hint="eastAsia" w:ascii="宋体" w:hAnsi="宋体" w:cs="宋体"/>
                <w:kern w:val="0"/>
                <w:sz w:val="24"/>
              </w:rPr>
            </w:pPr>
            <w:r>
              <w:rPr>
                <w:rFonts w:hint="eastAsia" w:ascii="宋体" w:hAnsi="宋体" w:cs="宋体"/>
                <w:kern w:val="0"/>
                <w:sz w:val="24"/>
              </w:rPr>
              <w:t>（1）乙方按照/约定，提交服务报告（本项目不适用），</w:t>
            </w:r>
            <w:r>
              <w:rPr>
                <w:rFonts w:ascii="宋体" w:hAnsi="宋体" w:cs="宋体"/>
                <w:kern w:val="0"/>
                <w:sz w:val="24"/>
              </w:rPr>
              <w:br w:type="textWrapping"/>
            </w:r>
            <w:r>
              <w:rPr>
                <w:rFonts w:hint="eastAsia" w:ascii="宋体" w:hAnsi="宋体" w:cs="宋体"/>
                <w:kern w:val="0"/>
                <w:sz w:val="24"/>
              </w:rPr>
              <w:t>（2）甲方按照以下时间约定进行验收；</w:t>
            </w:r>
          </w:p>
          <w:p>
            <w:pPr>
              <w:adjustRightInd/>
              <w:spacing w:line="460" w:lineRule="exact"/>
              <w:rPr>
                <w:rFonts w:hint="eastAsia" w:ascii="宋体" w:hAnsi="宋体" w:cs="宋体"/>
                <w:kern w:val="0"/>
                <w:sz w:val="24"/>
              </w:rPr>
            </w:pPr>
            <w:r>
              <w:rPr>
                <w:rFonts w:hint="eastAsia" w:ascii="宋体" w:hAnsi="宋体" w:cs="宋体"/>
                <w:kern w:val="0"/>
                <w:sz w:val="24"/>
              </w:rPr>
              <w:t>1）</w:t>
            </w:r>
            <w:r>
              <w:rPr>
                <w:rFonts w:hint="eastAsia" w:ascii="宋体" w:hAnsi="宋体" w:cs="仿宋"/>
                <w:sz w:val="24"/>
                <w:lang w:val="zh-CN"/>
              </w:rPr>
              <w:t>完成全部</w:t>
            </w:r>
            <w:r>
              <w:rPr>
                <w:rFonts w:hint="eastAsia" w:ascii="宋体" w:hAnsi="宋体" w:cs="仿宋"/>
                <w:sz w:val="24"/>
                <w:lang w:eastAsia="zh-CN"/>
              </w:rPr>
              <w:t>区住建局智慧“助”建平台深化信创（2024年）项目</w:t>
            </w:r>
            <w:r>
              <w:rPr>
                <w:rFonts w:hint="eastAsia" w:ascii="宋体" w:hAnsi="宋体" w:cs="仿宋"/>
                <w:sz w:val="24"/>
                <w:lang w:val="en-US" w:eastAsia="zh-CN"/>
              </w:rPr>
              <w:t>内容</w:t>
            </w:r>
            <w:r>
              <w:rPr>
                <w:rFonts w:hint="eastAsia" w:ascii="宋体" w:hAnsi="宋体" w:cs="仿宋"/>
                <w:sz w:val="24"/>
                <w:lang w:val="zh-CN"/>
              </w:rPr>
              <w:t>，并在投入试运行前，</w:t>
            </w:r>
            <w:r>
              <w:rPr>
                <w:rFonts w:hint="eastAsia" w:ascii="宋体" w:hAnsi="宋体" w:cs="仿宋"/>
                <w:sz w:val="24"/>
              </w:rPr>
              <w:t>组织项目初验。</w:t>
            </w:r>
            <w:r>
              <w:rPr>
                <w:rFonts w:ascii="宋体" w:hAnsi="宋体" w:cs="仿宋"/>
                <w:sz w:val="24"/>
                <w:lang w:val="zh-CN"/>
              </w:rPr>
              <w:br w:type="textWrapping"/>
            </w:r>
            <w:r>
              <w:rPr>
                <w:rFonts w:hint="eastAsia" w:ascii="宋体" w:hAnsi="宋体" w:cs="仿宋"/>
                <w:sz w:val="24"/>
                <w:highlight w:val="yellow"/>
                <w:lang w:val="zh-CN"/>
              </w:rPr>
              <w:t>2）投入试运行后正常运行1个月，</w:t>
            </w:r>
            <w:r>
              <w:rPr>
                <w:rFonts w:hint="eastAsia" w:ascii="宋体" w:hAnsi="宋体" w:cs="仿宋"/>
                <w:sz w:val="24"/>
                <w:highlight w:val="yellow"/>
              </w:rPr>
              <w:t>系统经采购人确认，已满足相关建设需求后，组织项目终验。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adjustRightInd/>
              <w:spacing w:line="460" w:lineRule="exact"/>
              <w:jc w:val="center"/>
              <w:rPr>
                <w:rFonts w:hint="eastAsia" w:ascii="宋体" w:hAnsi="宋体" w:cs="宋体"/>
                <w:kern w:val="0"/>
                <w:sz w:val="24"/>
              </w:rPr>
            </w:pPr>
            <w:r>
              <w:rPr>
                <w:rFonts w:ascii="宋体" w:hAnsi="宋体" w:cs="宋体"/>
                <w:kern w:val="0"/>
                <w:sz w:val="24"/>
              </w:rPr>
              <w:t>2.15.3</w:t>
            </w:r>
          </w:p>
        </w:tc>
        <w:tc>
          <w:tcPr>
            <w:tcW w:w="8300" w:type="dxa"/>
            <w:vAlign w:val="center"/>
          </w:tcPr>
          <w:p>
            <w:pPr>
              <w:adjustRightInd/>
              <w:spacing w:line="460" w:lineRule="exact"/>
              <w:rPr>
                <w:rFonts w:hint="eastAsia" w:ascii="宋体" w:hAnsi="宋体" w:cs="宋体"/>
                <w:kern w:val="0"/>
                <w:sz w:val="24"/>
              </w:rPr>
            </w:pPr>
            <w:r>
              <w:rPr>
                <w:rFonts w:hint="eastAsia" w:ascii="宋体" w:hAnsi="宋体" w:cs="宋体"/>
                <w:kern w:val="0"/>
                <w:sz w:val="24"/>
              </w:rPr>
              <w:t>检验和验收标准、程序等具体内容以及前述验收书的效力：</w:t>
            </w:r>
          </w:p>
          <w:p>
            <w:pPr>
              <w:adjustRightInd/>
              <w:spacing w:line="460" w:lineRule="exact"/>
              <w:rPr>
                <w:rFonts w:hint="eastAsia" w:ascii="宋体" w:hAnsi="宋体" w:cs="宋体"/>
                <w:kern w:val="0"/>
                <w:sz w:val="24"/>
              </w:rPr>
            </w:pPr>
            <w:r>
              <w:rPr>
                <w:rFonts w:hint="eastAsia" w:ascii="宋体" w:hAnsi="宋体" w:cs="宋体"/>
                <w:kern w:val="0"/>
                <w:sz w:val="24"/>
              </w:rPr>
              <w:t>1、验收标准、验收程序：参照2.15.1所述内容；</w:t>
            </w:r>
          </w:p>
          <w:p>
            <w:pPr>
              <w:adjustRightInd/>
              <w:spacing w:line="460" w:lineRule="exact"/>
              <w:rPr>
                <w:rFonts w:hint="eastAsia" w:ascii="宋体" w:hAnsi="宋体" w:cs="宋体"/>
                <w:kern w:val="0"/>
                <w:sz w:val="24"/>
              </w:rPr>
            </w:pPr>
            <w:r>
              <w:rPr>
                <w:rFonts w:hint="eastAsia" w:ascii="宋体" w:hAnsi="宋体" w:cs="宋体"/>
                <w:kern w:val="0"/>
                <w:sz w:val="24"/>
              </w:rPr>
              <w:t>2、验收书的效力以最终验收意见为准。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adjustRightInd/>
              <w:spacing w:line="460" w:lineRule="exact"/>
              <w:jc w:val="center"/>
              <w:rPr>
                <w:rFonts w:hint="eastAsia" w:ascii="宋体" w:hAnsi="宋体" w:cs="宋体"/>
                <w:kern w:val="0"/>
                <w:sz w:val="24"/>
              </w:rPr>
            </w:pPr>
            <w:r>
              <w:rPr>
                <w:rFonts w:ascii="宋体" w:hAnsi="宋体" w:cs="宋体"/>
                <w:kern w:val="0"/>
                <w:sz w:val="24"/>
              </w:rPr>
              <w:t>2.19</w:t>
            </w:r>
          </w:p>
        </w:tc>
        <w:tc>
          <w:tcPr>
            <w:tcW w:w="8300" w:type="dxa"/>
            <w:vAlign w:val="center"/>
          </w:tcPr>
          <w:p>
            <w:pPr>
              <w:adjustRightInd/>
              <w:spacing w:line="460" w:lineRule="exact"/>
              <w:rPr>
                <w:rFonts w:hint="eastAsia" w:ascii="宋体" w:hAnsi="宋体" w:cs="宋体"/>
                <w:kern w:val="0"/>
                <w:sz w:val="24"/>
              </w:rPr>
            </w:pPr>
            <w:r>
              <w:rPr>
                <w:rFonts w:hint="eastAsia" w:ascii="宋体" w:hAnsi="宋体" w:cs="宋体"/>
                <w:kern w:val="0"/>
                <w:sz w:val="24"/>
              </w:rPr>
              <w:t>本合同一式</w:t>
            </w:r>
            <w:r>
              <w:rPr>
                <w:rFonts w:hint="eastAsia" w:ascii="宋体" w:hAnsi="宋体" w:cs="宋体"/>
                <w:kern w:val="0"/>
                <w:sz w:val="24"/>
                <w:lang w:val="en-US" w:eastAsia="zh-CN"/>
              </w:rPr>
              <w:t>陆</w:t>
            </w:r>
            <w:r>
              <w:rPr>
                <w:rFonts w:hint="eastAsia" w:ascii="宋体" w:hAnsi="宋体" w:cs="宋体"/>
                <w:kern w:val="0"/>
                <w:sz w:val="24"/>
              </w:rPr>
              <w:t>份，甲方</w:t>
            </w:r>
            <w:r>
              <w:rPr>
                <w:rFonts w:hint="eastAsia" w:ascii="宋体" w:hAnsi="宋体" w:cs="宋体"/>
                <w:kern w:val="0"/>
                <w:sz w:val="24"/>
                <w:lang w:val="en-US" w:eastAsia="zh-CN"/>
              </w:rPr>
              <w:t>叁</w:t>
            </w:r>
            <w:r>
              <w:rPr>
                <w:rFonts w:hint="eastAsia" w:ascii="宋体" w:hAnsi="宋体" w:cs="宋体"/>
                <w:kern w:val="0"/>
                <w:sz w:val="24"/>
              </w:rPr>
              <w:t>份，乙方</w:t>
            </w:r>
            <w:r>
              <w:rPr>
                <w:rFonts w:hint="eastAsia" w:ascii="宋体" w:hAnsi="宋体" w:cs="宋体"/>
                <w:kern w:val="0"/>
                <w:sz w:val="24"/>
                <w:lang w:val="en-US" w:eastAsia="zh-CN"/>
              </w:rPr>
              <w:t>叁</w:t>
            </w:r>
            <w:r>
              <w:rPr>
                <w:rFonts w:hint="eastAsia" w:ascii="宋体" w:hAnsi="宋体" w:cs="宋体"/>
                <w:kern w:val="0"/>
                <w:sz w:val="24"/>
              </w:rPr>
              <w:t>份。</w:t>
            </w:r>
          </w:p>
        </w:tc>
      </w:tr>
    </w:tbl>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hint="eastAsia" w:cs="仿宋" w:asciiTheme="minorEastAsia" w:hAnsiTheme="minorEastAsia"/>
          <w:b/>
          <w:szCs w:val="24"/>
          <w:highlight w:val="none"/>
          <w:lang w:val="en-US"/>
        </w:rPr>
      </w:pPr>
    </w:p>
    <w:p>
      <w:pPr>
        <w:pStyle w:val="25"/>
        <w:jc w:val="center"/>
        <w:outlineLvl w:val="1"/>
        <w:rPr>
          <w:rFonts w:cs="仿宋" w:asciiTheme="minorEastAsia" w:hAnsiTheme="minorEastAsia"/>
          <w:b/>
          <w:szCs w:val="24"/>
          <w:highlight w:val="none"/>
          <w:lang w:val="en-US"/>
        </w:rPr>
      </w:pPr>
      <w:r>
        <w:rPr>
          <w:rFonts w:hint="eastAsia" w:cs="仿宋" w:asciiTheme="minorEastAsia" w:hAnsiTheme="minorEastAsia"/>
          <w:b/>
          <w:szCs w:val="24"/>
          <w:highlight w:val="none"/>
          <w:lang w:val="en-US"/>
        </w:rPr>
        <w:t>保密协议</w:t>
      </w:r>
    </w:p>
    <w:p>
      <w:pPr>
        <w:widowControl/>
        <w:shd w:val="clear" w:color="auto" w:fill="FFFFFF"/>
        <w:snapToGrid w:val="0"/>
        <w:spacing w:line="360" w:lineRule="auto"/>
        <w:ind w:firstLine="480" w:firstLineChars="200"/>
        <w:rPr>
          <w:rFonts w:hint="eastAsia" w:eastAsia="宋体" w:cs="仿宋" w:asciiTheme="minorEastAsia" w:hAnsiTheme="minorEastAsia"/>
          <w:kern w:val="0"/>
          <w:sz w:val="24"/>
          <w:highlight w:val="none"/>
          <w:lang w:eastAsia="zh-CN"/>
        </w:rPr>
      </w:pPr>
      <w:r>
        <w:rPr>
          <w:rFonts w:hint="eastAsia" w:cs="仿宋" w:asciiTheme="minorEastAsia" w:hAnsiTheme="minorEastAsia"/>
          <w:kern w:val="0"/>
          <w:sz w:val="24"/>
          <w:highlight w:val="none"/>
        </w:rPr>
        <w:t>甲方：</w:t>
      </w:r>
      <w:r>
        <w:rPr>
          <w:rFonts w:hint="eastAsia" w:cs="仿宋" w:asciiTheme="minorEastAsia" w:hAnsiTheme="minorEastAsia"/>
          <w:kern w:val="0"/>
          <w:sz w:val="24"/>
          <w:highlight w:val="none"/>
          <w:lang w:eastAsia="zh-CN"/>
        </w:rPr>
        <w:t>杭州市拱墅区住房和城市建设局</w:t>
      </w:r>
    </w:p>
    <w:p>
      <w:pPr>
        <w:widowControl/>
        <w:shd w:val="clear" w:color="auto" w:fill="FFFFFF"/>
        <w:snapToGrid w:val="0"/>
        <w:spacing w:line="360" w:lineRule="auto"/>
        <w:ind w:firstLine="480" w:firstLineChars="200"/>
        <w:rPr>
          <w:rFonts w:cs="仿宋" w:asciiTheme="minorEastAsia" w:hAnsiTheme="minorEastAsia"/>
          <w:kern w:val="0"/>
          <w:sz w:val="24"/>
          <w:highlight w:val="none"/>
        </w:rPr>
      </w:pPr>
      <w:r>
        <w:rPr>
          <w:rFonts w:hint="eastAsia" w:cs="仿宋" w:asciiTheme="minorEastAsia" w:hAnsiTheme="minorEastAsia"/>
          <w:kern w:val="0"/>
          <w:sz w:val="24"/>
          <w:highlight w:val="none"/>
        </w:rPr>
        <w:t xml:space="preserve">乙方：  </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鉴于乙方受甲方委托承担</w:t>
      </w:r>
      <w:r>
        <w:rPr>
          <w:rFonts w:hint="eastAsia" w:cs="仿宋" w:asciiTheme="minorEastAsia" w:hAnsiTheme="minorEastAsia"/>
          <w:sz w:val="24"/>
          <w:highlight w:val="none"/>
          <w:u w:val="single"/>
        </w:rPr>
        <w:t xml:space="preserve"> </w:t>
      </w:r>
      <w:r>
        <w:rPr>
          <w:rFonts w:hint="eastAsia" w:cs="仿宋" w:asciiTheme="minorEastAsia" w:hAnsiTheme="minorEastAsia"/>
          <w:sz w:val="24"/>
          <w:highlight w:val="none"/>
          <w:u w:val="single"/>
          <w:lang w:eastAsia="zh-CN"/>
        </w:rPr>
        <w:t>区住建局智慧“助”建平台深化信创（2024年）项目</w:t>
      </w:r>
      <w:r>
        <w:rPr>
          <w:rFonts w:hint="eastAsia" w:cs="仿宋" w:asciiTheme="minorEastAsia" w:hAnsiTheme="minorEastAsia"/>
          <w:sz w:val="24"/>
          <w:highlight w:val="none"/>
          <w:u w:val="single"/>
        </w:rPr>
        <w:t>（招标编号：</w:t>
      </w:r>
      <w:r>
        <w:rPr>
          <w:rFonts w:hint="eastAsia" w:cs="仿宋" w:asciiTheme="minorEastAsia" w:hAnsiTheme="minorEastAsia"/>
          <w:sz w:val="24"/>
          <w:highlight w:val="none"/>
          <w:u w:val="single"/>
          <w:lang w:eastAsia="zh-CN"/>
        </w:rPr>
        <w:t>HCZX-24548</w:t>
      </w:r>
      <w:r>
        <w:rPr>
          <w:rFonts w:hint="eastAsia" w:cs="仿宋" w:asciiTheme="minorEastAsia" w:hAnsiTheme="minorEastAsia"/>
          <w:sz w:val="24"/>
          <w:highlight w:val="none"/>
          <w:u w:val="single"/>
        </w:rPr>
        <w:t>）</w:t>
      </w:r>
      <w:r>
        <w:rPr>
          <w:rFonts w:hint="eastAsia" w:cs="仿宋" w:asciiTheme="minorEastAsia" w:hAnsiTheme="minorEastAsia"/>
          <w:sz w:val="24"/>
          <w:highlight w:val="none"/>
        </w:rPr>
        <w:t>，根据《中华人民共和国网络安全法》等法律、法规和规章制度，乙方在项目建设、运行、维护过程中，须严格履行保密义务，现就信息保密事项达成以下协议：</w:t>
      </w:r>
    </w:p>
    <w:p>
      <w:pPr>
        <w:snapToGrid w:val="0"/>
        <w:spacing w:line="360" w:lineRule="auto"/>
        <w:ind w:firstLine="482" w:firstLineChars="200"/>
        <w:jc w:val="left"/>
        <w:outlineLvl w:val="1"/>
        <w:rPr>
          <w:rFonts w:cs="仿宋" w:asciiTheme="minorEastAsia" w:hAnsiTheme="minorEastAsia"/>
          <w:b/>
          <w:sz w:val="24"/>
          <w:highlight w:val="none"/>
        </w:rPr>
      </w:pPr>
      <w:r>
        <w:rPr>
          <w:rFonts w:hint="eastAsia" w:cs="仿宋" w:asciiTheme="minorEastAsia" w:hAnsiTheme="minorEastAsia"/>
          <w:b/>
          <w:sz w:val="24"/>
          <w:highlight w:val="none"/>
        </w:rPr>
        <w:t>一、保密信息</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1、本协议所称“保密信息”是指由甲方以任何形式（包括但不限于：书面，口头，或以样品、范本、计算机程序或其他形式）向乙方披露的任何信息和资料，以及乙方在工作中接触到的一切属于甲方的信息和资料。</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2、上述“保密信息”包括但不限于：</w:t>
      </w:r>
      <w:r>
        <w:rPr>
          <w:rFonts w:hint="eastAsia" w:cs="仿宋" w:asciiTheme="minorEastAsia" w:hAnsiTheme="minorEastAsia"/>
          <w:sz w:val="24"/>
          <w:highlight w:val="none"/>
          <w:u w:val="single"/>
        </w:rPr>
        <w:t xml:space="preserve">                     </w:t>
      </w:r>
      <w:r>
        <w:rPr>
          <w:rFonts w:hint="eastAsia" w:cs="仿宋" w:asciiTheme="minorEastAsia" w:hAnsiTheme="minorEastAsia"/>
          <w:sz w:val="24"/>
          <w:highlight w:val="none"/>
        </w:rPr>
        <w:t>等（以下统称“保密信息”）。</w:t>
      </w:r>
    </w:p>
    <w:p>
      <w:pPr>
        <w:snapToGrid w:val="0"/>
        <w:spacing w:line="360" w:lineRule="auto"/>
        <w:ind w:firstLine="482" w:firstLineChars="200"/>
        <w:jc w:val="left"/>
        <w:outlineLvl w:val="1"/>
        <w:rPr>
          <w:rFonts w:cs="仿宋" w:asciiTheme="minorEastAsia" w:hAnsiTheme="minorEastAsia"/>
          <w:b/>
          <w:sz w:val="24"/>
          <w:highlight w:val="none"/>
        </w:rPr>
      </w:pPr>
      <w:r>
        <w:rPr>
          <w:rFonts w:hint="eastAsia" w:cs="仿宋" w:asciiTheme="minorEastAsia" w:hAnsiTheme="minorEastAsia"/>
          <w:b/>
          <w:sz w:val="24"/>
          <w:highlight w:val="none"/>
        </w:rPr>
        <w:t>二、保密义务</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1、乙方从甲方获得所有保密信息，仅对保密信息具有使用权，而没有所有权、知识产权及解释权。</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2、甲方所披露的保密信息只能被乙方用于本项目的实施工作，未经甲方的事先书面批准，乙方不得直接或间接以任何形式或任何方式把保密信息披露、透露给任何第三方或者公开。</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3、乙方有义务妥善保管保密信息。乙方严格执行数据安全技术和防护管理措施，承诺采取合理的措施以保证保密信息不被泄露或者窃取、篡改。</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4、在甲方要求时，乙方应返还保密信息的所有原件、复印件、复制品及所有其他载有保密信息的载体，或依甲方的要求，销毁上述资料，并提供相关有效证明。</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5、乙方应当告知并以适当方式要求其参与本项工作或其他知悉本项目相关保密信息之雇员遵守本协议规定，乙方雇员向第三方披露保密信息，或依据该等保密信息向第三方做出任何建议，都被视为乙方违反本协议。乙方雇员调离、离职时，须上交资料，不得私自留存，并持续承担本协议约定的保密义务。</w:t>
      </w:r>
    </w:p>
    <w:p>
      <w:pPr>
        <w:snapToGrid w:val="0"/>
        <w:spacing w:line="360" w:lineRule="auto"/>
        <w:ind w:firstLine="480" w:firstLineChars="200"/>
        <w:jc w:val="left"/>
        <w:rPr>
          <w:rFonts w:asciiTheme="minorEastAsia" w:hAnsiTheme="minorEastAsia"/>
          <w:highlight w:val="none"/>
        </w:rPr>
      </w:pPr>
      <w:r>
        <w:rPr>
          <w:rFonts w:hint="eastAsia" w:cs="仿宋" w:asciiTheme="minorEastAsia" w:hAnsiTheme="minorEastAsia"/>
          <w:sz w:val="24"/>
          <w:highlight w:val="none"/>
        </w:rPr>
        <w:t>6、乙方参加本项目的所有人员必须与乙方签有正式的保密协议，并且该人员在知晓保密信息前应已充分了解本协议的内容</w:t>
      </w:r>
      <w:r>
        <w:rPr>
          <w:rFonts w:hint="eastAsia" w:cs="仿宋" w:asciiTheme="minorEastAsia" w:hAnsiTheme="minorEastAsia"/>
          <w:kern w:val="0"/>
          <w:sz w:val="24"/>
          <w:highlight w:val="none"/>
        </w:rPr>
        <w:t>。</w:t>
      </w:r>
    </w:p>
    <w:p>
      <w:pPr>
        <w:snapToGrid w:val="0"/>
        <w:spacing w:line="360" w:lineRule="auto"/>
        <w:ind w:firstLine="482" w:firstLineChars="200"/>
        <w:jc w:val="left"/>
        <w:outlineLvl w:val="1"/>
        <w:rPr>
          <w:rFonts w:cs="仿宋" w:asciiTheme="minorEastAsia" w:hAnsiTheme="minorEastAsia"/>
          <w:b/>
          <w:sz w:val="24"/>
          <w:highlight w:val="none"/>
        </w:rPr>
      </w:pPr>
      <w:r>
        <w:rPr>
          <w:rFonts w:hint="eastAsia" w:cs="仿宋" w:asciiTheme="minorEastAsia" w:hAnsiTheme="minorEastAsia"/>
          <w:b/>
          <w:sz w:val="24"/>
          <w:highlight w:val="none"/>
        </w:rPr>
        <w:t>三、保密措施</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乙方应当履行下列安全保护义务和保密措施，保障保密信息及相关设施系统免受干扰、破坏或者未经授权的访问，防止网络数据泄漏或者被窃取、篡改：</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1、制定内部安全管理制度和操作规程，严格身份认证和权限管理；</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2、采取技术措施，防范计算机病毒和网络攻击、网络侵入等危害网络安全行为；</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3、采取技术措施，监测、记录网络运行状态、网络安全事件，并按照规定留存相关的网络日志不少于六个月；</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4、采取数据分类、重要数据备份和加密认证等措施。</w:t>
      </w:r>
    </w:p>
    <w:p>
      <w:pPr>
        <w:snapToGrid w:val="0"/>
        <w:spacing w:line="360" w:lineRule="auto"/>
        <w:ind w:firstLine="482" w:firstLineChars="200"/>
        <w:jc w:val="left"/>
        <w:outlineLvl w:val="1"/>
        <w:rPr>
          <w:rFonts w:cs="仿宋" w:asciiTheme="minorEastAsia" w:hAnsiTheme="minorEastAsia"/>
          <w:b/>
          <w:sz w:val="24"/>
          <w:highlight w:val="none"/>
        </w:rPr>
      </w:pPr>
      <w:r>
        <w:rPr>
          <w:rFonts w:hint="eastAsia" w:cs="仿宋" w:asciiTheme="minorEastAsia" w:hAnsiTheme="minorEastAsia"/>
          <w:b/>
          <w:sz w:val="24"/>
          <w:highlight w:val="none"/>
        </w:rPr>
        <w:t>四、违约责任</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乙方违反本协议任何规定，均视为违约，将根据情况进行问责。对出现重大数据安全事件，影响国家安全、社会秩序、公共利益、公民法人及其他组织的，将视情节轻重，追究法律责任。</w:t>
      </w:r>
    </w:p>
    <w:p>
      <w:pPr>
        <w:spacing w:line="360" w:lineRule="auto"/>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 xml:space="preserve">甲方（盖章）：                             乙方（盖章）：        </w:t>
      </w:r>
    </w:p>
    <w:p>
      <w:pPr>
        <w:spacing w:line="360" w:lineRule="auto"/>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 xml:space="preserve">法定代表人                                 法定代表人                 </w:t>
      </w:r>
    </w:p>
    <w:p>
      <w:pPr>
        <w:spacing w:line="360" w:lineRule="auto"/>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 xml:space="preserve">或受委托人（签字）：                     </w:t>
      </w:r>
      <w:r>
        <w:rPr>
          <w:rFonts w:hint="eastAsia" w:cs="仿宋" w:asciiTheme="minorEastAsia" w:hAnsiTheme="minorEastAsia"/>
          <w:sz w:val="24"/>
          <w:highlight w:val="none"/>
          <w:lang w:val="en"/>
        </w:rPr>
        <w:t xml:space="preserve"> </w:t>
      </w:r>
      <w:r>
        <w:rPr>
          <w:rFonts w:hint="eastAsia" w:cs="仿宋" w:asciiTheme="minorEastAsia" w:hAnsiTheme="minorEastAsia"/>
          <w:sz w:val="24"/>
          <w:highlight w:val="none"/>
        </w:rPr>
        <w:t xml:space="preserve"> 或受委托人（签字）：                  </w:t>
      </w:r>
    </w:p>
    <w:p>
      <w:pPr>
        <w:spacing w:line="360" w:lineRule="auto"/>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 xml:space="preserve">地址： </w:t>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 xml:space="preserve">         地址： </w:t>
      </w:r>
    </w:p>
    <w:p>
      <w:pPr>
        <w:rPr>
          <w:rFonts w:hint="eastAsia" w:ascii="宋体" w:hAnsi="宋体" w:cs="宋体"/>
          <w:b/>
          <w:color w:val="auto"/>
          <w:sz w:val="36"/>
          <w:szCs w:val="20"/>
          <w:highlight w:val="none"/>
        </w:rPr>
      </w:pPr>
      <w:r>
        <w:rPr>
          <w:rFonts w:hint="eastAsia" w:cs="仿宋" w:asciiTheme="minorEastAsia" w:hAnsiTheme="minorEastAsia"/>
          <w:sz w:val="24"/>
          <w:highlight w:val="none"/>
        </w:rPr>
        <w:t>签订日期：                                 签订日期：</w:t>
      </w:r>
      <w:r>
        <w:rPr>
          <w:rFonts w:hint="eastAsia"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8"/>
      <w:r>
        <w:rPr>
          <w:rFonts w:hint="eastAsia" w:ascii="宋体" w:hAnsi="宋体" w:cs="宋体"/>
          <w:b/>
          <w:color w:val="auto"/>
          <w:sz w:val="36"/>
          <w:szCs w:val="20"/>
          <w:highlight w:val="none"/>
        </w:rPr>
        <w:t xml:space="preserve"> </w:t>
      </w:r>
      <w:bookmarkEnd w:id="409"/>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杭州市拱墅区住房和城市建设局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区住建局智慧“助”建平台深化信创（2024年）项目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HCZX-24548</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杭州市拱墅区住房和城市建设局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区住建局智慧“助”建平台深化信创（2024年）项目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HCZX-24548</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24" w:name="_Hlk101257010"/>
      <w:r>
        <w:rPr>
          <w:rFonts w:hint="eastAsia" w:ascii="宋体" w:hAnsi="宋体" w:cs="宋体"/>
          <w:color w:val="auto"/>
          <w:sz w:val="24"/>
          <w:highlight w:val="none"/>
        </w:rPr>
        <w:t>（如果有)</w:t>
      </w:r>
      <w:bookmarkEnd w:id="524"/>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4"/>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杭州市拱墅区住房和城市建设局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区住建局智慧“助”建平台深化信创（2024年）项目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HCZX-24548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杭州市拱墅区住房和城市建设局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区住建局智慧“助”建平台深化信创（2024年）项目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HCZX-24548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3"/>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973"/>
        <w:gridCol w:w="789"/>
        <w:gridCol w:w="895"/>
        <w:gridCol w:w="1451"/>
        <w:gridCol w:w="1206"/>
        <w:gridCol w:w="1089"/>
        <w:gridCol w:w="1089"/>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7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服务范围</w:t>
            </w:r>
          </w:p>
        </w:tc>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项目负责人</w:t>
            </w: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服务</w:t>
            </w:r>
          </w:p>
          <w:p>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人数</w:t>
            </w: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杭州市拱墅区住房和城市建设局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杭州市拱墅区住房和城市建设局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区住建局智慧“助”建平台深化信创（2024年）项目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HCZX-24548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分项报价明细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25" w:name="OLE_LINK13"/>
      <w:bookmarkStart w:id="526" w:name="OLE_LINK14"/>
      <w:r>
        <w:rPr>
          <w:rFonts w:hint="eastAsia" w:ascii="宋体" w:hAnsi="宋体" w:cs="宋体"/>
          <w:b/>
          <w:color w:val="auto"/>
          <w:spacing w:val="6"/>
          <w:sz w:val="32"/>
          <w:szCs w:val="32"/>
          <w:highlight w:val="none"/>
        </w:rPr>
        <w:t>残疾人福利性单位声明函</w:t>
      </w:r>
    </w:p>
    <w:bookmarkEnd w:id="525"/>
    <w:bookmarkEnd w:id="526"/>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区住建局智慧“助”建平台深化信创（2024年）项目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杭州市拱墅区住房和城市建设局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华诚工程咨询集团有限公司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区住建局智慧“助”建平台深化信创（2024年）项目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HCZX-24548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区住建局智慧“助”建平台深化信创（2024年）项目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HCZX-24548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2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2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28"/>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9"/>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区住建局智慧“助”建平台深化信创（2024年）项目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HCZX-24548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杭州市拱墅区住房和城市建设局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区住建局智慧“助”建平台深化信创（2024年）项目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auto"/>
          <w:highlight w:val="none"/>
          <w:lang w:val="en-US"/>
        </w:rPr>
      </w:pPr>
    </w:p>
    <w:p>
      <w:pPr>
        <w:rPr>
          <w:rFonts w:ascii="宋体" w:hAnsi="宋体" w:eastAsia="宋体" w:cs="宋体"/>
          <w:color w:val="auto"/>
          <w:highlight w:val="none"/>
          <w:lang w:val="en-US"/>
        </w:rPr>
      </w:pPr>
    </w:p>
    <w:p>
      <w:pPr>
        <w:pStyle w:val="24"/>
        <w:rPr>
          <w:rFonts w:ascii="宋体" w:hAnsi="宋体" w:eastAsia="宋体" w:cs="宋体"/>
          <w:color w:val="auto"/>
          <w:highlight w:val="none"/>
          <w:lang w:val="en-US"/>
        </w:rPr>
      </w:pPr>
    </w:p>
    <w:p>
      <w:pPr>
        <w:rPr>
          <w:rFonts w:ascii="宋体" w:hAnsi="宋体" w:eastAsia="宋体" w:cs="宋体"/>
          <w:color w:val="auto"/>
          <w:highlight w:val="none"/>
          <w:lang w:val="en-US"/>
        </w:rPr>
      </w:pPr>
    </w:p>
    <w:p>
      <w:pPr>
        <w:pStyle w:val="24"/>
        <w:rPr>
          <w:rFonts w:ascii="宋体" w:hAnsi="宋体" w:eastAsia="宋体" w:cs="宋体"/>
          <w:color w:val="auto"/>
          <w:highlight w:val="none"/>
          <w:lang w:val="en-US"/>
        </w:rPr>
      </w:pPr>
    </w:p>
    <w:p>
      <w:pPr>
        <w:rPr>
          <w:rFonts w:ascii="宋体" w:hAnsi="宋体" w:eastAsia="宋体" w:cs="宋体"/>
          <w:color w:val="auto"/>
          <w:highlight w:val="none"/>
          <w:lang w:val="en-US"/>
        </w:rPr>
      </w:pPr>
    </w:p>
    <w:p>
      <w:pPr>
        <w:pStyle w:val="24"/>
        <w:rPr>
          <w:rFonts w:ascii="宋体" w:hAnsi="宋体" w:eastAsia="宋体" w:cs="宋体"/>
          <w:color w:val="auto"/>
          <w:highlight w:val="none"/>
          <w:lang w:val="en-US"/>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hint="eastAsia" w:ascii="宋体" w:hAnsi="宋体" w:cs="宋体"/>
          <w:b/>
          <w:sz w:val="36"/>
          <w:szCs w:val="20"/>
          <w:lang w:val="en-US" w:eastAsia="zh-CN"/>
        </w:rPr>
        <w:t>8</w:t>
      </w:r>
      <w:r>
        <w:rPr>
          <w:rFonts w:hint="eastAsia" w:ascii="宋体" w:hAnsi="宋体" w:cs="宋体"/>
          <w:b/>
          <w:sz w:val="36"/>
          <w:szCs w:val="20"/>
        </w:rPr>
        <w:t>：投入本项目团队人员情况表</w:t>
      </w:r>
    </w:p>
    <w:p>
      <w:pPr>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《项目团队人员情况表》</w:t>
      </w:r>
    </w:p>
    <w:tbl>
      <w:tblPr>
        <w:tblStyle w:val="66"/>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216"/>
        <w:gridCol w:w="915"/>
        <w:gridCol w:w="807"/>
        <w:gridCol w:w="1040"/>
        <w:gridCol w:w="2045"/>
        <w:gridCol w:w="1402"/>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Merge w:val="restart"/>
            <w:vAlign w:val="center"/>
          </w:tcPr>
          <w:p>
            <w:pPr>
              <w:pStyle w:val="24"/>
              <w:jc w:val="center"/>
              <w:rPr>
                <w:rFonts w:hint="default"/>
                <w:vertAlign w:val="baseline"/>
                <w:lang w:val="en-US" w:eastAsia="zh-CN"/>
              </w:rPr>
            </w:pPr>
            <w:r>
              <w:rPr>
                <w:rFonts w:hint="eastAsia"/>
                <w:vertAlign w:val="baseline"/>
                <w:lang w:val="en-US" w:eastAsia="zh-CN"/>
              </w:rPr>
              <w:t>序号</w:t>
            </w:r>
          </w:p>
        </w:tc>
        <w:tc>
          <w:tcPr>
            <w:tcW w:w="1216" w:type="dxa"/>
            <w:vMerge w:val="restart"/>
            <w:vAlign w:val="center"/>
          </w:tcPr>
          <w:p>
            <w:pPr>
              <w:pStyle w:val="24"/>
              <w:jc w:val="center"/>
              <w:rPr>
                <w:rFonts w:hint="default"/>
                <w:vertAlign w:val="baseline"/>
                <w:lang w:val="en-US" w:eastAsia="zh-CN"/>
              </w:rPr>
            </w:pPr>
            <w:r>
              <w:rPr>
                <w:rFonts w:hint="eastAsia"/>
                <w:vertAlign w:val="baseline"/>
                <w:lang w:val="en-US" w:eastAsia="zh-CN"/>
              </w:rPr>
              <w:t>职务</w:t>
            </w:r>
          </w:p>
        </w:tc>
        <w:tc>
          <w:tcPr>
            <w:tcW w:w="915" w:type="dxa"/>
            <w:vMerge w:val="restart"/>
            <w:vAlign w:val="center"/>
          </w:tcPr>
          <w:p>
            <w:pPr>
              <w:pStyle w:val="24"/>
              <w:jc w:val="center"/>
              <w:rPr>
                <w:rFonts w:hint="eastAsia" w:eastAsia="宋体"/>
                <w:vertAlign w:val="baseline"/>
                <w:lang w:val="en-US" w:eastAsia="zh-CN"/>
              </w:rPr>
            </w:pPr>
            <w:r>
              <w:rPr>
                <w:rFonts w:hint="eastAsia"/>
                <w:vertAlign w:val="baseline"/>
                <w:lang w:val="en-US" w:eastAsia="zh-CN"/>
              </w:rPr>
              <w:t>姓名</w:t>
            </w:r>
          </w:p>
        </w:tc>
        <w:tc>
          <w:tcPr>
            <w:tcW w:w="807" w:type="dxa"/>
            <w:vMerge w:val="restart"/>
            <w:vAlign w:val="center"/>
          </w:tcPr>
          <w:p>
            <w:pPr>
              <w:pStyle w:val="24"/>
              <w:jc w:val="center"/>
              <w:rPr>
                <w:rFonts w:hint="default" w:eastAsia="宋体"/>
                <w:vertAlign w:val="baseline"/>
                <w:lang w:val="en-US" w:eastAsia="zh-CN"/>
              </w:rPr>
            </w:pPr>
            <w:r>
              <w:rPr>
                <w:rFonts w:hint="eastAsia"/>
                <w:vertAlign w:val="baseline"/>
                <w:lang w:val="en-US" w:eastAsia="zh-CN"/>
              </w:rPr>
              <w:t>年龄</w:t>
            </w:r>
          </w:p>
        </w:tc>
        <w:tc>
          <w:tcPr>
            <w:tcW w:w="1040" w:type="dxa"/>
            <w:vMerge w:val="restart"/>
            <w:vAlign w:val="center"/>
          </w:tcPr>
          <w:p>
            <w:pPr>
              <w:pStyle w:val="24"/>
              <w:jc w:val="center"/>
              <w:rPr>
                <w:rFonts w:hint="default" w:eastAsia="宋体"/>
                <w:vertAlign w:val="baseline"/>
                <w:lang w:val="en-US" w:eastAsia="zh-CN"/>
              </w:rPr>
            </w:pPr>
            <w:r>
              <w:rPr>
                <w:rFonts w:hint="eastAsia"/>
                <w:vertAlign w:val="baseline"/>
                <w:lang w:val="en-US" w:eastAsia="zh-CN"/>
              </w:rPr>
              <w:t>职称</w:t>
            </w:r>
          </w:p>
        </w:tc>
        <w:tc>
          <w:tcPr>
            <w:tcW w:w="4690" w:type="dxa"/>
            <w:gridSpan w:val="3"/>
            <w:vAlign w:val="center"/>
          </w:tcPr>
          <w:p>
            <w:pPr>
              <w:pStyle w:val="24"/>
              <w:jc w:val="center"/>
              <w:rPr>
                <w:vertAlign w:val="baseline"/>
              </w:rPr>
            </w:pPr>
            <w:r>
              <w:rPr>
                <w:rFonts w:hint="eastAsia"/>
                <w:vertAlign w:val="baseline"/>
                <w:lang w:val="en-US" w:eastAsia="zh-CN"/>
              </w:rPr>
              <w:t>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Merge w:val="continue"/>
            <w:vAlign w:val="center"/>
          </w:tcPr>
          <w:p>
            <w:pPr>
              <w:pStyle w:val="24"/>
              <w:rPr>
                <w:vertAlign w:val="baseline"/>
              </w:rPr>
            </w:pPr>
          </w:p>
        </w:tc>
        <w:tc>
          <w:tcPr>
            <w:tcW w:w="1216" w:type="dxa"/>
            <w:vMerge w:val="continue"/>
            <w:vAlign w:val="center"/>
          </w:tcPr>
          <w:p>
            <w:pPr>
              <w:pStyle w:val="24"/>
              <w:rPr>
                <w:vertAlign w:val="baseline"/>
              </w:rPr>
            </w:pPr>
          </w:p>
        </w:tc>
        <w:tc>
          <w:tcPr>
            <w:tcW w:w="915" w:type="dxa"/>
            <w:vMerge w:val="continue"/>
            <w:vAlign w:val="center"/>
          </w:tcPr>
          <w:p>
            <w:pPr>
              <w:pStyle w:val="24"/>
              <w:rPr>
                <w:vertAlign w:val="baseline"/>
              </w:rPr>
            </w:pPr>
          </w:p>
        </w:tc>
        <w:tc>
          <w:tcPr>
            <w:tcW w:w="807" w:type="dxa"/>
            <w:vMerge w:val="continue"/>
            <w:vAlign w:val="center"/>
          </w:tcPr>
          <w:p>
            <w:pPr>
              <w:pStyle w:val="24"/>
              <w:rPr>
                <w:vertAlign w:val="baseline"/>
              </w:rPr>
            </w:pPr>
          </w:p>
        </w:tc>
        <w:tc>
          <w:tcPr>
            <w:tcW w:w="1040" w:type="dxa"/>
            <w:vMerge w:val="continue"/>
            <w:vAlign w:val="center"/>
          </w:tcPr>
          <w:p>
            <w:pPr>
              <w:pStyle w:val="24"/>
              <w:rPr>
                <w:vertAlign w:val="baseline"/>
              </w:rPr>
            </w:pPr>
          </w:p>
        </w:tc>
        <w:tc>
          <w:tcPr>
            <w:tcW w:w="2045" w:type="dxa"/>
            <w:vAlign w:val="center"/>
          </w:tcPr>
          <w:p>
            <w:pPr>
              <w:pStyle w:val="24"/>
              <w:jc w:val="center"/>
              <w:rPr>
                <w:rFonts w:hint="default" w:eastAsia="宋体"/>
                <w:vertAlign w:val="baseline"/>
                <w:lang w:val="en-US" w:eastAsia="zh-CN"/>
              </w:rPr>
            </w:pPr>
            <w:r>
              <w:rPr>
                <w:rFonts w:hint="eastAsia"/>
                <w:vertAlign w:val="baseline"/>
                <w:lang w:val="en-US" w:eastAsia="zh-CN"/>
              </w:rPr>
              <w:t>证书名称</w:t>
            </w:r>
          </w:p>
        </w:tc>
        <w:tc>
          <w:tcPr>
            <w:tcW w:w="1402" w:type="dxa"/>
            <w:vAlign w:val="center"/>
          </w:tcPr>
          <w:p>
            <w:pPr>
              <w:pStyle w:val="24"/>
              <w:jc w:val="center"/>
              <w:rPr>
                <w:rFonts w:hint="eastAsia" w:eastAsia="宋体"/>
                <w:vertAlign w:val="baseline"/>
                <w:lang w:val="en-US" w:eastAsia="zh-CN"/>
              </w:rPr>
            </w:pPr>
            <w:r>
              <w:rPr>
                <w:rFonts w:hint="eastAsia"/>
                <w:vertAlign w:val="baseline"/>
                <w:lang w:val="en-US" w:eastAsia="zh-CN"/>
              </w:rPr>
              <w:t>专业/级别</w:t>
            </w:r>
          </w:p>
        </w:tc>
        <w:tc>
          <w:tcPr>
            <w:tcW w:w="1243" w:type="dxa"/>
            <w:vAlign w:val="center"/>
          </w:tcPr>
          <w:p>
            <w:pPr>
              <w:pStyle w:val="24"/>
              <w:jc w:val="center"/>
              <w:rPr>
                <w:rFonts w:hint="default"/>
                <w:vertAlign w:val="baseline"/>
                <w:lang w:val="en-US" w:eastAsia="zh-CN"/>
              </w:rPr>
            </w:pPr>
            <w:r>
              <w:rPr>
                <w:rFonts w:hint="eastAsia"/>
                <w:vertAlign w:val="baseline"/>
                <w:lang w:val="en-US" w:eastAsia="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pStyle w:val="24"/>
              <w:rPr>
                <w:vertAlign w:val="baseline"/>
              </w:rPr>
            </w:pPr>
          </w:p>
        </w:tc>
        <w:tc>
          <w:tcPr>
            <w:tcW w:w="1216" w:type="dxa"/>
            <w:vAlign w:val="center"/>
          </w:tcPr>
          <w:p>
            <w:pPr>
              <w:pStyle w:val="24"/>
              <w:rPr>
                <w:vertAlign w:val="baseline"/>
              </w:rPr>
            </w:pPr>
          </w:p>
        </w:tc>
        <w:tc>
          <w:tcPr>
            <w:tcW w:w="915" w:type="dxa"/>
            <w:vAlign w:val="center"/>
          </w:tcPr>
          <w:p>
            <w:pPr>
              <w:pStyle w:val="24"/>
              <w:rPr>
                <w:vertAlign w:val="baseline"/>
              </w:rPr>
            </w:pPr>
          </w:p>
        </w:tc>
        <w:tc>
          <w:tcPr>
            <w:tcW w:w="807" w:type="dxa"/>
            <w:vAlign w:val="center"/>
          </w:tcPr>
          <w:p>
            <w:pPr>
              <w:pStyle w:val="24"/>
              <w:rPr>
                <w:vertAlign w:val="baseline"/>
              </w:rPr>
            </w:pPr>
          </w:p>
        </w:tc>
        <w:tc>
          <w:tcPr>
            <w:tcW w:w="1040" w:type="dxa"/>
            <w:vAlign w:val="center"/>
          </w:tcPr>
          <w:p>
            <w:pPr>
              <w:pStyle w:val="24"/>
              <w:rPr>
                <w:vertAlign w:val="baseline"/>
              </w:rPr>
            </w:pPr>
          </w:p>
        </w:tc>
        <w:tc>
          <w:tcPr>
            <w:tcW w:w="2045" w:type="dxa"/>
            <w:vAlign w:val="center"/>
          </w:tcPr>
          <w:p>
            <w:pPr>
              <w:pStyle w:val="24"/>
              <w:rPr>
                <w:rFonts w:hint="eastAsia"/>
                <w:vertAlign w:val="baseline"/>
                <w:lang w:val="en-US" w:eastAsia="zh-CN"/>
              </w:rPr>
            </w:pPr>
          </w:p>
        </w:tc>
        <w:tc>
          <w:tcPr>
            <w:tcW w:w="1402" w:type="dxa"/>
            <w:vAlign w:val="center"/>
          </w:tcPr>
          <w:p>
            <w:pPr>
              <w:pStyle w:val="24"/>
              <w:rPr>
                <w:rFonts w:hint="eastAsia"/>
                <w:vertAlign w:val="baseline"/>
                <w:lang w:val="en-US" w:eastAsia="zh-CN"/>
              </w:rPr>
            </w:pPr>
          </w:p>
        </w:tc>
        <w:tc>
          <w:tcPr>
            <w:tcW w:w="1243" w:type="dxa"/>
            <w:vAlign w:val="center"/>
          </w:tcPr>
          <w:p>
            <w:pPr>
              <w:pStyle w:val="24"/>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pStyle w:val="24"/>
              <w:rPr>
                <w:vertAlign w:val="baseline"/>
              </w:rPr>
            </w:pPr>
          </w:p>
        </w:tc>
        <w:tc>
          <w:tcPr>
            <w:tcW w:w="1216" w:type="dxa"/>
            <w:vAlign w:val="center"/>
          </w:tcPr>
          <w:p>
            <w:pPr>
              <w:pStyle w:val="24"/>
              <w:rPr>
                <w:vertAlign w:val="baseline"/>
              </w:rPr>
            </w:pPr>
          </w:p>
        </w:tc>
        <w:tc>
          <w:tcPr>
            <w:tcW w:w="915" w:type="dxa"/>
            <w:vAlign w:val="center"/>
          </w:tcPr>
          <w:p>
            <w:pPr>
              <w:pStyle w:val="24"/>
              <w:rPr>
                <w:vertAlign w:val="baseline"/>
              </w:rPr>
            </w:pPr>
          </w:p>
        </w:tc>
        <w:tc>
          <w:tcPr>
            <w:tcW w:w="807" w:type="dxa"/>
            <w:vAlign w:val="center"/>
          </w:tcPr>
          <w:p>
            <w:pPr>
              <w:pStyle w:val="24"/>
              <w:rPr>
                <w:vertAlign w:val="baseline"/>
              </w:rPr>
            </w:pPr>
          </w:p>
        </w:tc>
        <w:tc>
          <w:tcPr>
            <w:tcW w:w="1040" w:type="dxa"/>
            <w:vAlign w:val="center"/>
          </w:tcPr>
          <w:p>
            <w:pPr>
              <w:pStyle w:val="24"/>
              <w:rPr>
                <w:vertAlign w:val="baseline"/>
              </w:rPr>
            </w:pPr>
          </w:p>
        </w:tc>
        <w:tc>
          <w:tcPr>
            <w:tcW w:w="2045" w:type="dxa"/>
            <w:vAlign w:val="center"/>
          </w:tcPr>
          <w:p>
            <w:pPr>
              <w:pStyle w:val="24"/>
              <w:rPr>
                <w:rFonts w:hint="eastAsia"/>
                <w:vertAlign w:val="baseline"/>
                <w:lang w:val="en-US" w:eastAsia="zh-CN"/>
              </w:rPr>
            </w:pPr>
          </w:p>
        </w:tc>
        <w:tc>
          <w:tcPr>
            <w:tcW w:w="1402" w:type="dxa"/>
            <w:vAlign w:val="center"/>
          </w:tcPr>
          <w:p>
            <w:pPr>
              <w:pStyle w:val="24"/>
              <w:rPr>
                <w:rFonts w:hint="eastAsia"/>
                <w:vertAlign w:val="baseline"/>
                <w:lang w:val="en-US" w:eastAsia="zh-CN"/>
              </w:rPr>
            </w:pPr>
          </w:p>
        </w:tc>
        <w:tc>
          <w:tcPr>
            <w:tcW w:w="1243" w:type="dxa"/>
            <w:vAlign w:val="center"/>
          </w:tcPr>
          <w:p>
            <w:pPr>
              <w:pStyle w:val="24"/>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pStyle w:val="24"/>
              <w:rPr>
                <w:vertAlign w:val="baseline"/>
              </w:rPr>
            </w:pPr>
          </w:p>
        </w:tc>
        <w:tc>
          <w:tcPr>
            <w:tcW w:w="1216" w:type="dxa"/>
            <w:vAlign w:val="center"/>
          </w:tcPr>
          <w:p>
            <w:pPr>
              <w:pStyle w:val="24"/>
              <w:rPr>
                <w:vertAlign w:val="baseline"/>
              </w:rPr>
            </w:pPr>
          </w:p>
        </w:tc>
        <w:tc>
          <w:tcPr>
            <w:tcW w:w="915" w:type="dxa"/>
            <w:vAlign w:val="center"/>
          </w:tcPr>
          <w:p>
            <w:pPr>
              <w:pStyle w:val="24"/>
              <w:rPr>
                <w:vertAlign w:val="baseline"/>
              </w:rPr>
            </w:pPr>
          </w:p>
        </w:tc>
        <w:tc>
          <w:tcPr>
            <w:tcW w:w="807" w:type="dxa"/>
            <w:vAlign w:val="center"/>
          </w:tcPr>
          <w:p>
            <w:pPr>
              <w:pStyle w:val="24"/>
              <w:rPr>
                <w:vertAlign w:val="baseline"/>
              </w:rPr>
            </w:pPr>
          </w:p>
        </w:tc>
        <w:tc>
          <w:tcPr>
            <w:tcW w:w="1040" w:type="dxa"/>
            <w:vAlign w:val="center"/>
          </w:tcPr>
          <w:p>
            <w:pPr>
              <w:pStyle w:val="24"/>
              <w:rPr>
                <w:vertAlign w:val="baseline"/>
              </w:rPr>
            </w:pPr>
          </w:p>
        </w:tc>
        <w:tc>
          <w:tcPr>
            <w:tcW w:w="2045" w:type="dxa"/>
            <w:vAlign w:val="center"/>
          </w:tcPr>
          <w:p>
            <w:pPr>
              <w:pStyle w:val="24"/>
              <w:rPr>
                <w:rFonts w:hint="eastAsia"/>
                <w:vertAlign w:val="baseline"/>
                <w:lang w:val="en-US" w:eastAsia="zh-CN"/>
              </w:rPr>
            </w:pPr>
          </w:p>
        </w:tc>
        <w:tc>
          <w:tcPr>
            <w:tcW w:w="1402" w:type="dxa"/>
            <w:vAlign w:val="center"/>
          </w:tcPr>
          <w:p>
            <w:pPr>
              <w:pStyle w:val="24"/>
              <w:rPr>
                <w:rFonts w:hint="eastAsia"/>
                <w:vertAlign w:val="baseline"/>
                <w:lang w:val="en-US" w:eastAsia="zh-CN"/>
              </w:rPr>
            </w:pPr>
          </w:p>
        </w:tc>
        <w:tc>
          <w:tcPr>
            <w:tcW w:w="1243" w:type="dxa"/>
            <w:vAlign w:val="center"/>
          </w:tcPr>
          <w:p>
            <w:pPr>
              <w:pStyle w:val="24"/>
              <w:rPr>
                <w:rFonts w:hint="eastAsia"/>
                <w:vertAlign w:val="baseline"/>
                <w:lang w:val="en-US" w:eastAsia="zh-CN"/>
              </w:rPr>
            </w:pPr>
          </w:p>
        </w:tc>
      </w:tr>
    </w:tbl>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roman"/>
    <w:pitch w:val="default"/>
    <w:sig w:usb0="80000287" w:usb1="2ACF3C50" w:usb2="00000016" w:usb3="00000000" w:csb0="0004001F" w:csb1="00000000"/>
  </w:font>
  <w:font w:name="隶书">
    <w:panose1 w:val="02010509060101010101"/>
    <w:charset w:val="86"/>
    <w:family w:val="decorative"/>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roma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roman"/>
    <w:pitch w:val="default"/>
    <w:sig w:usb0="E1002EFF" w:usb1="C000605B" w:usb2="00000029" w:usb3="00000000" w:csb0="200101FF" w:csb1="20280000"/>
  </w:font>
  <w:font w:name="MS Sans Serif">
    <w:altName w:val="Sitka Text"/>
    <w:panose1 w:val="020B0500000000000000"/>
    <w:charset w:val="00"/>
    <w:family w:val="roman"/>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roman"/>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roman"/>
    <w:pitch w:val="default"/>
    <w:sig w:usb0="A00006FF" w:usb1="4000205B" w:usb2="00000010" w:usb3="00000000" w:csb0="2000019F" w:csb1="00000000"/>
  </w:font>
  <w:font w:name="ˎ̥">
    <w:altName w:val="微软雅黑"/>
    <w:panose1 w:val="00000000000000000000"/>
    <w:charset w:val="00"/>
    <w:family w:val="swiss"/>
    <w:pitch w:val="default"/>
    <w:sig w:usb0="00000000" w:usb1="00000000" w:usb2="00000000" w:usb3="00000000" w:csb0="00040001" w:csb1="00000000"/>
  </w:font>
  <w:font w:name="幼圆">
    <w:panose1 w:val="02010509060101010101"/>
    <w:charset w:val="86"/>
    <w:family w:val="decorative"/>
    <w:pitch w:val="default"/>
    <w:sig w:usb0="00000001" w:usb1="080E0000" w:usb2="00000000" w:usb3="00000000" w:csb0="00040000" w:csb1="00000000"/>
  </w:font>
  <w:font w:name="Arial Narrow">
    <w:panose1 w:val="020B0606020202030204"/>
    <w:charset w:val="00"/>
    <w:family w:val="roman"/>
    <w:pitch w:val="default"/>
    <w:sig w:usb0="00000287" w:usb1="00000800" w:usb2="00000000" w:usb3="00000000" w:csb0="2000009F" w:csb1="DFD70000"/>
  </w:font>
  <w:font w:name="FHLHE E+ Futura Bk">
    <w:altName w:val="宋体"/>
    <w:panose1 w:val="00000000000000000000"/>
    <w:charset w:val="86"/>
    <w:family w:val="roman"/>
    <w:pitch w:val="default"/>
    <w:sig w:usb0="00000000" w:usb1="00000000" w:usb2="00000010" w:usb3="00000000" w:csb0="00040000" w:csb1="00000000"/>
  </w:font>
  <w:font w:name="Arial (W1)">
    <w:altName w:val="Arial"/>
    <w:panose1 w:val="00000000000000000000"/>
    <w:charset w:val="00"/>
    <w:family w:val="roman"/>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roman"/>
    <w:pitch w:val="default"/>
    <w:sig w:usb0="00000000" w:usb1="00000000" w:usb2="00000000" w:usb3="00000000" w:csb0="00000093" w:csb1="00000000"/>
  </w:font>
  <w:font w:name="Cumberland">
    <w:altName w:val="微软雅黑"/>
    <w:panose1 w:val="00000000000000000000"/>
    <w:charset w:val="00"/>
    <w:family w:val="decorative"/>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roman"/>
    <w:pitch w:val="default"/>
    <w:sig w:usb0="00000000" w:usb1="00000000" w:usb2="00000000" w:usb3="00000000" w:csb0="000001FB" w:csb1="00000000"/>
  </w:font>
  <w:font w:name="Segoe UI">
    <w:panose1 w:val="020B0502040204020203"/>
    <w:charset w:val="00"/>
    <w:family w:val="roman"/>
    <w:pitch w:val="default"/>
    <w:sig w:usb0="E4002EFF" w:usb1="C000E47F" w:usb2="00000009" w:usb3="00000000" w:csb0="200001FF" w:csb1="00000000"/>
  </w:font>
  <w:font w:name="Latha">
    <w:altName w:val="Segoe Print"/>
    <w:panose1 w:val="020B0604020202020204"/>
    <w:charset w:val="01"/>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decorative"/>
    <w:pitch w:val="default"/>
    <w:sig w:usb0="00000203" w:usb1="288F0000" w:usb2="00000006" w:usb3="00000000" w:csb0="00040001" w:csb1="00000000"/>
  </w:font>
  <w:font w:name="Lucida Sans Unicode">
    <w:panose1 w:val="020B0602030504020204"/>
    <w:charset w:val="00"/>
    <w:family w:val="roman"/>
    <w:pitch w:val="default"/>
    <w:sig w:usb0="80001AFF" w:usb1="0000396B" w:usb2="00000000" w:usb3="00000000" w:csb0="200000BF" w:csb1="D7F70000"/>
  </w:font>
  <w:font w:name="Century Gothic">
    <w:panose1 w:val="020B0502020202020204"/>
    <w:charset w:val="00"/>
    <w:family w:val="roman"/>
    <w:pitch w:val="default"/>
    <w:sig w:usb0="00000287" w:usb1="00000000" w:usb2="00000000" w:usb3="00000000" w:csb0="2000009F" w:csb1="DFD70000"/>
  </w:font>
  <w:font w:name="Aldine401 BT">
    <w:altName w:val="Segoe Print"/>
    <w:panose1 w:val="00000000000000000000"/>
    <w:charset w:val="00"/>
    <w:family w:val="swiss"/>
    <w:pitch w:val="default"/>
    <w:sig w:usb0="00000000" w:usb1="00000000" w:usb2="00000000" w:usb3="00000000" w:csb0="00000011" w:csb1="00000000"/>
  </w:font>
  <w:font w:name=".PingFang SC">
    <w:altName w:val="PMingLiU-ExtB"/>
    <w:panose1 w:val="02020503050405090304"/>
    <w:charset w:val="00"/>
    <w:family w:val="decorative"/>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roman"/>
    <w:pitch w:val="default"/>
    <w:sig w:usb0="800001E3" w:usb1="1200FFEF" w:usb2="00040000" w:usb3="04000000" w:csb0="00000001" w:csb1="40000000"/>
  </w:font>
  <w:font w:name="MS Gothic">
    <w:panose1 w:val="020B0609070205080204"/>
    <w:charset w:val="80"/>
    <w:family w:val="decorative"/>
    <w:pitch w:val="default"/>
    <w:sig w:usb0="E00002FF" w:usb1="6AC7FDFB" w:usb2="08000012" w:usb3="00000000" w:csb0="4002009F" w:csb1="DFD70000"/>
  </w:font>
  <w:font w:name="MS Mincho">
    <w:altName w:val="Yu Gothic UI"/>
    <w:panose1 w:val="02020609040205080304"/>
    <w:charset w:val="80"/>
    <w:family w:val="swiss"/>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30" w:name="_Toc164085800"/>
    <w:bookmarkStart w:id="531" w:name="_Toc131845147"/>
    <w:bookmarkStart w:id="532" w:name="_Toc91899912"/>
    <w:bookmarkStart w:id="533" w:name="_Toc36110187"/>
    <w:r>
      <w:rPr>
        <w:rFonts w:hint="eastAsia" w:ascii="仿宋_GB2312" w:eastAsia="仿宋_GB2312"/>
        <w:kern w:val="0"/>
        <w:szCs w:val="21"/>
      </w:rPr>
      <w:t xml:space="preserve"> 页</w:t>
    </w:r>
    <w:bookmarkEnd w:id="530"/>
    <w:bookmarkEnd w:id="531"/>
    <w:bookmarkEnd w:id="532"/>
    <w:bookmarkEnd w:id="53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234EB"/>
    <w:multiLevelType w:val="singleLevel"/>
    <w:tmpl w:val="506234EB"/>
    <w:lvl w:ilvl="0" w:tentative="0">
      <w:start w:val="3"/>
      <w:numFmt w:val="decimal"/>
      <w:lvlText w:val="%1."/>
      <w:lvlJc w:val="left"/>
      <w:pPr>
        <w:tabs>
          <w:tab w:val="left" w:pos="312"/>
        </w:tabs>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zBkYjRiYmJiMWVkNzY5MjFmNGEyYTQ2M2Y3ZjcifQ=="/>
    <w:docVar w:name="KSO_WPS_MARK_KEY" w:val="0ba0c29a-ec3a-4de5-9ccd-114cee16b866"/>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968"/>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7B5"/>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274"/>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BE3"/>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285"/>
    <w:rsid w:val="00846033"/>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A55"/>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4D9"/>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6538"/>
    <w:rsid w:val="011F6449"/>
    <w:rsid w:val="011F71AE"/>
    <w:rsid w:val="01236AFB"/>
    <w:rsid w:val="012F5F9F"/>
    <w:rsid w:val="0149669C"/>
    <w:rsid w:val="01574EE6"/>
    <w:rsid w:val="016F283F"/>
    <w:rsid w:val="016F45ED"/>
    <w:rsid w:val="017240DE"/>
    <w:rsid w:val="018856AF"/>
    <w:rsid w:val="018A58CB"/>
    <w:rsid w:val="019F7441"/>
    <w:rsid w:val="01AF4C9B"/>
    <w:rsid w:val="01B34E22"/>
    <w:rsid w:val="01B37585"/>
    <w:rsid w:val="01B66AA1"/>
    <w:rsid w:val="01C761D7"/>
    <w:rsid w:val="01D55165"/>
    <w:rsid w:val="01D9415D"/>
    <w:rsid w:val="01DF6BF8"/>
    <w:rsid w:val="01EC2C57"/>
    <w:rsid w:val="01F1594A"/>
    <w:rsid w:val="01FD42EF"/>
    <w:rsid w:val="021D673F"/>
    <w:rsid w:val="02404952"/>
    <w:rsid w:val="025F0711"/>
    <w:rsid w:val="02680801"/>
    <w:rsid w:val="026B2E25"/>
    <w:rsid w:val="026D06DC"/>
    <w:rsid w:val="027619AC"/>
    <w:rsid w:val="02824D4D"/>
    <w:rsid w:val="029702A0"/>
    <w:rsid w:val="02A91D81"/>
    <w:rsid w:val="02D50DC8"/>
    <w:rsid w:val="02DC4B10"/>
    <w:rsid w:val="02DD76CE"/>
    <w:rsid w:val="02E62FD5"/>
    <w:rsid w:val="02F36323"/>
    <w:rsid w:val="02F43139"/>
    <w:rsid w:val="02F5619C"/>
    <w:rsid w:val="03200295"/>
    <w:rsid w:val="03231B33"/>
    <w:rsid w:val="0326446A"/>
    <w:rsid w:val="032D5555"/>
    <w:rsid w:val="032D650E"/>
    <w:rsid w:val="034A3564"/>
    <w:rsid w:val="036634D2"/>
    <w:rsid w:val="03681C3C"/>
    <w:rsid w:val="036C34DA"/>
    <w:rsid w:val="037E320E"/>
    <w:rsid w:val="038D16A3"/>
    <w:rsid w:val="03A013D6"/>
    <w:rsid w:val="03AA5DB1"/>
    <w:rsid w:val="03AA7B5F"/>
    <w:rsid w:val="03BE185C"/>
    <w:rsid w:val="03C246B4"/>
    <w:rsid w:val="03C56BE4"/>
    <w:rsid w:val="03C907D9"/>
    <w:rsid w:val="03CC21CB"/>
    <w:rsid w:val="03DD35E4"/>
    <w:rsid w:val="03F1578E"/>
    <w:rsid w:val="04076900"/>
    <w:rsid w:val="041A5A3B"/>
    <w:rsid w:val="042311BA"/>
    <w:rsid w:val="042B157A"/>
    <w:rsid w:val="044B1342"/>
    <w:rsid w:val="046D7C52"/>
    <w:rsid w:val="04731366"/>
    <w:rsid w:val="047D34C5"/>
    <w:rsid w:val="048E56D2"/>
    <w:rsid w:val="048F763B"/>
    <w:rsid w:val="0490144A"/>
    <w:rsid w:val="04903AFC"/>
    <w:rsid w:val="04904FA7"/>
    <w:rsid w:val="049F330E"/>
    <w:rsid w:val="04A95C70"/>
    <w:rsid w:val="04AA775C"/>
    <w:rsid w:val="04AF1889"/>
    <w:rsid w:val="04B14F1D"/>
    <w:rsid w:val="04F419D9"/>
    <w:rsid w:val="04F66F48"/>
    <w:rsid w:val="050339CA"/>
    <w:rsid w:val="050D4849"/>
    <w:rsid w:val="05251E14"/>
    <w:rsid w:val="052676B9"/>
    <w:rsid w:val="05281683"/>
    <w:rsid w:val="05353DA0"/>
    <w:rsid w:val="054F4E62"/>
    <w:rsid w:val="056106F1"/>
    <w:rsid w:val="05746676"/>
    <w:rsid w:val="0599432F"/>
    <w:rsid w:val="059C5BCD"/>
    <w:rsid w:val="05A16594"/>
    <w:rsid w:val="05A76A4C"/>
    <w:rsid w:val="05A7762D"/>
    <w:rsid w:val="05D90BCF"/>
    <w:rsid w:val="05FB6D97"/>
    <w:rsid w:val="05FE4192"/>
    <w:rsid w:val="060E5941"/>
    <w:rsid w:val="06110FAF"/>
    <w:rsid w:val="0616772D"/>
    <w:rsid w:val="06257970"/>
    <w:rsid w:val="063522A9"/>
    <w:rsid w:val="063A78C0"/>
    <w:rsid w:val="06493CA7"/>
    <w:rsid w:val="065546FA"/>
    <w:rsid w:val="065A6178"/>
    <w:rsid w:val="066E0683"/>
    <w:rsid w:val="066F1CF3"/>
    <w:rsid w:val="067C15A6"/>
    <w:rsid w:val="06930BB8"/>
    <w:rsid w:val="06952D48"/>
    <w:rsid w:val="06B56F46"/>
    <w:rsid w:val="06C13B3D"/>
    <w:rsid w:val="06C43629"/>
    <w:rsid w:val="06CB49BC"/>
    <w:rsid w:val="06E96BF0"/>
    <w:rsid w:val="07091040"/>
    <w:rsid w:val="070E2AFA"/>
    <w:rsid w:val="071719AF"/>
    <w:rsid w:val="07245D42"/>
    <w:rsid w:val="07264C62"/>
    <w:rsid w:val="07283BBC"/>
    <w:rsid w:val="072A113C"/>
    <w:rsid w:val="073E6168"/>
    <w:rsid w:val="07451DF6"/>
    <w:rsid w:val="07506C6F"/>
    <w:rsid w:val="076646E5"/>
    <w:rsid w:val="076D15CF"/>
    <w:rsid w:val="077010BF"/>
    <w:rsid w:val="0779354C"/>
    <w:rsid w:val="077C587C"/>
    <w:rsid w:val="07921036"/>
    <w:rsid w:val="079B25E0"/>
    <w:rsid w:val="07A86AAB"/>
    <w:rsid w:val="07C17B6D"/>
    <w:rsid w:val="07D01B5E"/>
    <w:rsid w:val="07F615C4"/>
    <w:rsid w:val="08061376"/>
    <w:rsid w:val="082425D6"/>
    <w:rsid w:val="08452D77"/>
    <w:rsid w:val="085409E1"/>
    <w:rsid w:val="086329D2"/>
    <w:rsid w:val="086401F8"/>
    <w:rsid w:val="08751CAA"/>
    <w:rsid w:val="087E4C40"/>
    <w:rsid w:val="08852948"/>
    <w:rsid w:val="088E3EF3"/>
    <w:rsid w:val="089A2898"/>
    <w:rsid w:val="089B6610"/>
    <w:rsid w:val="08A13C26"/>
    <w:rsid w:val="08A6123D"/>
    <w:rsid w:val="08A871D0"/>
    <w:rsid w:val="08A96637"/>
    <w:rsid w:val="08D66AD6"/>
    <w:rsid w:val="08DA33A3"/>
    <w:rsid w:val="08DB07BA"/>
    <w:rsid w:val="08E07D65"/>
    <w:rsid w:val="08E21B49"/>
    <w:rsid w:val="08E753B1"/>
    <w:rsid w:val="08E80F13"/>
    <w:rsid w:val="08EB6C4F"/>
    <w:rsid w:val="09102B5A"/>
    <w:rsid w:val="09322AD0"/>
    <w:rsid w:val="09335624"/>
    <w:rsid w:val="0944690F"/>
    <w:rsid w:val="094B1DE4"/>
    <w:rsid w:val="09535675"/>
    <w:rsid w:val="095F057D"/>
    <w:rsid w:val="09616F12"/>
    <w:rsid w:val="09642282"/>
    <w:rsid w:val="09733572"/>
    <w:rsid w:val="09772C16"/>
    <w:rsid w:val="097D1872"/>
    <w:rsid w:val="098353B5"/>
    <w:rsid w:val="09903C9B"/>
    <w:rsid w:val="099E1F14"/>
    <w:rsid w:val="09A339CE"/>
    <w:rsid w:val="09A92330"/>
    <w:rsid w:val="09AF5ECF"/>
    <w:rsid w:val="09B06B87"/>
    <w:rsid w:val="09B259BF"/>
    <w:rsid w:val="09C13146"/>
    <w:rsid w:val="09DE0562"/>
    <w:rsid w:val="09E04166"/>
    <w:rsid w:val="09F45FD8"/>
    <w:rsid w:val="09F61D50"/>
    <w:rsid w:val="09F63AFE"/>
    <w:rsid w:val="09F9539C"/>
    <w:rsid w:val="0A073F5D"/>
    <w:rsid w:val="0A0A75A9"/>
    <w:rsid w:val="0A173A74"/>
    <w:rsid w:val="0A1B3564"/>
    <w:rsid w:val="0A1C0718"/>
    <w:rsid w:val="0A3E36F7"/>
    <w:rsid w:val="0A3E7710"/>
    <w:rsid w:val="0A426D43"/>
    <w:rsid w:val="0A5B7E63"/>
    <w:rsid w:val="0A636CB9"/>
    <w:rsid w:val="0A71587A"/>
    <w:rsid w:val="0A79028B"/>
    <w:rsid w:val="0A894972"/>
    <w:rsid w:val="0AA374A5"/>
    <w:rsid w:val="0AAB7649"/>
    <w:rsid w:val="0AB063A2"/>
    <w:rsid w:val="0AB6328D"/>
    <w:rsid w:val="0ABC5606"/>
    <w:rsid w:val="0AE222D4"/>
    <w:rsid w:val="0AE41BA8"/>
    <w:rsid w:val="0AEE0C79"/>
    <w:rsid w:val="0B24469B"/>
    <w:rsid w:val="0B30404E"/>
    <w:rsid w:val="0B4C6C14"/>
    <w:rsid w:val="0B547599"/>
    <w:rsid w:val="0B554854"/>
    <w:rsid w:val="0B631A88"/>
    <w:rsid w:val="0B683D45"/>
    <w:rsid w:val="0B6B051B"/>
    <w:rsid w:val="0B7F3F11"/>
    <w:rsid w:val="0B7F7B23"/>
    <w:rsid w:val="0B882E7B"/>
    <w:rsid w:val="0B884417"/>
    <w:rsid w:val="0B9C6927"/>
    <w:rsid w:val="0BAD28E2"/>
    <w:rsid w:val="0BAD643E"/>
    <w:rsid w:val="0BBE689D"/>
    <w:rsid w:val="0BCB720C"/>
    <w:rsid w:val="0BD25EA5"/>
    <w:rsid w:val="0BD936D7"/>
    <w:rsid w:val="0BF6188C"/>
    <w:rsid w:val="0BF73C91"/>
    <w:rsid w:val="0BFE4EEC"/>
    <w:rsid w:val="0C0149DC"/>
    <w:rsid w:val="0C0544CC"/>
    <w:rsid w:val="0C170175"/>
    <w:rsid w:val="0C322DE7"/>
    <w:rsid w:val="0C3B618D"/>
    <w:rsid w:val="0C41302A"/>
    <w:rsid w:val="0C517711"/>
    <w:rsid w:val="0C571A41"/>
    <w:rsid w:val="0C5C1171"/>
    <w:rsid w:val="0C5E1CBC"/>
    <w:rsid w:val="0C615B50"/>
    <w:rsid w:val="0C7156BE"/>
    <w:rsid w:val="0C741652"/>
    <w:rsid w:val="0C8445DA"/>
    <w:rsid w:val="0C87121B"/>
    <w:rsid w:val="0C945850"/>
    <w:rsid w:val="0CA57A5D"/>
    <w:rsid w:val="0CB657C6"/>
    <w:rsid w:val="0CC007F7"/>
    <w:rsid w:val="0CC617AC"/>
    <w:rsid w:val="0CE51C08"/>
    <w:rsid w:val="0CE618DF"/>
    <w:rsid w:val="0CE85DBD"/>
    <w:rsid w:val="0CEB1914"/>
    <w:rsid w:val="0CFE707A"/>
    <w:rsid w:val="0D063BDA"/>
    <w:rsid w:val="0D08375F"/>
    <w:rsid w:val="0D1349C7"/>
    <w:rsid w:val="0D184CFB"/>
    <w:rsid w:val="0D1A3FA7"/>
    <w:rsid w:val="0D4A7419"/>
    <w:rsid w:val="0D7336B7"/>
    <w:rsid w:val="0D827401"/>
    <w:rsid w:val="0D84094E"/>
    <w:rsid w:val="0D86163D"/>
    <w:rsid w:val="0D8A00E9"/>
    <w:rsid w:val="0D8D589E"/>
    <w:rsid w:val="0D961154"/>
    <w:rsid w:val="0D9755F8"/>
    <w:rsid w:val="0DA01C73"/>
    <w:rsid w:val="0DA16476"/>
    <w:rsid w:val="0DA27AF9"/>
    <w:rsid w:val="0DAD0977"/>
    <w:rsid w:val="0DD63300"/>
    <w:rsid w:val="0DE545B5"/>
    <w:rsid w:val="0DEE0F90"/>
    <w:rsid w:val="0DF50604"/>
    <w:rsid w:val="0DF702FE"/>
    <w:rsid w:val="0E060E51"/>
    <w:rsid w:val="0E1529C0"/>
    <w:rsid w:val="0E1764AF"/>
    <w:rsid w:val="0E197DBB"/>
    <w:rsid w:val="0E2D7D0A"/>
    <w:rsid w:val="0E5604B2"/>
    <w:rsid w:val="0E6D5D79"/>
    <w:rsid w:val="0E866E01"/>
    <w:rsid w:val="0E8F2773"/>
    <w:rsid w:val="0E96765D"/>
    <w:rsid w:val="0E9D0089"/>
    <w:rsid w:val="0EB803EE"/>
    <w:rsid w:val="0EC73CBB"/>
    <w:rsid w:val="0EF94D4B"/>
    <w:rsid w:val="0F0C791F"/>
    <w:rsid w:val="0F4958DC"/>
    <w:rsid w:val="0F515DF7"/>
    <w:rsid w:val="0F596BA8"/>
    <w:rsid w:val="0F6248D2"/>
    <w:rsid w:val="0F693536"/>
    <w:rsid w:val="0F7B0511"/>
    <w:rsid w:val="0F7B76D9"/>
    <w:rsid w:val="0F816ACD"/>
    <w:rsid w:val="0F8C0A60"/>
    <w:rsid w:val="0F9832DB"/>
    <w:rsid w:val="0F9A4F2B"/>
    <w:rsid w:val="0FAC4C5F"/>
    <w:rsid w:val="0FBF1B9E"/>
    <w:rsid w:val="0FBF3FD2"/>
    <w:rsid w:val="0FBF7FF3"/>
    <w:rsid w:val="0FE4089C"/>
    <w:rsid w:val="0FF46D31"/>
    <w:rsid w:val="0FF705D0"/>
    <w:rsid w:val="0FFA00C0"/>
    <w:rsid w:val="10101691"/>
    <w:rsid w:val="10190546"/>
    <w:rsid w:val="103A670E"/>
    <w:rsid w:val="104D4694"/>
    <w:rsid w:val="104E5D16"/>
    <w:rsid w:val="105552F6"/>
    <w:rsid w:val="105C0433"/>
    <w:rsid w:val="10646583"/>
    <w:rsid w:val="106519DD"/>
    <w:rsid w:val="107D4B15"/>
    <w:rsid w:val="108654B0"/>
    <w:rsid w:val="108A3C80"/>
    <w:rsid w:val="10A06571"/>
    <w:rsid w:val="10A32505"/>
    <w:rsid w:val="10A83678"/>
    <w:rsid w:val="10C26171"/>
    <w:rsid w:val="10C36704"/>
    <w:rsid w:val="10D91A83"/>
    <w:rsid w:val="10DE353E"/>
    <w:rsid w:val="10F33360"/>
    <w:rsid w:val="10F7015B"/>
    <w:rsid w:val="10FC16EA"/>
    <w:rsid w:val="110F1D40"/>
    <w:rsid w:val="111927C8"/>
    <w:rsid w:val="111D5E14"/>
    <w:rsid w:val="111E393A"/>
    <w:rsid w:val="11266F33"/>
    <w:rsid w:val="114F1D45"/>
    <w:rsid w:val="115B2DE0"/>
    <w:rsid w:val="1173012A"/>
    <w:rsid w:val="11863EFF"/>
    <w:rsid w:val="118963A1"/>
    <w:rsid w:val="11AC7198"/>
    <w:rsid w:val="11BD3153"/>
    <w:rsid w:val="11C6522A"/>
    <w:rsid w:val="11E104CC"/>
    <w:rsid w:val="11E20309"/>
    <w:rsid w:val="11F24522"/>
    <w:rsid w:val="11FC1ECD"/>
    <w:rsid w:val="120668A8"/>
    <w:rsid w:val="120E39AF"/>
    <w:rsid w:val="1211524D"/>
    <w:rsid w:val="121818AB"/>
    <w:rsid w:val="12255233"/>
    <w:rsid w:val="122A024C"/>
    <w:rsid w:val="12411FD6"/>
    <w:rsid w:val="12530213"/>
    <w:rsid w:val="127723A9"/>
    <w:rsid w:val="12862074"/>
    <w:rsid w:val="12883966"/>
    <w:rsid w:val="12981050"/>
    <w:rsid w:val="129C720C"/>
    <w:rsid w:val="129E45B4"/>
    <w:rsid w:val="12C16C73"/>
    <w:rsid w:val="12D81596"/>
    <w:rsid w:val="12DA1AE3"/>
    <w:rsid w:val="12F47048"/>
    <w:rsid w:val="13072A44"/>
    <w:rsid w:val="132A0CBC"/>
    <w:rsid w:val="133D279D"/>
    <w:rsid w:val="13421B62"/>
    <w:rsid w:val="13561AB1"/>
    <w:rsid w:val="135F4BE2"/>
    <w:rsid w:val="138228A6"/>
    <w:rsid w:val="138F0B1F"/>
    <w:rsid w:val="139B1A0A"/>
    <w:rsid w:val="139D25C7"/>
    <w:rsid w:val="13A24CF6"/>
    <w:rsid w:val="13BB7B66"/>
    <w:rsid w:val="13BF3CE4"/>
    <w:rsid w:val="13C0517C"/>
    <w:rsid w:val="13EB21F9"/>
    <w:rsid w:val="141008D8"/>
    <w:rsid w:val="14125FE6"/>
    <w:rsid w:val="14412E4C"/>
    <w:rsid w:val="144D4C62"/>
    <w:rsid w:val="146D271E"/>
    <w:rsid w:val="14706BA3"/>
    <w:rsid w:val="14863CD0"/>
    <w:rsid w:val="14982588"/>
    <w:rsid w:val="149A5AD9"/>
    <w:rsid w:val="14A7619D"/>
    <w:rsid w:val="14F96B98"/>
    <w:rsid w:val="150536C3"/>
    <w:rsid w:val="150C1963"/>
    <w:rsid w:val="151447A0"/>
    <w:rsid w:val="151C4634"/>
    <w:rsid w:val="1546319C"/>
    <w:rsid w:val="15477903"/>
    <w:rsid w:val="154A6454"/>
    <w:rsid w:val="154B447A"/>
    <w:rsid w:val="155344FA"/>
    <w:rsid w:val="1557566D"/>
    <w:rsid w:val="15681628"/>
    <w:rsid w:val="156A53A0"/>
    <w:rsid w:val="15762120"/>
    <w:rsid w:val="15A44D56"/>
    <w:rsid w:val="15B8435D"/>
    <w:rsid w:val="15D849FF"/>
    <w:rsid w:val="15E22455"/>
    <w:rsid w:val="15E66600"/>
    <w:rsid w:val="160114A8"/>
    <w:rsid w:val="160E0421"/>
    <w:rsid w:val="16257519"/>
    <w:rsid w:val="162E461F"/>
    <w:rsid w:val="16810BF3"/>
    <w:rsid w:val="1699418F"/>
    <w:rsid w:val="16A8729C"/>
    <w:rsid w:val="16B33777"/>
    <w:rsid w:val="16BC70A7"/>
    <w:rsid w:val="16C6339E"/>
    <w:rsid w:val="16CF7BB0"/>
    <w:rsid w:val="16DA0303"/>
    <w:rsid w:val="16E41182"/>
    <w:rsid w:val="16EF58AD"/>
    <w:rsid w:val="16F21AF1"/>
    <w:rsid w:val="16F94C2D"/>
    <w:rsid w:val="170F61FF"/>
    <w:rsid w:val="172A128B"/>
    <w:rsid w:val="172F2D79"/>
    <w:rsid w:val="173043C7"/>
    <w:rsid w:val="17557BEF"/>
    <w:rsid w:val="175956CC"/>
    <w:rsid w:val="17872239"/>
    <w:rsid w:val="178D1819"/>
    <w:rsid w:val="17964021"/>
    <w:rsid w:val="17A76437"/>
    <w:rsid w:val="17A96653"/>
    <w:rsid w:val="17D15BAA"/>
    <w:rsid w:val="17D349C1"/>
    <w:rsid w:val="17E256C1"/>
    <w:rsid w:val="17E458DD"/>
    <w:rsid w:val="17E56F60"/>
    <w:rsid w:val="17F65611"/>
    <w:rsid w:val="182932F0"/>
    <w:rsid w:val="1830729E"/>
    <w:rsid w:val="185C36C6"/>
    <w:rsid w:val="18602A8A"/>
    <w:rsid w:val="1864257A"/>
    <w:rsid w:val="18673E19"/>
    <w:rsid w:val="1870062C"/>
    <w:rsid w:val="188111D5"/>
    <w:rsid w:val="18817102"/>
    <w:rsid w:val="18830A15"/>
    <w:rsid w:val="18852B28"/>
    <w:rsid w:val="188B3FAB"/>
    <w:rsid w:val="188B5321"/>
    <w:rsid w:val="188C070F"/>
    <w:rsid w:val="18954E2A"/>
    <w:rsid w:val="18A12CF5"/>
    <w:rsid w:val="18B3705E"/>
    <w:rsid w:val="18CE20EA"/>
    <w:rsid w:val="18EB0B35"/>
    <w:rsid w:val="18ED4079"/>
    <w:rsid w:val="18F217FA"/>
    <w:rsid w:val="18FD014C"/>
    <w:rsid w:val="19363F89"/>
    <w:rsid w:val="193E101D"/>
    <w:rsid w:val="19573E8D"/>
    <w:rsid w:val="197C1B46"/>
    <w:rsid w:val="19932372"/>
    <w:rsid w:val="199C7AF2"/>
    <w:rsid w:val="199D3F96"/>
    <w:rsid w:val="19A20DD5"/>
    <w:rsid w:val="19A60971"/>
    <w:rsid w:val="19AE03F1"/>
    <w:rsid w:val="19E75211"/>
    <w:rsid w:val="19EE2A43"/>
    <w:rsid w:val="1A071A03"/>
    <w:rsid w:val="1A077661"/>
    <w:rsid w:val="1A143B2C"/>
    <w:rsid w:val="1A1F16AE"/>
    <w:rsid w:val="1A226249"/>
    <w:rsid w:val="1A3B5C77"/>
    <w:rsid w:val="1A622AE9"/>
    <w:rsid w:val="1A9133CF"/>
    <w:rsid w:val="1A9609E5"/>
    <w:rsid w:val="1A984BAD"/>
    <w:rsid w:val="1A9C424D"/>
    <w:rsid w:val="1AA43102"/>
    <w:rsid w:val="1AB8220E"/>
    <w:rsid w:val="1AC03225"/>
    <w:rsid w:val="1AD31C39"/>
    <w:rsid w:val="1ADC6D40"/>
    <w:rsid w:val="1AE31E7C"/>
    <w:rsid w:val="1AE4166C"/>
    <w:rsid w:val="1AE856E5"/>
    <w:rsid w:val="1AED2CFB"/>
    <w:rsid w:val="1AF06CFB"/>
    <w:rsid w:val="1AF11B8D"/>
    <w:rsid w:val="1B11359C"/>
    <w:rsid w:val="1B245FF1"/>
    <w:rsid w:val="1B2A271F"/>
    <w:rsid w:val="1B4F12C0"/>
    <w:rsid w:val="1B530544"/>
    <w:rsid w:val="1B612DA1"/>
    <w:rsid w:val="1B6805D3"/>
    <w:rsid w:val="1B6A434C"/>
    <w:rsid w:val="1B713184"/>
    <w:rsid w:val="1B811695"/>
    <w:rsid w:val="1B8371BB"/>
    <w:rsid w:val="1B944F25"/>
    <w:rsid w:val="1BA209CF"/>
    <w:rsid w:val="1BB13D28"/>
    <w:rsid w:val="1BB4777D"/>
    <w:rsid w:val="1BBB4BA7"/>
    <w:rsid w:val="1BD75AB8"/>
    <w:rsid w:val="1C0459C2"/>
    <w:rsid w:val="1C1B3B4A"/>
    <w:rsid w:val="1C3B7A96"/>
    <w:rsid w:val="1C4E5A1B"/>
    <w:rsid w:val="1C56042C"/>
    <w:rsid w:val="1C623275"/>
    <w:rsid w:val="1C6E1C1A"/>
    <w:rsid w:val="1C80194D"/>
    <w:rsid w:val="1C88086E"/>
    <w:rsid w:val="1C8925AF"/>
    <w:rsid w:val="1C8B27CB"/>
    <w:rsid w:val="1C8F393E"/>
    <w:rsid w:val="1C9D42AD"/>
    <w:rsid w:val="1CA7512B"/>
    <w:rsid w:val="1CBB4733"/>
    <w:rsid w:val="1CBD04AB"/>
    <w:rsid w:val="1CC23D13"/>
    <w:rsid w:val="1CD324F5"/>
    <w:rsid w:val="1CEC2B3E"/>
    <w:rsid w:val="1D266CE1"/>
    <w:rsid w:val="1D3963AF"/>
    <w:rsid w:val="1D3A1AFC"/>
    <w:rsid w:val="1D6A673C"/>
    <w:rsid w:val="1D6E79F7"/>
    <w:rsid w:val="1D7274E7"/>
    <w:rsid w:val="1D85546D"/>
    <w:rsid w:val="1D9247AE"/>
    <w:rsid w:val="1DAF6046"/>
    <w:rsid w:val="1DB567EC"/>
    <w:rsid w:val="1DC13FCB"/>
    <w:rsid w:val="1DC87107"/>
    <w:rsid w:val="1DE5415D"/>
    <w:rsid w:val="1DF51A98"/>
    <w:rsid w:val="1E11610A"/>
    <w:rsid w:val="1E124827"/>
    <w:rsid w:val="1E195BB5"/>
    <w:rsid w:val="1E3B5B2B"/>
    <w:rsid w:val="1E3D060F"/>
    <w:rsid w:val="1E3D18A3"/>
    <w:rsid w:val="1E3F7D2E"/>
    <w:rsid w:val="1E4134E4"/>
    <w:rsid w:val="1E5062B3"/>
    <w:rsid w:val="1E523514"/>
    <w:rsid w:val="1E6A01BF"/>
    <w:rsid w:val="1E6A6411"/>
    <w:rsid w:val="1E714A66"/>
    <w:rsid w:val="1E802593"/>
    <w:rsid w:val="1E8474D2"/>
    <w:rsid w:val="1E890F8D"/>
    <w:rsid w:val="1E8B6156"/>
    <w:rsid w:val="1EA703CC"/>
    <w:rsid w:val="1EB7330C"/>
    <w:rsid w:val="1ECE699F"/>
    <w:rsid w:val="1EDB10BC"/>
    <w:rsid w:val="1F0A0FF3"/>
    <w:rsid w:val="1F17564D"/>
    <w:rsid w:val="1F2A4756"/>
    <w:rsid w:val="1F2B5BA0"/>
    <w:rsid w:val="1F533349"/>
    <w:rsid w:val="1F5771FF"/>
    <w:rsid w:val="1F66307C"/>
    <w:rsid w:val="1F6966C8"/>
    <w:rsid w:val="1FB77434"/>
    <w:rsid w:val="1FD52DD5"/>
    <w:rsid w:val="1FE3647B"/>
    <w:rsid w:val="1FE868A9"/>
    <w:rsid w:val="1FFE1506"/>
    <w:rsid w:val="20034907"/>
    <w:rsid w:val="20052895"/>
    <w:rsid w:val="20173E4B"/>
    <w:rsid w:val="20346CD6"/>
    <w:rsid w:val="204E48BC"/>
    <w:rsid w:val="20511636"/>
    <w:rsid w:val="20607ACB"/>
    <w:rsid w:val="208921B3"/>
    <w:rsid w:val="20973DEB"/>
    <w:rsid w:val="20AD0837"/>
    <w:rsid w:val="20B26522"/>
    <w:rsid w:val="20B44310"/>
    <w:rsid w:val="20B56069"/>
    <w:rsid w:val="20D67D8D"/>
    <w:rsid w:val="20F3093F"/>
    <w:rsid w:val="211116EB"/>
    <w:rsid w:val="21123EFE"/>
    <w:rsid w:val="21136EDB"/>
    <w:rsid w:val="2119654A"/>
    <w:rsid w:val="214159E8"/>
    <w:rsid w:val="214D44F3"/>
    <w:rsid w:val="216133FC"/>
    <w:rsid w:val="21717AB6"/>
    <w:rsid w:val="217D46AD"/>
    <w:rsid w:val="218B501C"/>
    <w:rsid w:val="2190618E"/>
    <w:rsid w:val="21B04A82"/>
    <w:rsid w:val="21BF6A73"/>
    <w:rsid w:val="21C10A3D"/>
    <w:rsid w:val="21C36564"/>
    <w:rsid w:val="21D56769"/>
    <w:rsid w:val="21E52EF3"/>
    <w:rsid w:val="21E77118"/>
    <w:rsid w:val="21FA2A4D"/>
    <w:rsid w:val="21FB5D7B"/>
    <w:rsid w:val="21FE57EE"/>
    <w:rsid w:val="220159BC"/>
    <w:rsid w:val="22015E94"/>
    <w:rsid w:val="22032E04"/>
    <w:rsid w:val="220B1C3D"/>
    <w:rsid w:val="221D1D20"/>
    <w:rsid w:val="22334A87"/>
    <w:rsid w:val="2245341D"/>
    <w:rsid w:val="225418B2"/>
    <w:rsid w:val="22791318"/>
    <w:rsid w:val="227E06DD"/>
    <w:rsid w:val="22BE6801"/>
    <w:rsid w:val="22C407E5"/>
    <w:rsid w:val="22CE51C0"/>
    <w:rsid w:val="22D514B6"/>
    <w:rsid w:val="22F34C27"/>
    <w:rsid w:val="230230BC"/>
    <w:rsid w:val="23241284"/>
    <w:rsid w:val="233500BF"/>
    <w:rsid w:val="23377FF7"/>
    <w:rsid w:val="235E6D9B"/>
    <w:rsid w:val="235F050E"/>
    <w:rsid w:val="236B425F"/>
    <w:rsid w:val="237A70F6"/>
    <w:rsid w:val="23836192"/>
    <w:rsid w:val="23865A9B"/>
    <w:rsid w:val="23901F29"/>
    <w:rsid w:val="239C0061"/>
    <w:rsid w:val="23A95D47"/>
    <w:rsid w:val="23B908A4"/>
    <w:rsid w:val="23B971BF"/>
    <w:rsid w:val="23C87E61"/>
    <w:rsid w:val="23CB5BA3"/>
    <w:rsid w:val="23DD1433"/>
    <w:rsid w:val="23E95BEF"/>
    <w:rsid w:val="23ED3D6C"/>
    <w:rsid w:val="23FD0064"/>
    <w:rsid w:val="24082954"/>
    <w:rsid w:val="24305A06"/>
    <w:rsid w:val="24455956"/>
    <w:rsid w:val="245375B0"/>
    <w:rsid w:val="245E07C6"/>
    <w:rsid w:val="24642C0A"/>
    <w:rsid w:val="24651B54"/>
    <w:rsid w:val="24877D1C"/>
    <w:rsid w:val="24B22173"/>
    <w:rsid w:val="24B95AD9"/>
    <w:rsid w:val="24BB2855"/>
    <w:rsid w:val="24BE24DA"/>
    <w:rsid w:val="24CF5825"/>
    <w:rsid w:val="24D663E6"/>
    <w:rsid w:val="24D77F2B"/>
    <w:rsid w:val="24E54A43"/>
    <w:rsid w:val="24E76A0D"/>
    <w:rsid w:val="250F7D12"/>
    <w:rsid w:val="252235A1"/>
    <w:rsid w:val="25494FD2"/>
    <w:rsid w:val="257D2ECD"/>
    <w:rsid w:val="2584425C"/>
    <w:rsid w:val="258B00E2"/>
    <w:rsid w:val="258D55E8"/>
    <w:rsid w:val="25A917A6"/>
    <w:rsid w:val="25BE27CC"/>
    <w:rsid w:val="25F74A5C"/>
    <w:rsid w:val="26031625"/>
    <w:rsid w:val="260929B3"/>
    <w:rsid w:val="2628662C"/>
    <w:rsid w:val="262D45DE"/>
    <w:rsid w:val="26404627"/>
    <w:rsid w:val="2641214D"/>
    <w:rsid w:val="265E2CFF"/>
    <w:rsid w:val="26871DC8"/>
    <w:rsid w:val="26914E82"/>
    <w:rsid w:val="26971D6D"/>
    <w:rsid w:val="26A53EF9"/>
    <w:rsid w:val="26A94201"/>
    <w:rsid w:val="26AC274F"/>
    <w:rsid w:val="26E52AD8"/>
    <w:rsid w:val="26E86A6C"/>
    <w:rsid w:val="27044A29"/>
    <w:rsid w:val="27125FA8"/>
    <w:rsid w:val="271D34C8"/>
    <w:rsid w:val="27427F2B"/>
    <w:rsid w:val="27457A1B"/>
    <w:rsid w:val="274719E5"/>
    <w:rsid w:val="275163C0"/>
    <w:rsid w:val="2753038A"/>
    <w:rsid w:val="276142BF"/>
    <w:rsid w:val="2762237B"/>
    <w:rsid w:val="276C4FA7"/>
    <w:rsid w:val="27743E5C"/>
    <w:rsid w:val="27783712"/>
    <w:rsid w:val="277F4CDB"/>
    <w:rsid w:val="27907362"/>
    <w:rsid w:val="27982240"/>
    <w:rsid w:val="27B23302"/>
    <w:rsid w:val="27B84691"/>
    <w:rsid w:val="27CC3C98"/>
    <w:rsid w:val="27E92A9C"/>
    <w:rsid w:val="27F8683B"/>
    <w:rsid w:val="28090A48"/>
    <w:rsid w:val="282B6C11"/>
    <w:rsid w:val="282D0BDB"/>
    <w:rsid w:val="28333E1D"/>
    <w:rsid w:val="28454BD6"/>
    <w:rsid w:val="28455253"/>
    <w:rsid w:val="28551971"/>
    <w:rsid w:val="285919D0"/>
    <w:rsid w:val="285B1C53"/>
    <w:rsid w:val="289F7086"/>
    <w:rsid w:val="28A70580"/>
    <w:rsid w:val="28C32028"/>
    <w:rsid w:val="28CC490F"/>
    <w:rsid w:val="28DE40AA"/>
    <w:rsid w:val="28E31299"/>
    <w:rsid w:val="28ED2118"/>
    <w:rsid w:val="28F811E9"/>
    <w:rsid w:val="293146FB"/>
    <w:rsid w:val="29345E77"/>
    <w:rsid w:val="293D4E4D"/>
    <w:rsid w:val="294C65AD"/>
    <w:rsid w:val="294D2BB7"/>
    <w:rsid w:val="29564161"/>
    <w:rsid w:val="296A19BB"/>
    <w:rsid w:val="29806583"/>
    <w:rsid w:val="298B3C4C"/>
    <w:rsid w:val="29B80978"/>
    <w:rsid w:val="29C40BB3"/>
    <w:rsid w:val="29F26D24"/>
    <w:rsid w:val="29FE0ED2"/>
    <w:rsid w:val="2A094D30"/>
    <w:rsid w:val="2A15033F"/>
    <w:rsid w:val="2A1662C1"/>
    <w:rsid w:val="2A187669"/>
    <w:rsid w:val="2A1C7367"/>
    <w:rsid w:val="2A24600D"/>
    <w:rsid w:val="2A2815FA"/>
    <w:rsid w:val="2A2878AC"/>
    <w:rsid w:val="2A30050E"/>
    <w:rsid w:val="2A443FBA"/>
    <w:rsid w:val="2A450056"/>
    <w:rsid w:val="2A5C57A7"/>
    <w:rsid w:val="2A5C7555"/>
    <w:rsid w:val="2A6D6092"/>
    <w:rsid w:val="2A7D76B4"/>
    <w:rsid w:val="2A8D3BB3"/>
    <w:rsid w:val="2A950CB9"/>
    <w:rsid w:val="2AAE58D7"/>
    <w:rsid w:val="2AB32EED"/>
    <w:rsid w:val="2AE65071"/>
    <w:rsid w:val="2B0D4CF3"/>
    <w:rsid w:val="2B2636BF"/>
    <w:rsid w:val="2B2A31B0"/>
    <w:rsid w:val="2B437463"/>
    <w:rsid w:val="2B560448"/>
    <w:rsid w:val="2B5E72FD"/>
    <w:rsid w:val="2B7807EE"/>
    <w:rsid w:val="2B7B1C5D"/>
    <w:rsid w:val="2B82123D"/>
    <w:rsid w:val="2B856638"/>
    <w:rsid w:val="2BA50BF7"/>
    <w:rsid w:val="2BB3023F"/>
    <w:rsid w:val="2BBF00EC"/>
    <w:rsid w:val="2BC37CFD"/>
    <w:rsid w:val="2BD5237F"/>
    <w:rsid w:val="2BE536CE"/>
    <w:rsid w:val="2BE758D9"/>
    <w:rsid w:val="2BF30AC7"/>
    <w:rsid w:val="2C09049E"/>
    <w:rsid w:val="2C0A653C"/>
    <w:rsid w:val="2C191F85"/>
    <w:rsid w:val="2C2C11A9"/>
    <w:rsid w:val="2C78619D"/>
    <w:rsid w:val="2C8114F5"/>
    <w:rsid w:val="2CA64AB8"/>
    <w:rsid w:val="2CE82D6F"/>
    <w:rsid w:val="2D1A0EBD"/>
    <w:rsid w:val="2D343236"/>
    <w:rsid w:val="2D3C075E"/>
    <w:rsid w:val="2D3C541C"/>
    <w:rsid w:val="2D5C161A"/>
    <w:rsid w:val="2D5C76E6"/>
    <w:rsid w:val="2D614E83"/>
    <w:rsid w:val="2D7050C6"/>
    <w:rsid w:val="2D8017EE"/>
    <w:rsid w:val="2D9B65E7"/>
    <w:rsid w:val="2DB11966"/>
    <w:rsid w:val="2DC21DC5"/>
    <w:rsid w:val="2DD13DB6"/>
    <w:rsid w:val="2DD15014"/>
    <w:rsid w:val="2DEF248E"/>
    <w:rsid w:val="2DF72DE4"/>
    <w:rsid w:val="2DFE26D1"/>
    <w:rsid w:val="2E0220AF"/>
    <w:rsid w:val="2E114AFB"/>
    <w:rsid w:val="2E2C4D13"/>
    <w:rsid w:val="2E4B082A"/>
    <w:rsid w:val="2E4C78E1"/>
    <w:rsid w:val="2E556795"/>
    <w:rsid w:val="2E5D4E86"/>
    <w:rsid w:val="2E5D790B"/>
    <w:rsid w:val="2E6D7F83"/>
    <w:rsid w:val="2E756E38"/>
    <w:rsid w:val="2E782484"/>
    <w:rsid w:val="2E9A3C18"/>
    <w:rsid w:val="2EA80FBB"/>
    <w:rsid w:val="2EAE40F8"/>
    <w:rsid w:val="2EBB0FEE"/>
    <w:rsid w:val="2EC63002"/>
    <w:rsid w:val="2EDA4EED"/>
    <w:rsid w:val="2EDD678B"/>
    <w:rsid w:val="2EDE2C2F"/>
    <w:rsid w:val="2EF57F78"/>
    <w:rsid w:val="2F0A3A24"/>
    <w:rsid w:val="2F0A6B38"/>
    <w:rsid w:val="2F407445"/>
    <w:rsid w:val="2F5051AF"/>
    <w:rsid w:val="2F601896"/>
    <w:rsid w:val="2F666780"/>
    <w:rsid w:val="2F805A94"/>
    <w:rsid w:val="2F9432ED"/>
    <w:rsid w:val="2F946CCB"/>
    <w:rsid w:val="2F947791"/>
    <w:rsid w:val="2FB971F8"/>
    <w:rsid w:val="2FBC45F2"/>
    <w:rsid w:val="2FD1009E"/>
    <w:rsid w:val="2FD25781"/>
    <w:rsid w:val="2FDC745C"/>
    <w:rsid w:val="2FF3270A"/>
    <w:rsid w:val="2FFD7934"/>
    <w:rsid w:val="30055F99"/>
    <w:rsid w:val="300B6EF0"/>
    <w:rsid w:val="30470360"/>
    <w:rsid w:val="30733ACD"/>
    <w:rsid w:val="308C3862"/>
    <w:rsid w:val="3091782D"/>
    <w:rsid w:val="309379D8"/>
    <w:rsid w:val="309A4933"/>
    <w:rsid w:val="30A270F7"/>
    <w:rsid w:val="30C143C7"/>
    <w:rsid w:val="30DF1478"/>
    <w:rsid w:val="30E87D95"/>
    <w:rsid w:val="30EC586F"/>
    <w:rsid w:val="31411253"/>
    <w:rsid w:val="314550B7"/>
    <w:rsid w:val="315E3BB3"/>
    <w:rsid w:val="319C6071"/>
    <w:rsid w:val="31AC537E"/>
    <w:rsid w:val="31BA7498"/>
    <w:rsid w:val="31BD2FCF"/>
    <w:rsid w:val="31E16592"/>
    <w:rsid w:val="31E3230A"/>
    <w:rsid w:val="31E3679B"/>
    <w:rsid w:val="31E732FD"/>
    <w:rsid w:val="31ED3189"/>
    <w:rsid w:val="31FD161E"/>
    <w:rsid w:val="320A3D3B"/>
    <w:rsid w:val="3234700A"/>
    <w:rsid w:val="323668DE"/>
    <w:rsid w:val="32517576"/>
    <w:rsid w:val="3281224F"/>
    <w:rsid w:val="32B06690"/>
    <w:rsid w:val="32BE5C2C"/>
    <w:rsid w:val="32C0287C"/>
    <w:rsid w:val="32CE4D68"/>
    <w:rsid w:val="32D00AE0"/>
    <w:rsid w:val="32E12CEE"/>
    <w:rsid w:val="32F72511"/>
    <w:rsid w:val="32FB6478"/>
    <w:rsid w:val="33263B3F"/>
    <w:rsid w:val="3333106F"/>
    <w:rsid w:val="333E653A"/>
    <w:rsid w:val="335D5A96"/>
    <w:rsid w:val="33680D19"/>
    <w:rsid w:val="336963EB"/>
    <w:rsid w:val="337C6572"/>
    <w:rsid w:val="33816EEB"/>
    <w:rsid w:val="339F04B3"/>
    <w:rsid w:val="33A87367"/>
    <w:rsid w:val="33B43F5E"/>
    <w:rsid w:val="33C07EE0"/>
    <w:rsid w:val="33E800AC"/>
    <w:rsid w:val="33EB55CD"/>
    <w:rsid w:val="33EC4C02"/>
    <w:rsid w:val="33F151B2"/>
    <w:rsid w:val="340145E2"/>
    <w:rsid w:val="34052A0C"/>
    <w:rsid w:val="340A6274"/>
    <w:rsid w:val="340D2360"/>
    <w:rsid w:val="3410665D"/>
    <w:rsid w:val="34211214"/>
    <w:rsid w:val="3428494C"/>
    <w:rsid w:val="342E63AB"/>
    <w:rsid w:val="34950E68"/>
    <w:rsid w:val="34986E94"/>
    <w:rsid w:val="34A71D15"/>
    <w:rsid w:val="34AF62C9"/>
    <w:rsid w:val="34B85CD0"/>
    <w:rsid w:val="34C74165"/>
    <w:rsid w:val="34CB4388"/>
    <w:rsid w:val="34D523DE"/>
    <w:rsid w:val="34D643A8"/>
    <w:rsid w:val="34D80120"/>
    <w:rsid w:val="34DF1788"/>
    <w:rsid w:val="34FA6E12"/>
    <w:rsid w:val="350741AE"/>
    <w:rsid w:val="354457B6"/>
    <w:rsid w:val="354D7158"/>
    <w:rsid w:val="355C2AFF"/>
    <w:rsid w:val="357F234A"/>
    <w:rsid w:val="358D5588"/>
    <w:rsid w:val="35956011"/>
    <w:rsid w:val="359B4A86"/>
    <w:rsid w:val="359D0A22"/>
    <w:rsid w:val="35B30245"/>
    <w:rsid w:val="35BE10C4"/>
    <w:rsid w:val="35EB3E83"/>
    <w:rsid w:val="35ED7BFB"/>
    <w:rsid w:val="36064819"/>
    <w:rsid w:val="360C5D4F"/>
    <w:rsid w:val="361138EA"/>
    <w:rsid w:val="36127662"/>
    <w:rsid w:val="361502FC"/>
    <w:rsid w:val="361E6007"/>
    <w:rsid w:val="362A49AB"/>
    <w:rsid w:val="363A3B40"/>
    <w:rsid w:val="363E1C58"/>
    <w:rsid w:val="364610BA"/>
    <w:rsid w:val="36513CE6"/>
    <w:rsid w:val="365302AE"/>
    <w:rsid w:val="36533F02"/>
    <w:rsid w:val="36607A0A"/>
    <w:rsid w:val="366E227C"/>
    <w:rsid w:val="366F2E0D"/>
    <w:rsid w:val="367B6A5C"/>
    <w:rsid w:val="368A71F8"/>
    <w:rsid w:val="369342FF"/>
    <w:rsid w:val="36987B67"/>
    <w:rsid w:val="36A74ADA"/>
    <w:rsid w:val="36AD60D5"/>
    <w:rsid w:val="36B224F9"/>
    <w:rsid w:val="36BD137C"/>
    <w:rsid w:val="36CC5A63"/>
    <w:rsid w:val="36D30B9F"/>
    <w:rsid w:val="36D861B6"/>
    <w:rsid w:val="36DF5796"/>
    <w:rsid w:val="36E0506A"/>
    <w:rsid w:val="36E56B24"/>
    <w:rsid w:val="36EC0CC9"/>
    <w:rsid w:val="36EC1C61"/>
    <w:rsid w:val="36F40B16"/>
    <w:rsid w:val="370A1FDB"/>
    <w:rsid w:val="370C40B1"/>
    <w:rsid w:val="37160A8C"/>
    <w:rsid w:val="372049A9"/>
    <w:rsid w:val="37227431"/>
    <w:rsid w:val="3724764D"/>
    <w:rsid w:val="373F410B"/>
    <w:rsid w:val="3747333B"/>
    <w:rsid w:val="376143FD"/>
    <w:rsid w:val="37695060"/>
    <w:rsid w:val="37873738"/>
    <w:rsid w:val="37A147F9"/>
    <w:rsid w:val="37BD53AB"/>
    <w:rsid w:val="37C36316"/>
    <w:rsid w:val="37E7460E"/>
    <w:rsid w:val="37EE7094"/>
    <w:rsid w:val="380F20AB"/>
    <w:rsid w:val="381F1BC2"/>
    <w:rsid w:val="38213B8C"/>
    <w:rsid w:val="38296C89"/>
    <w:rsid w:val="382B67B9"/>
    <w:rsid w:val="383002EB"/>
    <w:rsid w:val="38481119"/>
    <w:rsid w:val="38586797"/>
    <w:rsid w:val="385B0E4C"/>
    <w:rsid w:val="387B504A"/>
    <w:rsid w:val="38995E18"/>
    <w:rsid w:val="38B90269"/>
    <w:rsid w:val="38B95B73"/>
    <w:rsid w:val="38BC0149"/>
    <w:rsid w:val="38CA4224"/>
    <w:rsid w:val="38D64977"/>
    <w:rsid w:val="38D87D1C"/>
    <w:rsid w:val="390E2362"/>
    <w:rsid w:val="39227BBC"/>
    <w:rsid w:val="393B2A2C"/>
    <w:rsid w:val="394713D0"/>
    <w:rsid w:val="3949339B"/>
    <w:rsid w:val="39534219"/>
    <w:rsid w:val="395D29A2"/>
    <w:rsid w:val="39627FB8"/>
    <w:rsid w:val="39636459"/>
    <w:rsid w:val="396B7F6C"/>
    <w:rsid w:val="39706B79"/>
    <w:rsid w:val="397B107A"/>
    <w:rsid w:val="39B417A9"/>
    <w:rsid w:val="39CE1AF2"/>
    <w:rsid w:val="39FA4695"/>
    <w:rsid w:val="39FC5695"/>
    <w:rsid w:val="39FD3633"/>
    <w:rsid w:val="3A006D8E"/>
    <w:rsid w:val="3A053765"/>
    <w:rsid w:val="3A1439A9"/>
    <w:rsid w:val="3A3651E5"/>
    <w:rsid w:val="3A3F02FA"/>
    <w:rsid w:val="3A410516"/>
    <w:rsid w:val="3A5E2E76"/>
    <w:rsid w:val="3A744481"/>
    <w:rsid w:val="3A7E0E22"/>
    <w:rsid w:val="3A8279F1"/>
    <w:rsid w:val="3A8C7BEF"/>
    <w:rsid w:val="3A906246"/>
    <w:rsid w:val="3AB02FA5"/>
    <w:rsid w:val="3AF37A62"/>
    <w:rsid w:val="3AF86E26"/>
    <w:rsid w:val="3B0A0908"/>
    <w:rsid w:val="3B0D21A6"/>
    <w:rsid w:val="3B11613A"/>
    <w:rsid w:val="3B1A6712"/>
    <w:rsid w:val="3B1F0857"/>
    <w:rsid w:val="3B2349B7"/>
    <w:rsid w:val="3B312338"/>
    <w:rsid w:val="3B47390A"/>
    <w:rsid w:val="3B567FF1"/>
    <w:rsid w:val="3B581673"/>
    <w:rsid w:val="3B616CFF"/>
    <w:rsid w:val="3B6259F6"/>
    <w:rsid w:val="3B976654"/>
    <w:rsid w:val="3BA81779"/>
    <w:rsid w:val="3BC01EFC"/>
    <w:rsid w:val="3BC82C9D"/>
    <w:rsid w:val="3BC837E6"/>
    <w:rsid w:val="3BC94CDA"/>
    <w:rsid w:val="3BCA786A"/>
    <w:rsid w:val="3BD31E2F"/>
    <w:rsid w:val="3BDA29D0"/>
    <w:rsid w:val="3BF15831"/>
    <w:rsid w:val="3C105946"/>
    <w:rsid w:val="3C123F18"/>
    <w:rsid w:val="3C243C4B"/>
    <w:rsid w:val="3C37397E"/>
    <w:rsid w:val="3C406CD7"/>
    <w:rsid w:val="3C471448"/>
    <w:rsid w:val="3C5F759A"/>
    <w:rsid w:val="3C615EB2"/>
    <w:rsid w:val="3C6C525A"/>
    <w:rsid w:val="3C746980"/>
    <w:rsid w:val="3C917532"/>
    <w:rsid w:val="3CAF79B9"/>
    <w:rsid w:val="3CCE23CB"/>
    <w:rsid w:val="3CD17D17"/>
    <w:rsid w:val="3CFD6976"/>
    <w:rsid w:val="3D023F8C"/>
    <w:rsid w:val="3D0575D8"/>
    <w:rsid w:val="3D2959BD"/>
    <w:rsid w:val="3D3C7F39"/>
    <w:rsid w:val="3D440F09"/>
    <w:rsid w:val="3D4504A0"/>
    <w:rsid w:val="3D4520CB"/>
    <w:rsid w:val="3D672041"/>
    <w:rsid w:val="3D791D75"/>
    <w:rsid w:val="3D793B23"/>
    <w:rsid w:val="3D8734BB"/>
    <w:rsid w:val="3D9A11D4"/>
    <w:rsid w:val="3DA16D89"/>
    <w:rsid w:val="3DA364BE"/>
    <w:rsid w:val="3DA43295"/>
    <w:rsid w:val="3DBD4357"/>
    <w:rsid w:val="3DD671C7"/>
    <w:rsid w:val="3DDD67A7"/>
    <w:rsid w:val="3DE041CB"/>
    <w:rsid w:val="3DE96EFA"/>
    <w:rsid w:val="3DF064DB"/>
    <w:rsid w:val="3E0D48F6"/>
    <w:rsid w:val="3E1868B4"/>
    <w:rsid w:val="3E377251"/>
    <w:rsid w:val="3E377C66"/>
    <w:rsid w:val="3E42664B"/>
    <w:rsid w:val="3E5A7334"/>
    <w:rsid w:val="3E636CAD"/>
    <w:rsid w:val="3E704F26"/>
    <w:rsid w:val="3E7B5D6B"/>
    <w:rsid w:val="3E7E3AE6"/>
    <w:rsid w:val="3E843E66"/>
    <w:rsid w:val="3E8D1F7B"/>
    <w:rsid w:val="3E8E35FE"/>
    <w:rsid w:val="3E8F51FE"/>
    <w:rsid w:val="3E926F87"/>
    <w:rsid w:val="3E9A59DE"/>
    <w:rsid w:val="3EA03A5D"/>
    <w:rsid w:val="3EAF4836"/>
    <w:rsid w:val="3EC33DFA"/>
    <w:rsid w:val="3EC534C3"/>
    <w:rsid w:val="3EC762CD"/>
    <w:rsid w:val="3F060E16"/>
    <w:rsid w:val="3F197D45"/>
    <w:rsid w:val="3F1D1096"/>
    <w:rsid w:val="3F2521B4"/>
    <w:rsid w:val="3F2F0234"/>
    <w:rsid w:val="3F3917BB"/>
    <w:rsid w:val="3F4F1515"/>
    <w:rsid w:val="3F566811"/>
    <w:rsid w:val="3F634A8A"/>
    <w:rsid w:val="3F6363FE"/>
    <w:rsid w:val="3F6C1B91"/>
    <w:rsid w:val="3F756B8F"/>
    <w:rsid w:val="3F95482B"/>
    <w:rsid w:val="3F960246"/>
    <w:rsid w:val="3F966C0E"/>
    <w:rsid w:val="3F9A4950"/>
    <w:rsid w:val="3FA05CDE"/>
    <w:rsid w:val="3FB672B0"/>
    <w:rsid w:val="3FC76DC7"/>
    <w:rsid w:val="3FC86FEA"/>
    <w:rsid w:val="3FE94F8F"/>
    <w:rsid w:val="4019356B"/>
    <w:rsid w:val="401A339B"/>
    <w:rsid w:val="40271F5C"/>
    <w:rsid w:val="404142EE"/>
    <w:rsid w:val="40436D96"/>
    <w:rsid w:val="40460634"/>
    <w:rsid w:val="405745EF"/>
    <w:rsid w:val="40592157"/>
    <w:rsid w:val="406D3E12"/>
    <w:rsid w:val="406E1CAE"/>
    <w:rsid w:val="407C22A8"/>
    <w:rsid w:val="407E7DCE"/>
    <w:rsid w:val="409273D5"/>
    <w:rsid w:val="409E5168"/>
    <w:rsid w:val="40A0133A"/>
    <w:rsid w:val="40B13778"/>
    <w:rsid w:val="40C31A53"/>
    <w:rsid w:val="40C652D1"/>
    <w:rsid w:val="40ED4F53"/>
    <w:rsid w:val="40F24276"/>
    <w:rsid w:val="40F7192E"/>
    <w:rsid w:val="40FF545D"/>
    <w:rsid w:val="410067C8"/>
    <w:rsid w:val="41122E3B"/>
    <w:rsid w:val="411918A4"/>
    <w:rsid w:val="411E510D"/>
    <w:rsid w:val="41296B70"/>
    <w:rsid w:val="412F10C8"/>
    <w:rsid w:val="414601C0"/>
    <w:rsid w:val="414A4154"/>
    <w:rsid w:val="414F176A"/>
    <w:rsid w:val="415154E2"/>
    <w:rsid w:val="4171348E"/>
    <w:rsid w:val="41744D2D"/>
    <w:rsid w:val="418F0D2A"/>
    <w:rsid w:val="41A575DC"/>
    <w:rsid w:val="41B45A71"/>
    <w:rsid w:val="41CE6B33"/>
    <w:rsid w:val="41D01505"/>
    <w:rsid w:val="41D41C6F"/>
    <w:rsid w:val="41D852BC"/>
    <w:rsid w:val="41E00614"/>
    <w:rsid w:val="41F06AA9"/>
    <w:rsid w:val="41F516F2"/>
    <w:rsid w:val="421B164C"/>
    <w:rsid w:val="42206C63"/>
    <w:rsid w:val="422E312E"/>
    <w:rsid w:val="42474939"/>
    <w:rsid w:val="424B3CDF"/>
    <w:rsid w:val="424C3C57"/>
    <w:rsid w:val="42562684"/>
    <w:rsid w:val="425D3A13"/>
    <w:rsid w:val="42613FF3"/>
    <w:rsid w:val="42660D96"/>
    <w:rsid w:val="428242AC"/>
    <w:rsid w:val="428667D2"/>
    <w:rsid w:val="42A930FC"/>
    <w:rsid w:val="42B51AA1"/>
    <w:rsid w:val="42CD1CE0"/>
    <w:rsid w:val="42E1381E"/>
    <w:rsid w:val="42ED6459"/>
    <w:rsid w:val="42F04887"/>
    <w:rsid w:val="42FE58DD"/>
    <w:rsid w:val="430640AA"/>
    <w:rsid w:val="43101379"/>
    <w:rsid w:val="43104F29"/>
    <w:rsid w:val="43140575"/>
    <w:rsid w:val="43174B3D"/>
    <w:rsid w:val="432B3B11"/>
    <w:rsid w:val="43317379"/>
    <w:rsid w:val="433B01F8"/>
    <w:rsid w:val="434B790E"/>
    <w:rsid w:val="4360274F"/>
    <w:rsid w:val="43977AB6"/>
    <w:rsid w:val="43A3342B"/>
    <w:rsid w:val="43A833B4"/>
    <w:rsid w:val="43A86F10"/>
    <w:rsid w:val="43AD4526"/>
    <w:rsid w:val="43B21B3C"/>
    <w:rsid w:val="43B65AD0"/>
    <w:rsid w:val="43B835F7"/>
    <w:rsid w:val="43C77C27"/>
    <w:rsid w:val="43DE09EE"/>
    <w:rsid w:val="43E73EDC"/>
    <w:rsid w:val="44002FAD"/>
    <w:rsid w:val="44095C00"/>
    <w:rsid w:val="440E76BA"/>
    <w:rsid w:val="442A3DC9"/>
    <w:rsid w:val="44305883"/>
    <w:rsid w:val="443C4228"/>
    <w:rsid w:val="44485FAE"/>
    <w:rsid w:val="444936E4"/>
    <w:rsid w:val="44783773"/>
    <w:rsid w:val="449101DD"/>
    <w:rsid w:val="44AE67A8"/>
    <w:rsid w:val="44B85878"/>
    <w:rsid w:val="44C4421D"/>
    <w:rsid w:val="44C91833"/>
    <w:rsid w:val="44DC50C3"/>
    <w:rsid w:val="44DE1391"/>
    <w:rsid w:val="44F7014F"/>
    <w:rsid w:val="44FF7003"/>
    <w:rsid w:val="450D1720"/>
    <w:rsid w:val="45126D36"/>
    <w:rsid w:val="451B225C"/>
    <w:rsid w:val="452410C9"/>
    <w:rsid w:val="45317DFB"/>
    <w:rsid w:val="45442703"/>
    <w:rsid w:val="455C26A8"/>
    <w:rsid w:val="456D3CE4"/>
    <w:rsid w:val="456F1096"/>
    <w:rsid w:val="457479F1"/>
    <w:rsid w:val="4579042C"/>
    <w:rsid w:val="457F0571"/>
    <w:rsid w:val="457F1EF2"/>
    <w:rsid w:val="45851176"/>
    <w:rsid w:val="4588349D"/>
    <w:rsid w:val="45A831F7"/>
    <w:rsid w:val="45BC4EF4"/>
    <w:rsid w:val="45C63B94"/>
    <w:rsid w:val="45DB118D"/>
    <w:rsid w:val="460E7DA5"/>
    <w:rsid w:val="46107199"/>
    <w:rsid w:val="46144D30"/>
    <w:rsid w:val="46160AA8"/>
    <w:rsid w:val="461940F5"/>
    <w:rsid w:val="461F4717"/>
    <w:rsid w:val="4629258A"/>
    <w:rsid w:val="46422483"/>
    <w:rsid w:val="46517D32"/>
    <w:rsid w:val="4659254A"/>
    <w:rsid w:val="465B0637"/>
    <w:rsid w:val="465E3F0D"/>
    <w:rsid w:val="4662784A"/>
    <w:rsid w:val="4665558C"/>
    <w:rsid w:val="466A16E6"/>
    <w:rsid w:val="467F03FC"/>
    <w:rsid w:val="46893F2B"/>
    <w:rsid w:val="46911EDD"/>
    <w:rsid w:val="46916381"/>
    <w:rsid w:val="46BE21B7"/>
    <w:rsid w:val="46C4686E"/>
    <w:rsid w:val="46F30DEA"/>
    <w:rsid w:val="47064679"/>
    <w:rsid w:val="47084895"/>
    <w:rsid w:val="47503B46"/>
    <w:rsid w:val="47543636"/>
    <w:rsid w:val="475F022D"/>
    <w:rsid w:val="477B778F"/>
    <w:rsid w:val="478203EC"/>
    <w:rsid w:val="478832E0"/>
    <w:rsid w:val="478C61D5"/>
    <w:rsid w:val="47B025FA"/>
    <w:rsid w:val="47D77DC3"/>
    <w:rsid w:val="48054931"/>
    <w:rsid w:val="4809698F"/>
    <w:rsid w:val="480F57AF"/>
    <w:rsid w:val="4811697D"/>
    <w:rsid w:val="4812704D"/>
    <w:rsid w:val="482254E2"/>
    <w:rsid w:val="483376F0"/>
    <w:rsid w:val="483B65A4"/>
    <w:rsid w:val="48403BBB"/>
    <w:rsid w:val="48516FB5"/>
    <w:rsid w:val="48587156"/>
    <w:rsid w:val="485E04E5"/>
    <w:rsid w:val="4869465C"/>
    <w:rsid w:val="487A3E25"/>
    <w:rsid w:val="488937B4"/>
    <w:rsid w:val="488B5503"/>
    <w:rsid w:val="48937E21"/>
    <w:rsid w:val="48952158"/>
    <w:rsid w:val="489A0361"/>
    <w:rsid w:val="48A71E8C"/>
    <w:rsid w:val="48AB197C"/>
    <w:rsid w:val="48B94FF3"/>
    <w:rsid w:val="48C91E02"/>
    <w:rsid w:val="48E37AAB"/>
    <w:rsid w:val="48E64762"/>
    <w:rsid w:val="48E7672C"/>
    <w:rsid w:val="48E924A4"/>
    <w:rsid w:val="48FB0572"/>
    <w:rsid w:val="48FD4B4C"/>
    <w:rsid w:val="490A68E0"/>
    <w:rsid w:val="491055FE"/>
    <w:rsid w:val="492434DC"/>
    <w:rsid w:val="49276CD4"/>
    <w:rsid w:val="492D05E3"/>
    <w:rsid w:val="493F0316"/>
    <w:rsid w:val="49432A62"/>
    <w:rsid w:val="495A6EFE"/>
    <w:rsid w:val="495F5B3E"/>
    <w:rsid w:val="496F77D7"/>
    <w:rsid w:val="49757894"/>
    <w:rsid w:val="497654FD"/>
    <w:rsid w:val="497A75A0"/>
    <w:rsid w:val="499E503D"/>
    <w:rsid w:val="499E6DEB"/>
    <w:rsid w:val="49A63EF1"/>
    <w:rsid w:val="49B4660E"/>
    <w:rsid w:val="49B64211"/>
    <w:rsid w:val="49B900C8"/>
    <w:rsid w:val="49CF169A"/>
    <w:rsid w:val="49E56AF9"/>
    <w:rsid w:val="49F6167F"/>
    <w:rsid w:val="4A064FA0"/>
    <w:rsid w:val="4A162E25"/>
    <w:rsid w:val="4A16615C"/>
    <w:rsid w:val="4A331C29"/>
    <w:rsid w:val="4A403EEA"/>
    <w:rsid w:val="4A421332"/>
    <w:rsid w:val="4A4424D7"/>
    <w:rsid w:val="4A4A6F73"/>
    <w:rsid w:val="4A62250E"/>
    <w:rsid w:val="4A6F0787"/>
    <w:rsid w:val="4A8E50B1"/>
    <w:rsid w:val="4A987CDE"/>
    <w:rsid w:val="4A9B77CE"/>
    <w:rsid w:val="4AB64608"/>
    <w:rsid w:val="4AB82D0F"/>
    <w:rsid w:val="4AB83EDC"/>
    <w:rsid w:val="4AD25B53"/>
    <w:rsid w:val="4AD66A58"/>
    <w:rsid w:val="4AD827D0"/>
    <w:rsid w:val="4ADD7DE7"/>
    <w:rsid w:val="4AE747C1"/>
    <w:rsid w:val="4AEB7664"/>
    <w:rsid w:val="4AEF3676"/>
    <w:rsid w:val="4AFD7C19"/>
    <w:rsid w:val="4B0567D1"/>
    <w:rsid w:val="4B1C090F"/>
    <w:rsid w:val="4B1F2685"/>
    <w:rsid w:val="4B236AAE"/>
    <w:rsid w:val="4B241572"/>
    <w:rsid w:val="4B3F45FD"/>
    <w:rsid w:val="4B46598C"/>
    <w:rsid w:val="4B50680B"/>
    <w:rsid w:val="4B707271"/>
    <w:rsid w:val="4B9739F7"/>
    <w:rsid w:val="4B9A5CD8"/>
    <w:rsid w:val="4B9C55AC"/>
    <w:rsid w:val="4BA741F6"/>
    <w:rsid w:val="4BB52B12"/>
    <w:rsid w:val="4BD05255"/>
    <w:rsid w:val="4BD20FCE"/>
    <w:rsid w:val="4BD96800"/>
    <w:rsid w:val="4BE60F1D"/>
    <w:rsid w:val="4BEB02E1"/>
    <w:rsid w:val="4BEE2503"/>
    <w:rsid w:val="4BF61160"/>
    <w:rsid w:val="4BFA0524"/>
    <w:rsid w:val="4C245A30"/>
    <w:rsid w:val="4C371778"/>
    <w:rsid w:val="4C6F2CC0"/>
    <w:rsid w:val="4C742085"/>
    <w:rsid w:val="4C8524E4"/>
    <w:rsid w:val="4C8E75EA"/>
    <w:rsid w:val="4C8F3363"/>
    <w:rsid w:val="4C975D73"/>
    <w:rsid w:val="4CB6685F"/>
    <w:rsid w:val="4CC367FE"/>
    <w:rsid w:val="4CE03BBE"/>
    <w:rsid w:val="4CE4545C"/>
    <w:rsid w:val="4CFB09F8"/>
    <w:rsid w:val="4D0553D3"/>
    <w:rsid w:val="4D077F3C"/>
    <w:rsid w:val="4D090A1F"/>
    <w:rsid w:val="4D123355"/>
    <w:rsid w:val="4D13189E"/>
    <w:rsid w:val="4D132B73"/>
    <w:rsid w:val="4D2A3B31"/>
    <w:rsid w:val="4D312C52"/>
    <w:rsid w:val="4D3161C8"/>
    <w:rsid w:val="4D317F76"/>
    <w:rsid w:val="4D430005"/>
    <w:rsid w:val="4D5A74CD"/>
    <w:rsid w:val="4D665E71"/>
    <w:rsid w:val="4D7F5185"/>
    <w:rsid w:val="4D901140"/>
    <w:rsid w:val="4D905305"/>
    <w:rsid w:val="4D964A72"/>
    <w:rsid w:val="4D9C1254"/>
    <w:rsid w:val="4D9E1AAF"/>
    <w:rsid w:val="4DA62712"/>
    <w:rsid w:val="4DC25072"/>
    <w:rsid w:val="4DC62DB4"/>
    <w:rsid w:val="4DDA060D"/>
    <w:rsid w:val="4DE60D60"/>
    <w:rsid w:val="4DF15EB4"/>
    <w:rsid w:val="4E061402"/>
    <w:rsid w:val="4E10402F"/>
    <w:rsid w:val="4E165AE9"/>
    <w:rsid w:val="4E296E9F"/>
    <w:rsid w:val="4E4D0DDF"/>
    <w:rsid w:val="4E5B34FC"/>
    <w:rsid w:val="4E6525CD"/>
    <w:rsid w:val="4E6B0C17"/>
    <w:rsid w:val="4E793892"/>
    <w:rsid w:val="4E7E368F"/>
    <w:rsid w:val="4E800872"/>
    <w:rsid w:val="4EC569ED"/>
    <w:rsid w:val="4ECD3CCE"/>
    <w:rsid w:val="4ED50EA1"/>
    <w:rsid w:val="4EE51018"/>
    <w:rsid w:val="4EEC050C"/>
    <w:rsid w:val="4EED611E"/>
    <w:rsid w:val="4EF23735"/>
    <w:rsid w:val="4F005E52"/>
    <w:rsid w:val="4F0C63A5"/>
    <w:rsid w:val="4F104EC3"/>
    <w:rsid w:val="4F2953A8"/>
    <w:rsid w:val="4F3D70A6"/>
    <w:rsid w:val="4F440434"/>
    <w:rsid w:val="4F462E40"/>
    <w:rsid w:val="4F47354A"/>
    <w:rsid w:val="4F4E3586"/>
    <w:rsid w:val="4F587A3C"/>
    <w:rsid w:val="4F6C1739"/>
    <w:rsid w:val="4F911C54"/>
    <w:rsid w:val="4F9A44F8"/>
    <w:rsid w:val="4F9F566B"/>
    <w:rsid w:val="4FAD2684"/>
    <w:rsid w:val="4FAD5FDA"/>
    <w:rsid w:val="4FB31116"/>
    <w:rsid w:val="4FC96B8B"/>
    <w:rsid w:val="4FE625E0"/>
    <w:rsid w:val="50083210"/>
    <w:rsid w:val="50151DD1"/>
    <w:rsid w:val="5021480F"/>
    <w:rsid w:val="502344EE"/>
    <w:rsid w:val="50416722"/>
    <w:rsid w:val="50804FC3"/>
    <w:rsid w:val="50830AE8"/>
    <w:rsid w:val="50852AB2"/>
    <w:rsid w:val="50923421"/>
    <w:rsid w:val="50962ECB"/>
    <w:rsid w:val="50A42E38"/>
    <w:rsid w:val="50A4577F"/>
    <w:rsid w:val="50B73D1F"/>
    <w:rsid w:val="50BD5BC9"/>
    <w:rsid w:val="50C11EEE"/>
    <w:rsid w:val="50D43A3A"/>
    <w:rsid w:val="50D46E66"/>
    <w:rsid w:val="50E97CFC"/>
    <w:rsid w:val="50F96FFC"/>
    <w:rsid w:val="50FA4028"/>
    <w:rsid w:val="50FB4B23"/>
    <w:rsid w:val="510C4F82"/>
    <w:rsid w:val="510D65B7"/>
    <w:rsid w:val="511157AB"/>
    <w:rsid w:val="511B2921"/>
    <w:rsid w:val="51275918"/>
    <w:rsid w:val="5127738D"/>
    <w:rsid w:val="51295B34"/>
    <w:rsid w:val="512D6CA6"/>
    <w:rsid w:val="5142540C"/>
    <w:rsid w:val="514E559A"/>
    <w:rsid w:val="515626A1"/>
    <w:rsid w:val="516A7EFA"/>
    <w:rsid w:val="51870AAC"/>
    <w:rsid w:val="518832C8"/>
    <w:rsid w:val="51894824"/>
    <w:rsid w:val="518A5EA7"/>
    <w:rsid w:val="519D3C50"/>
    <w:rsid w:val="519F778D"/>
    <w:rsid w:val="51A0432A"/>
    <w:rsid w:val="51A86090"/>
    <w:rsid w:val="51B7396D"/>
    <w:rsid w:val="51C94C21"/>
    <w:rsid w:val="51C969CF"/>
    <w:rsid w:val="51E27A91"/>
    <w:rsid w:val="5206251F"/>
    <w:rsid w:val="522602C5"/>
    <w:rsid w:val="522E4CC3"/>
    <w:rsid w:val="5244713B"/>
    <w:rsid w:val="524A3FB4"/>
    <w:rsid w:val="524D7600"/>
    <w:rsid w:val="525210BA"/>
    <w:rsid w:val="52524077"/>
    <w:rsid w:val="525941F7"/>
    <w:rsid w:val="525F5585"/>
    <w:rsid w:val="52615633"/>
    <w:rsid w:val="52694101"/>
    <w:rsid w:val="526F4DE4"/>
    <w:rsid w:val="528079D5"/>
    <w:rsid w:val="52884ADC"/>
    <w:rsid w:val="52977FD4"/>
    <w:rsid w:val="52990A97"/>
    <w:rsid w:val="52A25790"/>
    <w:rsid w:val="52A631B4"/>
    <w:rsid w:val="52A66D10"/>
    <w:rsid w:val="52A96B6F"/>
    <w:rsid w:val="52B45975"/>
    <w:rsid w:val="52B9485F"/>
    <w:rsid w:val="52C11D9C"/>
    <w:rsid w:val="52CD6993"/>
    <w:rsid w:val="52D10231"/>
    <w:rsid w:val="52D63A99"/>
    <w:rsid w:val="52D94AA4"/>
    <w:rsid w:val="52EA3A62"/>
    <w:rsid w:val="52EC506B"/>
    <w:rsid w:val="52EF06B7"/>
    <w:rsid w:val="52F50BB8"/>
    <w:rsid w:val="52F97788"/>
    <w:rsid w:val="52FC2DD4"/>
    <w:rsid w:val="53035F10"/>
    <w:rsid w:val="53097272"/>
    <w:rsid w:val="53163E96"/>
    <w:rsid w:val="531D5224"/>
    <w:rsid w:val="531E71EE"/>
    <w:rsid w:val="533802B0"/>
    <w:rsid w:val="534B0014"/>
    <w:rsid w:val="53544462"/>
    <w:rsid w:val="53590226"/>
    <w:rsid w:val="535B5D4C"/>
    <w:rsid w:val="53634C01"/>
    <w:rsid w:val="536A2433"/>
    <w:rsid w:val="536C61AC"/>
    <w:rsid w:val="538F3C48"/>
    <w:rsid w:val="539574B0"/>
    <w:rsid w:val="5397158E"/>
    <w:rsid w:val="53A56FC8"/>
    <w:rsid w:val="53C932DB"/>
    <w:rsid w:val="53D55013"/>
    <w:rsid w:val="53DF697E"/>
    <w:rsid w:val="53EB5322"/>
    <w:rsid w:val="53FD5056"/>
    <w:rsid w:val="54013861"/>
    <w:rsid w:val="54014B46"/>
    <w:rsid w:val="54244390"/>
    <w:rsid w:val="54487265"/>
    <w:rsid w:val="544D6070"/>
    <w:rsid w:val="54605E1E"/>
    <w:rsid w:val="54663660"/>
    <w:rsid w:val="547215A0"/>
    <w:rsid w:val="547277F2"/>
    <w:rsid w:val="547E7F44"/>
    <w:rsid w:val="548F2152"/>
    <w:rsid w:val="54B3506A"/>
    <w:rsid w:val="54BF230B"/>
    <w:rsid w:val="54CA0D16"/>
    <w:rsid w:val="54DD4057"/>
    <w:rsid w:val="54E7490F"/>
    <w:rsid w:val="54FE4BE1"/>
    <w:rsid w:val="5503044A"/>
    <w:rsid w:val="550764A4"/>
    <w:rsid w:val="550B2BF6"/>
    <w:rsid w:val="55191A1B"/>
    <w:rsid w:val="55214EB5"/>
    <w:rsid w:val="552D196B"/>
    <w:rsid w:val="55364EFD"/>
    <w:rsid w:val="553A2C67"/>
    <w:rsid w:val="554271C4"/>
    <w:rsid w:val="554D3A23"/>
    <w:rsid w:val="554F7B33"/>
    <w:rsid w:val="55592760"/>
    <w:rsid w:val="555D4828"/>
    <w:rsid w:val="557A4C8B"/>
    <w:rsid w:val="558931E1"/>
    <w:rsid w:val="55923347"/>
    <w:rsid w:val="55925180"/>
    <w:rsid w:val="55983B1B"/>
    <w:rsid w:val="559E0172"/>
    <w:rsid w:val="55A8376B"/>
    <w:rsid w:val="55B160F8"/>
    <w:rsid w:val="55B300C2"/>
    <w:rsid w:val="55D32512"/>
    <w:rsid w:val="55D6790C"/>
    <w:rsid w:val="55DB4F23"/>
    <w:rsid w:val="55DC29B6"/>
    <w:rsid w:val="55DD4241"/>
    <w:rsid w:val="561A1EEF"/>
    <w:rsid w:val="563F3703"/>
    <w:rsid w:val="56462CE4"/>
    <w:rsid w:val="565F7902"/>
    <w:rsid w:val="566B6D1E"/>
    <w:rsid w:val="566E5D97"/>
    <w:rsid w:val="56764C4B"/>
    <w:rsid w:val="568A7876"/>
    <w:rsid w:val="56B91708"/>
    <w:rsid w:val="56C24D1E"/>
    <w:rsid w:val="56D26326"/>
    <w:rsid w:val="56D7393C"/>
    <w:rsid w:val="56E16569"/>
    <w:rsid w:val="56F3629C"/>
    <w:rsid w:val="57032A2C"/>
    <w:rsid w:val="570F5219"/>
    <w:rsid w:val="57144B90"/>
    <w:rsid w:val="57167687"/>
    <w:rsid w:val="572F19CA"/>
    <w:rsid w:val="573214BA"/>
    <w:rsid w:val="57346766"/>
    <w:rsid w:val="575D12B5"/>
    <w:rsid w:val="57610A87"/>
    <w:rsid w:val="577B1140"/>
    <w:rsid w:val="577B7F21"/>
    <w:rsid w:val="577F181B"/>
    <w:rsid w:val="578A30A4"/>
    <w:rsid w:val="578D66F1"/>
    <w:rsid w:val="57903DA6"/>
    <w:rsid w:val="57921984"/>
    <w:rsid w:val="579655A5"/>
    <w:rsid w:val="579730CB"/>
    <w:rsid w:val="579737F0"/>
    <w:rsid w:val="57AB7B30"/>
    <w:rsid w:val="57AF5251"/>
    <w:rsid w:val="57B26373"/>
    <w:rsid w:val="57B63F04"/>
    <w:rsid w:val="57C33EC0"/>
    <w:rsid w:val="57CD20C2"/>
    <w:rsid w:val="57CF2865"/>
    <w:rsid w:val="57D675AB"/>
    <w:rsid w:val="57D95FDD"/>
    <w:rsid w:val="581B5AAA"/>
    <w:rsid w:val="581F1A3E"/>
    <w:rsid w:val="58670CF0"/>
    <w:rsid w:val="58737694"/>
    <w:rsid w:val="587D49B7"/>
    <w:rsid w:val="588D2A5C"/>
    <w:rsid w:val="58917D2F"/>
    <w:rsid w:val="5894085C"/>
    <w:rsid w:val="589A7317"/>
    <w:rsid w:val="58AE4F0C"/>
    <w:rsid w:val="58B008E9"/>
    <w:rsid w:val="58B2782D"/>
    <w:rsid w:val="58B67904"/>
    <w:rsid w:val="58B85899"/>
    <w:rsid w:val="58BC54DF"/>
    <w:rsid w:val="58C919AA"/>
    <w:rsid w:val="58D520FD"/>
    <w:rsid w:val="58E363A9"/>
    <w:rsid w:val="58EF7663"/>
    <w:rsid w:val="58F20F01"/>
    <w:rsid w:val="58F3077A"/>
    <w:rsid w:val="58FE78A6"/>
    <w:rsid w:val="5900361E"/>
    <w:rsid w:val="59260BAB"/>
    <w:rsid w:val="59474B46"/>
    <w:rsid w:val="595E1678"/>
    <w:rsid w:val="59657925"/>
    <w:rsid w:val="596D5BD4"/>
    <w:rsid w:val="597E3DD8"/>
    <w:rsid w:val="598F49A2"/>
    <w:rsid w:val="59A85123"/>
    <w:rsid w:val="59BE5287"/>
    <w:rsid w:val="59C94076"/>
    <w:rsid w:val="59DB7016"/>
    <w:rsid w:val="59EA7E2A"/>
    <w:rsid w:val="59F760A3"/>
    <w:rsid w:val="59F80043"/>
    <w:rsid w:val="59FF38D6"/>
    <w:rsid w:val="5A09252F"/>
    <w:rsid w:val="5A0B2778"/>
    <w:rsid w:val="5A166E71"/>
    <w:rsid w:val="5A2A0227"/>
    <w:rsid w:val="5A2A7C7B"/>
    <w:rsid w:val="5A386DE8"/>
    <w:rsid w:val="5A3E02B5"/>
    <w:rsid w:val="5A3E2560"/>
    <w:rsid w:val="5A4E2167"/>
    <w:rsid w:val="5A584D94"/>
    <w:rsid w:val="5A5D3B6E"/>
    <w:rsid w:val="5A5F25C6"/>
    <w:rsid w:val="5A637A76"/>
    <w:rsid w:val="5A696FA1"/>
    <w:rsid w:val="5A6B2D19"/>
    <w:rsid w:val="5A6C4CE3"/>
    <w:rsid w:val="5A6D33BA"/>
    <w:rsid w:val="5A706581"/>
    <w:rsid w:val="5A792B1F"/>
    <w:rsid w:val="5A7A11AE"/>
    <w:rsid w:val="5A865DA5"/>
    <w:rsid w:val="5A874767"/>
    <w:rsid w:val="5A89319F"/>
    <w:rsid w:val="5A8E4C59"/>
    <w:rsid w:val="5AA47FD9"/>
    <w:rsid w:val="5AA567CA"/>
    <w:rsid w:val="5AA85BE2"/>
    <w:rsid w:val="5AAB75B9"/>
    <w:rsid w:val="5AAD6F28"/>
    <w:rsid w:val="5AB3646E"/>
    <w:rsid w:val="5ACE32A8"/>
    <w:rsid w:val="5ACF0BCB"/>
    <w:rsid w:val="5AD36B10"/>
    <w:rsid w:val="5AD63A24"/>
    <w:rsid w:val="5AD76600"/>
    <w:rsid w:val="5AE1122D"/>
    <w:rsid w:val="5AE76118"/>
    <w:rsid w:val="5AEB20AC"/>
    <w:rsid w:val="5B2A2BD4"/>
    <w:rsid w:val="5B2E1A1D"/>
    <w:rsid w:val="5B345801"/>
    <w:rsid w:val="5B3F7D02"/>
    <w:rsid w:val="5B461090"/>
    <w:rsid w:val="5B4A5024"/>
    <w:rsid w:val="5B843A1C"/>
    <w:rsid w:val="5B873E3F"/>
    <w:rsid w:val="5B90055D"/>
    <w:rsid w:val="5BA65FD3"/>
    <w:rsid w:val="5BB406F0"/>
    <w:rsid w:val="5BBC1352"/>
    <w:rsid w:val="5BC528FD"/>
    <w:rsid w:val="5BD13050"/>
    <w:rsid w:val="5BEC7E8A"/>
    <w:rsid w:val="5C02690E"/>
    <w:rsid w:val="5C0D7E00"/>
    <w:rsid w:val="5C196DA7"/>
    <w:rsid w:val="5C2A048C"/>
    <w:rsid w:val="5C4A2E02"/>
    <w:rsid w:val="5C4E644E"/>
    <w:rsid w:val="5C6A7000"/>
    <w:rsid w:val="5C80234E"/>
    <w:rsid w:val="5C875E04"/>
    <w:rsid w:val="5C8A680C"/>
    <w:rsid w:val="5CAC13C7"/>
    <w:rsid w:val="5CC43C0D"/>
    <w:rsid w:val="5CD050B5"/>
    <w:rsid w:val="5CD472CD"/>
    <w:rsid w:val="5CF05758"/>
    <w:rsid w:val="5CF07506"/>
    <w:rsid w:val="5D0C4701"/>
    <w:rsid w:val="5D0F0395"/>
    <w:rsid w:val="5D1A6C78"/>
    <w:rsid w:val="5D221076"/>
    <w:rsid w:val="5D254ABC"/>
    <w:rsid w:val="5D397964"/>
    <w:rsid w:val="5D443CF5"/>
    <w:rsid w:val="5D5201C0"/>
    <w:rsid w:val="5D5A391C"/>
    <w:rsid w:val="5D5F10C0"/>
    <w:rsid w:val="5D891B7B"/>
    <w:rsid w:val="5D926E70"/>
    <w:rsid w:val="5D9C58DF"/>
    <w:rsid w:val="5DAD38EE"/>
    <w:rsid w:val="5DB04EE7"/>
    <w:rsid w:val="5DBB3FB7"/>
    <w:rsid w:val="5E006862"/>
    <w:rsid w:val="5E0207B9"/>
    <w:rsid w:val="5E1834A1"/>
    <w:rsid w:val="5E190CDE"/>
    <w:rsid w:val="5E261785"/>
    <w:rsid w:val="5E385608"/>
    <w:rsid w:val="5E4915C3"/>
    <w:rsid w:val="5E4A7017"/>
    <w:rsid w:val="5E531852"/>
    <w:rsid w:val="5E552BBA"/>
    <w:rsid w:val="5E5D27DA"/>
    <w:rsid w:val="5E611C10"/>
    <w:rsid w:val="5E6C3504"/>
    <w:rsid w:val="5E7A0F3F"/>
    <w:rsid w:val="5E7D301B"/>
    <w:rsid w:val="5E9860A7"/>
    <w:rsid w:val="5ECE7D1A"/>
    <w:rsid w:val="5ED13367"/>
    <w:rsid w:val="5EFC7377"/>
    <w:rsid w:val="5F06174D"/>
    <w:rsid w:val="5F155949"/>
    <w:rsid w:val="5F166FCB"/>
    <w:rsid w:val="5F2142EE"/>
    <w:rsid w:val="5F3A3602"/>
    <w:rsid w:val="5F4104EC"/>
    <w:rsid w:val="5F45733B"/>
    <w:rsid w:val="5F4955F3"/>
    <w:rsid w:val="5F6277C6"/>
    <w:rsid w:val="5F6D0B1D"/>
    <w:rsid w:val="5F7A1C50"/>
    <w:rsid w:val="5F8D0B82"/>
    <w:rsid w:val="5FCC5339"/>
    <w:rsid w:val="5FD50C35"/>
    <w:rsid w:val="5FDC1FC3"/>
    <w:rsid w:val="5FE34A5B"/>
    <w:rsid w:val="5FFC4413"/>
    <w:rsid w:val="5FFE1E36"/>
    <w:rsid w:val="60194FC5"/>
    <w:rsid w:val="60232584"/>
    <w:rsid w:val="602A2D2E"/>
    <w:rsid w:val="606520BE"/>
    <w:rsid w:val="607330CE"/>
    <w:rsid w:val="60825176"/>
    <w:rsid w:val="608A7C71"/>
    <w:rsid w:val="609F2AC4"/>
    <w:rsid w:val="60BD3BA3"/>
    <w:rsid w:val="60CE7B5E"/>
    <w:rsid w:val="60E750C3"/>
    <w:rsid w:val="60F03F78"/>
    <w:rsid w:val="60F375C4"/>
    <w:rsid w:val="60F6539C"/>
    <w:rsid w:val="60FA2EE8"/>
    <w:rsid w:val="60FA6BA5"/>
    <w:rsid w:val="61054A27"/>
    <w:rsid w:val="610572F8"/>
    <w:rsid w:val="610A52BC"/>
    <w:rsid w:val="610E2650"/>
    <w:rsid w:val="611D2366"/>
    <w:rsid w:val="612C6F7A"/>
    <w:rsid w:val="6131633F"/>
    <w:rsid w:val="61421856"/>
    <w:rsid w:val="615227C4"/>
    <w:rsid w:val="61594DD1"/>
    <w:rsid w:val="61654E3F"/>
    <w:rsid w:val="6182292A"/>
    <w:rsid w:val="618D5C6B"/>
    <w:rsid w:val="619F7F92"/>
    <w:rsid w:val="61B772BF"/>
    <w:rsid w:val="61BC20AC"/>
    <w:rsid w:val="61D5316E"/>
    <w:rsid w:val="61F94C26"/>
    <w:rsid w:val="61FE0917"/>
    <w:rsid w:val="62000E56"/>
    <w:rsid w:val="62257C51"/>
    <w:rsid w:val="62377985"/>
    <w:rsid w:val="62384F2B"/>
    <w:rsid w:val="62402CDD"/>
    <w:rsid w:val="624646B8"/>
    <w:rsid w:val="624F3E49"/>
    <w:rsid w:val="62632286"/>
    <w:rsid w:val="626369CC"/>
    <w:rsid w:val="626A5FAC"/>
    <w:rsid w:val="62775FD3"/>
    <w:rsid w:val="62816E52"/>
    <w:rsid w:val="6283706E"/>
    <w:rsid w:val="62885958"/>
    <w:rsid w:val="62913539"/>
    <w:rsid w:val="629D0130"/>
    <w:rsid w:val="62AB1E99"/>
    <w:rsid w:val="62C3328F"/>
    <w:rsid w:val="62C54F90"/>
    <w:rsid w:val="62C85E72"/>
    <w:rsid w:val="62F40B65"/>
    <w:rsid w:val="62FC2CFE"/>
    <w:rsid w:val="62FD0BCE"/>
    <w:rsid w:val="63024505"/>
    <w:rsid w:val="63033C02"/>
    <w:rsid w:val="63097573"/>
    <w:rsid w:val="632E0D88"/>
    <w:rsid w:val="63367C3C"/>
    <w:rsid w:val="63500CFE"/>
    <w:rsid w:val="635600A5"/>
    <w:rsid w:val="635822A8"/>
    <w:rsid w:val="635B1DB5"/>
    <w:rsid w:val="63711FED"/>
    <w:rsid w:val="63716EC6"/>
    <w:rsid w:val="63880DDC"/>
    <w:rsid w:val="638D750D"/>
    <w:rsid w:val="63901A42"/>
    <w:rsid w:val="63AC6CC0"/>
    <w:rsid w:val="63DC07E4"/>
    <w:rsid w:val="64055776"/>
    <w:rsid w:val="64191A38"/>
    <w:rsid w:val="64240056"/>
    <w:rsid w:val="643B19AE"/>
    <w:rsid w:val="643E143A"/>
    <w:rsid w:val="64487C27"/>
    <w:rsid w:val="64491666"/>
    <w:rsid w:val="64805613"/>
    <w:rsid w:val="64852C29"/>
    <w:rsid w:val="648A6492"/>
    <w:rsid w:val="648B6EEF"/>
    <w:rsid w:val="64C158BF"/>
    <w:rsid w:val="64CE2EAA"/>
    <w:rsid w:val="64D616D7"/>
    <w:rsid w:val="64D63BC0"/>
    <w:rsid w:val="64F47DAF"/>
    <w:rsid w:val="65046244"/>
    <w:rsid w:val="65181CEF"/>
    <w:rsid w:val="65257F68"/>
    <w:rsid w:val="65267AC8"/>
    <w:rsid w:val="653528A1"/>
    <w:rsid w:val="653C3090"/>
    <w:rsid w:val="65501489"/>
    <w:rsid w:val="655A2308"/>
    <w:rsid w:val="65660CAD"/>
    <w:rsid w:val="65750EF0"/>
    <w:rsid w:val="65854376"/>
    <w:rsid w:val="658767BE"/>
    <w:rsid w:val="65892531"/>
    <w:rsid w:val="658B24C1"/>
    <w:rsid w:val="65982E30"/>
    <w:rsid w:val="659D21F5"/>
    <w:rsid w:val="65BF216B"/>
    <w:rsid w:val="65C71020"/>
    <w:rsid w:val="65DF280D"/>
    <w:rsid w:val="65EB7404"/>
    <w:rsid w:val="66195831"/>
    <w:rsid w:val="66214BD4"/>
    <w:rsid w:val="662446C4"/>
    <w:rsid w:val="662E75B1"/>
    <w:rsid w:val="66342C2E"/>
    <w:rsid w:val="663E784C"/>
    <w:rsid w:val="663F505A"/>
    <w:rsid w:val="66410DD2"/>
    <w:rsid w:val="66486F39"/>
    <w:rsid w:val="667C005C"/>
    <w:rsid w:val="668B6A45"/>
    <w:rsid w:val="668C4743"/>
    <w:rsid w:val="66A80E51"/>
    <w:rsid w:val="66BC2B4E"/>
    <w:rsid w:val="66BE68C6"/>
    <w:rsid w:val="66DB1226"/>
    <w:rsid w:val="66F45E44"/>
    <w:rsid w:val="66FB5425"/>
    <w:rsid w:val="67011F07"/>
    <w:rsid w:val="67083621"/>
    <w:rsid w:val="670C13E0"/>
    <w:rsid w:val="67177D85"/>
    <w:rsid w:val="67283D40"/>
    <w:rsid w:val="672C3830"/>
    <w:rsid w:val="672D1356"/>
    <w:rsid w:val="672F3F24"/>
    <w:rsid w:val="672F50CE"/>
    <w:rsid w:val="67397CFB"/>
    <w:rsid w:val="673E055F"/>
    <w:rsid w:val="67530DBD"/>
    <w:rsid w:val="67551CE3"/>
    <w:rsid w:val="67705E13"/>
    <w:rsid w:val="678E6299"/>
    <w:rsid w:val="679F4002"/>
    <w:rsid w:val="67A22552"/>
    <w:rsid w:val="67A41618"/>
    <w:rsid w:val="67B22DCC"/>
    <w:rsid w:val="67BE71AA"/>
    <w:rsid w:val="67C401C0"/>
    <w:rsid w:val="67CC6DC1"/>
    <w:rsid w:val="67D22629"/>
    <w:rsid w:val="67D90273"/>
    <w:rsid w:val="67DE5875"/>
    <w:rsid w:val="67E10ABE"/>
    <w:rsid w:val="67E55852"/>
    <w:rsid w:val="67EB1AB4"/>
    <w:rsid w:val="67EB36EB"/>
    <w:rsid w:val="67F51E74"/>
    <w:rsid w:val="67FA1285"/>
    <w:rsid w:val="68030A35"/>
    <w:rsid w:val="681E586F"/>
    <w:rsid w:val="68294213"/>
    <w:rsid w:val="68437083"/>
    <w:rsid w:val="68551F4F"/>
    <w:rsid w:val="687731D1"/>
    <w:rsid w:val="687C10C9"/>
    <w:rsid w:val="68840C16"/>
    <w:rsid w:val="68872541"/>
    <w:rsid w:val="68876EFB"/>
    <w:rsid w:val="68884654"/>
    <w:rsid w:val="689F444F"/>
    <w:rsid w:val="68AA7102"/>
    <w:rsid w:val="68B96DBB"/>
    <w:rsid w:val="68BA22C0"/>
    <w:rsid w:val="68BA4E6C"/>
    <w:rsid w:val="68BB30BE"/>
    <w:rsid w:val="68CA2805"/>
    <w:rsid w:val="68CB7079"/>
    <w:rsid w:val="68DC4DE2"/>
    <w:rsid w:val="68DE6DAC"/>
    <w:rsid w:val="68E32614"/>
    <w:rsid w:val="68E937A3"/>
    <w:rsid w:val="690507DD"/>
    <w:rsid w:val="6908207B"/>
    <w:rsid w:val="691664E5"/>
    <w:rsid w:val="691B590A"/>
    <w:rsid w:val="69216C99"/>
    <w:rsid w:val="693E15D3"/>
    <w:rsid w:val="693E3CEF"/>
    <w:rsid w:val="69407A67"/>
    <w:rsid w:val="69482477"/>
    <w:rsid w:val="69483717"/>
    <w:rsid w:val="69627681"/>
    <w:rsid w:val="6977531D"/>
    <w:rsid w:val="69787200"/>
    <w:rsid w:val="698C6808"/>
    <w:rsid w:val="69AC0C58"/>
    <w:rsid w:val="69C9180A"/>
    <w:rsid w:val="69CC2BFF"/>
    <w:rsid w:val="69F50851"/>
    <w:rsid w:val="69FA08E9"/>
    <w:rsid w:val="69FD55B8"/>
    <w:rsid w:val="6A0B1C62"/>
    <w:rsid w:val="6A1231B1"/>
    <w:rsid w:val="6A152CA1"/>
    <w:rsid w:val="6A1D56B2"/>
    <w:rsid w:val="6A2406C8"/>
    <w:rsid w:val="6A293639"/>
    <w:rsid w:val="6A4610AD"/>
    <w:rsid w:val="6A5E63F6"/>
    <w:rsid w:val="6A667059"/>
    <w:rsid w:val="6A7A48B2"/>
    <w:rsid w:val="6A9811DC"/>
    <w:rsid w:val="6AA47B81"/>
    <w:rsid w:val="6AA61B4B"/>
    <w:rsid w:val="6AD14E1A"/>
    <w:rsid w:val="6ADC556D"/>
    <w:rsid w:val="6ADE0BD1"/>
    <w:rsid w:val="6AE96859"/>
    <w:rsid w:val="6B0F149F"/>
    <w:rsid w:val="6B147746"/>
    <w:rsid w:val="6B24787C"/>
    <w:rsid w:val="6B55433E"/>
    <w:rsid w:val="6B573233"/>
    <w:rsid w:val="6B5B6274"/>
    <w:rsid w:val="6B7A2807"/>
    <w:rsid w:val="6B7E4876"/>
    <w:rsid w:val="6B80239C"/>
    <w:rsid w:val="6B8F6404"/>
    <w:rsid w:val="6B935D53"/>
    <w:rsid w:val="6BB362CE"/>
    <w:rsid w:val="6BB42046"/>
    <w:rsid w:val="6BCA186A"/>
    <w:rsid w:val="6BF07522"/>
    <w:rsid w:val="6C046B2A"/>
    <w:rsid w:val="6C196F71"/>
    <w:rsid w:val="6C226FCB"/>
    <w:rsid w:val="6C31226F"/>
    <w:rsid w:val="6C3D203B"/>
    <w:rsid w:val="6C417D7E"/>
    <w:rsid w:val="6C423AF6"/>
    <w:rsid w:val="6C552F0B"/>
    <w:rsid w:val="6C5775A1"/>
    <w:rsid w:val="6C6B6BA9"/>
    <w:rsid w:val="6C727F37"/>
    <w:rsid w:val="6C7D068A"/>
    <w:rsid w:val="6C83461C"/>
    <w:rsid w:val="6C871509"/>
    <w:rsid w:val="6C8C67B7"/>
    <w:rsid w:val="6C9C6D62"/>
    <w:rsid w:val="6C9D744C"/>
    <w:rsid w:val="6CD26C28"/>
    <w:rsid w:val="6D090340"/>
    <w:rsid w:val="6D116900"/>
    <w:rsid w:val="6D156B14"/>
    <w:rsid w:val="6D167928"/>
    <w:rsid w:val="6D26299B"/>
    <w:rsid w:val="6D2D3A36"/>
    <w:rsid w:val="6D346605"/>
    <w:rsid w:val="6D4713C4"/>
    <w:rsid w:val="6D4772EC"/>
    <w:rsid w:val="6D5B09CB"/>
    <w:rsid w:val="6D7231C7"/>
    <w:rsid w:val="6D9078AF"/>
    <w:rsid w:val="6D981C1F"/>
    <w:rsid w:val="6DA06D26"/>
    <w:rsid w:val="6DAA3FEF"/>
    <w:rsid w:val="6DB8406F"/>
    <w:rsid w:val="6DC0172B"/>
    <w:rsid w:val="6DC81DD9"/>
    <w:rsid w:val="6DCB690C"/>
    <w:rsid w:val="6DD41A5B"/>
    <w:rsid w:val="6DE035C6"/>
    <w:rsid w:val="6DE26C97"/>
    <w:rsid w:val="6DEA7FA1"/>
    <w:rsid w:val="6DEC1F6B"/>
    <w:rsid w:val="6DEE5CE3"/>
    <w:rsid w:val="6DF36E56"/>
    <w:rsid w:val="6DF43C2E"/>
    <w:rsid w:val="6DF51CA3"/>
    <w:rsid w:val="6E0C6169"/>
    <w:rsid w:val="6E0E5A3E"/>
    <w:rsid w:val="6E347546"/>
    <w:rsid w:val="6E366D3F"/>
    <w:rsid w:val="6E7066F8"/>
    <w:rsid w:val="6E7C32EF"/>
    <w:rsid w:val="6E8335BD"/>
    <w:rsid w:val="6E895A0C"/>
    <w:rsid w:val="6E8E12EF"/>
    <w:rsid w:val="6E906D9A"/>
    <w:rsid w:val="6E972936"/>
    <w:rsid w:val="6ED446C5"/>
    <w:rsid w:val="6ED76777"/>
    <w:rsid w:val="6EFC7F8C"/>
    <w:rsid w:val="6F0357BE"/>
    <w:rsid w:val="6F1352D6"/>
    <w:rsid w:val="6F1631AF"/>
    <w:rsid w:val="6F2A7D94"/>
    <w:rsid w:val="6F3911E0"/>
    <w:rsid w:val="6F63625D"/>
    <w:rsid w:val="6F6A1399"/>
    <w:rsid w:val="6F6D70DC"/>
    <w:rsid w:val="6F765F90"/>
    <w:rsid w:val="6F8166E3"/>
    <w:rsid w:val="6F8331F1"/>
    <w:rsid w:val="6F854425"/>
    <w:rsid w:val="6F913D15"/>
    <w:rsid w:val="6F997ED1"/>
    <w:rsid w:val="6FA0300D"/>
    <w:rsid w:val="6FAE1A09"/>
    <w:rsid w:val="6FD131C7"/>
    <w:rsid w:val="6FD75BF8"/>
    <w:rsid w:val="6FFE7D34"/>
    <w:rsid w:val="7004359C"/>
    <w:rsid w:val="700835AA"/>
    <w:rsid w:val="700F1F41"/>
    <w:rsid w:val="703674CE"/>
    <w:rsid w:val="704716DB"/>
    <w:rsid w:val="704B4683"/>
    <w:rsid w:val="704F233D"/>
    <w:rsid w:val="705F07D2"/>
    <w:rsid w:val="70666005"/>
    <w:rsid w:val="706C2EEF"/>
    <w:rsid w:val="706C7393"/>
    <w:rsid w:val="707723D0"/>
    <w:rsid w:val="70932B72"/>
    <w:rsid w:val="70934920"/>
    <w:rsid w:val="70BD7A2D"/>
    <w:rsid w:val="70D34D1C"/>
    <w:rsid w:val="70DF1913"/>
    <w:rsid w:val="70EB475C"/>
    <w:rsid w:val="70F5661B"/>
    <w:rsid w:val="711D243B"/>
    <w:rsid w:val="712F289B"/>
    <w:rsid w:val="71360107"/>
    <w:rsid w:val="713B688E"/>
    <w:rsid w:val="716D5171"/>
    <w:rsid w:val="71864485"/>
    <w:rsid w:val="718A7AD1"/>
    <w:rsid w:val="719646C8"/>
    <w:rsid w:val="719E17CE"/>
    <w:rsid w:val="71BB2536"/>
    <w:rsid w:val="71BB412E"/>
    <w:rsid w:val="71D43752"/>
    <w:rsid w:val="71DE606F"/>
    <w:rsid w:val="71ED62B2"/>
    <w:rsid w:val="71F1796A"/>
    <w:rsid w:val="72007D93"/>
    <w:rsid w:val="721101F2"/>
    <w:rsid w:val="72154626"/>
    <w:rsid w:val="72262B5D"/>
    <w:rsid w:val="72283FF7"/>
    <w:rsid w:val="722A12B4"/>
    <w:rsid w:val="722E7212"/>
    <w:rsid w:val="72331F17"/>
    <w:rsid w:val="723A0474"/>
    <w:rsid w:val="723B701D"/>
    <w:rsid w:val="725620A9"/>
    <w:rsid w:val="725923E4"/>
    <w:rsid w:val="725B76BF"/>
    <w:rsid w:val="725D6F93"/>
    <w:rsid w:val="72677E12"/>
    <w:rsid w:val="726E2F4F"/>
    <w:rsid w:val="72864BF7"/>
    <w:rsid w:val="729023FC"/>
    <w:rsid w:val="729B7ABC"/>
    <w:rsid w:val="72CC236B"/>
    <w:rsid w:val="72E43211"/>
    <w:rsid w:val="72E94CCB"/>
    <w:rsid w:val="72FF44EF"/>
    <w:rsid w:val="732A5C9D"/>
    <w:rsid w:val="735D2FC3"/>
    <w:rsid w:val="73724CC1"/>
    <w:rsid w:val="737427E7"/>
    <w:rsid w:val="73886292"/>
    <w:rsid w:val="73A0182E"/>
    <w:rsid w:val="73A62F58"/>
    <w:rsid w:val="73A66A49"/>
    <w:rsid w:val="73AB3D2F"/>
    <w:rsid w:val="73B01345"/>
    <w:rsid w:val="73C0646E"/>
    <w:rsid w:val="73C21E17"/>
    <w:rsid w:val="73CC2623"/>
    <w:rsid w:val="73D96AEE"/>
    <w:rsid w:val="73E21E46"/>
    <w:rsid w:val="73EB05CF"/>
    <w:rsid w:val="73EF6311"/>
    <w:rsid w:val="73F13E37"/>
    <w:rsid w:val="73FC5591"/>
    <w:rsid w:val="74147B26"/>
    <w:rsid w:val="742222F5"/>
    <w:rsid w:val="74381A66"/>
    <w:rsid w:val="74387230"/>
    <w:rsid w:val="74476126"/>
    <w:rsid w:val="745368A0"/>
    <w:rsid w:val="74600FBD"/>
    <w:rsid w:val="74706664"/>
    <w:rsid w:val="7472484C"/>
    <w:rsid w:val="747F3682"/>
    <w:rsid w:val="74844CAB"/>
    <w:rsid w:val="748A7DE8"/>
    <w:rsid w:val="74934EEE"/>
    <w:rsid w:val="749C4185"/>
    <w:rsid w:val="749D7B1B"/>
    <w:rsid w:val="74AC5FB0"/>
    <w:rsid w:val="74BB2697"/>
    <w:rsid w:val="74DD43BC"/>
    <w:rsid w:val="74E25E76"/>
    <w:rsid w:val="74E7348C"/>
    <w:rsid w:val="74F040EF"/>
    <w:rsid w:val="74F55BA9"/>
    <w:rsid w:val="74FF3B82"/>
    <w:rsid w:val="75067759"/>
    <w:rsid w:val="751029E3"/>
    <w:rsid w:val="751A73BE"/>
    <w:rsid w:val="7521074C"/>
    <w:rsid w:val="752E6DCD"/>
    <w:rsid w:val="7551380D"/>
    <w:rsid w:val="75600BE5"/>
    <w:rsid w:val="7564475C"/>
    <w:rsid w:val="75680129"/>
    <w:rsid w:val="7583797F"/>
    <w:rsid w:val="759058D2"/>
    <w:rsid w:val="7590773F"/>
    <w:rsid w:val="75BE243F"/>
    <w:rsid w:val="75CB690A"/>
    <w:rsid w:val="75D20F1D"/>
    <w:rsid w:val="75DA2C18"/>
    <w:rsid w:val="75DC0B17"/>
    <w:rsid w:val="75F54412"/>
    <w:rsid w:val="760616F0"/>
    <w:rsid w:val="761D08E0"/>
    <w:rsid w:val="762027B2"/>
    <w:rsid w:val="76377AFB"/>
    <w:rsid w:val="765D347C"/>
    <w:rsid w:val="766703E1"/>
    <w:rsid w:val="76826699"/>
    <w:rsid w:val="76832D41"/>
    <w:rsid w:val="76960CC6"/>
    <w:rsid w:val="76B455F0"/>
    <w:rsid w:val="76BF646F"/>
    <w:rsid w:val="76C87133"/>
    <w:rsid w:val="76CD08D5"/>
    <w:rsid w:val="76D637B8"/>
    <w:rsid w:val="76DB4B92"/>
    <w:rsid w:val="76E21980"/>
    <w:rsid w:val="76FD013A"/>
    <w:rsid w:val="76FF4ABD"/>
    <w:rsid w:val="77052AA4"/>
    <w:rsid w:val="77136511"/>
    <w:rsid w:val="77340A39"/>
    <w:rsid w:val="77351FD0"/>
    <w:rsid w:val="77472422"/>
    <w:rsid w:val="77576C10"/>
    <w:rsid w:val="776C7C79"/>
    <w:rsid w:val="777F31F2"/>
    <w:rsid w:val="77A25449"/>
    <w:rsid w:val="77B5517C"/>
    <w:rsid w:val="77BA4E88"/>
    <w:rsid w:val="77C1086F"/>
    <w:rsid w:val="77D1700D"/>
    <w:rsid w:val="77DB3D71"/>
    <w:rsid w:val="77DE2925"/>
    <w:rsid w:val="77EC04CC"/>
    <w:rsid w:val="77F02658"/>
    <w:rsid w:val="77FF6A51"/>
    <w:rsid w:val="78175941"/>
    <w:rsid w:val="781E0F73"/>
    <w:rsid w:val="782F13D2"/>
    <w:rsid w:val="78775729"/>
    <w:rsid w:val="78880AE2"/>
    <w:rsid w:val="788D7EA7"/>
    <w:rsid w:val="78920A87"/>
    <w:rsid w:val="78A42DB0"/>
    <w:rsid w:val="78A656AB"/>
    <w:rsid w:val="78B2245C"/>
    <w:rsid w:val="78C87131"/>
    <w:rsid w:val="78E172CC"/>
    <w:rsid w:val="78EA1D1F"/>
    <w:rsid w:val="78EA70A7"/>
    <w:rsid w:val="7904172F"/>
    <w:rsid w:val="790C34C1"/>
    <w:rsid w:val="790F7E27"/>
    <w:rsid w:val="79226841"/>
    <w:rsid w:val="792A231A"/>
    <w:rsid w:val="79316829"/>
    <w:rsid w:val="793A002E"/>
    <w:rsid w:val="7963712A"/>
    <w:rsid w:val="797A48CF"/>
    <w:rsid w:val="797E66A9"/>
    <w:rsid w:val="798518A4"/>
    <w:rsid w:val="79A97383"/>
    <w:rsid w:val="79BA116F"/>
    <w:rsid w:val="79BC0A44"/>
    <w:rsid w:val="79DA711C"/>
    <w:rsid w:val="79E27E8B"/>
    <w:rsid w:val="79EE2BC7"/>
    <w:rsid w:val="79F62E15"/>
    <w:rsid w:val="79F75F20"/>
    <w:rsid w:val="79F850CE"/>
    <w:rsid w:val="79FD443C"/>
    <w:rsid w:val="7A0917AF"/>
    <w:rsid w:val="7A1D1975"/>
    <w:rsid w:val="7A1E16FE"/>
    <w:rsid w:val="7A323E6C"/>
    <w:rsid w:val="7A3727C0"/>
    <w:rsid w:val="7A3E5150"/>
    <w:rsid w:val="7A4153ED"/>
    <w:rsid w:val="7A4670D6"/>
    <w:rsid w:val="7A48677B"/>
    <w:rsid w:val="7A4B1DC7"/>
    <w:rsid w:val="7A534B63"/>
    <w:rsid w:val="7A615382"/>
    <w:rsid w:val="7A666C01"/>
    <w:rsid w:val="7A67303B"/>
    <w:rsid w:val="7A7632E8"/>
    <w:rsid w:val="7A7F1A71"/>
    <w:rsid w:val="7AAB1D04"/>
    <w:rsid w:val="7AB160CE"/>
    <w:rsid w:val="7AB21E46"/>
    <w:rsid w:val="7AB43E11"/>
    <w:rsid w:val="7ABA4368"/>
    <w:rsid w:val="7AC758F2"/>
    <w:rsid w:val="7AD05746"/>
    <w:rsid w:val="7ADD76F1"/>
    <w:rsid w:val="7AE75F94"/>
    <w:rsid w:val="7AEC35AA"/>
    <w:rsid w:val="7AEF4E49"/>
    <w:rsid w:val="7AF83CFD"/>
    <w:rsid w:val="7B0F1874"/>
    <w:rsid w:val="7B205002"/>
    <w:rsid w:val="7B257FFD"/>
    <w:rsid w:val="7B273D20"/>
    <w:rsid w:val="7B2A2880"/>
    <w:rsid w:val="7B343476"/>
    <w:rsid w:val="7B3D5BB4"/>
    <w:rsid w:val="7B424F78"/>
    <w:rsid w:val="7B564EC8"/>
    <w:rsid w:val="7B5A2978"/>
    <w:rsid w:val="7B5A7E4C"/>
    <w:rsid w:val="7B656EB9"/>
    <w:rsid w:val="7B667AF9"/>
    <w:rsid w:val="7B6B0973"/>
    <w:rsid w:val="7B7468F8"/>
    <w:rsid w:val="7B9411FB"/>
    <w:rsid w:val="7B9559F0"/>
    <w:rsid w:val="7B98103C"/>
    <w:rsid w:val="7BCD518A"/>
    <w:rsid w:val="7BD209F2"/>
    <w:rsid w:val="7BDC717B"/>
    <w:rsid w:val="7BE349AD"/>
    <w:rsid w:val="7BEE0103"/>
    <w:rsid w:val="7BF47568"/>
    <w:rsid w:val="7BFA5853"/>
    <w:rsid w:val="7BFC15CB"/>
    <w:rsid w:val="7C0A0FE4"/>
    <w:rsid w:val="7C142DB9"/>
    <w:rsid w:val="7C1903CF"/>
    <w:rsid w:val="7C254906"/>
    <w:rsid w:val="7C286864"/>
    <w:rsid w:val="7C4D0079"/>
    <w:rsid w:val="7C4E25FF"/>
    <w:rsid w:val="7C4F3DF1"/>
    <w:rsid w:val="7C590818"/>
    <w:rsid w:val="7C7C10F6"/>
    <w:rsid w:val="7C853BEA"/>
    <w:rsid w:val="7C881368"/>
    <w:rsid w:val="7C943EFA"/>
    <w:rsid w:val="7C9E08D4"/>
    <w:rsid w:val="7CA67789"/>
    <w:rsid w:val="7CB31F25"/>
    <w:rsid w:val="7CB41EA6"/>
    <w:rsid w:val="7CBF490A"/>
    <w:rsid w:val="7CE27788"/>
    <w:rsid w:val="7D021E44"/>
    <w:rsid w:val="7D052701"/>
    <w:rsid w:val="7D0C32F1"/>
    <w:rsid w:val="7D0F408D"/>
    <w:rsid w:val="7D2F3C22"/>
    <w:rsid w:val="7D341239"/>
    <w:rsid w:val="7D3D00ED"/>
    <w:rsid w:val="7D4476CE"/>
    <w:rsid w:val="7D482D26"/>
    <w:rsid w:val="7D491C6C"/>
    <w:rsid w:val="7D5429C0"/>
    <w:rsid w:val="7D625DA6"/>
    <w:rsid w:val="7D6E6D43"/>
    <w:rsid w:val="7DA0067C"/>
    <w:rsid w:val="7DAE0FEB"/>
    <w:rsid w:val="7DAE4B47"/>
    <w:rsid w:val="7DB57A34"/>
    <w:rsid w:val="7DDB11C9"/>
    <w:rsid w:val="7DE60973"/>
    <w:rsid w:val="7DEF0916"/>
    <w:rsid w:val="7DFC1BF7"/>
    <w:rsid w:val="7E1E5218"/>
    <w:rsid w:val="7E1F5A45"/>
    <w:rsid w:val="7E215319"/>
    <w:rsid w:val="7E5356EF"/>
    <w:rsid w:val="7E5576B9"/>
    <w:rsid w:val="7E5D6A23"/>
    <w:rsid w:val="7E5E6092"/>
    <w:rsid w:val="7E7044F2"/>
    <w:rsid w:val="7E751B09"/>
    <w:rsid w:val="7E88183C"/>
    <w:rsid w:val="7E90249F"/>
    <w:rsid w:val="7E9A4E1F"/>
    <w:rsid w:val="7EA36676"/>
    <w:rsid w:val="7EA7723A"/>
    <w:rsid w:val="7ECB797B"/>
    <w:rsid w:val="7EF56FBB"/>
    <w:rsid w:val="7EF944E8"/>
    <w:rsid w:val="7EFE38AC"/>
    <w:rsid w:val="7F0768EB"/>
    <w:rsid w:val="7F08297D"/>
    <w:rsid w:val="7F143BEC"/>
    <w:rsid w:val="7F671451"/>
    <w:rsid w:val="7F715AF2"/>
    <w:rsid w:val="7F886E69"/>
    <w:rsid w:val="7FA04963"/>
    <w:rsid w:val="7FA8500B"/>
    <w:rsid w:val="7FAE7080"/>
    <w:rsid w:val="7FB56661"/>
    <w:rsid w:val="7FC05006"/>
    <w:rsid w:val="7FD36AE7"/>
    <w:rsid w:val="7FE0521A"/>
    <w:rsid w:val="7FF76C79"/>
    <w:rsid w:val="BB7FA927"/>
    <w:rsid w:val="E9AE85F2"/>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adjustRightInd/>
      <w:ind w:firstLine="420" w:firstLineChars="200"/>
    </w:pPr>
    <w:rPr>
      <w:rFonts w:eastAsia="仿宋_GB2312"/>
      <w:sz w:val="28"/>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6"/>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24"/>
    <w:qFormat/>
    <w:uiPriority w:val="0"/>
    <w:pPr>
      <w:ind w:firstLine="420"/>
    </w:pPr>
    <w:rPr>
      <w:rFonts w:hAnsi="Calibri" w:cs="Times New Roman"/>
      <w:snapToGrid/>
      <w:szCs w:val="20"/>
    </w:rPr>
  </w:style>
  <w:style w:type="paragraph" w:styleId="26">
    <w:name w:val="Body Text Indent"/>
    <w:basedOn w:val="1"/>
    <w:next w:val="27"/>
    <w:link w:val="268"/>
    <w:qFormat/>
    <w:uiPriority w:val="0"/>
    <w:pPr>
      <w:spacing w:line="480" w:lineRule="exact"/>
      <w:ind w:firstLine="480" w:firstLineChars="200"/>
    </w:pPr>
    <w:rPr>
      <w:rFonts w:ascii="宋体" w:hAnsi="宋体"/>
      <w:sz w:val="24"/>
    </w:rPr>
  </w:style>
  <w:style w:type="paragraph" w:customStyle="1" w:styleId="27">
    <w:name w:val="正文文本首行缩进 21"/>
    <w:basedOn w:val="26"/>
    <w:qFormat/>
    <w:uiPriority w:val="99"/>
    <w:pPr>
      <w:spacing w:line="200" w:lineRule="atLeast"/>
      <w:ind w:firstLine="420"/>
    </w:pPr>
    <w:rPr>
      <w:rFonts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5"/>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4"/>
    <w:qFormat/>
    <w:uiPriority w:val="0"/>
    <w:rPr>
      <w:lang w:val="zh-CN"/>
    </w:rPr>
  </w:style>
  <w:style w:type="paragraph" w:styleId="41">
    <w:name w:val="Balloon Text"/>
    <w:basedOn w:val="1"/>
    <w:link w:val="192"/>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6"/>
    <w:link w:val="313"/>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8"/>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5"/>
    <w:qFormat/>
    <w:uiPriority w:val="0"/>
    <w:pPr>
      <w:spacing w:after="120" w:line="480" w:lineRule="auto"/>
    </w:pPr>
  </w:style>
  <w:style w:type="paragraph" w:styleId="60">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100"/>
    <w:qFormat/>
    <w:uiPriority w:val="0"/>
    <w:rPr>
      <w:b/>
      <w:bCs/>
    </w:rPr>
  </w:style>
  <w:style w:type="paragraph" w:styleId="64">
    <w:name w:val="Body Text First Indent 2"/>
    <w:basedOn w:val="26"/>
    <w:next w:val="25"/>
    <w:link w:val="125"/>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paragraph" w:customStyle="1" w:styleId="85">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3"/>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4"/>
    <w:qFormat/>
    <w:uiPriority w:val="0"/>
    <w:rPr>
      <w:rFonts w:ascii="宋体" w:hAnsi="宋体"/>
      <w:kern w:val="2"/>
      <w:sz w:val="21"/>
      <w:szCs w:val="24"/>
    </w:rPr>
  </w:style>
  <w:style w:type="character" w:customStyle="1" w:styleId="126">
    <w:name w:val="font11"/>
    <w:basedOn w:val="72"/>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2"/>
    <w:qFormat/>
    <w:uiPriority w:val="0"/>
    <w:rPr>
      <w:rFonts w:ascii="Arial" w:hAnsi="Arial" w:eastAsia="黑体" w:cs="Arial"/>
      <w:snapToGrid w:val="0"/>
      <w:kern w:val="0"/>
      <w:szCs w:val="21"/>
    </w:rPr>
  </w:style>
  <w:style w:type="character" w:customStyle="1" w:styleId="12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0"/>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basedOn w:val="72"/>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8"/>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1"/>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6"/>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2"/>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2"/>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7"/>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2"/>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2"/>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0"/>
    <w:qFormat/>
    <w:uiPriority w:val="0"/>
    <w:rPr>
      <w:rFonts w:ascii="黑体" w:hAnsi="Courier New" w:eastAsia="黑体"/>
    </w:rPr>
  </w:style>
  <w:style w:type="character" w:customStyle="1" w:styleId="305">
    <w:name w:val="正文文本 2 Char1"/>
    <w:link w:val="59"/>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3"/>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0"/>
    <w:rPr>
      <w:kern w:val="2"/>
      <w:sz w:val="21"/>
    </w:rPr>
  </w:style>
  <w:style w:type="character" w:customStyle="1" w:styleId="334">
    <w:name w:val="font31"/>
    <w:basedOn w:val="72"/>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99"/>
    <w:rPr>
      <w:kern w:val="2"/>
      <w:sz w:val="21"/>
      <w:szCs w:val="24"/>
    </w:rPr>
  </w:style>
  <w:style w:type="character" w:customStyle="1" w:styleId="348">
    <w:name w:val="签名 Char"/>
    <w:link w:val="45"/>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basedOn w:val="72"/>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6"/>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4"/>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9"/>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0"/>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2"/>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Normal Indent1"/>
    <w:basedOn w:val="1"/>
    <w:qFormat/>
    <w:uiPriority w:val="0"/>
    <w:pPr>
      <w:ind w:firstLine="420" w:firstLineChars="200"/>
    </w:pPr>
  </w:style>
  <w:style w:type="paragraph" w:customStyle="1" w:styleId="968">
    <w:name w:val="首行缩进2个字符"/>
    <w:basedOn w:val="1"/>
    <w:qFormat/>
    <w:uiPriority w:val="0"/>
    <w:pPr>
      <w:keepNext w:val="0"/>
      <w:keepLines w:val="0"/>
      <w:widowControl w:val="0"/>
      <w:suppressLineNumbers w:val="0"/>
      <w:spacing w:before="0" w:beforeAutospacing="0" w:after="0" w:afterAutospacing="0"/>
      <w:ind w:left="0" w:right="0" w:firstLine="480" w:firstLineChars="200"/>
      <w:jc w:val="both"/>
    </w:pPr>
    <w:rPr>
      <w:rFonts w:hint="eastAsia"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103</Pages>
  <Words>51940</Words>
  <Characters>54420</Characters>
  <Lines>281</Lines>
  <Paragraphs>79</Paragraphs>
  <TotalTime>3</TotalTime>
  <ScaleCrop>false</ScaleCrop>
  <LinksUpToDate>false</LinksUpToDate>
  <CharactersWithSpaces>60000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JYang、Z</cp:lastModifiedBy>
  <cp:lastPrinted>2021-12-27T19:06:00Z</cp:lastPrinted>
  <dcterms:modified xsi:type="dcterms:W3CDTF">2024-11-19T09:04:40Z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260853D604FC41A59E56DB4A361EFA85_13</vt:lpwstr>
  </property>
</Properties>
</file>