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F88AF">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32387D95">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62D61BBE">
      <w:pPr>
        <w:adjustRightInd/>
        <w:spacing w:line="360" w:lineRule="auto"/>
        <w:jc w:val="center"/>
        <w:rPr>
          <w:rFonts w:hint="eastAsia" w:ascii="仿宋" w:hAnsi="仿宋" w:eastAsia="仿宋" w:cs="仿宋"/>
          <w:color w:val="000000" w:themeColor="text1"/>
          <w:spacing w:val="40"/>
          <w:w w:val="80"/>
          <w:sz w:val="44"/>
          <w:szCs w:val="44"/>
          <w:highlight w:val="none"/>
          <w:lang w:val="zh-CN" w:bidi="th-TH"/>
          <w14:textFill>
            <w14:solidFill>
              <w14:schemeClr w14:val="tx1"/>
            </w14:solidFill>
          </w14:textFill>
        </w:rPr>
      </w:pPr>
      <w:r>
        <w:rPr>
          <w:rFonts w:hint="eastAsia" w:ascii="仿宋" w:hAnsi="仿宋" w:eastAsia="仿宋" w:cs="仿宋"/>
          <w:color w:val="000000" w:themeColor="text1"/>
          <w:spacing w:val="40"/>
          <w:w w:val="80"/>
          <w:sz w:val="44"/>
          <w:szCs w:val="44"/>
          <w:highlight w:val="none"/>
          <w:lang w:val="zh-CN" w:bidi="th-TH"/>
          <w14:textFill>
            <w14:solidFill>
              <w14:schemeClr w14:val="tx1"/>
            </w14:solidFill>
          </w14:textFill>
        </w:rPr>
        <w:t>浙江财经大学5号楼、图书馆高压配电房改造工程项目</w:t>
      </w:r>
    </w:p>
    <w:p w14:paraId="5E35F45E">
      <w:pPr>
        <w:adjustRightInd/>
        <w:spacing w:line="360" w:lineRule="auto"/>
        <w:jc w:val="center"/>
        <w:rPr>
          <w:rFonts w:hint="eastAsia" w:ascii="仿宋" w:hAnsi="仿宋" w:eastAsia="仿宋" w:cs="仿宋"/>
          <w:color w:val="000000" w:themeColor="text1"/>
          <w:spacing w:val="40"/>
          <w:w w:val="80"/>
          <w:sz w:val="44"/>
          <w:szCs w:val="44"/>
          <w:highlight w:val="none"/>
          <w:lang w:val="zh-CN" w:bidi="th-TH"/>
          <w14:textFill>
            <w14:solidFill>
              <w14:schemeClr w14:val="tx1"/>
            </w14:solidFill>
          </w14:textFill>
        </w:rPr>
      </w:pPr>
    </w:p>
    <w:p w14:paraId="0373A184">
      <w:pPr>
        <w:adjustRightInd/>
        <w:spacing w:line="360" w:lineRule="auto"/>
        <w:jc w:val="center"/>
        <w:rPr>
          <w:rFonts w:hint="eastAsia" w:ascii="仿宋" w:hAnsi="仿宋" w:eastAsia="仿宋" w:cs="仿宋"/>
          <w:b/>
          <w:color w:val="000000" w:themeColor="text1"/>
          <w:sz w:val="56"/>
          <w:szCs w:val="56"/>
          <w:highlight w:val="none"/>
          <w14:textFill>
            <w14:solidFill>
              <w14:schemeClr w14:val="tx1"/>
            </w14:solidFill>
          </w14:textFill>
        </w:rPr>
      </w:pPr>
      <w:r>
        <w:rPr>
          <w:rFonts w:hint="eastAsia" w:ascii="仿宋" w:hAnsi="仿宋" w:eastAsia="仿宋" w:cs="仿宋"/>
          <w:color w:val="000000" w:themeColor="text1"/>
          <w:spacing w:val="40"/>
          <w:w w:val="80"/>
          <w:sz w:val="72"/>
          <w:szCs w:val="72"/>
          <w:highlight w:val="none"/>
          <w:lang w:val="zh-CN" w:bidi="th-TH"/>
          <w14:textFill>
            <w14:solidFill>
              <w14:schemeClr w14:val="tx1"/>
            </w14:solidFill>
          </w14:textFill>
        </w:rPr>
        <w:t>竞争性磋商</w:t>
      </w:r>
      <w:r>
        <w:rPr>
          <w:rFonts w:hint="eastAsia" w:ascii="仿宋" w:hAnsi="仿宋" w:eastAsia="仿宋" w:cs="仿宋"/>
          <w:color w:val="000000" w:themeColor="text1"/>
          <w:spacing w:val="40"/>
          <w:w w:val="80"/>
          <w:sz w:val="72"/>
          <w:szCs w:val="72"/>
          <w:highlight w:val="none"/>
          <w:lang w:bidi="th-TH"/>
          <w14:textFill>
            <w14:solidFill>
              <w14:schemeClr w14:val="tx1"/>
            </w14:solidFill>
          </w14:textFill>
        </w:rPr>
        <w:t>文件</w:t>
      </w:r>
    </w:p>
    <w:p w14:paraId="417454E1">
      <w:pPr>
        <w:adjustRightInd/>
        <w:spacing w:line="360" w:lineRule="auto"/>
        <w:jc w:val="center"/>
        <w:rPr>
          <w:rFonts w:hint="eastAsia" w:ascii="仿宋" w:hAnsi="仿宋" w:eastAsia="仿宋" w:cs="仿宋"/>
          <w:b/>
          <w:color w:val="000000" w:themeColor="text1"/>
          <w:sz w:val="44"/>
          <w:szCs w:val="44"/>
          <w:highlight w:val="none"/>
          <w14:textFill>
            <w14:solidFill>
              <w14:schemeClr w14:val="tx1"/>
            </w14:solidFill>
          </w14:textFill>
        </w:rPr>
      </w:pPr>
      <w:r>
        <w:rPr>
          <w:rFonts w:hint="eastAsia" w:ascii="仿宋" w:hAnsi="仿宋" w:eastAsia="仿宋" w:cs="仿宋"/>
          <w:b/>
          <w:color w:val="000000" w:themeColor="text1"/>
          <w:sz w:val="44"/>
          <w:szCs w:val="44"/>
          <w:highlight w:val="none"/>
          <w14:textFill>
            <w14:solidFill>
              <w14:schemeClr w14:val="tx1"/>
            </w14:solidFill>
          </w14:textFill>
        </w:rPr>
        <w:t>（电子交易）</w:t>
      </w:r>
    </w:p>
    <w:p w14:paraId="0992DC66">
      <w:pPr>
        <w:snapToGrid w:val="0"/>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p>
    <w:p w14:paraId="7957EF2E">
      <w:pPr>
        <w:adjustRightInd/>
        <w:snapToGrid w:val="0"/>
        <w:spacing w:line="360" w:lineRule="auto"/>
        <w:jc w:val="center"/>
        <w:rPr>
          <w:rFonts w:hint="eastAsia" w:ascii="仿宋" w:hAnsi="仿宋" w:eastAsia="仿宋" w:cs="仿宋"/>
          <w:color w:val="000000" w:themeColor="text1"/>
          <w:w w:val="80"/>
          <w:sz w:val="30"/>
          <w:szCs w:val="30"/>
          <w:highlight w:val="none"/>
          <w:lang w:bidi="th-TH"/>
          <w14:textFill>
            <w14:solidFill>
              <w14:schemeClr w14:val="tx1"/>
            </w14:solidFill>
          </w14:textFill>
        </w:rPr>
      </w:pPr>
      <w:r>
        <w:rPr>
          <w:rFonts w:hint="eastAsia" w:ascii="仿宋" w:hAnsi="仿宋" w:eastAsia="仿宋" w:cs="仿宋"/>
          <w:color w:val="000000" w:themeColor="text1"/>
          <w:w w:val="80"/>
          <w:sz w:val="30"/>
          <w:szCs w:val="30"/>
          <w:highlight w:val="none"/>
          <w:lang w:bidi="th-TH"/>
          <w14:textFill>
            <w14:solidFill>
              <w14:schemeClr w14:val="tx1"/>
            </w14:solidFill>
          </w14:textFill>
        </w:rPr>
        <w:t>编号:</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"javascript:void(0)" \o "ZJ-2360619"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w w:val="80"/>
          <w:sz w:val="30"/>
          <w:szCs w:val="30"/>
          <w:highlight w:val="none"/>
          <w:lang w:eastAsia="zh-CN" w:bidi="th-TH"/>
          <w14:textFill>
            <w14:solidFill>
              <w14:schemeClr w14:val="tx1"/>
            </w14:solidFill>
          </w14:textFill>
        </w:rPr>
        <w:t>ZJ-2463292</w:t>
      </w:r>
      <w:r>
        <w:rPr>
          <w:rFonts w:hint="eastAsia" w:ascii="仿宋" w:hAnsi="仿宋" w:eastAsia="仿宋" w:cs="仿宋"/>
          <w:color w:val="000000" w:themeColor="text1"/>
          <w:w w:val="80"/>
          <w:sz w:val="30"/>
          <w:szCs w:val="30"/>
          <w:highlight w:val="none"/>
          <w:lang w:bidi="th-TH"/>
          <w14:textFill>
            <w14:solidFill>
              <w14:schemeClr w14:val="tx1"/>
            </w14:solidFill>
          </w14:textFill>
        </w:rPr>
        <w:fldChar w:fldCharType="end"/>
      </w:r>
    </w:p>
    <w:p w14:paraId="1A445B09">
      <w:pPr>
        <w:adjustRightInd/>
        <w:snapToGrid w:val="0"/>
        <w:spacing w:line="360" w:lineRule="auto"/>
        <w:jc w:val="center"/>
        <w:rPr>
          <w:rFonts w:hint="eastAsia" w:ascii="仿宋" w:hAnsi="仿宋" w:eastAsia="仿宋" w:cs="仿宋"/>
          <w:color w:val="000000" w:themeColor="text1"/>
          <w:w w:val="80"/>
          <w:sz w:val="30"/>
          <w:szCs w:val="30"/>
          <w:highlight w:val="none"/>
          <w:lang w:val="en-US" w:eastAsia="zh-CN" w:bidi="th-TH"/>
          <w14:textFill>
            <w14:solidFill>
              <w14:schemeClr w14:val="tx1"/>
            </w14:solidFill>
          </w14:textFill>
        </w:rPr>
      </w:pPr>
      <w:r>
        <w:rPr>
          <w:rFonts w:hint="eastAsia" w:ascii="仿宋" w:hAnsi="仿宋" w:eastAsia="仿宋" w:cs="仿宋"/>
          <w:color w:val="000000" w:themeColor="text1"/>
          <w:w w:val="80"/>
          <w:sz w:val="30"/>
          <w:szCs w:val="30"/>
          <w:highlight w:val="none"/>
          <w:lang w:eastAsia="zh-CN" w:bidi="th-TH"/>
          <w14:textFill>
            <w14:solidFill>
              <w14:schemeClr w14:val="tx1"/>
            </w14:solidFill>
          </w14:textFill>
        </w:rPr>
        <w:t>采购计划书文号：[2024]73441号、临[2024]74797号</w:t>
      </w:r>
    </w:p>
    <w:p w14:paraId="0AA876FA">
      <w:pPr>
        <w:adjustRightInd/>
        <w:spacing w:line="360" w:lineRule="auto"/>
        <w:rPr>
          <w:rFonts w:hint="eastAsia" w:ascii="仿宋" w:hAnsi="仿宋" w:eastAsia="仿宋" w:cs="仿宋"/>
          <w:color w:val="000000" w:themeColor="text1"/>
          <w:sz w:val="28"/>
          <w:szCs w:val="20"/>
          <w:highlight w:val="none"/>
          <w14:textFill>
            <w14:solidFill>
              <w14:schemeClr w14:val="tx1"/>
            </w14:solidFill>
          </w14:textFill>
        </w:rPr>
      </w:pPr>
    </w:p>
    <w:p w14:paraId="6D0E84F6">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5037AF67">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5A8F5A12">
      <w:pPr>
        <w:pStyle w:val="183"/>
        <w:widowControl w:val="0"/>
        <w:spacing w:before="0" w:beforeAutospacing="0" w:after="0" w:afterAutospacing="0" w:line="360" w:lineRule="auto"/>
        <w:textAlignment w:val="auto"/>
        <w:rPr>
          <w:rFonts w:hint="eastAsia" w:ascii="仿宋" w:hAnsi="仿宋" w:eastAsia="仿宋" w:cs="仿宋"/>
          <w:color w:val="000000" w:themeColor="text1"/>
          <w:kern w:val="2"/>
          <w:highlight w:val="none"/>
          <w14:textFill>
            <w14:solidFill>
              <w14:schemeClr w14:val="tx1"/>
            </w14:solidFill>
          </w14:textFill>
        </w:rPr>
      </w:pPr>
    </w:p>
    <w:p w14:paraId="4C031F8A">
      <w:pPr>
        <w:pStyle w:val="183"/>
        <w:widowControl w:val="0"/>
        <w:spacing w:before="0" w:beforeAutospacing="0" w:after="0" w:afterAutospacing="0" w:line="360" w:lineRule="auto"/>
        <w:textAlignment w:val="auto"/>
        <w:rPr>
          <w:rFonts w:hint="eastAsia" w:ascii="仿宋" w:hAnsi="仿宋" w:eastAsia="仿宋" w:cs="仿宋"/>
          <w:color w:val="000000" w:themeColor="text1"/>
          <w:kern w:val="2"/>
          <w:highlight w:val="none"/>
          <w14:textFill>
            <w14:solidFill>
              <w14:schemeClr w14:val="tx1"/>
            </w14:solidFill>
          </w14:textFill>
        </w:rPr>
      </w:pPr>
    </w:p>
    <w:p w14:paraId="7450218F">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tbl>
      <w:tblPr>
        <w:tblStyle w:val="60"/>
        <w:tblW w:w="0" w:type="auto"/>
        <w:jc w:val="center"/>
        <w:tblLayout w:type="fixed"/>
        <w:tblCellMar>
          <w:top w:w="0" w:type="dxa"/>
          <w:left w:w="108" w:type="dxa"/>
          <w:bottom w:w="0" w:type="dxa"/>
          <w:right w:w="108" w:type="dxa"/>
        </w:tblCellMar>
      </w:tblPr>
      <w:tblGrid>
        <w:gridCol w:w="2032"/>
        <w:gridCol w:w="516"/>
        <w:gridCol w:w="4411"/>
      </w:tblGrid>
      <w:tr w14:paraId="2EEB5194">
        <w:tblPrEx>
          <w:tblCellMar>
            <w:top w:w="0" w:type="dxa"/>
            <w:left w:w="108" w:type="dxa"/>
            <w:bottom w:w="0" w:type="dxa"/>
            <w:right w:w="108" w:type="dxa"/>
          </w:tblCellMar>
        </w:tblPrEx>
        <w:trPr>
          <w:trHeight w:val="680" w:hRule="atLeast"/>
          <w:jc w:val="center"/>
        </w:trPr>
        <w:tc>
          <w:tcPr>
            <w:tcW w:w="2032" w:type="dxa"/>
            <w:vAlign w:val="center"/>
          </w:tcPr>
          <w:p w14:paraId="388EFE17">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采购人</w:t>
            </w:r>
          </w:p>
        </w:tc>
        <w:tc>
          <w:tcPr>
            <w:tcW w:w="516" w:type="dxa"/>
            <w:vAlign w:val="center"/>
          </w:tcPr>
          <w:p w14:paraId="1D64A8CB">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w:t>
            </w:r>
          </w:p>
        </w:tc>
        <w:tc>
          <w:tcPr>
            <w:tcW w:w="4411" w:type="dxa"/>
            <w:vAlign w:val="center"/>
          </w:tcPr>
          <w:p w14:paraId="07C77841">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lang w:val="zh-CN"/>
                <w14:textFill>
                  <w14:solidFill>
                    <w14:schemeClr w14:val="tx1"/>
                  </w14:solidFill>
                </w14:textFill>
              </w:rPr>
              <w:t>浙江财经大学</w:t>
            </w:r>
          </w:p>
        </w:tc>
      </w:tr>
      <w:tr w14:paraId="52605C65">
        <w:tblPrEx>
          <w:tblCellMar>
            <w:top w:w="0" w:type="dxa"/>
            <w:left w:w="108" w:type="dxa"/>
            <w:bottom w:w="0" w:type="dxa"/>
            <w:right w:w="108" w:type="dxa"/>
          </w:tblCellMar>
        </w:tblPrEx>
        <w:trPr>
          <w:trHeight w:val="297" w:hRule="atLeast"/>
          <w:jc w:val="center"/>
        </w:trPr>
        <w:tc>
          <w:tcPr>
            <w:tcW w:w="2032" w:type="dxa"/>
            <w:vAlign w:val="center"/>
          </w:tcPr>
          <w:p w14:paraId="220C16A0">
            <w:pPr>
              <w:snapToGrid w:val="0"/>
              <w:jc w:val="distribute"/>
              <w:rPr>
                <w:rFonts w:hint="eastAsia" w:ascii="仿宋" w:hAnsi="仿宋" w:eastAsia="仿宋" w:cs="仿宋"/>
                <w:color w:val="000000" w:themeColor="text1"/>
                <w:szCs w:val="21"/>
                <w:highlight w:val="none"/>
                <w14:textFill>
                  <w14:solidFill>
                    <w14:schemeClr w14:val="tx1"/>
                  </w14:solidFill>
                </w14:textFill>
              </w:rPr>
            </w:pPr>
          </w:p>
        </w:tc>
        <w:tc>
          <w:tcPr>
            <w:tcW w:w="516" w:type="dxa"/>
            <w:vAlign w:val="center"/>
          </w:tcPr>
          <w:p w14:paraId="6C214175">
            <w:pPr>
              <w:snapToGrid w:val="0"/>
              <w:jc w:val="distribute"/>
              <w:rPr>
                <w:rFonts w:hint="eastAsia" w:ascii="仿宋" w:hAnsi="仿宋" w:eastAsia="仿宋" w:cs="仿宋"/>
                <w:color w:val="000000" w:themeColor="text1"/>
                <w:szCs w:val="21"/>
                <w:highlight w:val="none"/>
                <w14:textFill>
                  <w14:solidFill>
                    <w14:schemeClr w14:val="tx1"/>
                  </w14:solidFill>
                </w14:textFill>
              </w:rPr>
            </w:pPr>
          </w:p>
        </w:tc>
        <w:tc>
          <w:tcPr>
            <w:tcW w:w="4411" w:type="dxa"/>
            <w:vAlign w:val="center"/>
          </w:tcPr>
          <w:p w14:paraId="76323C6D">
            <w:pPr>
              <w:snapToGrid w:val="0"/>
              <w:jc w:val="distribute"/>
              <w:rPr>
                <w:rFonts w:hint="eastAsia" w:ascii="仿宋" w:hAnsi="仿宋" w:eastAsia="仿宋" w:cs="仿宋"/>
                <w:color w:val="000000" w:themeColor="text1"/>
                <w:szCs w:val="21"/>
                <w:highlight w:val="none"/>
                <w14:textFill>
                  <w14:solidFill>
                    <w14:schemeClr w14:val="tx1"/>
                  </w14:solidFill>
                </w14:textFill>
              </w:rPr>
            </w:pPr>
          </w:p>
        </w:tc>
      </w:tr>
      <w:tr w14:paraId="0C539830">
        <w:tblPrEx>
          <w:tblCellMar>
            <w:top w:w="0" w:type="dxa"/>
            <w:left w:w="108" w:type="dxa"/>
            <w:bottom w:w="0" w:type="dxa"/>
            <w:right w:w="108" w:type="dxa"/>
          </w:tblCellMar>
        </w:tblPrEx>
        <w:trPr>
          <w:trHeight w:val="680" w:hRule="atLeast"/>
          <w:jc w:val="center"/>
        </w:trPr>
        <w:tc>
          <w:tcPr>
            <w:tcW w:w="2032" w:type="dxa"/>
            <w:vAlign w:val="center"/>
          </w:tcPr>
          <w:p w14:paraId="747C8578">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采购代理机构</w:t>
            </w:r>
          </w:p>
        </w:tc>
        <w:tc>
          <w:tcPr>
            <w:tcW w:w="516" w:type="dxa"/>
            <w:vAlign w:val="center"/>
          </w:tcPr>
          <w:p w14:paraId="6B287E42">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w:t>
            </w:r>
          </w:p>
        </w:tc>
        <w:tc>
          <w:tcPr>
            <w:tcW w:w="4411" w:type="dxa"/>
            <w:vAlign w:val="center"/>
          </w:tcPr>
          <w:p w14:paraId="15CF3933">
            <w:pPr>
              <w:snapToGrid w:val="0"/>
              <w:jc w:val="distribute"/>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浙江国际招投标有限公司</w:t>
            </w:r>
          </w:p>
        </w:tc>
      </w:tr>
      <w:tr w14:paraId="5DFF1161">
        <w:tblPrEx>
          <w:tblCellMar>
            <w:top w:w="0" w:type="dxa"/>
            <w:left w:w="108" w:type="dxa"/>
            <w:bottom w:w="0" w:type="dxa"/>
            <w:right w:w="108" w:type="dxa"/>
          </w:tblCellMar>
        </w:tblPrEx>
        <w:trPr>
          <w:trHeight w:val="680" w:hRule="atLeast"/>
          <w:jc w:val="center"/>
        </w:trPr>
        <w:tc>
          <w:tcPr>
            <w:tcW w:w="6959" w:type="dxa"/>
            <w:gridSpan w:val="3"/>
            <w:vAlign w:val="bottom"/>
          </w:tcPr>
          <w:p w14:paraId="76DFFE6B">
            <w:pPr>
              <w:snapToGrid w:val="0"/>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202</w:t>
            </w:r>
            <w:r>
              <w:rPr>
                <w:rFonts w:hint="eastAsia" w:ascii="仿宋" w:hAnsi="仿宋" w:eastAsia="仿宋" w:cs="仿宋"/>
                <w:color w:val="000000" w:themeColor="text1"/>
                <w:sz w:val="30"/>
                <w:szCs w:val="30"/>
                <w:highlight w:val="none"/>
                <w:lang w:val="en-US" w:eastAsia="zh-CN"/>
                <w14:textFill>
                  <w14:solidFill>
                    <w14:schemeClr w14:val="tx1"/>
                  </w14:solidFill>
                </w14:textFill>
              </w:rPr>
              <w:t>4</w:t>
            </w:r>
            <w:r>
              <w:rPr>
                <w:rFonts w:hint="eastAsia" w:ascii="仿宋" w:hAnsi="仿宋" w:eastAsia="仿宋" w:cs="仿宋"/>
                <w:color w:val="000000" w:themeColor="text1"/>
                <w:sz w:val="30"/>
                <w:szCs w:val="30"/>
                <w:highlight w:val="none"/>
                <w14:textFill>
                  <w14:solidFill>
                    <w14:schemeClr w14:val="tx1"/>
                  </w14:solidFill>
                </w14:textFill>
              </w:rPr>
              <w:t>年</w:t>
            </w:r>
            <w:r>
              <w:rPr>
                <w:rFonts w:hint="eastAsia" w:ascii="仿宋" w:hAnsi="仿宋" w:eastAsia="仿宋" w:cs="仿宋"/>
                <w:color w:val="000000" w:themeColor="text1"/>
                <w:sz w:val="30"/>
                <w:szCs w:val="30"/>
                <w:highlight w:val="none"/>
                <w:lang w:val="en-US" w:eastAsia="zh-CN"/>
                <w14:textFill>
                  <w14:solidFill>
                    <w14:schemeClr w14:val="tx1"/>
                  </w14:solidFill>
                </w14:textFill>
              </w:rPr>
              <w:t>12</w:t>
            </w:r>
            <w:r>
              <w:rPr>
                <w:rFonts w:hint="eastAsia" w:ascii="仿宋" w:hAnsi="仿宋" w:eastAsia="仿宋" w:cs="仿宋"/>
                <w:color w:val="000000" w:themeColor="text1"/>
                <w:sz w:val="30"/>
                <w:szCs w:val="30"/>
                <w:highlight w:val="none"/>
                <w14:textFill>
                  <w14:solidFill>
                    <w14:schemeClr w14:val="tx1"/>
                  </w14:solidFill>
                </w14:textFill>
              </w:rPr>
              <w:t>月</w:t>
            </w:r>
          </w:p>
        </w:tc>
      </w:tr>
    </w:tbl>
    <w:p w14:paraId="7D49642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bookmarkStart w:id="0" w:name="_Hlt67893495"/>
      <w:bookmarkEnd w:id="0"/>
    </w:p>
    <w:p w14:paraId="2028DA2A">
      <w:pPr>
        <w:tabs>
          <w:tab w:val="left" w:pos="2268"/>
        </w:tabs>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00634392">
      <w:pPr>
        <w:spacing w:line="360" w:lineRule="auto"/>
        <w:jc w:val="center"/>
        <w:rPr>
          <w:rFonts w:hint="eastAsia" w:ascii="仿宋" w:hAnsi="仿宋" w:eastAsia="仿宋" w:cs="仿宋"/>
          <w:b/>
          <w:color w:val="000000" w:themeColor="text1"/>
          <w:sz w:val="48"/>
          <w:szCs w:val="48"/>
          <w:highlight w:val="none"/>
          <w14:textFill>
            <w14:solidFill>
              <w14:schemeClr w14:val="tx1"/>
            </w14:solidFill>
          </w14:textFill>
        </w:rPr>
      </w:pPr>
      <w:r>
        <w:rPr>
          <w:rFonts w:hint="eastAsia" w:ascii="仿宋" w:hAnsi="仿宋" w:eastAsia="仿宋" w:cs="仿宋"/>
          <w:b/>
          <w:color w:val="000000" w:themeColor="text1"/>
          <w:sz w:val="48"/>
          <w:szCs w:val="48"/>
          <w:highlight w:val="none"/>
          <w14:textFill>
            <w14:solidFill>
              <w14:schemeClr w14:val="tx1"/>
            </w14:solidFill>
          </w14:textFill>
        </w:rPr>
        <w:t>目  录</w:t>
      </w:r>
    </w:p>
    <w:p w14:paraId="5EE221B9">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p>
    <w:p w14:paraId="72A2EE21">
      <w:pPr>
        <w:spacing w:line="360" w:lineRule="auto"/>
        <w:rPr>
          <w:rFonts w:hint="eastAsia" w:ascii="仿宋" w:hAnsi="仿宋" w:eastAsia="仿宋" w:cs="仿宋"/>
          <w:color w:val="000000" w:themeColor="text1"/>
          <w:sz w:val="32"/>
          <w:szCs w:val="32"/>
          <w:highlight w:val="none"/>
          <w14:textFill>
            <w14:solidFill>
              <w14:schemeClr w14:val="tx1"/>
            </w14:solidFill>
          </w14:textFill>
        </w:rPr>
      </w:pPr>
    </w:p>
    <w:p w14:paraId="4BCEEAEE">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第一部分      邀请供应商</w:t>
      </w:r>
    </w:p>
    <w:p w14:paraId="56A6F72E">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第二部分      竞争性磋商流程</w:t>
      </w:r>
    </w:p>
    <w:p w14:paraId="46BF4636">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第三部分      供应商须知</w:t>
      </w:r>
    </w:p>
    <w:p w14:paraId="2A56F4D4">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第四部分      采购需求</w:t>
      </w:r>
    </w:p>
    <w:p w14:paraId="051091B0">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第五部分      评审方法及评审标准</w:t>
      </w:r>
    </w:p>
    <w:p w14:paraId="3FA8F204">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第六部分      拟签订的合同文本</w:t>
      </w:r>
    </w:p>
    <w:p w14:paraId="38F95851">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第七部分      应提交的有关格式范例</w:t>
      </w:r>
    </w:p>
    <w:p w14:paraId="5E69BB1C">
      <w:pPr>
        <w:spacing w:line="360" w:lineRule="auto"/>
        <w:ind w:firstLine="1280" w:firstLineChars="4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第八部分      最后报价格式</w:t>
      </w:r>
    </w:p>
    <w:p w14:paraId="64A80270">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bookmarkStart w:id="1" w:name="_Hlt91233176"/>
      <w:bookmarkEnd w:id="1"/>
      <w:bookmarkStart w:id="2" w:name="_Toc91899869"/>
    </w:p>
    <w:p w14:paraId="58BB8D73">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229966CC">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7B83178C">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2ACAB512">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7A450D31">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721A6E47">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4B211737">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1799864">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4DFAD4FD">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6F4F9D6">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72D00CF6">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099DF889">
      <w:pPr>
        <w:spacing w:line="360" w:lineRule="auto"/>
        <w:ind w:firstLine="549" w:firstLineChars="229"/>
        <w:rPr>
          <w:rFonts w:hint="eastAsia" w:ascii="仿宋" w:hAnsi="仿宋" w:eastAsia="仿宋" w:cs="仿宋"/>
          <w:color w:val="000000" w:themeColor="text1"/>
          <w:sz w:val="24"/>
          <w:highlight w:val="none"/>
          <w14:textFill>
            <w14:solidFill>
              <w14:schemeClr w14:val="tx1"/>
            </w14:solidFill>
          </w14:textFill>
        </w:rPr>
      </w:pPr>
    </w:p>
    <w:p w14:paraId="7BE65960">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38A7179E">
      <w:pPr>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bookmarkStart w:id="3" w:name="第一部分"/>
      <w:r>
        <w:rPr>
          <w:rFonts w:hint="eastAsia" w:ascii="仿宋" w:hAnsi="仿宋" w:eastAsia="仿宋" w:cs="仿宋"/>
          <w:b/>
          <w:color w:val="000000" w:themeColor="text1"/>
          <w:sz w:val="36"/>
          <w:szCs w:val="36"/>
          <w:highlight w:val="none"/>
          <w14:textFill>
            <w14:solidFill>
              <w14:schemeClr w14:val="tx1"/>
            </w14:solidFill>
          </w14:textFill>
        </w:rPr>
        <w:br w:type="page"/>
      </w:r>
      <w:bookmarkEnd w:id="2"/>
      <w:bookmarkEnd w:id="3"/>
      <w:bookmarkStart w:id="4" w:name="_Hlt74729822"/>
      <w:bookmarkEnd w:id="4"/>
      <w:bookmarkStart w:id="5" w:name="_Hlt74707423"/>
      <w:bookmarkEnd w:id="5"/>
      <w:bookmarkStart w:id="6" w:name="_Hlt74649545"/>
      <w:bookmarkEnd w:id="6"/>
      <w:bookmarkStart w:id="7" w:name="_Hlt74728647"/>
      <w:bookmarkEnd w:id="7"/>
      <w:bookmarkStart w:id="8" w:name="第二部分"/>
      <w:bookmarkStart w:id="9" w:name="_Toc91899870"/>
      <w:bookmarkStart w:id="10" w:name="_Toc91899871"/>
      <w:r>
        <w:rPr>
          <w:rFonts w:hint="eastAsia" w:ascii="仿宋" w:hAnsi="仿宋" w:eastAsia="仿宋" w:cs="仿宋"/>
          <w:b/>
          <w:color w:val="000000" w:themeColor="text1"/>
          <w:sz w:val="36"/>
          <w:szCs w:val="20"/>
          <w:highlight w:val="none"/>
          <w14:textFill>
            <w14:solidFill>
              <w14:schemeClr w14:val="tx1"/>
            </w14:solidFill>
          </w14:textFill>
        </w:rPr>
        <w:t>第一部分  邀请供应商</w:t>
      </w:r>
    </w:p>
    <w:p w14:paraId="2F29F3AE">
      <w:pPr>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 xml:space="preserve">  竞争性磋商公告</w:t>
      </w:r>
    </w:p>
    <w:p w14:paraId="7F80A16D">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项目概况</w:t>
      </w:r>
    </w:p>
    <w:p w14:paraId="45F19561">
      <w:pPr>
        <w:pBdr>
          <w:top w:val="single" w:color="auto" w:sz="4" w:space="1"/>
          <w:left w:val="single" w:color="auto" w:sz="4" w:space="4"/>
          <w:bottom w:val="single" w:color="auto" w:sz="4" w:space="1"/>
          <w:right w:val="single" w:color="auto" w:sz="4" w:space="4"/>
        </w:pBd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u w:val="single"/>
          <w:lang w:eastAsia="zh-CN"/>
          <w14:textFill>
            <w14:solidFill>
              <w14:schemeClr w14:val="tx1"/>
            </w14:solidFill>
          </w14:textFill>
        </w:rPr>
        <w:t>浙江财经大学5号楼、图书馆高压配电房改造工程</w:t>
      </w:r>
      <w:r>
        <w:rPr>
          <w:rFonts w:hint="eastAsia" w:ascii="仿宋" w:hAnsi="仿宋" w:eastAsia="仿宋" w:cs="仿宋"/>
          <w:color w:val="000000" w:themeColor="text1"/>
          <w:sz w:val="24"/>
          <w:highlight w:val="none"/>
          <w14:textFill>
            <w14:solidFill>
              <w14:schemeClr w14:val="tx1"/>
            </w14:solidFill>
          </w14:textFill>
        </w:rPr>
        <w:t>采购项目的潜在供应商应在</w:t>
      </w:r>
      <w:r>
        <w:rPr>
          <w:rFonts w:hint="eastAsia" w:ascii="仿宋" w:hAnsi="仿宋" w:eastAsia="仿宋" w:cs="仿宋"/>
          <w:color w:val="000000" w:themeColor="text1"/>
          <w:sz w:val="24"/>
          <w:highlight w:val="none"/>
          <w:u w:val="single"/>
          <w14:textFill>
            <w14:solidFill>
              <w14:schemeClr w14:val="tx1"/>
            </w14:solidFill>
          </w14:textFill>
        </w:rPr>
        <w:t>政采云平台（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color w:val="000000" w:themeColor="text1"/>
          <w:sz w:val="24"/>
          <w:highlight w:val="none"/>
          <w:u w:val="single"/>
          <w14:textFill>
            <w14:solidFill>
              <w14:schemeClr w14:val="tx1"/>
            </w14:solidFill>
          </w14:textFill>
        </w:rPr>
        <w:t>https://www.zcygov.cn/</w:t>
      </w:r>
      <w:r>
        <w:rPr>
          <w:rStyle w:val="68"/>
          <w:rFonts w:hint="eastAsia" w:ascii="仿宋" w:hAnsi="仿宋" w:eastAsia="仿宋" w:cs="仿宋"/>
          <w:color w:val="000000" w:themeColor="text1"/>
          <w:sz w:val="24"/>
          <w:highlight w:val="none"/>
          <w:u w:val="single"/>
          <w14:textFill>
            <w14:solidFill>
              <w14:schemeClr w14:val="tx1"/>
            </w14:solidFill>
          </w14:textFill>
        </w:rPr>
        <w:fldChar w:fldCharType="end"/>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获取采购文件，并于</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4</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12</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31</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09</w:t>
      </w:r>
      <w:r>
        <w:rPr>
          <w:rFonts w:hint="eastAsia" w:ascii="仿宋" w:hAnsi="仿宋" w:eastAsia="仿宋" w:cs="仿宋"/>
          <w:bCs/>
          <w:color w:val="000000" w:themeColor="text1"/>
          <w:sz w:val="24"/>
          <w:highlight w:val="none"/>
          <w:u w:val="single"/>
          <w14:textFill>
            <w14:solidFill>
              <w14:schemeClr w14:val="tx1"/>
            </w14:solidFill>
          </w14:textFill>
        </w:rPr>
        <w:t>点</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00</w:t>
      </w:r>
      <w:r>
        <w:rPr>
          <w:rFonts w:hint="eastAsia" w:ascii="仿宋" w:hAnsi="仿宋" w:eastAsia="仿宋" w:cs="仿宋"/>
          <w:bCs/>
          <w:color w:val="000000" w:themeColor="text1"/>
          <w:sz w:val="24"/>
          <w:highlight w:val="none"/>
          <w:u w:val="single"/>
          <w14:textFill>
            <w14:solidFill>
              <w14:schemeClr w14:val="tx1"/>
            </w14:solidFill>
          </w14:textFill>
        </w:rPr>
        <w:t>分00秒</w:t>
      </w:r>
      <w:r>
        <w:rPr>
          <w:rFonts w:hint="eastAsia" w:ascii="仿宋" w:hAnsi="仿宋" w:eastAsia="仿宋" w:cs="仿宋"/>
          <w:bCs/>
          <w:color w:val="000000" w:themeColor="text1"/>
          <w:sz w:val="24"/>
          <w:highlight w:val="none"/>
          <w14:textFill>
            <w14:solidFill>
              <w14:schemeClr w14:val="tx1"/>
            </w14:solidFill>
          </w14:textFill>
        </w:rPr>
        <w:t>（北京时间）前提交响应文件</w:t>
      </w:r>
      <w:r>
        <w:rPr>
          <w:rFonts w:hint="eastAsia" w:ascii="仿宋" w:hAnsi="仿宋" w:eastAsia="仿宋" w:cs="仿宋"/>
          <w:color w:val="000000" w:themeColor="text1"/>
          <w:sz w:val="24"/>
          <w:highlight w:val="none"/>
          <w14:textFill>
            <w14:solidFill>
              <w14:schemeClr w14:val="tx1"/>
            </w14:solidFill>
          </w14:textFill>
        </w:rPr>
        <w:t>。</w:t>
      </w:r>
    </w:p>
    <w:p w14:paraId="16B251D8">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71586E29">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11" w:name="_Toc28359089"/>
      <w:bookmarkStart w:id="12" w:name="_Toc35393629"/>
      <w:bookmarkStart w:id="13" w:name="_Toc35393798"/>
      <w:bookmarkStart w:id="14" w:name="_Toc28359012"/>
      <w:r>
        <w:rPr>
          <w:rFonts w:hint="eastAsia" w:ascii="仿宋" w:hAnsi="仿宋" w:eastAsia="仿宋" w:cs="仿宋"/>
          <w:color w:val="000000" w:themeColor="text1"/>
          <w:sz w:val="24"/>
          <w:szCs w:val="24"/>
          <w:highlight w:val="none"/>
          <w14:textFill>
            <w14:solidFill>
              <w14:schemeClr w14:val="tx1"/>
            </w14:solidFill>
          </w14:textFill>
        </w:rPr>
        <w:t>一、项目基本情况</w:t>
      </w:r>
      <w:bookmarkEnd w:id="11"/>
      <w:bookmarkEnd w:id="12"/>
      <w:bookmarkEnd w:id="13"/>
      <w:bookmarkEnd w:id="14"/>
    </w:p>
    <w:p w14:paraId="15E3945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项目编号：</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"javascript:void(0)" \o "ZJ-2360619"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14:textFill>
            <w14:solidFill>
              <w14:schemeClr w14:val="tx1"/>
            </w14:solidFill>
          </w14:textFill>
        </w:rPr>
        <w:fldChar w:fldCharType="end"/>
      </w:r>
    </w:p>
    <w:p w14:paraId="4C1538AD">
      <w:pPr>
        <w:spacing w:line="360" w:lineRule="auto"/>
        <w:ind w:firstLine="480" w:firstLineChars="20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sz w:val="24"/>
          <w:highlight w:val="none"/>
          <w:lang w:eastAsia="zh-CN"/>
          <w14:textFill>
            <w14:solidFill>
              <w14:schemeClr w14:val="tx1"/>
            </w14:solidFill>
          </w14:textFill>
        </w:rPr>
        <w:t>浙江财经大学5号楼、图书馆高压配电房改造工程项目</w:t>
      </w:r>
      <w:bookmarkStart w:id="696" w:name="_GoBack"/>
      <w:bookmarkEnd w:id="696"/>
    </w:p>
    <w:p w14:paraId="3D54D59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采购方式：竞争性磋商</w:t>
      </w:r>
    </w:p>
    <w:p w14:paraId="3B7E8D21">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14:paraId="49FEC821">
      <w:pPr>
        <w:spacing w:line="360" w:lineRule="auto"/>
        <w:ind w:firstLine="482"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采购需求：</w:t>
      </w:r>
    </w:p>
    <w:p w14:paraId="24EC28A3">
      <w:pPr>
        <w:pStyle w:val="15"/>
        <w:spacing w:line="312" w:lineRule="auto"/>
        <w:ind w:firstLine="48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标项一</w:t>
      </w:r>
    </w:p>
    <w:p w14:paraId="0B771155">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标项名称：</w:t>
      </w:r>
      <w:r>
        <w:rPr>
          <w:rFonts w:hint="eastAsia" w:ascii="仿宋" w:hAnsi="仿宋" w:eastAsia="仿宋" w:cs="仿宋"/>
          <w:b w:val="0"/>
          <w:bCs/>
          <w:color w:val="auto"/>
          <w:sz w:val="24"/>
          <w:szCs w:val="24"/>
          <w:highlight w:val="none"/>
        </w:rPr>
        <w:t>浙江财经大学5号楼高压配电房改造工程</w:t>
      </w:r>
    </w:p>
    <w:p w14:paraId="76E1F8B8">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数量：1       </w:t>
      </w:r>
    </w:p>
    <w:p w14:paraId="317F2C4B">
      <w:pPr>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预算金额（元）：</w:t>
      </w:r>
      <w:r>
        <w:rPr>
          <w:rFonts w:hint="eastAsia" w:ascii="仿宋" w:hAnsi="仿宋" w:eastAsia="仿宋" w:cs="仿宋"/>
          <w:color w:val="000000" w:themeColor="text1"/>
          <w:sz w:val="24"/>
          <w:highlight w:val="none"/>
          <w:lang w:val="en-US" w:eastAsia="zh-CN"/>
          <w14:textFill>
            <w14:solidFill>
              <w14:schemeClr w14:val="tx1"/>
            </w14:solidFill>
          </w14:textFill>
        </w:rPr>
        <w:t>1950000</w:t>
      </w:r>
      <w:r>
        <w:rPr>
          <w:rFonts w:hint="eastAsia" w:ascii="仿宋" w:hAnsi="仿宋" w:eastAsia="仿宋" w:cs="仿宋"/>
          <w:color w:val="000000" w:themeColor="text1"/>
          <w:sz w:val="24"/>
          <w:highlight w:val="none"/>
          <w14:textFill>
            <w14:solidFill>
              <w14:schemeClr w14:val="tx1"/>
            </w14:solidFill>
          </w14:textFill>
        </w:rPr>
        <w:t>.00</w:t>
      </w:r>
    </w:p>
    <w:p w14:paraId="485188B3">
      <w:pPr>
        <w:spacing w:line="360" w:lineRule="auto"/>
        <w:ind w:firstLine="482" w:firstLineChars="20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招标控制价（元）：</w:t>
      </w:r>
      <w:r>
        <w:rPr>
          <w:rFonts w:hint="eastAsia" w:ascii="仿宋" w:hAnsi="仿宋" w:eastAsia="仿宋" w:cs="仿宋"/>
          <w:color w:val="000000" w:themeColor="text1"/>
          <w:sz w:val="24"/>
          <w:highlight w:val="none"/>
          <w:lang w:val="en-US" w:eastAsia="zh-CN"/>
          <w14:textFill>
            <w14:solidFill>
              <w14:schemeClr w14:val="tx1"/>
            </w14:solidFill>
          </w14:textFill>
        </w:rPr>
        <w:t>1870145.00</w:t>
      </w:r>
    </w:p>
    <w:p w14:paraId="7076DAC3">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单位：项 </w:t>
      </w:r>
    </w:p>
    <w:p w14:paraId="40D5664D">
      <w:pPr>
        <w:pStyle w:val="15"/>
        <w:spacing w:line="312" w:lineRule="auto"/>
        <w:ind w:firstLine="48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简要规格描述：</w:t>
      </w:r>
      <w:r>
        <w:rPr>
          <w:rFonts w:hint="eastAsia" w:ascii="仿宋" w:hAnsi="仿宋" w:eastAsia="仿宋" w:cs="仿宋"/>
          <w:bCs/>
          <w:color w:val="000000" w:themeColor="text1"/>
          <w:sz w:val="24"/>
          <w:highlight w:val="none"/>
          <w14:textFill>
            <w14:solidFill>
              <w14:schemeClr w14:val="tx1"/>
            </w14:solidFill>
          </w14:textFill>
        </w:rPr>
        <w:t>（项目名称）主要内容：</w:t>
      </w:r>
      <w:r>
        <w:rPr>
          <w:rFonts w:hint="eastAsia" w:ascii="仿宋" w:hAnsi="仿宋" w:eastAsia="仿宋" w:cs="仿宋"/>
          <w:color w:val="000000" w:themeColor="text1"/>
          <w:sz w:val="24"/>
          <w:highlight w:val="none"/>
          <w14:textFill>
            <w14:solidFill>
              <w14:schemeClr w14:val="tx1"/>
            </w14:solidFill>
          </w14:textFill>
        </w:rPr>
        <w:t>本项目主要涉及</w:t>
      </w:r>
      <w:r>
        <w:rPr>
          <w:rFonts w:hint="eastAsia" w:ascii="仿宋" w:hAnsi="仿宋" w:eastAsia="仿宋" w:cs="仿宋"/>
          <w:color w:val="000000" w:themeColor="text1"/>
          <w:sz w:val="24"/>
          <w:highlight w:val="none"/>
          <w:lang w:eastAsia="zh-CN"/>
          <w14:textFill>
            <w14:solidFill>
              <w14:schemeClr w14:val="tx1"/>
            </w14:solidFill>
          </w14:textFill>
        </w:rPr>
        <w:t>浙江财经大学</w:t>
      </w:r>
      <w:r>
        <w:rPr>
          <w:rFonts w:hint="eastAsia" w:ascii="仿宋" w:hAnsi="仿宋" w:eastAsia="仿宋" w:cs="仿宋"/>
          <w:color w:val="000000" w:themeColor="text1"/>
          <w:sz w:val="24"/>
          <w:highlight w:val="none"/>
          <w14:textFill>
            <w14:solidFill>
              <w14:schemeClr w14:val="tx1"/>
            </w14:solidFill>
          </w14:textFill>
        </w:rPr>
        <w:t>5号楼配电房改造工程</w:t>
      </w:r>
      <w:r>
        <w:rPr>
          <w:rFonts w:hint="eastAsia" w:ascii="仿宋" w:hAnsi="仿宋" w:eastAsia="仿宋" w:cs="仿宋"/>
          <w:bCs/>
          <w:color w:val="000000" w:themeColor="text1"/>
          <w:sz w:val="24"/>
          <w:highlight w:val="none"/>
          <w14:textFill>
            <w14:solidFill>
              <w14:schemeClr w14:val="tx1"/>
            </w14:solidFill>
          </w14:textFill>
        </w:rPr>
        <w:t>。详见磋商文件第四部分。供应商可点击本公告下方“浏览采购文件”查看采购需求。</w:t>
      </w:r>
    </w:p>
    <w:p w14:paraId="4FCF4419">
      <w:pPr>
        <w:pStyle w:val="15"/>
        <w:spacing w:line="312" w:lineRule="auto"/>
        <w:ind w:firstLine="480"/>
        <w:rPr>
          <w:rFonts w:hint="eastAsia" w:ascii="仿宋" w:hAnsi="仿宋" w:eastAsia="仿宋" w:cs="仿宋"/>
          <w:bCs/>
          <w:color w:val="000000" w:themeColor="text1"/>
          <w:sz w:val="24"/>
          <w:highlight w:val="none"/>
          <w14:textFill>
            <w14:solidFill>
              <w14:schemeClr w14:val="tx1"/>
            </w14:solidFill>
          </w14:textFill>
        </w:rPr>
      </w:pPr>
    </w:p>
    <w:p w14:paraId="699BE203">
      <w:pPr>
        <w:pStyle w:val="15"/>
        <w:spacing w:line="312" w:lineRule="auto"/>
        <w:ind w:firstLine="480"/>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标项</w:t>
      </w:r>
      <w:r>
        <w:rPr>
          <w:rFonts w:hint="eastAsia" w:ascii="仿宋" w:hAnsi="仿宋" w:eastAsia="仿宋" w:cs="仿宋"/>
          <w:b/>
          <w:color w:val="auto"/>
          <w:sz w:val="24"/>
          <w:szCs w:val="24"/>
          <w:highlight w:val="none"/>
          <w:lang w:eastAsia="zh-CN"/>
        </w:rPr>
        <w:t>二</w:t>
      </w:r>
    </w:p>
    <w:p w14:paraId="032FC1B8">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标项名称：</w:t>
      </w:r>
      <w:r>
        <w:rPr>
          <w:rFonts w:hint="eastAsia" w:ascii="仿宋" w:hAnsi="仿宋" w:eastAsia="仿宋" w:cs="仿宋"/>
          <w:b w:val="0"/>
          <w:bCs/>
          <w:color w:val="auto"/>
          <w:sz w:val="24"/>
          <w:szCs w:val="24"/>
          <w:highlight w:val="none"/>
        </w:rPr>
        <w:t>浙江财经大学</w:t>
      </w:r>
      <w:r>
        <w:rPr>
          <w:rFonts w:hint="eastAsia" w:ascii="仿宋" w:hAnsi="仿宋" w:eastAsia="仿宋" w:cs="仿宋"/>
          <w:color w:val="000000" w:themeColor="text1"/>
          <w:sz w:val="24"/>
          <w:highlight w:val="none"/>
          <w:lang w:eastAsia="zh-CN"/>
          <w14:textFill>
            <w14:solidFill>
              <w14:schemeClr w14:val="tx1"/>
            </w14:solidFill>
          </w14:textFill>
        </w:rPr>
        <w:t>图书馆高压</w:t>
      </w:r>
      <w:r>
        <w:rPr>
          <w:rFonts w:hint="eastAsia" w:ascii="仿宋" w:hAnsi="仿宋" w:eastAsia="仿宋" w:cs="仿宋"/>
          <w:b w:val="0"/>
          <w:bCs/>
          <w:color w:val="auto"/>
          <w:sz w:val="24"/>
          <w:szCs w:val="24"/>
          <w:highlight w:val="none"/>
        </w:rPr>
        <w:t>配电房改造工程</w:t>
      </w:r>
    </w:p>
    <w:p w14:paraId="30B3868A">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数量：1       </w:t>
      </w:r>
    </w:p>
    <w:p w14:paraId="59ED5B1A">
      <w:pPr>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预算金额（元）：</w:t>
      </w:r>
      <w:r>
        <w:rPr>
          <w:rFonts w:hint="eastAsia" w:ascii="仿宋" w:hAnsi="仿宋" w:eastAsia="仿宋" w:cs="仿宋"/>
          <w:b w:val="0"/>
          <w:bCs/>
          <w:color w:val="000000" w:themeColor="text1"/>
          <w:sz w:val="24"/>
          <w:highlight w:val="none"/>
          <w14:textFill>
            <w14:solidFill>
              <w14:schemeClr w14:val="tx1"/>
            </w14:solidFill>
          </w14:textFill>
        </w:rPr>
        <w:t>352</w:t>
      </w:r>
      <w:r>
        <w:rPr>
          <w:rFonts w:hint="eastAsia" w:ascii="仿宋" w:hAnsi="仿宋" w:eastAsia="仿宋" w:cs="仿宋"/>
          <w:color w:val="000000" w:themeColor="text1"/>
          <w:sz w:val="24"/>
          <w:highlight w:val="none"/>
          <w:lang w:val="en-US" w:eastAsia="zh-CN"/>
          <w14:textFill>
            <w14:solidFill>
              <w14:schemeClr w14:val="tx1"/>
            </w14:solidFill>
          </w14:textFill>
        </w:rPr>
        <w:t>0000</w:t>
      </w:r>
      <w:r>
        <w:rPr>
          <w:rFonts w:hint="eastAsia" w:ascii="仿宋" w:hAnsi="仿宋" w:eastAsia="仿宋" w:cs="仿宋"/>
          <w:color w:val="000000" w:themeColor="text1"/>
          <w:sz w:val="24"/>
          <w:highlight w:val="none"/>
          <w14:textFill>
            <w14:solidFill>
              <w14:schemeClr w14:val="tx1"/>
            </w14:solidFill>
          </w14:textFill>
        </w:rPr>
        <w:t>.00</w:t>
      </w:r>
    </w:p>
    <w:p w14:paraId="481A3CE6">
      <w:pPr>
        <w:spacing w:line="360" w:lineRule="auto"/>
        <w:ind w:firstLine="482" w:firstLineChars="20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招标控制价（元）：</w:t>
      </w:r>
      <w:r>
        <w:rPr>
          <w:rFonts w:hint="eastAsia" w:ascii="仿宋" w:hAnsi="仿宋" w:eastAsia="仿宋" w:cs="仿宋"/>
          <w:color w:val="000000" w:themeColor="text1"/>
          <w:sz w:val="24"/>
          <w:highlight w:val="none"/>
          <w:lang w:val="en-US" w:eastAsia="zh-CN"/>
          <w14:textFill>
            <w14:solidFill>
              <w14:schemeClr w14:val="tx1"/>
            </w14:solidFill>
          </w14:textFill>
        </w:rPr>
        <w:t>3396307.00</w:t>
      </w:r>
    </w:p>
    <w:p w14:paraId="66756AF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02B255B0">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单位：项 </w:t>
      </w:r>
    </w:p>
    <w:p w14:paraId="05593D91">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简要规格描述：</w:t>
      </w:r>
      <w:r>
        <w:rPr>
          <w:rFonts w:hint="eastAsia" w:ascii="仿宋" w:hAnsi="仿宋" w:eastAsia="仿宋" w:cs="仿宋"/>
          <w:bCs/>
          <w:color w:val="000000" w:themeColor="text1"/>
          <w:sz w:val="24"/>
          <w:highlight w:val="none"/>
          <w14:textFill>
            <w14:solidFill>
              <w14:schemeClr w14:val="tx1"/>
            </w14:solidFill>
          </w14:textFill>
        </w:rPr>
        <w:t>（项目名称）主要内容：</w:t>
      </w:r>
      <w:r>
        <w:rPr>
          <w:rFonts w:hint="eastAsia" w:ascii="仿宋" w:hAnsi="仿宋" w:eastAsia="仿宋" w:cs="仿宋"/>
          <w:color w:val="000000" w:themeColor="text1"/>
          <w:sz w:val="24"/>
          <w:highlight w:val="none"/>
          <w14:textFill>
            <w14:solidFill>
              <w14:schemeClr w14:val="tx1"/>
            </w14:solidFill>
          </w14:textFill>
        </w:rPr>
        <w:t>本项目主要涉及</w:t>
      </w:r>
      <w:r>
        <w:rPr>
          <w:rFonts w:hint="eastAsia" w:ascii="仿宋" w:hAnsi="仿宋" w:eastAsia="仿宋" w:cs="仿宋"/>
          <w:color w:val="000000" w:themeColor="text1"/>
          <w:sz w:val="24"/>
          <w:highlight w:val="none"/>
          <w:lang w:eastAsia="zh-CN"/>
          <w14:textFill>
            <w14:solidFill>
              <w14:schemeClr w14:val="tx1"/>
            </w14:solidFill>
          </w14:textFill>
        </w:rPr>
        <w:t>浙江财经大学</w:t>
      </w:r>
      <w:r>
        <w:rPr>
          <w:rFonts w:hint="eastAsia" w:ascii="仿宋" w:hAnsi="仿宋" w:eastAsia="仿宋" w:cs="仿宋"/>
          <w:color w:val="000000" w:themeColor="text1"/>
          <w:sz w:val="24"/>
          <w:highlight w:val="none"/>
          <w14:textFill>
            <w14:solidFill>
              <w14:schemeClr w14:val="tx1"/>
            </w14:solidFill>
          </w14:textFill>
        </w:rPr>
        <w:t>图书馆配电房改造工程</w:t>
      </w:r>
      <w:r>
        <w:rPr>
          <w:rFonts w:hint="eastAsia" w:ascii="仿宋" w:hAnsi="仿宋" w:eastAsia="仿宋" w:cs="仿宋"/>
          <w:bCs/>
          <w:color w:val="000000" w:themeColor="text1"/>
          <w:sz w:val="24"/>
          <w:highlight w:val="none"/>
          <w14:textFill>
            <w14:solidFill>
              <w14:schemeClr w14:val="tx1"/>
            </w14:solidFill>
          </w14:textFill>
        </w:rPr>
        <w:t>。详见磋商文件第四部分。供应商可点击本公告下方“浏览采购文件”查看采购需求。</w:t>
      </w:r>
    </w:p>
    <w:p w14:paraId="1690B5CE">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p>
    <w:p w14:paraId="516BC235">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根据项目进度及</w:t>
      </w:r>
      <w:r>
        <w:rPr>
          <w:rFonts w:hint="eastAsia" w:ascii="仿宋" w:hAnsi="仿宋" w:eastAsia="仿宋" w:cs="仿宋"/>
          <w:b/>
          <w:color w:val="000000" w:themeColor="text1"/>
          <w:sz w:val="24"/>
          <w:highlight w:val="none"/>
          <w:lang w:eastAsia="zh-CN"/>
          <w14:textFill>
            <w14:solidFill>
              <w14:schemeClr w14:val="tx1"/>
            </w14:solidFill>
          </w14:textFill>
        </w:rPr>
        <w:t>施工</w:t>
      </w:r>
      <w:r>
        <w:rPr>
          <w:rFonts w:hint="eastAsia" w:ascii="仿宋" w:hAnsi="仿宋" w:eastAsia="仿宋" w:cs="仿宋"/>
          <w:b/>
          <w:color w:val="000000" w:themeColor="text1"/>
          <w:sz w:val="24"/>
          <w:highlight w:val="none"/>
          <w14:textFill>
            <w14:solidFill>
              <w14:schemeClr w14:val="tx1"/>
            </w14:solidFill>
          </w14:textFill>
        </w:rPr>
        <w:t>安排考虑</w:t>
      </w:r>
      <w:r>
        <w:rPr>
          <w:rFonts w:hint="eastAsia" w:ascii="仿宋" w:hAnsi="仿宋" w:eastAsia="仿宋" w:cs="仿宋"/>
          <w:b/>
          <w:color w:val="000000" w:themeColor="text1"/>
          <w:sz w:val="24"/>
          <w:highlight w:val="none"/>
          <w:lang w:eastAsia="zh-CN"/>
          <w14:textFill>
            <w14:solidFill>
              <w14:schemeClr w14:val="tx1"/>
            </w14:solidFill>
          </w14:textFill>
        </w:rPr>
        <w:t>，</w:t>
      </w:r>
      <w:r>
        <w:rPr>
          <w:rFonts w:hint="eastAsia" w:ascii="仿宋" w:hAnsi="仿宋" w:eastAsia="仿宋" w:cs="仿宋"/>
          <w:b/>
          <w:color w:val="000000" w:themeColor="text1"/>
          <w:sz w:val="24"/>
          <w:highlight w:val="none"/>
          <w14:textFill>
            <w14:solidFill>
              <w14:schemeClr w14:val="tx1"/>
            </w14:solidFill>
          </w14:textFill>
        </w:rPr>
        <w:t>本项目兼投不兼中。投标人可以同时参与两个标项，但是最多只能中一个标项。</w:t>
      </w:r>
    </w:p>
    <w:p w14:paraId="350775DF">
      <w:pPr>
        <w:spacing w:line="360" w:lineRule="auto"/>
        <w:ind w:firstLine="482"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本项目接受联合体磋商：</w:t>
      </w:r>
      <w:sdt>
        <w:sdtPr>
          <w:rPr>
            <w:rFonts w:hint="eastAsia" w:ascii="仿宋" w:hAnsi="仿宋" w:eastAsia="仿宋" w:cs="仿宋"/>
            <w:color w:val="000000" w:themeColor="text1"/>
            <w:kern w:val="0"/>
            <w:sz w:val="24"/>
            <w:highlight w:val="none"/>
            <w14:textFill>
              <w14:solidFill>
                <w14:schemeClr w14:val="tx1"/>
              </w14:solidFill>
            </w14:textFill>
          </w:rPr>
          <w:id w:val="2035453831"/>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snapToGrid w:val="0"/>
              <w:color w:val="000000" w:themeColor="text1"/>
              <w:kern w:val="0"/>
              <w:sz w:val="24"/>
              <w:szCs w:val="20"/>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sz w:val="24"/>
          <w:highlight w:val="none"/>
          <w14:textFill>
            <w14:solidFill>
              <w14:schemeClr w14:val="tx1"/>
            </w14:solidFill>
          </w14:textFill>
        </w:rPr>
        <w:t>是，</w:t>
      </w:r>
      <w:sdt>
        <w:sdtPr>
          <w:rPr>
            <w:rFonts w:hint="eastAsia" w:ascii="仿宋" w:hAnsi="仿宋" w:eastAsia="仿宋" w:cs="仿宋"/>
            <w:color w:val="000000" w:themeColor="text1"/>
            <w:kern w:val="0"/>
            <w:sz w:val="24"/>
            <w:highlight w:val="none"/>
            <w14:textFill>
              <w14:solidFill>
                <w14:schemeClr w14:val="tx1"/>
              </w14:solidFill>
            </w14:textFill>
          </w:rPr>
          <w:id w:val="-1"/>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否</w:t>
      </w:r>
      <w:r>
        <w:rPr>
          <w:rFonts w:hint="eastAsia" w:ascii="仿宋" w:hAnsi="仿宋" w:eastAsia="仿宋" w:cs="仿宋"/>
          <w:color w:val="000000" w:themeColor="text1"/>
          <w:kern w:val="0"/>
          <w:sz w:val="24"/>
          <w:highlight w:val="none"/>
          <w14:textFill>
            <w14:solidFill>
              <w14:schemeClr w14:val="tx1"/>
            </w14:solidFill>
          </w14:textFill>
        </w:rPr>
        <w:t>。</w:t>
      </w:r>
    </w:p>
    <w:p w14:paraId="47F7D401">
      <w:pPr>
        <w:pStyle w:val="23"/>
        <w:rPr>
          <w:rFonts w:hint="eastAsia" w:ascii="仿宋" w:hAnsi="仿宋" w:eastAsia="仿宋" w:cs="仿宋"/>
          <w:color w:val="000000" w:themeColor="text1"/>
          <w:highlight w:val="none"/>
          <w14:textFill>
            <w14:solidFill>
              <w14:schemeClr w14:val="tx1"/>
            </w14:solidFill>
          </w14:textFill>
        </w:rPr>
      </w:pPr>
    </w:p>
    <w:p w14:paraId="73A6CF3B">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15" w:name="_Toc35393799"/>
      <w:bookmarkStart w:id="16" w:name="_Toc28359013"/>
      <w:bookmarkStart w:id="17" w:name="_Toc28359090"/>
      <w:bookmarkStart w:id="18" w:name="_Toc35393630"/>
      <w:r>
        <w:rPr>
          <w:rFonts w:hint="eastAsia" w:ascii="仿宋" w:hAnsi="仿宋" w:eastAsia="仿宋" w:cs="仿宋"/>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2CB4249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满足《中华人民共和国政府采购法》第二十二条规定；未被“信用中国”（www.creditchina.gov.cn)、中国政府采购网（www.ccgp.gov.cn）列入失信被执行人、重大税收违法案件当事人名单、政府采购严重违法失信行为记录名单。</w:t>
      </w:r>
    </w:p>
    <w:p w14:paraId="3BEE358F">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bookmarkStart w:id="19" w:name="_Toc28359014"/>
      <w:bookmarkStart w:id="20" w:name="_Toc28359091"/>
      <w:r>
        <w:rPr>
          <w:rFonts w:hint="eastAsia" w:ascii="仿宋" w:hAnsi="仿宋" w:eastAsia="仿宋" w:cs="仿宋"/>
          <w:color w:val="000000" w:themeColor="text1"/>
          <w:sz w:val="24"/>
          <w:highlight w:val="none"/>
          <w14:textFill>
            <w14:solidFill>
              <w14:schemeClr w14:val="tx1"/>
            </w14:solidFill>
          </w14:textFill>
        </w:rPr>
        <w:t>2.本项目（是）接受联合体投标。以联合体形式响应，提供联合协议；</w:t>
      </w:r>
    </w:p>
    <w:p w14:paraId="29F0FBD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3.落实政府采购政策需满足的资格要求：</w:t>
      </w:r>
    </w:p>
    <w:p w14:paraId="30DB512B">
      <w:pPr>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772490951"/>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lang w:eastAsia="zh-CN"/>
          <w14:textFill>
            <w14:solidFill>
              <w14:schemeClr w14:val="tx1"/>
            </w14:solidFill>
          </w14:textFill>
        </w:rPr>
        <w:t>本项目</w:t>
      </w:r>
      <w:r>
        <w:rPr>
          <w:rFonts w:hint="eastAsia" w:ascii="仿宋" w:hAnsi="仿宋" w:eastAsia="仿宋" w:cs="仿宋"/>
          <w:color w:val="000000" w:themeColor="text1"/>
          <w:kern w:val="0"/>
          <w:sz w:val="24"/>
          <w:highlight w:val="none"/>
          <w14:textFill>
            <w14:solidFill>
              <w14:schemeClr w14:val="tx1"/>
            </w14:solidFill>
          </w14:textFill>
        </w:rPr>
        <w:t>专</w:t>
      </w:r>
      <w:r>
        <w:rPr>
          <w:rFonts w:hint="eastAsia" w:ascii="仿宋" w:hAnsi="仿宋" w:eastAsia="仿宋" w:cs="仿宋"/>
          <w:color w:val="000000" w:themeColor="text1"/>
          <w:sz w:val="24"/>
          <w:highlight w:val="none"/>
          <w14:textFill>
            <w14:solidFill>
              <w14:schemeClr w14:val="tx1"/>
            </w14:solidFill>
          </w14:textFill>
        </w:rPr>
        <w:t>门面向中小企业</w:t>
      </w:r>
      <w:r>
        <w:rPr>
          <w:rFonts w:hint="eastAsia" w:ascii="仿宋" w:hAnsi="仿宋" w:eastAsia="仿宋" w:cs="仿宋"/>
          <w:color w:val="000000" w:themeColor="text1"/>
          <w:sz w:val="24"/>
          <w:highlight w:val="none"/>
          <w:lang w:val="en-US"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提供</w:t>
      </w:r>
      <w:r>
        <w:rPr>
          <w:rFonts w:hint="eastAsia" w:ascii="仿宋" w:hAnsi="仿宋" w:eastAsia="仿宋" w:cs="仿宋"/>
          <w:color w:val="000000" w:themeColor="text1"/>
          <w:sz w:val="24"/>
          <w:highlight w:val="none"/>
          <w:lang w:eastAsia="zh-CN"/>
          <w14:textFill>
            <w14:solidFill>
              <w14:schemeClr w14:val="tx1"/>
            </w14:solidFill>
          </w14:textFill>
        </w:rPr>
        <w:t>有效的</w:t>
      </w:r>
      <w:r>
        <w:rPr>
          <w:rFonts w:hint="eastAsia" w:ascii="仿宋" w:hAnsi="仿宋" w:eastAsia="仿宋" w:cs="仿宋"/>
          <w:color w:val="000000" w:themeColor="text1"/>
          <w:sz w:val="24"/>
          <w:highlight w:val="none"/>
          <w14:textFill>
            <w14:solidFill>
              <w14:schemeClr w14:val="tx1"/>
            </w14:solidFill>
          </w14:textFill>
        </w:rPr>
        <w:t>中小企业声明函</w:t>
      </w:r>
      <w:r>
        <w:rPr>
          <w:rFonts w:hint="eastAsia" w:ascii="仿宋" w:hAnsi="仿宋" w:eastAsia="仿宋" w:cs="仿宋"/>
          <w:color w:val="000000" w:themeColor="text1"/>
          <w:sz w:val="24"/>
          <w:highlight w:val="none"/>
          <w:lang w:eastAsia="zh-CN"/>
          <w14:textFill>
            <w14:solidFill>
              <w14:schemeClr w14:val="tx1"/>
            </w14:solidFill>
          </w14:textFill>
        </w:rPr>
        <w:t>。</w:t>
      </w:r>
    </w:p>
    <w:p w14:paraId="078258B1">
      <w:pPr>
        <w:numPr>
          <w:ilvl w:val="0"/>
          <w:numId w:val="7"/>
        </w:numPr>
        <w:spacing w:line="360" w:lineRule="auto"/>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本项目的特定资格要求：</w:t>
      </w:r>
    </w:p>
    <w:p w14:paraId="6D4B3460">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（1）具有承装（修、试）电力设施许可证五级及以上资质；</w:t>
      </w:r>
    </w:p>
    <w:p w14:paraId="285AFA66">
      <w:pPr>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（2）具有建筑工程施工总承包三级及以上资质；</w:t>
      </w:r>
    </w:p>
    <w:p w14:paraId="1D5256D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（3）有效期内的安全生产许可证。</w:t>
      </w:r>
    </w:p>
    <w:p w14:paraId="3E7C5DF6">
      <w:pPr>
        <w:spacing w:line="360" w:lineRule="auto"/>
        <w:ind w:firstLine="480" w:firstLineChars="200"/>
        <w:rPr>
          <w:rFonts w:hint="eastAsia" w:ascii="仿宋" w:hAnsi="仿宋" w:eastAsia="仿宋" w:cs="仿宋"/>
          <w:i/>
          <w:iCs/>
          <w:color w:val="000000" w:themeColor="text1"/>
          <w:sz w:val="24"/>
          <w:highlight w:val="none"/>
          <w:u w:val="single"/>
          <w14:textFill>
            <w14:solidFill>
              <w14:schemeClr w14:val="tx1"/>
            </w14:solidFill>
          </w14:textFill>
        </w:rPr>
      </w:pPr>
    </w:p>
    <w:p w14:paraId="3ABDB7C6">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21" w:name="_Toc35393631"/>
      <w:bookmarkStart w:id="22" w:name="_Toc35393800"/>
      <w:r>
        <w:rPr>
          <w:rFonts w:hint="eastAsia" w:ascii="仿宋" w:hAnsi="仿宋" w:eastAsia="仿宋" w:cs="仿宋"/>
          <w:color w:val="000000" w:themeColor="text1"/>
          <w:sz w:val="24"/>
          <w:szCs w:val="24"/>
          <w:highlight w:val="none"/>
          <w14:textFill>
            <w14:solidFill>
              <w14:schemeClr w14:val="tx1"/>
            </w14:solidFill>
          </w14:textFill>
        </w:rPr>
        <w:t>三、获取（下载）采购文件</w:t>
      </w:r>
      <w:bookmarkEnd w:id="19"/>
      <w:bookmarkEnd w:id="20"/>
      <w:bookmarkEnd w:id="21"/>
      <w:bookmarkEnd w:id="22"/>
    </w:p>
    <w:p w14:paraId="4ADE56FC">
      <w:pPr>
        <w:spacing w:line="360" w:lineRule="auto"/>
        <w:ind w:firstLine="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7"/>
          <w:szCs w:val="27"/>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至202</w:t>
      </w: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lang w:val="en-US" w:eastAsia="zh-CN"/>
          <w14:textFill>
            <w14:solidFill>
              <w14:schemeClr w14:val="tx1"/>
            </w14:solidFill>
          </w14:textFill>
        </w:rPr>
        <w:t>12</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31</w:t>
      </w:r>
      <w:r>
        <w:rPr>
          <w:rFonts w:hint="eastAsia" w:ascii="仿宋" w:hAnsi="仿宋" w:eastAsia="仿宋" w:cs="仿宋"/>
          <w:color w:val="000000" w:themeColor="text1"/>
          <w:sz w:val="24"/>
          <w:highlight w:val="none"/>
          <w14:textFill>
            <w14:solidFill>
              <w14:schemeClr w14:val="tx1"/>
            </w14:solidFill>
          </w14:textFill>
        </w:rPr>
        <w:t>日</w:t>
      </w:r>
      <w:r>
        <w:rPr>
          <w:rFonts w:hint="eastAsia" w:ascii="仿宋" w:hAnsi="仿宋" w:eastAsia="仿宋" w:cs="仿宋"/>
          <w:color w:val="000000" w:themeColor="text1"/>
          <w:sz w:val="24"/>
          <w:highlight w:val="none"/>
          <w14:textFill>
            <w14:solidFill>
              <w14:schemeClr w14:val="tx1"/>
            </w14:solidFill>
          </w14:textFill>
        </w:rPr>
        <w:t>，每天上午00:00至12:00 ，下午12:00至23:59（北京时间，线上获取法定节假日均可，线下获取文件法定节假日除外）；</w:t>
      </w:r>
    </w:p>
    <w:p w14:paraId="08007D3D">
      <w:pPr>
        <w:spacing w:line="360" w:lineRule="auto"/>
        <w:ind w:firstLine="54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地点（网址）：政采云平台（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b/>
          <w:color w:val="000000" w:themeColor="text1"/>
          <w:sz w:val="24"/>
          <w:highlight w:val="none"/>
          <w14:textFill>
            <w14:solidFill>
              <w14:schemeClr w14:val="tx1"/>
            </w14:solidFill>
          </w14:textFill>
        </w:rPr>
        <w:t>https://www.zcygov.cn/</w:t>
      </w:r>
      <w:r>
        <w:rPr>
          <w:rStyle w:val="68"/>
          <w:rFonts w:hint="eastAsia" w:ascii="仿宋" w:hAnsi="仿宋" w:eastAsia="仿宋" w:cs="仿宋"/>
          <w:b/>
          <w:color w:val="000000" w:themeColor="text1"/>
          <w:sz w:val="24"/>
          <w:highlight w:val="none"/>
          <w14:textFill>
            <w14:solidFill>
              <w14:schemeClr w14:val="tx1"/>
            </w14:solidFill>
          </w14:textFill>
        </w:rPr>
        <w:fldChar w:fldCharType="end"/>
      </w:r>
      <w:r>
        <w:rPr>
          <w:rFonts w:hint="eastAsia" w:ascii="仿宋" w:hAnsi="仿宋" w:eastAsia="仿宋" w:cs="仿宋"/>
          <w:b/>
          <w:color w:val="000000" w:themeColor="text1"/>
          <w:sz w:val="24"/>
          <w:highlight w:val="none"/>
          <w14:textFill>
            <w14:solidFill>
              <w14:schemeClr w14:val="tx1"/>
            </w14:solidFill>
          </w14:textFill>
        </w:rPr>
        <w:t>）</w:t>
      </w:r>
    </w:p>
    <w:p w14:paraId="096C94E9">
      <w:pPr>
        <w:spacing w:line="360" w:lineRule="auto"/>
        <w:ind w:firstLine="54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方式：</w:t>
      </w:r>
      <w:r>
        <w:rPr>
          <w:rFonts w:hint="eastAsia" w:ascii="仿宋" w:hAnsi="仿宋" w:eastAsia="仿宋" w:cs="仿宋"/>
          <w:color w:val="000000" w:themeColor="text1"/>
          <w:sz w:val="24"/>
          <w:highlight w:val="none"/>
          <w14:textFill>
            <w14:solidFill>
              <w14:schemeClr w14:val="tx1"/>
            </w14:solidFill>
          </w14:textFill>
        </w:rPr>
        <w:t>供应商登录政采云平台https://www.zcygov.cn/在线申请获取采购文件（进入“项目采购”应用，在获取采购文件菜单中选择项目，申请获取采购文件）</w:t>
      </w:r>
    </w:p>
    <w:p w14:paraId="23AB226E">
      <w:pPr>
        <w:spacing w:line="360" w:lineRule="auto"/>
        <w:ind w:firstLine="54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售价：免费。</w:t>
      </w:r>
    </w:p>
    <w:p w14:paraId="7058F71B">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23" w:name="_Toc35393632"/>
      <w:bookmarkStart w:id="24" w:name="_Toc28359015"/>
      <w:bookmarkStart w:id="25" w:name="_Toc28359092"/>
      <w:bookmarkStart w:id="26" w:name="_Toc35393801"/>
      <w:r>
        <w:rPr>
          <w:rFonts w:hint="eastAsia" w:ascii="仿宋" w:hAnsi="仿宋" w:eastAsia="仿宋" w:cs="仿宋"/>
          <w:color w:val="000000" w:themeColor="text1"/>
          <w:sz w:val="24"/>
          <w:szCs w:val="24"/>
          <w:highlight w:val="none"/>
          <w14:textFill>
            <w14:solidFill>
              <w14:schemeClr w14:val="tx1"/>
            </w14:solidFill>
          </w14:textFill>
        </w:rPr>
        <w:t>四、响应文件提交</w:t>
      </w:r>
      <w:bookmarkEnd w:id="23"/>
      <w:bookmarkEnd w:id="24"/>
      <w:bookmarkEnd w:id="25"/>
      <w:bookmarkEnd w:id="26"/>
      <w:r>
        <w:rPr>
          <w:rFonts w:hint="eastAsia" w:ascii="仿宋" w:hAnsi="仿宋" w:eastAsia="仿宋" w:cs="仿宋"/>
          <w:color w:val="000000" w:themeColor="text1"/>
          <w:sz w:val="24"/>
          <w:szCs w:val="24"/>
          <w:highlight w:val="none"/>
          <w14:textFill>
            <w14:solidFill>
              <w14:schemeClr w14:val="tx1"/>
            </w14:solidFill>
          </w14:textFill>
        </w:rPr>
        <w:t>（上传）</w:t>
      </w:r>
    </w:p>
    <w:p w14:paraId="0058E9BA">
      <w:pPr>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截止时间：</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4</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12</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31</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09</w:t>
      </w:r>
      <w:r>
        <w:rPr>
          <w:rFonts w:hint="eastAsia" w:ascii="仿宋" w:hAnsi="仿宋" w:eastAsia="仿宋" w:cs="仿宋"/>
          <w:bCs/>
          <w:color w:val="000000" w:themeColor="text1"/>
          <w:sz w:val="24"/>
          <w:highlight w:val="none"/>
          <w:u w:val="single"/>
          <w14:textFill>
            <w14:solidFill>
              <w14:schemeClr w14:val="tx1"/>
            </w14:solidFill>
          </w14:textFill>
        </w:rPr>
        <w:t>点</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00</w:t>
      </w:r>
      <w:r>
        <w:rPr>
          <w:rFonts w:hint="eastAsia" w:ascii="仿宋" w:hAnsi="仿宋" w:eastAsia="仿宋" w:cs="仿宋"/>
          <w:bCs/>
          <w:color w:val="000000" w:themeColor="text1"/>
          <w:sz w:val="24"/>
          <w:highlight w:val="none"/>
          <w:u w:val="single"/>
          <w14:textFill>
            <w14:solidFill>
              <w14:schemeClr w14:val="tx1"/>
            </w14:solidFill>
          </w14:textFill>
        </w:rPr>
        <w:t>分00秒</w:t>
      </w:r>
      <w:r>
        <w:rPr>
          <w:rFonts w:hint="eastAsia" w:ascii="仿宋" w:hAnsi="仿宋" w:eastAsia="仿宋" w:cs="仿宋"/>
          <w:bCs/>
          <w:color w:val="000000" w:themeColor="text1"/>
          <w:sz w:val="24"/>
          <w:highlight w:val="none"/>
          <w14:textFill>
            <w14:solidFill>
              <w14:schemeClr w14:val="tx1"/>
            </w14:solidFill>
          </w14:textFill>
        </w:rPr>
        <w:t>（北京时间）</w:t>
      </w:r>
    </w:p>
    <w:p w14:paraId="235314AC">
      <w:pP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地点（网址）：政采云平台（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color w:val="000000" w:themeColor="text1"/>
          <w:kern w:val="2"/>
          <w:sz w:val="24"/>
          <w:szCs w:val="24"/>
          <w:highlight w:val="none"/>
          <w14:textFill>
            <w14:solidFill>
              <w14:schemeClr w14:val="tx1"/>
            </w14:solidFill>
          </w14:textFill>
        </w:rPr>
        <w:t>https://www.zcygov.cn/</w:t>
      </w:r>
      <w:r>
        <w:rPr>
          <w:rStyle w:val="68"/>
          <w:rFonts w:hint="eastAsia" w:ascii="仿宋" w:hAnsi="仿宋" w:eastAsia="仿宋" w:cs="仿宋"/>
          <w:color w:val="000000" w:themeColor="text1"/>
          <w:kern w:val="2"/>
          <w:sz w:val="24"/>
          <w:szCs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w:t>
      </w:r>
    </w:p>
    <w:p w14:paraId="7078C155">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27" w:name="_Toc28359016"/>
      <w:bookmarkStart w:id="28" w:name="_Toc35393802"/>
      <w:bookmarkStart w:id="29" w:name="_Toc35393633"/>
      <w:bookmarkStart w:id="30" w:name="_Toc28359093"/>
      <w:r>
        <w:rPr>
          <w:rFonts w:hint="eastAsia" w:ascii="仿宋" w:hAnsi="仿宋" w:eastAsia="仿宋" w:cs="仿宋"/>
          <w:color w:val="000000" w:themeColor="text1"/>
          <w:sz w:val="24"/>
          <w:szCs w:val="24"/>
          <w:highlight w:val="none"/>
          <w14:textFill>
            <w14:solidFill>
              <w14:schemeClr w14:val="tx1"/>
            </w14:solidFill>
          </w14:textFill>
        </w:rPr>
        <w:t>五、响应文件开启</w:t>
      </w:r>
      <w:bookmarkEnd w:id="27"/>
      <w:bookmarkEnd w:id="28"/>
      <w:bookmarkEnd w:id="29"/>
      <w:bookmarkEnd w:id="30"/>
    </w:p>
    <w:p w14:paraId="766A6910">
      <w:pPr>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4</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12</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31</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09</w:t>
      </w:r>
      <w:r>
        <w:rPr>
          <w:rFonts w:hint="eastAsia" w:ascii="仿宋" w:hAnsi="仿宋" w:eastAsia="仿宋" w:cs="仿宋"/>
          <w:bCs/>
          <w:color w:val="000000" w:themeColor="text1"/>
          <w:sz w:val="24"/>
          <w:highlight w:val="none"/>
          <w:u w:val="single"/>
          <w14:textFill>
            <w14:solidFill>
              <w14:schemeClr w14:val="tx1"/>
            </w14:solidFill>
          </w14:textFill>
        </w:rPr>
        <w:t>点</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00</w:t>
      </w:r>
      <w:r>
        <w:rPr>
          <w:rFonts w:hint="eastAsia" w:ascii="仿宋" w:hAnsi="仿宋" w:eastAsia="仿宋" w:cs="仿宋"/>
          <w:bCs/>
          <w:color w:val="000000" w:themeColor="text1"/>
          <w:sz w:val="24"/>
          <w:highlight w:val="none"/>
          <w:u w:val="single"/>
          <w14:textFill>
            <w14:solidFill>
              <w14:schemeClr w14:val="tx1"/>
            </w14:solidFill>
          </w14:textFill>
        </w:rPr>
        <w:t>分00秒</w:t>
      </w:r>
      <w:r>
        <w:rPr>
          <w:rFonts w:hint="eastAsia" w:ascii="仿宋" w:hAnsi="仿宋" w:eastAsia="仿宋" w:cs="仿宋"/>
          <w:bCs/>
          <w:color w:val="000000" w:themeColor="text1"/>
          <w:sz w:val="24"/>
          <w:highlight w:val="none"/>
          <w14:textFill>
            <w14:solidFill>
              <w14:schemeClr w14:val="tx1"/>
            </w14:solidFill>
          </w14:textFill>
        </w:rPr>
        <w:t>（北京时间）</w:t>
      </w:r>
    </w:p>
    <w:p w14:paraId="2FF06D3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地点（网址）：政采云平台（https://www.zcygov.cn/）。</w:t>
      </w:r>
      <w:bookmarkStart w:id="31" w:name="_Toc28359094"/>
      <w:bookmarkStart w:id="32" w:name="_Toc35393634"/>
      <w:bookmarkStart w:id="33" w:name="_Toc28359017"/>
      <w:bookmarkStart w:id="34" w:name="_Toc35393803"/>
    </w:p>
    <w:p w14:paraId="0422B422">
      <w:pPr>
        <w:pStyle w:val="3"/>
        <w:numPr>
          <w:ilvl w:val="0"/>
          <w:numId w:val="0"/>
        </w:numPr>
        <w:ind w:left="432" w:hanging="432"/>
        <w:rPr>
          <w:rFonts w:hint="eastAsia" w:ascii="仿宋" w:hAnsi="仿宋" w:eastAsia="仿宋" w:cs="仿宋"/>
          <w:color w:val="000000" w:themeColor="text1"/>
          <w:sz w:val="24"/>
          <w:szCs w:val="24"/>
          <w:highlight w:val="none"/>
          <w:lang w:val="en-US"/>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六、采购意向公开链接</w:t>
      </w:r>
    </w:p>
    <w:p w14:paraId="6929741B">
      <w:pPr>
        <w:spacing w:line="360" w:lineRule="auto"/>
        <w:ind w:firstLine="480" w:firstLineChars="200"/>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https://zfcg.czt.zj.gov.cn/site/detail?parentId=600007&amp;articleId=Zl9iEWuCHuSQGIxWIDBb%2Bw%3D%3D</w:t>
      </w:r>
    </w:p>
    <w:p w14:paraId="19795C5A">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七、公告期限</w:t>
      </w:r>
      <w:bookmarkEnd w:id="31"/>
      <w:bookmarkEnd w:id="32"/>
      <w:bookmarkEnd w:id="33"/>
      <w:bookmarkEnd w:id="34"/>
    </w:p>
    <w:p w14:paraId="005560A8">
      <w:pPr>
        <w:spacing w:line="360" w:lineRule="auto"/>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自本公告发布之日起3个工作日。</w:t>
      </w:r>
    </w:p>
    <w:p w14:paraId="64F99CCE">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35" w:name="_Toc35393804"/>
      <w:bookmarkStart w:id="36" w:name="_Toc35393635"/>
      <w:r>
        <w:rPr>
          <w:rFonts w:hint="eastAsia" w:ascii="仿宋" w:hAnsi="仿宋" w:eastAsia="仿宋" w:cs="仿宋"/>
          <w:color w:val="000000" w:themeColor="text1"/>
          <w:sz w:val="24"/>
          <w:szCs w:val="24"/>
          <w:highlight w:val="none"/>
          <w14:textFill>
            <w14:solidFill>
              <w14:schemeClr w14:val="tx1"/>
            </w14:solidFill>
          </w14:textFill>
        </w:rPr>
        <w:t>八、其他补充事宜</w:t>
      </w:r>
      <w:bookmarkEnd w:id="35"/>
      <w:bookmarkEnd w:id="36"/>
    </w:p>
    <w:p w14:paraId="6589B24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42FEAAA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33CA50F">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45B3403">
      <w:pPr>
        <w:snapToGrid w:val="0"/>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4. 其他事项：（1）需要落实的政府采购政策：</w:t>
      </w:r>
      <w:r>
        <w:rPr>
          <w:rFonts w:hint="eastAsia" w:ascii="仿宋" w:hAnsi="仿宋" w:eastAsia="仿宋" w:cs="仿宋"/>
          <w:color w:val="000000" w:themeColor="text1"/>
          <w:kern w:val="0"/>
          <w:sz w:val="24"/>
          <w:highlight w:val="none"/>
          <w14:textFill>
            <w14:solidFill>
              <w14:schemeClr w14:val="tx1"/>
            </w14:solidFill>
          </w14:textFill>
        </w:rPr>
        <w:t>包括节约资源、保护环境、支持创新、促进中小企业发展等，详见磋商文件第三部分。</w:t>
      </w:r>
      <w:r>
        <w:rPr>
          <w:rFonts w:hint="eastAsia" w:ascii="仿宋" w:hAnsi="仿宋" w:eastAsia="仿宋" w:cs="仿宋"/>
          <w:b/>
          <w:color w:val="000000" w:themeColor="text1"/>
          <w:kern w:val="0"/>
          <w:sz w:val="24"/>
          <w:szCs w:val="20"/>
          <w:highlight w:val="none"/>
          <w14:textFill>
            <w14:solidFill>
              <w14:schemeClr w14:val="tx1"/>
            </w14:solidFill>
          </w14:textFill>
        </w:rPr>
        <w:t>（2）</w:t>
      </w:r>
      <w:r>
        <w:rPr>
          <w:rFonts w:hint="eastAsia" w:ascii="仿宋" w:hAnsi="仿宋" w:eastAsia="仿宋" w:cs="仿宋"/>
          <w:b/>
          <w:color w:val="000000" w:themeColor="text1"/>
          <w:sz w:val="24"/>
          <w:highlight w:val="none"/>
          <w14:textFill>
            <w14:solidFill>
              <w14:schemeClr w14:val="tx1"/>
            </w14:solidFill>
          </w14:textFill>
        </w:rPr>
        <w:t>电子交易的说明: 1）电子交易：</w:t>
      </w:r>
      <w:r>
        <w:rPr>
          <w:rFonts w:hint="eastAsia" w:ascii="仿宋" w:hAnsi="仿宋" w:eastAsia="仿宋" w:cs="仿宋"/>
          <w:color w:val="000000" w:themeColor="text1"/>
          <w:sz w:val="24"/>
          <w:highlight w:val="none"/>
          <w14:textFill>
            <w14:solidFill>
              <w14:schemeClr w14:val="tx1"/>
            </w14:solidFill>
          </w14:textFill>
        </w:rPr>
        <w:t>本项目以数据电文形式，依托“政府采购云平台（www.zcygov.cn）”进行采购活动，不接受纸质响应文件。</w:t>
      </w:r>
      <w:r>
        <w:rPr>
          <w:rFonts w:hint="eastAsia" w:ascii="仿宋" w:hAnsi="仿宋" w:eastAsia="仿宋" w:cs="仿宋"/>
          <w:b/>
          <w:color w:val="000000" w:themeColor="text1"/>
          <w:sz w:val="24"/>
          <w:highlight w:val="none"/>
          <w14:textFill>
            <w14:solidFill>
              <w14:schemeClr w14:val="tx1"/>
            </w14:solidFill>
          </w14:textFill>
        </w:rPr>
        <w:t>2）响应准备：</w:t>
      </w:r>
      <w:r>
        <w:rPr>
          <w:rFonts w:hint="eastAsia" w:ascii="仿宋" w:hAnsi="仿宋" w:eastAsia="仿宋" w:cs="仿宋"/>
          <w:color w:val="000000" w:themeColor="text1"/>
          <w:sz w:val="24"/>
          <w:highlight w:val="none"/>
          <w14:textFill>
            <w14:solidFill>
              <w14:schemeClr w14:val="tx1"/>
            </w14:solidFill>
          </w14:textFill>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仿宋" w:hAnsi="仿宋" w:eastAsia="仿宋" w:cs="仿宋"/>
          <w:b/>
          <w:color w:val="000000" w:themeColor="text1"/>
          <w:sz w:val="24"/>
          <w:highlight w:val="none"/>
          <w14:textFill>
            <w14:solidFill>
              <w14:schemeClr w14:val="tx1"/>
            </w14:solidFill>
          </w14:textFill>
        </w:rPr>
        <w:t>3）磋商文件的获取：</w:t>
      </w:r>
      <w:r>
        <w:rPr>
          <w:rFonts w:hint="eastAsia" w:ascii="仿宋" w:hAnsi="仿宋" w:eastAsia="仿宋" w:cs="仿宋"/>
          <w:color w:val="000000" w:themeColor="text1"/>
          <w:sz w:val="24"/>
          <w:highlight w:val="none"/>
          <w14:textFill>
            <w14:solidFill>
              <w14:schemeClr w14:val="tx1"/>
            </w14:solidFill>
          </w14:textFill>
        </w:rPr>
        <w:t>使用账号登录或者使用CA登录政采云平台；进入“项目采购”应用，在获取采购文件菜单中选择项目，获取磋商文件。</w:t>
      </w:r>
      <w:r>
        <w:rPr>
          <w:rFonts w:hint="eastAsia" w:ascii="仿宋" w:hAnsi="仿宋" w:eastAsia="仿宋" w:cs="仿宋"/>
          <w:b/>
          <w:color w:val="000000" w:themeColor="text1"/>
          <w:sz w:val="24"/>
          <w:highlight w:val="none"/>
          <w14:textFill>
            <w14:solidFill>
              <w14:schemeClr w14:val="tx1"/>
            </w14:solidFill>
          </w14:textFill>
        </w:rPr>
        <w:t>4）响应文件的制作：</w:t>
      </w:r>
      <w:r>
        <w:rPr>
          <w:rFonts w:hint="eastAsia" w:ascii="仿宋" w:hAnsi="仿宋" w:eastAsia="仿宋" w:cs="仿宋"/>
          <w:color w:val="000000" w:themeColor="text1"/>
          <w:sz w:val="24"/>
          <w:highlight w:val="none"/>
          <w14:textFill>
            <w14:solidFill>
              <w14:schemeClr w14:val="tx1"/>
            </w14:solidFill>
          </w14:textFill>
        </w:rPr>
        <w:t>在“政采云电子交易客户端”中完成“填写基本信息”、“导入响应文件”、“标书关联”、“标书检查”、“电子签名”、“生成电子标书”等操作。</w:t>
      </w:r>
      <w:r>
        <w:rPr>
          <w:rFonts w:hint="eastAsia" w:ascii="仿宋" w:hAnsi="仿宋" w:eastAsia="仿宋" w:cs="仿宋"/>
          <w:b/>
          <w:color w:val="000000" w:themeColor="text1"/>
          <w:sz w:val="24"/>
          <w:highlight w:val="none"/>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采购人、采购代理机构将依托政采云平台完成本项目的电子交易活动，平台不接受未按本公告约定方式获取磋商文件的供应商进行响应活动；</w:t>
      </w:r>
      <w:r>
        <w:rPr>
          <w:rFonts w:hint="eastAsia" w:ascii="仿宋" w:hAnsi="仿宋" w:eastAsia="仿宋" w:cs="仿宋"/>
          <w:b/>
          <w:color w:val="000000" w:themeColor="text1"/>
          <w:sz w:val="24"/>
          <w:highlight w:val="none"/>
          <w14:textFill>
            <w14:solidFill>
              <w14:schemeClr w14:val="tx1"/>
            </w14:solidFill>
          </w14:textFill>
        </w:rPr>
        <w:t>6）</w:t>
      </w:r>
      <w:r>
        <w:rPr>
          <w:rFonts w:hint="eastAsia" w:ascii="仿宋" w:hAnsi="仿宋" w:eastAsia="仿宋" w:cs="仿宋"/>
          <w:color w:val="000000" w:themeColor="text1"/>
          <w:sz w:val="24"/>
          <w:highlight w:val="none"/>
          <w14:textFill>
            <w14:solidFill>
              <w14:schemeClr w14:val="tx1"/>
            </w14:solidFill>
          </w14:textFill>
        </w:rPr>
        <w:t>对未按上述方式获取磋商文件的供应商对该文件提出的质疑，采购人或采购代理机构将不予处理</w:t>
      </w:r>
      <w:r>
        <w:rPr>
          <w:rFonts w:hint="eastAsia" w:ascii="仿宋" w:hAnsi="仿宋" w:eastAsia="仿宋" w:cs="仿宋"/>
          <w:b/>
          <w:color w:val="000000" w:themeColor="text1"/>
          <w:sz w:val="24"/>
          <w:highlight w:val="none"/>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不提供磋商文件纸质版；</w:t>
      </w:r>
      <w:r>
        <w:rPr>
          <w:rFonts w:hint="eastAsia" w:ascii="仿宋" w:hAnsi="仿宋" w:eastAsia="仿宋" w:cs="仿宋"/>
          <w:b/>
          <w:color w:val="000000" w:themeColor="text1"/>
          <w:sz w:val="24"/>
          <w:highlight w:val="none"/>
          <w14:textFill>
            <w14:solidFill>
              <w14:schemeClr w14:val="tx1"/>
            </w14:solidFill>
          </w14:textFill>
        </w:rPr>
        <w:t>8）响应文件的传输提交：</w:t>
      </w:r>
      <w:r>
        <w:rPr>
          <w:rFonts w:hint="eastAsia" w:ascii="仿宋" w:hAnsi="仿宋" w:eastAsia="仿宋" w:cs="仿宋"/>
          <w:color w:val="000000" w:themeColor="text1"/>
          <w:sz w:val="24"/>
          <w:highlight w:val="none"/>
          <w14:textFill>
            <w14:solidFill>
              <w14:schemeClr w14:val="tx1"/>
            </w14:solidFill>
          </w14:textFill>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仿宋" w:hAnsi="仿宋" w:eastAsia="仿宋" w:cs="仿宋"/>
          <w:b/>
          <w:color w:val="000000" w:themeColor="text1"/>
          <w:sz w:val="24"/>
          <w:highlight w:val="none"/>
          <w14:textFill>
            <w14:solidFill>
              <w14:schemeClr w14:val="tx1"/>
            </w14:solidFill>
          </w14:textFill>
        </w:rPr>
        <w:t>9）响应文件的解密：</w:t>
      </w:r>
      <w:r>
        <w:rPr>
          <w:rFonts w:hint="eastAsia" w:ascii="仿宋" w:hAnsi="仿宋" w:eastAsia="仿宋" w:cs="仿宋"/>
          <w:color w:val="000000" w:themeColor="text1"/>
          <w:sz w:val="24"/>
          <w:highlight w:val="none"/>
          <w14:textFill>
            <w14:solidFill>
              <w14:schemeClr w14:val="tx1"/>
            </w14:solidFill>
          </w14:textFill>
        </w:rPr>
        <w:t>供应商按照平台提示和磋商文件的规定在半小时内完成在线解密。通过“政府采购云平台”上传提交的响应文件无法按时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w:t>
      </w:r>
      <w:r>
        <w:rPr>
          <w:rFonts w:hint="eastAsia" w:ascii="仿宋" w:hAnsi="仿宋" w:eastAsia="仿宋" w:cs="仿宋"/>
          <w:b/>
          <w:color w:val="000000" w:themeColor="text1"/>
          <w:sz w:val="24"/>
          <w:highlight w:val="none"/>
          <w14:textFill>
            <w14:solidFill>
              <w14:schemeClr w14:val="tx1"/>
            </w14:solidFill>
          </w14:textFill>
        </w:rPr>
        <w:t>）具体操作指南</w:t>
      </w:r>
      <w:r>
        <w:rPr>
          <w:rFonts w:hint="eastAsia" w:ascii="仿宋" w:hAnsi="仿宋" w:eastAsia="仿宋" w:cs="仿宋"/>
          <w:color w:val="000000" w:themeColor="text1"/>
          <w:sz w:val="24"/>
          <w:highlight w:val="none"/>
          <w14:textFill>
            <w14:solidFill>
              <w14:schemeClr w14:val="tx1"/>
            </w14:solidFill>
          </w14:textFill>
        </w:rPr>
        <w:t>：详见政采云平台“服务中心-帮助文档-项目采购-操作流程-电子招投标-政府采购项目电子交易管理操作指南-供应商”。（3）单位负责人为同一人或者存在直接控股、管理关系的不同供应商，不得参加同一合同项下的政府采购活动；为采购项目提供整体设计、规范编制或者项目管理、监理、检测等服务后不得再参加该采购项目的其他采购活动。（4）本磋商文件公告期限为本公告发布之日起5个工作日。</w:t>
      </w:r>
    </w:p>
    <w:p w14:paraId="56B287E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7E9AAB46">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37" w:name="_Toc28359018"/>
      <w:bookmarkStart w:id="38" w:name="_Toc28359095"/>
      <w:bookmarkStart w:id="39" w:name="_Toc35393805"/>
      <w:bookmarkStart w:id="40" w:name="_Toc35393636"/>
      <w:r>
        <w:rPr>
          <w:rFonts w:hint="eastAsia" w:ascii="仿宋" w:hAnsi="仿宋" w:eastAsia="仿宋" w:cs="仿宋"/>
          <w:color w:val="000000" w:themeColor="text1"/>
          <w:sz w:val="24"/>
          <w:szCs w:val="24"/>
          <w:highlight w:val="none"/>
          <w:lang w:val="en-US" w:eastAsia="zh-CN"/>
          <w14:textFill>
            <w14:solidFill>
              <w14:schemeClr w14:val="tx1"/>
            </w14:solidFill>
          </w14:textFill>
        </w:rPr>
        <w:t>九</w:t>
      </w:r>
      <w:r>
        <w:rPr>
          <w:rFonts w:hint="eastAsia" w:ascii="仿宋" w:hAnsi="仿宋" w:eastAsia="仿宋" w:cs="仿宋"/>
          <w:color w:val="000000" w:themeColor="text1"/>
          <w:sz w:val="24"/>
          <w:szCs w:val="24"/>
          <w:highlight w:val="none"/>
          <w14:textFill>
            <w14:solidFill>
              <w14:schemeClr w14:val="tx1"/>
            </w14:solidFill>
          </w14:textFill>
        </w:rPr>
        <w:t>、凡对本次采购提出询问</w:t>
      </w:r>
      <w:r>
        <w:rPr>
          <w:rFonts w:hint="eastAsia" w:ascii="仿宋" w:hAnsi="仿宋" w:eastAsia="仿宋" w:cs="仿宋"/>
          <w:bCs w:val="0"/>
          <w:color w:val="000000" w:themeColor="text1"/>
          <w:sz w:val="24"/>
          <w:szCs w:val="24"/>
          <w:highlight w:val="none"/>
          <w14:textFill>
            <w14:solidFill>
              <w14:schemeClr w14:val="tx1"/>
            </w14:solidFill>
          </w14:textFill>
        </w:rPr>
        <w:t>、质疑、投诉</w:t>
      </w:r>
      <w:r>
        <w:rPr>
          <w:rFonts w:hint="eastAsia" w:ascii="仿宋" w:hAnsi="仿宋" w:eastAsia="仿宋" w:cs="仿宋"/>
          <w:color w:val="000000" w:themeColor="text1"/>
          <w:sz w:val="24"/>
          <w:szCs w:val="24"/>
          <w:highlight w:val="none"/>
          <w14:textFill>
            <w14:solidFill>
              <w14:schemeClr w14:val="tx1"/>
            </w14:solidFill>
          </w14:textFill>
        </w:rPr>
        <w:t>，请按以下方式联系</w:t>
      </w:r>
      <w:bookmarkEnd w:id="37"/>
      <w:bookmarkEnd w:id="38"/>
      <w:bookmarkEnd w:id="39"/>
      <w:bookmarkEnd w:id="40"/>
    </w:p>
    <w:p w14:paraId="46F3FAE5">
      <w:pPr>
        <w:pStyle w:val="3"/>
        <w:numPr>
          <w:ilvl w:val="0"/>
          <w:numId w:val="0"/>
        </w:numPr>
        <w:ind w:left="432" w:hanging="432"/>
        <w:rPr>
          <w:rFonts w:hint="eastAsia" w:ascii="仿宋" w:hAnsi="仿宋" w:eastAsia="仿宋" w:cs="仿宋"/>
          <w:color w:val="000000" w:themeColor="text1"/>
          <w:sz w:val="24"/>
          <w:szCs w:val="24"/>
          <w:highlight w:val="none"/>
          <w14:textFill>
            <w14:solidFill>
              <w14:schemeClr w14:val="tx1"/>
            </w14:solidFill>
          </w14:textFill>
        </w:rPr>
      </w:pPr>
      <w:bookmarkStart w:id="41" w:name="_Toc35393637"/>
      <w:bookmarkStart w:id="42" w:name="_Toc28359096"/>
      <w:bookmarkStart w:id="43" w:name="_Toc35393806"/>
      <w:bookmarkStart w:id="44" w:name="_Toc28359019"/>
      <w:r>
        <w:rPr>
          <w:rFonts w:hint="eastAsia" w:ascii="仿宋" w:hAnsi="仿宋" w:eastAsia="仿宋" w:cs="仿宋"/>
          <w:color w:val="000000" w:themeColor="text1"/>
          <w:sz w:val="24"/>
          <w:szCs w:val="24"/>
          <w:highlight w:val="none"/>
          <w14:textFill>
            <w14:solidFill>
              <w14:schemeClr w14:val="tx1"/>
            </w14:solidFill>
          </w14:textFill>
        </w:rPr>
        <w:t>1.采购人信息</w:t>
      </w:r>
      <w:bookmarkEnd w:id="41"/>
      <w:bookmarkEnd w:id="42"/>
      <w:bookmarkEnd w:id="43"/>
      <w:bookmarkEnd w:id="44"/>
      <w:r>
        <w:rPr>
          <w:rFonts w:hint="eastAsia" w:ascii="仿宋" w:hAnsi="仿宋" w:eastAsia="仿宋" w:cs="仿宋"/>
          <w:color w:val="000000" w:themeColor="text1"/>
          <w:sz w:val="24"/>
          <w:szCs w:val="24"/>
          <w:highlight w:val="none"/>
          <w14:textFill>
            <w14:solidFill>
              <w14:schemeClr w14:val="tx1"/>
            </w14:solidFill>
          </w14:textFill>
        </w:rPr>
        <w:t>：</w:t>
      </w:r>
    </w:p>
    <w:p w14:paraId="3378AFB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名    称：</w:t>
      </w:r>
      <w:r>
        <w:rPr>
          <w:rFonts w:hint="eastAsia" w:ascii="仿宋" w:hAnsi="仿宋" w:eastAsia="仿宋" w:cs="仿宋"/>
          <w:color w:val="000000" w:themeColor="text1"/>
          <w:sz w:val="24"/>
          <w:highlight w:val="none"/>
          <w:lang w:eastAsia="zh-CN"/>
          <w14:textFill>
            <w14:solidFill>
              <w14:schemeClr w14:val="tx1"/>
            </w14:solidFill>
          </w14:textFill>
        </w:rPr>
        <w:t>浙江财经大学</w:t>
      </w:r>
      <w:r>
        <w:rPr>
          <w:rFonts w:hint="eastAsia" w:ascii="仿宋" w:hAnsi="仿宋" w:eastAsia="仿宋" w:cs="仿宋"/>
          <w:color w:val="000000" w:themeColor="text1"/>
          <w:sz w:val="24"/>
          <w:highlight w:val="none"/>
          <w14:textFill>
            <w14:solidFill>
              <w14:schemeClr w14:val="tx1"/>
            </w14:solidFill>
          </w14:textFill>
        </w:rPr>
        <w:t xml:space="preserve"> </w:t>
      </w:r>
    </w:p>
    <w:p w14:paraId="0D51D122">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地    址：浙江省杭州市下沙高教园区学源街18号</w:t>
      </w:r>
    </w:p>
    <w:p w14:paraId="2CDEC73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传    真：/</w:t>
      </w:r>
    </w:p>
    <w:p w14:paraId="01CB97FE">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项目联系人（询问）：谭老师</w:t>
      </w:r>
    </w:p>
    <w:p w14:paraId="6CFFCAF7">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项目联系方式（询问）：0571-86731597</w:t>
      </w:r>
    </w:p>
    <w:p w14:paraId="3FB6A80B">
      <w:pPr>
        <w:spacing w:line="360" w:lineRule="auto"/>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质疑联系人：鲍老师</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陈老师</w:t>
      </w:r>
    </w:p>
    <w:p w14:paraId="19CC3B78">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质疑联系方式：0571-86732909</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86735911</w:t>
      </w:r>
    </w:p>
    <w:p w14:paraId="6AA699A1">
      <w:pPr>
        <w:pStyle w:val="3"/>
        <w:numPr>
          <w:ilvl w:val="0"/>
          <w:numId w:val="0"/>
        </w:numPr>
        <w:ind w:left="432" w:hanging="432"/>
        <w:rPr>
          <w:rFonts w:hint="eastAsia" w:ascii="仿宋" w:hAnsi="仿宋" w:eastAsia="仿宋" w:cs="仿宋"/>
          <w:color w:val="000000" w:themeColor="text1"/>
          <w:sz w:val="24"/>
          <w:highlight w:val="none"/>
          <w14:textFill>
            <w14:solidFill>
              <w14:schemeClr w14:val="tx1"/>
            </w14:solidFill>
          </w14:textFill>
        </w:rPr>
      </w:pPr>
      <w:bookmarkStart w:id="45" w:name="_Toc28359020"/>
      <w:bookmarkStart w:id="46" w:name="_Toc35393638"/>
      <w:bookmarkStart w:id="47" w:name="_Toc28359097"/>
      <w:bookmarkStart w:id="48" w:name="_Toc35393807"/>
      <w:r>
        <w:rPr>
          <w:rFonts w:hint="eastAsia" w:ascii="仿宋" w:hAnsi="仿宋" w:eastAsia="仿宋" w:cs="仿宋"/>
          <w:color w:val="000000" w:themeColor="text1"/>
          <w:sz w:val="24"/>
          <w:szCs w:val="24"/>
          <w:highlight w:val="none"/>
          <w14:textFill>
            <w14:solidFill>
              <w14:schemeClr w14:val="tx1"/>
            </w14:solidFill>
          </w14:textFill>
        </w:rPr>
        <w:t>2.采购代理机构信息</w:t>
      </w:r>
      <w:bookmarkEnd w:id="45"/>
      <w:bookmarkEnd w:id="46"/>
      <w:bookmarkEnd w:id="47"/>
      <w:bookmarkEnd w:id="48"/>
      <w:r>
        <w:rPr>
          <w:rFonts w:hint="eastAsia" w:ascii="仿宋" w:hAnsi="仿宋" w:eastAsia="仿宋" w:cs="仿宋"/>
          <w:color w:val="000000" w:themeColor="text1"/>
          <w:sz w:val="24"/>
          <w:szCs w:val="24"/>
          <w:highlight w:val="none"/>
          <w14:textFill>
            <w14:solidFill>
              <w14:schemeClr w14:val="tx1"/>
            </w14:solidFill>
          </w14:textFill>
        </w:rPr>
        <w:t>：</w:t>
      </w:r>
    </w:p>
    <w:p w14:paraId="561C1A3F">
      <w:pPr>
        <w:spacing w:line="360" w:lineRule="auto"/>
        <w:ind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名    称：浙江国际招投标有限公司</w:t>
      </w:r>
    </w:p>
    <w:p w14:paraId="55A90C1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址：杭州市文三路90号东部软件园1号楼3楼</w:t>
      </w:r>
    </w:p>
    <w:p w14:paraId="2EE7291C">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传    真： /            </w:t>
      </w:r>
    </w:p>
    <w:p w14:paraId="0B1B0B96">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项目联系人（询问）：</w:t>
      </w:r>
      <w:r>
        <w:rPr>
          <w:rFonts w:hint="eastAsia" w:ascii="仿宋" w:hAnsi="仿宋" w:eastAsia="仿宋" w:cs="仿宋"/>
          <w:color w:val="000000" w:themeColor="text1"/>
          <w:sz w:val="24"/>
          <w:highlight w:val="none"/>
          <w:lang w:eastAsia="zh-CN"/>
          <w14:textFill>
            <w14:solidFill>
              <w14:schemeClr w14:val="tx1"/>
            </w14:solidFill>
          </w14:textFill>
        </w:rPr>
        <w:t>谭策、周峰</w:t>
      </w:r>
    </w:p>
    <w:p w14:paraId="58DC364D">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项目联系方式（询问）：0571-81061</w:t>
      </w:r>
      <w:r>
        <w:rPr>
          <w:rFonts w:hint="eastAsia" w:ascii="仿宋" w:hAnsi="仿宋" w:eastAsia="仿宋" w:cs="仿宋"/>
          <w:color w:val="000000" w:themeColor="text1"/>
          <w:sz w:val="24"/>
          <w:highlight w:val="none"/>
          <w:lang w:val="en-US" w:eastAsia="zh-CN"/>
          <w14:textFill>
            <w14:solidFill>
              <w14:schemeClr w14:val="tx1"/>
            </w14:solidFill>
          </w14:textFill>
        </w:rPr>
        <w:t>837、0571-89731840</w:t>
      </w:r>
    </w:p>
    <w:p w14:paraId="771DB35F">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质疑联系人：董福利             </w:t>
      </w:r>
    </w:p>
    <w:p w14:paraId="344649D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质疑联系方式：0571-81061818</w:t>
      </w:r>
    </w:p>
    <w:p w14:paraId="669830D6">
      <w:pPr>
        <w:pStyle w:val="32"/>
        <w:spacing w:line="360" w:lineRule="auto"/>
        <w:ind w:firstLine="472" w:firstLineChars="196"/>
        <w:jc w:val="lef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 xml:space="preserve">3.同级政府采购监督管理部门            </w:t>
      </w:r>
    </w:p>
    <w:p w14:paraId="55344498">
      <w:pPr>
        <w:pStyle w:val="32"/>
        <w:spacing w:line="360" w:lineRule="auto"/>
        <w:ind w:firstLine="470" w:firstLineChars="196"/>
        <w:jc w:val="left"/>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名</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14:textFill>
            <w14:solidFill>
              <w14:schemeClr w14:val="tx1"/>
            </w14:solidFill>
          </w14:textFill>
        </w:rPr>
        <w:t>称：杭州市财政局政府采购监管处、浙江省政府采购行政裁决服务中心（杭州）</w:t>
      </w:r>
    </w:p>
    <w:p w14:paraId="512625C3">
      <w:pPr>
        <w:pStyle w:val="32"/>
        <w:spacing w:line="360" w:lineRule="auto"/>
        <w:ind w:firstLine="470" w:firstLineChars="196"/>
        <w:jc w:val="left"/>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地</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14:textFill>
            <w14:solidFill>
              <w14:schemeClr w14:val="tx1"/>
            </w14:solidFill>
          </w14:textFill>
        </w:rPr>
        <w:t>址：杭州市上城区清泰街549号城建综合大楼11楼（快递仅限ems或顺丰）</w:t>
      </w:r>
    </w:p>
    <w:p w14:paraId="1D1D1FCF">
      <w:pPr>
        <w:pStyle w:val="32"/>
        <w:spacing w:line="360" w:lineRule="auto"/>
        <w:ind w:firstLine="470" w:firstLineChars="196"/>
        <w:jc w:val="left"/>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传</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14:textFill>
            <w14:solidFill>
              <w14:schemeClr w14:val="tx1"/>
            </w14:solidFill>
          </w14:textFill>
        </w:rPr>
        <w:t>真：/</w:t>
      </w:r>
    </w:p>
    <w:p w14:paraId="6FE53059">
      <w:pPr>
        <w:pStyle w:val="32"/>
        <w:spacing w:line="360" w:lineRule="auto"/>
        <w:ind w:firstLine="470" w:firstLineChars="196"/>
        <w:jc w:val="left"/>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联系人：朱女士/王女士</w:t>
      </w:r>
    </w:p>
    <w:p w14:paraId="0FA92D6A">
      <w:pPr>
        <w:pStyle w:val="32"/>
        <w:spacing w:line="360" w:lineRule="auto"/>
        <w:ind w:firstLine="470" w:firstLineChars="196"/>
        <w:jc w:val="left"/>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监督投诉电话：0571-87227671,0571-87800218</w:t>
      </w:r>
    </w:p>
    <w:p w14:paraId="7ABC9F7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若对项目采购电子交易系统操作有疑问，可登录政采云（https://www.zcygov.cn/），点击右侧咨询小采，获取采小蜜智能服务管家帮助，或拨打政采云服务热线400-881-7190获取热线服务帮助。</w:t>
      </w:r>
    </w:p>
    <w:p w14:paraId="29C4E326">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CA问题联系电话（人工）：汇信CA 400-888-4636；天谷CA 400-087-8198</w:t>
      </w:r>
      <w:r>
        <w:rPr>
          <w:rFonts w:hint="eastAsia" w:ascii="仿宋" w:hAnsi="仿宋" w:eastAsia="仿宋" w:cs="仿宋"/>
          <w:color w:val="000000" w:themeColor="text1"/>
          <w:sz w:val="18"/>
          <w:szCs w:val="18"/>
          <w:highlight w:val="none"/>
          <w14:textFill>
            <w14:solidFill>
              <w14:schemeClr w14:val="tx1"/>
            </w14:solidFill>
          </w14:textFill>
        </w:rPr>
        <w:t>。</w:t>
      </w:r>
    </w:p>
    <w:p w14:paraId="1CEE3007">
      <w:pPr>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sectPr>
          <w:headerReference r:id="rId4" w:type="first"/>
          <w:footerReference r:id="rId7" w:type="first"/>
          <w:headerReference r:id="rId3" w:type="default"/>
          <w:footerReference r:id="rId5" w:type="default"/>
          <w:footerReference r:id="rId6" w:type="even"/>
          <w:pgSz w:w="11906" w:h="16838"/>
          <w:pgMar w:top="1174" w:right="1418" w:bottom="1151" w:left="1418" w:header="851" w:footer="992" w:gutter="0"/>
          <w:cols w:space="720" w:num="1"/>
          <w:titlePg/>
          <w:docGrid w:linePitch="312" w:charSpace="0"/>
        </w:sectPr>
      </w:pPr>
    </w:p>
    <w:p w14:paraId="7147A960">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第二部分 竞争性磋商流程</w:t>
      </w:r>
    </w:p>
    <w:p w14:paraId="6738E13E">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征集供应商</w:t>
      </w:r>
    </w:p>
    <w:p w14:paraId="6F9A65C2">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邀请供应商。</w:t>
      </w:r>
    </w:p>
    <w:p w14:paraId="27BFC03C">
      <w:pPr>
        <w:pStyle w:val="393"/>
        <w:numPr>
          <w:ilvl w:val="2"/>
          <w:numId w:val="10"/>
        </w:numPr>
        <w:spacing w:before="0"/>
        <w:ind w:left="408" w:firstLine="392"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采用公告方式邀请供应商的，</w:t>
      </w:r>
      <w:r>
        <w:rPr>
          <w:rFonts w:hint="eastAsia" w:ascii="仿宋" w:hAnsi="仿宋" w:eastAsia="仿宋" w:cs="仿宋"/>
          <w:color w:val="000000" w:themeColor="text1"/>
          <w:szCs w:val="24"/>
          <w:highlight w:val="none"/>
          <w14:textFill>
            <w14:solidFill>
              <w14:schemeClr w14:val="tx1"/>
            </w14:solidFill>
          </w14:textFill>
        </w:rPr>
        <w:t>由采购人、采购代理机构在省级以上人民政府财政部门指定的政府采购信息发布媒体上发布磋商公告，邀请符合相应资格条件的供应商参与竞争性磋商采购活动。</w:t>
      </w:r>
    </w:p>
    <w:p w14:paraId="61FDCCA0">
      <w:pPr>
        <w:pStyle w:val="393"/>
        <w:numPr>
          <w:ilvl w:val="2"/>
          <w:numId w:val="10"/>
        </w:numPr>
        <w:spacing w:before="0"/>
        <w:ind w:left="408" w:firstLine="392"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采用随机抽取方式邀请供应商的，</w:t>
      </w:r>
      <w:r>
        <w:rPr>
          <w:rFonts w:hint="eastAsia" w:ascii="仿宋" w:hAnsi="仿宋" w:eastAsia="仿宋" w:cs="仿宋"/>
          <w:color w:val="000000" w:themeColor="text1"/>
          <w:szCs w:val="24"/>
          <w:highlight w:val="none"/>
          <w14:textFill>
            <w14:solidFill>
              <w14:schemeClr w14:val="tx1"/>
            </w14:solidFill>
          </w14:textFill>
        </w:rPr>
        <w:t>由采购人、采购代理机构从省级以上财政部门建立的供应商库中随机抽取不少于3家符合相应资格条件的供应商参与竞争性磋商采购活动。</w:t>
      </w:r>
    </w:p>
    <w:p w14:paraId="3E739F96">
      <w:pPr>
        <w:pStyle w:val="393"/>
        <w:numPr>
          <w:ilvl w:val="2"/>
          <w:numId w:val="10"/>
        </w:numPr>
        <w:spacing w:before="0"/>
        <w:ind w:left="408" w:firstLine="392"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采用书面推荐方式邀请供应商的，</w:t>
      </w:r>
      <w:r>
        <w:rPr>
          <w:rFonts w:hint="eastAsia" w:ascii="仿宋" w:hAnsi="仿宋" w:eastAsia="仿宋" w:cs="仿宋"/>
          <w:color w:val="000000" w:themeColor="text1"/>
          <w:szCs w:val="24"/>
          <w:highlight w:val="none"/>
          <w14:textFill>
            <w14:solidFill>
              <w14:schemeClr w14:val="tx1"/>
            </w14:solidFill>
          </w14:textFill>
        </w:rPr>
        <w:t>由采购人和评审专家分别书面推荐不少于3家符合相应资格条件的供应商参与竞争性磋商采购活动。采取采购人和评审专家书面推荐方式选择供应商的，采购人和评审专家应当各自出具书面推荐意见。采购人推荐供应商的比例不得高于推荐供应商总数的50%。格式见附件。</w:t>
      </w:r>
    </w:p>
    <w:p w14:paraId="7CE05074">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供应商获取磋商文件。</w:t>
      </w:r>
    </w:p>
    <w:p w14:paraId="0FE71148">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组织现场考察或召开答疑会（如果有）。</w:t>
      </w:r>
    </w:p>
    <w:p w14:paraId="7558B5F2">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发布更正（延期）公告，澄清或修改磋商文件（如果有）。</w:t>
      </w:r>
    </w:p>
    <w:p w14:paraId="21614947">
      <w:pPr>
        <w:pStyle w:val="393"/>
        <w:numPr>
          <w:ilvl w:val="1"/>
          <w:numId w:val="9"/>
        </w:numPr>
        <w:spacing w:before="0"/>
        <w:ind w:left="1083"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供应商按磋商文件要求编制响应文件。</w:t>
      </w:r>
    </w:p>
    <w:p w14:paraId="1031A8CD">
      <w:pPr>
        <w:pStyle w:val="393"/>
        <w:spacing w:before="0"/>
        <w:ind w:left="397" w:firstLine="0" w:firstLineChars="0"/>
        <w:rPr>
          <w:rFonts w:hint="eastAsia" w:ascii="仿宋" w:hAnsi="仿宋" w:eastAsia="仿宋" w:cs="仿宋"/>
          <w:color w:val="000000" w:themeColor="text1"/>
          <w:szCs w:val="24"/>
          <w:highlight w:val="none"/>
          <w14:textFill>
            <w14:solidFill>
              <w14:schemeClr w14:val="tx1"/>
            </w14:solidFill>
          </w14:textFill>
        </w:rPr>
      </w:pPr>
    </w:p>
    <w:p w14:paraId="5E9848AC">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响应文件开启与信用信息查询</w:t>
      </w:r>
    </w:p>
    <w:p w14:paraId="3A0AABF0">
      <w:pPr>
        <w:pStyle w:val="393"/>
        <w:numPr>
          <w:ilvl w:val="1"/>
          <w:numId w:val="11"/>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供应商依据“提交响应文件的截止时间与地点”通过政采云平台在线提交响应文件。供应商在提交响应文件的截止时间前，可以补充、修改或撤回响应文件。</w:t>
      </w:r>
    </w:p>
    <w:p w14:paraId="3D2DFEC3">
      <w:pPr>
        <w:pStyle w:val="393"/>
        <w:numPr>
          <w:ilvl w:val="1"/>
          <w:numId w:val="11"/>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采购代理机构将通过“信用中国”网站(</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"http://www.creditchina.gov.cn" </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szCs w:val="24"/>
          <w:highlight w:val="none"/>
          <w14:textFill>
            <w14:solidFill>
              <w14:schemeClr w14:val="tx1"/>
            </w14:solidFill>
          </w14:textFill>
        </w:rPr>
        <w:t>www.creditchina.gov.cn</w:t>
      </w:r>
      <w:r>
        <w:rPr>
          <w:rFonts w:hint="eastAsia" w:ascii="仿宋" w:hAnsi="仿宋" w:eastAsia="仿宋" w:cs="仿宋"/>
          <w:color w:val="000000" w:themeColor="text1"/>
          <w:szCs w:val="24"/>
          <w:highlight w:val="none"/>
          <w14:textFill>
            <w14:solidFill>
              <w14:schemeClr w14:val="tx1"/>
            </w14:solidFill>
          </w14:textFill>
        </w:rPr>
        <w:fldChar w:fldCharType="end"/>
      </w:r>
      <w:r>
        <w:rPr>
          <w:rFonts w:hint="eastAsia" w:ascii="仿宋" w:hAnsi="仿宋" w:eastAsia="仿宋" w:cs="仿宋"/>
          <w:color w:val="000000" w:themeColor="text1"/>
          <w:szCs w:val="24"/>
          <w:highlight w:val="none"/>
          <w14:textFill>
            <w14:solidFill>
              <w14:schemeClr w14:val="tx1"/>
            </w14:solidFill>
          </w14:textFill>
        </w:rPr>
        <w:t>)和中国政府采购网(www.ccgp.gov.cn)渠道查询供应商响应截止时间当日的信用记录。</w:t>
      </w:r>
    </w:p>
    <w:p w14:paraId="2E71691E">
      <w:pPr>
        <w:pStyle w:val="393"/>
        <w:spacing w:before="0"/>
        <w:ind w:left="397" w:firstLine="0" w:firstLineChars="0"/>
        <w:rPr>
          <w:rFonts w:hint="eastAsia" w:ascii="仿宋" w:hAnsi="仿宋" w:eastAsia="仿宋" w:cs="仿宋"/>
          <w:color w:val="000000" w:themeColor="text1"/>
          <w:szCs w:val="24"/>
          <w:highlight w:val="none"/>
          <w14:textFill>
            <w14:solidFill>
              <w14:schemeClr w14:val="tx1"/>
            </w14:solidFill>
          </w14:textFill>
        </w:rPr>
      </w:pPr>
    </w:p>
    <w:p w14:paraId="38CB8D30">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磋商与评审</w:t>
      </w:r>
    </w:p>
    <w:p w14:paraId="470E953A">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磋商小组签到。</w:t>
      </w:r>
    </w:p>
    <w:p w14:paraId="2B1B63DF">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采购代理机构宣布有关纪律以及磋商、评审工作程序。</w:t>
      </w:r>
    </w:p>
    <w:p w14:paraId="752848A3">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磋商小组审查确认磋商文件。磋商文件内容违反国家有关强制性规定的，磋商小组应当停止评审并向采购代理机构说明情况。</w:t>
      </w:r>
    </w:p>
    <w:p w14:paraId="42476A52">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评审小组对供应商的资格进行审查。</w:t>
      </w:r>
    </w:p>
    <w:p w14:paraId="1DF8A9CF">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磋商小组审查响应文件。</w:t>
      </w:r>
    </w:p>
    <w:p w14:paraId="112B8C31">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对于未实质性响应磋商文件的响应文件由磋商小组认定响应无效，并告知该供应商。</w:t>
      </w:r>
    </w:p>
    <w:p w14:paraId="6A7DE60C">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给予供应商提交澄清、说明或补正的时间</w:t>
      </w:r>
      <w:r>
        <w:rPr>
          <w:rFonts w:hint="eastAsia" w:ascii="仿宋" w:hAnsi="仿宋" w:eastAsia="仿宋" w:cs="仿宋"/>
          <w:b/>
          <w:bCs/>
          <w:color w:val="000000" w:themeColor="text1"/>
          <w:szCs w:val="24"/>
          <w:highlight w:val="none"/>
          <w14:textFill>
            <w14:solidFill>
              <w14:schemeClr w14:val="tx1"/>
            </w14:solidFill>
          </w14:textFill>
        </w:rPr>
        <w:t>不得少于半小时</w:t>
      </w:r>
      <w:r>
        <w:rPr>
          <w:rFonts w:hint="eastAsia" w:ascii="仿宋" w:hAnsi="仿宋" w:eastAsia="仿宋" w:cs="仿宋"/>
          <w:color w:val="000000" w:themeColor="text1"/>
          <w:szCs w:val="24"/>
          <w:highlight w:val="none"/>
          <w14:textFill>
            <w14:solidFill>
              <w14:schemeClr w14:val="tx1"/>
            </w14:solidFill>
          </w14:textFill>
        </w:rPr>
        <w:t>，供应商已经明确表示澄清说明或补正完毕的除外。供应商的澄清、说明或者更正不得超出响应文件的范围或者改变响应文件的实质性内容。</w:t>
      </w:r>
    </w:p>
    <w:p w14:paraId="3954F8FE">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14:paraId="71E83F35">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磋商形式：</w:t>
      </w:r>
    </w:p>
    <w:p w14:paraId="03C1B71C">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sym w:font="Wingdings 2" w:char="0052"/>
      </w:r>
      <w:r>
        <w:rPr>
          <w:rFonts w:hint="eastAsia" w:ascii="仿宋" w:hAnsi="仿宋" w:eastAsia="仿宋" w:cs="仿宋"/>
          <w:color w:val="000000" w:themeColor="text1"/>
          <w:szCs w:val="24"/>
          <w:highlight w:val="none"/>
          <w14:textFill>
            <w14:solidFill>
              <w14:schemeClr w14:val="tx1"/>
            </w14:solidFill>
          </w14:textFill>
        </w:rPr>
        <w:t>远程在线非视频磋商：磋商时由采购代理机构利用政采云平台发起磋商邀请，磋商小组在线（以书面形式完成的需扫描上传）将磋商问题通知所有参加磋商的供应商，供应商按照磋商小组的要求对问题进行答复，并由授权代表签字或者加盖公章后扫描上传（或直接在线加盖电子签章后提交）；</w:t>
      </w:r>
    </w:p>
    <w:p w14:paraId="11EBBDB2">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经磋商确定磋商文件的变动情况。对磋商文件作出的实质性变动是磋商文件的有效组成部分，磋商小组应当及时通过政采云平台通知所有参加磋商的供应商。</w:t>
      </w:r>
    </w:p>
    <w:p w14:paraId="1C7FC87E">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14:paraId="68931A73">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磋商小组按照下列方式确定提交最后报价的供应商，有特殊规定的从其规定：</w:t>
      </w:r>
    </w:p>
    <w:p w14:paraId="119F3DD4">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磋商文件能够详细列明采购标的的技术、服务要求的，磋商结束后，磋商小组应当要求所有实质性响应的供应商在规定时间内在电子交易平台提交最后报价，提交最后报价的供应商不得少于3家。</w:t>
      </w:r>
    </w:p>
    <w:p w14:paraId="4AC75839">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14:paraId="635C52CE">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确定进入最后报价的供应商在规定时间内提交最后报价。</w:t>
      </w:r>
    </w:p>
    <w:p w14:paraId="259C011F">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采购代理机构唱价。</w:t>
      </w:r>
    </w:p>
    <w:p w14:paraId="2EDB8469">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14:paraId="0900674B">
      <w:pPr>
        <w:pStyle w:val="393"/>
        <w:spacing w:before="0"/>
        <w:ind w:firstLine="48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供应商商务技术部分的得分为磋商小组各成员的有效评分的算术平均值。</w:t>
      </w:r>
    </w:p>
    <w:p w14:paraId="7F4394E4">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评分时保留小数点后1位小数，计算评分值时保留小数点后2位小数。</w:t>
      </w:r>
    </w:p>
    <w:p w14:paraId="7871A0E6">
      <w:pPr>
        <w:pStyle w:val="393"/>
        <w:numPr>
          <w:ilvl w:val="1"/>
          <w:numId w:val="12"/>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磋商小组应当根据综合评分情况，按照评审得分由高到低顺序推荐3名以上成交候选供应商，并编写评审报告。</w:t>
      </w:r>
    </w:p>
    <w:p w14:paraId="36EC176C">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成交</w:t>
      </w:r>
    </w:p>
    <w:p w14:paraId="18CDC24C">
      <w:pPr>
        <w:pStyle w:val="393"/>
        <w:numPr>
          <w:ilvl w:val="1"/>
          <w:numId w:val="13"/>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政府采购项目实行全流程电子化，评审报告送交、采购结果确定和结果公告均在线完成。采购代理机构应当依法及时将评审报告在线送交采购人确认。采购人应当在收到评审报告后2个工作日内，从评审报告提出的成交候选供应商中，按照排序由高到低的原则确定成交供应商，采购人也可以书面授权磋商小组直接确定成交供应商。</w:t>
      </w:r>
    </w:p>
    <w:p w14:paraId="5CD307B8">
      <w:pPr>
        <w:pStyle w:val="393"/>
        <w:numPr>
          <w:ilvl w:val="1"/>
          <w:numId w:val="13"/>
        </w:numPr>
        <w:spacing w:before="0"/>
        <w:ind w:left="10"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14:paraId="1C4B1970">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合同及履约验收</w:t>
      </w:r>
    </w:p>
    <w:p w14:paraId="5BA7A866">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14:paraId="5E8DCD4F">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成交供应商缴纳履约保证金（</w:t>
      </w:r>
      <w:r>
        <w:rPr>
          <w:rFonts w:hint="eastAsia" w:ascii="仿宋" w:hAnsi="仿宋" w:eastAsia="仿宋" w:cs="仿宋"/>
          <w:color w:val="000000" w:themeColor="text1"/>
          <w:kern w:val="0"/>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000000" w:themeColor="text1"/>
          <w:highlight w:val="none"/>
          <w14:textFill>
            <w14:solidFill>
              <w14:schemeClr w14:val="tx1"/>
            </w14:solidFill>
          </w14:textFill>
        </w:rPr>
        <w:t>。履约保证金的数额不得超过政府采购合同金额的</w:t>
      </w:r>
      <w:r>
        <w:rPr>
          <w:rFonts w:hint="eastAsia" w:ascii="仿宋" w:hAnsi="仿宋" w:eastAsia="仿宋" w:cs="仿宋"/>
          <w:color w:val="000000" w:themeColor="text1"/>
          <w:highlight w:val="none"/>
          <w:lang w:val="en-US" w:eastAsia="zh-CN"/>
          <w14:textFill>
            <w14:solidFill>
              <w14:schemeClr w14:val="tx1"/>
            </w14:solidFill>
          </w14:textFill>
        </w:rPr>
        <w:t>2</w:t>
      </w:r>
      <w:r>
        <w:rPr>
          <w:rFonts w:hint="eastAsia" w:ascii="仿宋" w:hAnsi="仿宋" w:eastAsia="仿宋" w:cs="仿宋"/>
          <w:color w:val="000000" w:themeColor="text1"/>
          <w:highlight w:val="none"/>
          <w14:textFill>
            <w14:solidFill>
              <w14:schemeClr w14:val="tx1"/>
            </w14:solidFill>
          </w14:textFill>
        </w:rPr>
        <w:t>.0%。鼓励和支持供应商以银行、保险公司出具的保函形式提供履约保证金。</w:t>
      </w:r>
      <w:r>
        <w:rPr>
          <w:rFonts w:hint="eastAsia" w:ascii="仿宋" w:hAnsi="仿宋" w:eastAsia="仿宋" w:cs="仿宋"/>
          <w:b/>
          <w:color w:val="000000" w:themeColor="text1"/>
          <w:highlight w:val="none"/>
          <w14:textFill>
            <w14:solidFill>
              <w14:schemeClr w14:val="tx1"/>
            </w14:solidFill>
          </w14:textFill>
        </w:rPr>
        <w:t>采购人不得拒收履约保函</w:t>
      </w:r>
      <w:r>
        <w:rPr>
          <w:rFonts w:hint="eastAsia" w:ascii="仿宋" w:hAnsi="仿宋" w:eastAsia="仿宋" w:cs="仿宋"/>
          <w:color w:val="000000" w:themeColor="text1"/>
          <w:szCs w:val="24"/>
          <w:highlight w:val="none"/>
          <w14:textFill>
            <w14:solidFill>
              <w14:schemeClr w14:val="tx1"/>
            </w14:solidFill>
          </w14:textFill>
        </w:rPr>
        <w:t>），项目验收结束后应及时退还，延迟退还的，应当按照合同约定和法律规定承担相应的赔偿责任。</w:t>
      </w:r>
    </w:p>
    <w:p w14:paraId="6BCFCB9B">
      <w:pPr>
        <w:pStyle w:val="393"/>
        <w:numPr>
          <w:ilvl w:val="1"/>
          <w:numId w:val="14"/>
        </w:numPr>
        <w:spacing w:before="0"/>
        <w:ind w:left="33" w:firstLine="387" w:firstLineChars="0"/>
        <w:rPr>
          <w:rFonts w:hint="eastAsia" w:ascii="仿宋" w:hAnsi="仿宋" w:eastAsia="仿宋" w:cs="仿宋"/>
          <w:color w:val="000000" w:themeColor="text1"/>
          <w:szCs w:val="24"/>
          <w:highlight w:val="none"/>
          <w:lang w:val="zh-CN"/>
          <w14:textFill>
            <w14:solidFill>
              <w14:schemeClr w14:val="tx1"/>
            </w14:solidFill>
          </w14:textFill>
        </w:rPr>
      </w:pPr>
      <w:r>
        <w:rPr>
          <w:rFonts w:hint="eastAsia" w:ascii="仿宋" w:hAnsi="仿宋" w:eastAsia="仿宋" w:cs="仿宋"/>
          <w:color w:val="000000" w:themeColor="text1"/>
          <w:szCs w:val="24"/>
          <w:highlight w:val="none"/>
          <w:lang w:val="zh-CN"/>
          <w14:textFill>
            <w14:solidFill>
              <w14:schemeClr w14:val="tx1"/>
            </w14:solidFill>
          </w14:textFill>
        </w:rPr>
        <w:t>供应商</w:t>
      </w:r>
      <w:r>
        <w:rPr>
          <w:rFonts w:hint="eastAsia" w:ascii="仿宋" w:hAnsi="仿宋" w:eastAsia="仿宋" w:cs="仿宋"/>
          <w:color w:val="000000" w:themeColor="text1"/>
          <w:szCs w:val="24"/>
          <w:highlight w:val="none"/>
          <w14:textFill>
            <w14:solidFill>
              <w14:schemeClr w14:val="tx1"/>
            </w14:solidFill>
          </w14:textFill>
        </w:rPr>
        <w:t>可</w:t>
      </w:r>
      <w:r>
        <w:rPr>
          <w:rFonts w:hint="eastAsia" w:ascii="仿宋" w:hAnsi="仿宋" w:eastAsia="仿宋" w:cs="仿宋"/>
          <w:color w:val="000000" w:themeColor="text1"/>
          <w:szCs w:val="24"/>
          <w:highlight w:val="none"/>
          <w:lang w:val="zh-CN"/>
          <w14:textFill>
            <w14:solidFill>
              <w14:schemeClr w14:val="tx1"/>
            </w14:solidFill>
          </w14:textFill>
        </w:rPr>
        <w:t>登录政采云平台-【金融服务】—【我的项目】—【已备案合同】以保函形式提供：</w:t>
      </w:r>
    </w:p>
    <w:p w14:paraId="22012CC4">
      <w:pPr>
        <w:pStyle w:val="393"/>
        <w:numPr>
          <w:ilvl w:val="1"/>
          <w:numId w:val="14"/>
        </w:numPr>
        <w:spacing w:before="0"/>
        <w:ind w:left="33" w:firstLine="387" w:firstLineChars="0"/>
        <w:rPr>
          <w:rFonts w:hint="eastAsia" w:ascii="仿宋" w:hAnsi="仿宋" w:eastAsia="仿宋" w:cs="仿宋"/>
          <w:color w:val="000000" w:themeColor="text1"/>
          <w:szCs w:val="24"/>
          <w:highlight w:val="none"/>
          <w:lang w:val="zh-CN"/>
          <w14:textFill>
            <w14:solidFill>
              <w14:schemeClr w14:val="tx1"/>
            </w14:solidFill>
          </w14:textFill>
        </w:rPr>
      </w:pPr>
      <w:r>
        <w:rPr>
          <w:rFonts w:hint="eastAsia" w:ascii="仿宋" w:hAnsi="仿宋" w:eastAsia="仿宋" w:cs="仿宋"/>
          <w:color w:val="000000" w:themeColor="text1"/>
          <w:szCs w:val="24"/>
          <w:highlight w:val="none"/>
          <w:lang w:val="zh-CN"/>
          <w14:textFill>
            <w14:solidFill>
              <w14:schemeClr w14:val="tx1"/>
            </w14:solidFill>
          </w14:textFill>
        </w:rPr>
        <w:t>在弹框里填写保函申请信息。具体步骤：选择产品—填写供应商信息—选择交成项目—确认信息—等待保险/保函受理—确认保单—支付保费—成功出单。政采云金融专线400-903-9583。</w:t>
      </w:r>
    </w:p>
    <w:p w14:paraId="12039A38">
      <w:pPr>
        <w:numPr>
          <w:ilvl w:val="2"/>
          <w:numId w:val="15"/>
        </w:numPr>
        <w:tabs>
          <w:tab w:val="left" w:pos="210"/>
        </w:tabs>
        <w:snapToGrid w:val="0"/>
        <w:spacing w:line="360" w:lineRule="auto"/>
        <w:ind w:hanging="430"/>
        <w:jc w:val="left"/>
        <w:outlineLvl w:val="3"/>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供应商在合同列表选择需要投保的合同，点击【保函推荐】。</w:t>
      </w:r>
    </w:p>
    <w:p w14:paraId="76B513C1">
      <w:pPr>
        <w:numPr>
          <w:ilvl w:val="2"/>
          <w:numId w:val="15"/>
        </w:numPr>
        <w:tabs>
          <w:tab w:val="left" w:pos="210"/>
        </w:tabs>
        <w:snapToGrid w:val="0"/>
        <w:spacing w:line="360" w:lineRule="auto"/>
        <w:ind w:hanging="430"/>
        <w:jc w:val="left"/>
        <w:outlineLvl w:val="3"/>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在弹框里查看推荐的保函产品，供应商自行选择保函产品，点击【立即申请】。</w:t>
      </w:r>
    </w:p>
    <w:p w14:paraId="4B4DE317">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合同履约。</w:t>
      </w:r>
    </w:p>
    <w:p w14:paraId="581ACE23">
      <w:pPr>
        <w:pStyle w:val="393"/>
        <w:numPr>
          <w:ilvl w:val="1"/>
          <w:numId w:val="14"/>
        </w:numPr>
        <w:spacing w:before="0"/>
        <w:ind w:left="33" w:firstLine="387"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采购人组织验收。</w:t>
      </w:r>
    </w:p>
    <w:p w14:paraId="7D73D36A">
      <w:pPr>
        <w:pStyle w:val="393"/>
        <w:numPr>
          <w:ilvl w:val="0"/>
          <w:numId w:val="8"/>
        </w:numPr>
        <w:tabs>
          <w:tab w:val="left" w:pos="210"/>
          <w:tab w:val="left" w:pos="420"/>
          <w:tab w:val="clear" w:pos="397"/>
        </w:tabs>
        <w:spacing w:before="0"/>
        <w:ind w:left="-62" w:firstLine="48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竞争性磋商流程图</w:t>
      </w:r>
    </w:p>
    <w:p w14:paraId="22550D41">
      <w:pPr>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drawing>
          <wp:inline distT="0" distB="0" distL="114300" distR="114300">
            <wp:extent cx="5758180" cy="2297430"/>
            <wp:effectExtent l="0" t="0" r="13970" b="7620"/>
            <wp:docPr id="1" name="ECB019B1-382A-4266-B25C-5B523AA43C14-1" descr="C:/Users/Administrator/AppData/Local/Temp/wps.Mhauj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istrator/AppData/Local/Temp/wps.MhaujCwps"/>
                    <pic:cNvPicPr>
                      <a:picLocks noChangeAspect="1"/>
                    </pic:cNvPicPr>
                  </pic:nvPicPr>
                  <pic:blipFill>
                    <a:blip r:embed="rId10"/>
                    <a:stretch>
                      <a:fillRect/>
                    </a:stretch>
                  </pic:blipFill>
                  <pic:spPr>
                    <a:xfrm>
                      <a:off x="0" y="0"/>
                      <a:ext cx="5758180" cy="2297430"/>
                    </a:xfrm>
                    <a:prstGeom prst="rect">
                      <a:avLst/>
                    </a:prstGeom>
                  </pic:spPr>
                </pic:pic>
              </a:graphicData>
            </a:graphic>
          </wp:inline>
        </w:drawing>
      </w:r>
      <w:r>
        <w:rPr>
          <w:rFonts w:hint="eastAsia" w:ascii="仿宋" w:hAnsi="仿宋" w:eastAsia="仿宋" w:cs="仿宋"/>
          <w:b/>
          <w:color w:val="000000" w:themeColor="text1"/>
          <w:highlight w:val="none"/>
          <w14:textFill>
            <w14:solidFill>
              <w14:schemeClr w14:val="tx1"/>
            </w14:solidFill>
          </w14:textFill>
        </w:rPr>
        <w:br w:type="page"/>
      </w:r>
    </w:p>
    <w:p w14:paraId="32204238">
      <w:pPr>
        <w:widowControl/>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p>
    <w:p w14:paraId="45F6DE33">
      <w:pPr>
        <w:widowControl/>
        <w:adjustRightInd/>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第三部分</w:t>
      </w:r>
      <w:bookmarkEnd w:id="8"/>
      <w:r>
        <w:rPr>
          <w:rFonts w:hint="eastAsia" w:ascii="仿宋" w:hAnsi="仿宋" w:eastAsia="仿宋" w:cs="仿宋"/>
          <w:b/>
          <w:color w:val="000000" w:themeColor="text1"/>
          <w:sz w:val="36"/>
          <w:szCs w:val="20"/>
          <w:highlight w:val="none"/>
          <w14:textFill>
            <w14:solidFill>
              <w14:schemeClr w14:val="tx1"/>
            </w14:solidFill>
          </w14:textFill>
        </w:rPr>
        <w:t xml:space="preserve">  供应商须知</w:t>
      </w:r>
      <w:bookmarkEnd w:id="9"/>
    </w:p>
    <w:p w14:paraId="53278DD9">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一、前附表</w:t>
      </w:r>
    </w:p>
    <w:tbl>
      <w:tblPr>
        <w:tblStyle w:val="6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2067"/>
        <w:gridCol w:w="5855"/>
      </w:tblGrid>
      <w:tr w14:paraId="7959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blHeader/>
        </w:trPr>
        <w:tc>
          <w:tcPr>
            <w:tcW w:w="629" w:type="dxa"/>
            <w:vAlign w:val="center"/>
          </w:tcPr>
          <w:p w14:paraId="632A251C">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2067" w:type="dxa"/>
            <w:vAlign w:val="center"/>
          </w:tcPr>
          <w:p w14:paraId="17153E9E">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事项</w:t>
            </w:r>
          </w:p>
        </w:tc>
        <w:tc>
          <w:tcPr>
            <w:tcW w:w="5855" w:type="dxa"/>
            <w:vAlign w:val="center"/>
          </w:tcPr>
          <w:p w14:paraId="74A23E7A">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本项目的特别规定</w:t>
            </w:r>
          </w:p>
        </w:tc>
      </w:tr>
      <w:tr w14:paraId="3774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1" w:hRule="atLeast"/>
        </w:trPr>
        <w:tc>
          <w:tcPr>
            <w:tcW w:w="629" w:type="dxa"/>
            <w:vAlign w:val="center"/>
          </w:tcPr>
          <w:p w14:paraId="6D2DF308">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79502180">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项目属性</w:t>
            </w:r>
          </w:p>
        </w:tc>
        <w:tc>
          <w:tcPr>
            <w:tcW w:w="5855" w:type="dxa"/>
            <w:vAlign w:val="center"/>
          </w:tcPr>
          <w:p w14:paraId="7FD1C392">
            <w:pPr>
              <w:pStyle w:val="32"/>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工程类</w:t>
            </w:r>
          </w:p>
        </w:tc>
      </w:tr>
      <w:tr w14:paraId="2251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trPr>
        <w:tc>
          <w:tcPr>
            <w:tcW w:w="629" w:type="dxa"/>
            <w:vAlign w:val="center"/>
          </w:tcPr>
          <w:p w14:paraId="3B03CE26">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42F44C17">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采购标的对应的中小企业划分标准所属行业</w:t>
            </w:r>
          </w:p>
        </w:tc>
        <w:tc>
          <w:tcPr>
            <w:tcW w:w="5855" w:type="dxa"/>
            <w:vAlign w:val="center"/>
          </w:tcPr>
          <w:p w14:paraId="40DEC0F5">
            <w:pPr>
              <w:snapToGrid w:val="0"/>
              <w:spacing w:line="400" w:lineRule="exact"/>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lang w:eastAsia="zh-CN"/>
                <w14:textFill>
                  <w14:solidFill>
                    <w14:schemeClr w14:val="tx1"/>
                  </w14:solidFill>
                </w14:textFill>
              </w:rPr>
              <w:t>）标项一：</w:t>
            </w:r>
          </w:p>
          <w:p w14:paraId="60085FCF">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采购标的：</w:t>
            </w:r>
            <w:r>
              <w:rPr>
                <w:rFonts w:hint="eastAsia" w:ascii="仿宋" w:hAnsi="仿宋" w:eastAsia="仿宋" w:cs="仿宋"/>
                <w:color w:val="000000" w:themeColor="text1"/>
                <w:sz w:val="24"/>
                <w:highlight w:val="none"/>
                <w:u w:val="single"/>
                <w14:textFill>
                  <w14:solidFill>
                    <w14:schemeClr w14:val="tx1"/>
                  </w14:solidFill>
                </w14:textFill>
              </w:rPr>
              <w:t xml:space="preserve"> 浙江财经大学5号楼</w:t>
            </w:r>
            <w:r>
              <w:rPr>
                <w:rFonts w:hint="eastAsia" w:ascii="仿宋" w:hAnsi="仿宋" w:eastAsia="仿宋" w:cs="仿宋"/>
                <w:color w:val="000000" w:themeColor="text1"/>
                <w:sz w:val="24"/>
                <w:highlight w:val="none"/>
                <w:u w:val="single"/>
                <w:lang w:eastAsia="zh-CN"/>
                <w14:textFill>
                  <w14:solidFill>
                    <w14:schemeClr w14:val="tx1"/>
                  </w14:solidFill>
                </w14:textFill>
              </w:rPr>
              <w:t>高压</w:t>
            </w:r>
            <w:r>
              <w:rPr>
                <w:rFonts w:hint="eastAsia" w:ascii="仿宋" w:hAnsi="仿宋" w:eastAsia="仿宋" w:cs="仿宋"/>
                <w:color w:val="000000" w:themeColor="text1"/>
                <w:sz w:val="24"/>
                <w:highlight w:val="none"/>
                <w:u w:val="single"/>
                <w14:textFill>
                  <w14:solidFill>
                    <w14:schemeClr w14:val="tx1"/>
                  </w14:solidFill>
                </w14:textFill>
              </w:rPr>
              <w:t xml:space="preserve">配电房改造工程 </w:t>
            </w:r>
            <w:r>
              <w:rPr>
                <w:rFonts w:hint="eastAsia" w:ascii="仿宋" w:hAnsi="仿宋" w:eastAsia="仿宋" w:cs="仿宋"/>
                <w:color w:val="000000" w:themeColor="text1"/>
                <w:sz w:val="24"/>
                <w:highlight w:val="none"/>
                <w14:textFill>
                  <w14:solidFill>
                    <w14:schemeClr w14:val="tx1"/>
                  </w14:solidFill>
                </w14:textFill>
              </w:rPr>
              <w:t>，所属行业：</w:t>
            </w:r>
            <w:r>
              <w:rPr>
                <w:rFonts w:hint="eastAsia" w:ascii="仿宋" w:hAnsi="仿宋" w:eastAsia="仿宋" w:cs="仿宋"/>
                <w:b/>
                <w:bCs/>
                <w:color w:val="000000" w:themeColor="text1"/>
                <w:sz w:val="24"/>
                <w:highlight w:val="none"/>
                <w:u w:val="single"/>
                <w14:textFill>
                  <w14:solidFill>
                    <w14:schemeClr w14:val="tx1"/>
                  </w14:solidFill>
                </w14:textFill>
              </w:rPr>
              <w:t xml:space="preserve"> 建筑业 </w:t>
            </w:r>
            <w:r>
              <w:rPr>
                <w:rFonts w:hint="eastAsia" w:ascii="仿宋" w:hAnsi="仿宋" w:eastAsia="仿宋" w:cs="仿宋"/>
                <w:color w:val="000000" w:themeColor="text1"/>
                <w:sz w:val="24"/>
                <w:highlight w:val="none"/>
                <w14:textFill>
                  <w14:solidFill>
                    <w14:schemeClr w14:val="tx1"/>
                  </w14:solidFill>
                </w14:textFill>
              </w:rPr>
              <w:t>；</w:t>
            </w:r>
          </w:p>
          <w:p w14:paraId="71DCAF3F">
            <w:pPr>
              <w:snapToGrid w:val="0"/>
              <w:spacing w:line="400" w:lineRule="exact"/>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标项二：</w:t>
            </w:r>
          </w:p>
          <w:p w14:paraId="67399648">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采购标的：</w:t>
            </w:r>
            <w:r>
              <w:rPr>
                <w:rFonts w:hint="eastAsia" w:ascii="仿宋" w:hAnsi="仿宋" w:eastAsia="仿宋" w:cs="仿宋"/>
                <w:color w:val="000000" w:themeColor="text1"/>
                <w:sz w:val="24"/>
                <w:highlight w:val="none"/>
                <w:u w:val="single"/>
                <w14:textFill>
                  <w14:solidFill>
                    <w14:schemeClr w14:val="tx1"/>
                  </w14:solidFill>
                </w14:textFill>
              </w:rPr>
              <w:t xml:space="preserve"> 浙江财经大学图书馆</w:t>
            </w:r>
            <w:r>
              <w:rPr>
                <w:rFonts w:hint="eastAsia" w:ascii="仿宋" w:hAnsi="仿宋" w:eastAsia="仿宋" w:cs="仿宋"/>
                <w:color w:val="000000" w:themeColor="text1"/>
                <w:sz w:val="24"/>
                <w:highlight w:val="none"/>
                <w:u w:val="single"/>
                <w:lang w:eastAsia="zh-CN"/>
                <w14:textFill>
                  <w14:solidFill>
                    <w14:schemeClr w14:val="tx1"/>
                  </w14:solidFill>
                </w14:textFill>
              </w:rPr>
              <w:t>高压</w:t>
            </w:r>
            <w:r>
              <w:rPr>
                <w:rFonts w:hint="eastAsia" w:ascii="仿宋" w:hAnsi="仿宋" w:eastAsia="仿宋" w:cs="仿宋"/>
                <w:color w:val="000000" w:themeColor="text1"/>
                <w:sz w:val="24"/>
                <w:highlight w:val="none"/>
                <w:u w:val="single"/>
                <w14:textFill>
                  <w14:solidFill>
                    <w14:schemeClr w14:val="tx1"/>
                  </w14:solidFill>
                </w14:textFill>
              </w:rPr>
              <w:t xml:space="preserve">配电房改造工程 </w:t>
            </w:r>
            <w:r>
              <w:rPr>
                <w:rFonts w:hint="eastAsia" w:ascii="仿宋" w:hAnsi="仿宋" w:eastAsia="仿宋" w:cs="仿宋"/>
                <w:color w:val="000000" w:themeColor="text1"/>
                <w:sz w:val="24"/>
                <w:highlight w:val="none"/>
                <w14:textFill>
                  <w14:solidFill>
                    <w14:schemeClr w14:val="tx1"/>
                  </w14:solidFill>
                </w14:textFill>
              </w:rPr>
              <w:t>，所属行业：</w:t>
            </w:r>
            <w:r>
              <w:rPr>
                <w:rFonts w:hint="eastAsia" w:ascii="仿宋" w:hAnsi="仿宋" w:eastAsia="仿宋" w:cs="仿宋"/>
                <w:b/>
                <w:bCs/>
                <w:color w:val="000000" w:themeColor="text1"/>
                <w:sz w:val="24"/>
                <w:highlight w:val="none"/>
                <w:u w:val="single"/>
                <w14:textFill>
                  <w14:solidFill>
                    <w14:schemeClr w14:val="tx1"/>
                  </w14:solidFill>
                </w14:textFill>
              </w:rPr>
              <w:t xml:space="preserve"> 建筑业 </w:t>
            </w:r>
            <w:r>
              <w:rPr>
                <w:rFonts w:hint="eastAsia" w:ascii="仿宋" w:hAnsi="仿宋" w:eastAsia="仿宋" w:cs="仿宋"/>
                <w:color w:val="000000" w:themeColor="text1"/>
                <w:sz w:val="24"/>
                <w:highlight w:val="none"/>
                <w14:textFill>
                  <w14:solidFill>
                    <w14:schemeClr w14:val="tx1"/>
                  </w14:solidFill>
                </w14:textFill>
              </w:rPr>
              <w:t>；</w:t>
            </w:r>
          </w:p>
          <w:p w14:paraId="644CDC04">
            <w:pPr>
              <w:pStyle w:val="22"/>
              <w:snapToGrid w:val="0"/>
              <w:spacing w:line="40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（2）《关于印发中小企业划型标准规定的通知》（工信部联企业〔2011〕300）第（十六）条：</w:t>
            </w:r>
          </w:p>
          <w:p w14:paraId="41E1FEBD">
            <w:pPr>
              <w:pStyle w:val="22"/>
              <w:snapToGrid w:val="0"/>
              <w:spacing w:line="40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建筑业：营业收入80000万元以下或资产总额80000万元以下的为中小微型企业。其中，营业收入6000万元及以上，且资产总额5000万元及以上的为中型企业；营业收入300 万元及以上，且资产总额300万元及以上的为小型企业；营业收入300 万元以下或资产总额300 万元以下的为微型企业。</w:t>
            </w:r>
          </w:p>
        </w:tc>
      </w:tr>
      <w:tr w14:paraId="0D52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1" w:hRule="atLeast"/>
        </w:trPr>
        <w:tc>
          <w:tcPr>
            <w:tcW w:w="629" w:type="dxa"/>
            <w:vAlign w:val="center"/>
          </w:tcPr>
          <w:p w14:paraId="681C9060">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1794E324">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是否允许采购进口产品</w:t>
            </w:r>
          </w:p>
        </w:tc>
        <w:tc>
          <w:tcPr>
            <w:tcW w:w="5855" w:type="dxa"/>
            <w:vAlign w:val="center"/>
          </w:tcPr>
          <w:p w14:paraId="704625ED">
            <w:p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282844808"/>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14:textFill>
                  <w14:solidFill>
                    <w14:schemeClr w14:val="tx1"/>
                  </w14:solidFill>
                </w14:textFill>
              </w:rPr>
              <w:t>本项目不允许采购进口产品。</w:t>
            </w:r>
          </w:p>
          <w:p w14:paraId="2E3E57C1">
            <w:pPr>
              <w:snapToGrid w:val="0"/>
              <w:spacing w:line="400" w:lineRule="exact"/>
              <w:rPr>
                <w:rFonts w:hint="eastAsia" w:ascii="仿宋" w:hAnsi="仿宋" w:eastAsia="仿宋" w:cs="仿宋"/>
                <w:color w:val="000000" w:themeColor="text1"/>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57491996"/>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可以就</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采购进口产品。</w:t>
            </w:r>
          </w:p>
        </w:tc>
      </w:tr>
      <w:tr w14:paraId="7E3E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8" w:hRule="atLeast"/>
        </w:trPr>
        <w:tc>
          <w:tcPr>
            <w:tcW w:w="629" w:type="dxa"/>
            <w:vAlign w:val="center"/>
          </w:tcPr>
          <w:p w14:paraId="782A34D2">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6338A840">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分包</w:t>
            </w:r>
          </w:p>
        </w:tc>
        <w:tc>
          <w:tcPr>
            <w:tcW w:w="5855" w:type="dxa"/>
            <w:vAlign w:val="center"/>
          </w:tcPr>
          <w:p w14:paraId="0BB5F6F7">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828413524"/>
                <w14:checkbox>
                  <w14:checked w14:val="1"/>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Wingdings" w:hAnsi="Wingdings" w:eastAsia="仿宋" w:cs="仿宋"/>
                    <w:color w:val="000000" w:themeColor="text1"/>
                    <w:kern w:val="2"/>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sz w:val="24"/>
                <w:highlight w:val="none"/>
                <w14:textFill>
                  <w14:solidFill>
                    <w14:schemeClr w14:val="tx1"/>
                  </w14:solidFill>
                </w14:textFill>
              </w:rPr>
              <w:t xml:space="preserve"> A同意将非主体、非关键性的工作分包。</w:t>
            </w:r>
          </w:p>
          <w:p w14:paraId="7808B296">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881945095"/>
                <w14:checkbox>
                  <w14:checked w14:val="0"/>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仿宋" w:hAnsi="仿宋"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 xml:space="preserve"> B不同意分包。</w:t>
            </w:r>
          </w:p>
          <w:p w14:paraId="63F60581">
            <w:pPr>
              <w:pStyle w:val="24"/>
              <w:ind w:left="0" w:leftChars="0" w:firstLine="0" w:firstLineChars="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注：不得限制大中型企业向小微企业合理分包。</w:t>
            </w:r>
          </w:p>
        </w:tc>
      </w:tr>
      <w:tr w14:paraId="7567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2" w:hRule="atLeast"/>
        </w:trPr>
        <w:tc>
          <w:tcPr>
            <w:tcW w:w="629" w:type="dxa"/>
            <w:vAlign w:val="center"/>
          </w:tcPr>
          <w:p w14:paraId="13720AD5">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08432189">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响应文件开启前答疑会或现场考察</w:t>
            </w:r>
          </w:p>
        </w:tc>
        <w:tc>
          <w:tcPr>
            <w:tcW w:w="5855" w:type="dxa"/>
            <w:vAlign w:val="center"/>
          </w:tcPr>
          <w:p w14:paraId="6A3BA45E">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857282517"/>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不组织。</w:t>
            </w:r>
          </w:p>
          <w:p w14:paraId="47B3E769">
            <w:pPr>
              <w:pStyle w:val="32"/>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763674015"/>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B组织，</w:t>
            </w:r>
            <w:r>
              <w:rPr>
                <w:rFonts w:hint="eastAsia" w:ascii="仿宋" w:hAnsi="仿宋" w:eastAsia="仿宋" w:cs="仿宋"/>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,地点：</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，联系方式：</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p>
        </w:tc>
      </w:tr>
      <w:tr w14:paraId="4A7F8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rPr>
        <w:tc>
          <w:tcPr>
            <w:tcW w:w="629" w:type="dxa"/>
            <w:vAlign w:val="center"/>
          </w:tcPr>
          <w:p w14:paraId="58522D01">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33C52D67">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样品提供</w:t>
            </w:r>
          </w:p>
        </w:tc>
        <w:tc>
          <w:tcPr>
            <w:tcW w:w="5855" w:type="dxa"/>
            <w:vAlign w:val="center"/>
          </w:tcPr>
          <w:p w14:paraId="24448A26">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595144173"/>
                <w14:checkbox>
                  <w14:checked w14:val="1"/>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Wingdings" w:hAnsi="Wingdings" w:eastAsia="仿宋" w:cs="仿宋"/>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kern w:val="0"/>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不要求提供。</w:t>
            </w:r>
          </w:p>
          <w:p w14:paraId="08F0B7D8">
            <w:p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1026831988"/>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B要求提供，</w:t>
            </w:r>
          </w:p>
          <w:p w14:paraId="7C8DA5F6">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样品：</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79851BC1">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样品制作的标准和要求：</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7A8A916C">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样品的评审方法以及评审标准</w:t>
            </w:r>
            <w:r>
              <w:rPr>
                <w:rFonts w:hint="eastAsia" w:ascii="仿宋" w:hAnsi="仿宋" w:eastAsia="仿宋" w:cs="仿宋"/>
                <w:snapToGrid w:val="0"/>
                <w:color w:val="000000" w:themeColor="text1"/>
                <w:kern w:val="28"/>
                <w:sz w:val="24"/>
                <w:highlight w:val="none"/>
                <w14:textFill>
                  <w14:solidFill>
                    <w14:schemeClr w14:val="tx1"/>
                  </w14:solidFill>
                </w14:textFill>
              </w:rPr>
              <w:t>：详见</w:t>
            </w:r>
            <w:r>
              <w:rPr>
                <w:rFonts w:hint="eastAsia" w:ascii="仿宋" w:hAnsi="仿宋" w:eastAsia="仿宋" w:cs="仿宋"/>
                <w:color w:val="000000" w:themeColor="text1"/>
                <w:sz w:val="24"/>
                <w:highlight w:val="none"/>
                <w:u w:val="single"/>
                <w14:textFill>
                  <w14:solidFill>
                    <w14:schemeClr w14:val="tx1"/>
                  </w14:solidFill>
                </w14:textFill>
              </w:rPr>
              <w:t>评标办法</w:t>
            </w:r>
            <w:r>
              <w:rPr>
                <w:rFonts w:hint="eastAsia" w:ascii="仿宋" w:hAnsi="仿宋" w:eastAsia="仿宋" w:cs="仿宋"/>
                <w:color w:val="000000" w:themeColor="text1"/>
                <w:kern w:val="0"/>
                <w:sz w:val="24"/>
                <w:highlight w:val="none"/>
                <w14:textFill>
                  <w14:solidFill>
                    <w14:schemeClr w14:val="tx1"/>
                  </w14:solidFill>
                </w14:textFill>
              </w:rPr>
              <w:t>；</w:t>
            </w:r>
          </w:p>
          <w:p w14:paraId="38742545">
            <w:pPr>
              <w:numPr>
                <w:ilvl w:val="0"/>
                <w:numId w:val="17"/>
              </w:numPr>
              <w:snapToGrid w:val="0"/>
              <w:spacing w:line="400" w:lineRule="exac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是否需要随样品提交检测报告：</w:t>
            </w:r>
            <w:sdt>
              <w:sdtPr>
                <w:rPr>
                  <w:rFonts w:hint="eastAsia" w:ascii="仿宋" w:hAnsi="仿宋" w:eastAsia="仿宋" w:cs="仿宋"/>
                  <w:color w:val="000000" w:themeColor="text1"/>
                  <w:kern w:val="0"/>
                  <w:sz w:val="24"/>
                  <w:highlight w:val="none"/>
                  <w14:textFill>
                    <w14:solidFill>
                      <w14:schemeClr w14:val="tx1"/>
                    </w14:solidFill>
                  </w14:textFill>
                </w:rPr>
                <w:id w:val="1303421454"/>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否；</w:t>
            </w:r>
            <w:sdt>
              <w:sdtPr>
                <w:rPr>
                  <w:rFonts w:hint="eastAsia" w:ascii="仿宋" w:hAnsi="仿宋" w:eastAsia="仿宋" w:cs="仿宋"/>
                  <w:color w:val="000000" w:themeColor="text1"/>
                  <w:kern w:val="0"/>
                  <w:sz w:val="24"/>
                  <w:highlight w:val="none"/>
                  <w14:textFill>
                    <w14:solidFill>
                      <w14:schemeClr w14:val="tx1"/>
                    </w14:solidFill>
                  </w14:textFill>
                </w:rPr>
                <w:id w:val="1621728433"/>
                <w14:checkbox>
                  <w14:checked w14:val="0"/>
                  <w14:checkedState w14:val="00FE" w14:font="Wingdings"/>
                  <w14:uncheckedState w14:val="2610" w14:font="MS Gothic"/>
                </w14:checkbox>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仿宋" w:hAnsi="仿宋" w:eastAsia="仿宋" w:cs="仿宋"/>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是，检测机构的要求</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；检测内容</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w:t>
            </w:r>
          </w:p>
          <w:p w14:paraId="3F2D91B0">
            <w:pPr>
              <w:numPr>
                <w:ilvl w:val="0"/>
                <w:numId w:val="17"/>
              </w:num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提供样品的时间：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；地点：</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；联系人</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28"/>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。请供应商在上述时间内提供样品并按规定位置安装完毕。超过截止时间的，采购人或采购代理机构将不予接收，并将清场并封闭样品现场。</w:t>
            </w:r>
          </w:p>
          <w:p w14:paraId="64799A9C">
            <w:pPr>
              <w:numPr>
                <w:ilvl w:val="0"/>
                <w:numId w:val="17"/>
              </w:num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4D3616FB">
            <w:pPr>
              <w:numPr>
                <w:ilvl w:val="0"/>
                <w:numId w:val="17"/>
              </w:numPr>
              <w:snapToGrid w:val="0"/>
              <w:spacing w:line="400" w:lineRule="exact"/>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制作、运输、安装和保管样品所发生的一切费用由供应商自理。</w:t>
            </w:r>
          </w:p>
        </w:tc>
      </w:tr>
      <w:tr w14:paraId="7179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Align w:val="center"/>
          </w:tcPr>
          <w:p w14:paraId="19135700">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17524222">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方案讲解演示</w:t>
            </w:r>
          </w:p>
        </w:tc>
        <w:tc>
          <w:tcPr>
            <w:tcW w:w="5855" w:type="dxa"/>
            <w:vAlign w:val="center"/>
          </w:tcPr>
          <w:p w14:paraId="59C4CE09">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highlight w:val="none"/>
                  <w14:textFill>
                    <w14:solidFill>
                      <w14:schemeClr w14:val="tx1"/>
                    </w14:solidFill>
                  </w14:textFill>
                </w:rPr>
                <w:id w:val="952451106"/>
                <w14:checkbox>
                  <w14:checked w14:val="1"/>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Wingdings" w:hAnsi="Wingdings" w:eastAsia="仿宋" w:cs="仿宋"/>
                    <w:color w:val="000000" w:themeColor="text1"/>
                    <w:kern w:val="2"/>
                    <w:sz w:val="24"/>
                    <w:szCs w:val="24"/>
                    <w:highlight w:val="none"/>
                    <w:lang w:val="en-US" w:eastAsia="zh-CN" w:bidi="ar-SA"/>
                    <w14:textFill>
                      <w14:solidFill>
                        <w14:schemeClr w14:val="tx1"/>
                      </w14:solidFill>
                    </w14:textFill>
                  </w:rPr>
                  <w:t>þ</w:t>
                </w:r>
              </w:sdtContent>
            </w:sdt>
            <w:r>
              <w:rPr>
                <w:rFonts w:hint="eastAsia" w:ascii="仿宋" w:hAnsi="仿宋" w:eastAsia="仿宋" w:cs="仿宋"/>
                <w:color w:val="000000" w:themeColor="text1"/>
                <w:sz w:val="24"/>
                <w:highlight w:val="none"/>
                <w14:textFill>
                  <w14:solidFill>
                    <w14:schemeClr w14:val="tx1"/>
                  </w14:solidFill>
                </w14:textFill>
              </w:rPr>
              <w:t>A不组织。</w:t>
            </w:r>
          </w:p>
          <w:p w14:paraId="794EA68C">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仿宋" w:hAnsi="仿宋"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B组织。</w:t>
            </w:r>
          </w:p>
          <w:p w14:paraId="77EEFCAA">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（1）在磋商过程中安排每个供应商进行方案讲解演示。每个供应商时间不超过</w:t>
            </w:r>
            <w:r>
              <w:rPr>
                <w:rFonts w:hint="eastAsia" w:ascii="仿宋" w:hAnsi="仿宋" w:eastAsia="仿宋" w:cs="仿宋"/>
                <w:color w:val="000000" w:themeColor="text1"/>
                <w:sz w:val="24"/>
                <w:highlight w:val="none"/>
                <w:u w:val="single"/>
                <w14:textFill>
                  <w14:solidFill>
                    <w14:schemeClr w14:val="tx1"/>
                  </w14:solidFill>
                </w14:textFill>
              </w:rPr>
              <w:t>20</w:t>
            </w:r>
            <w:r>
              <w:rPr>
                <w:rFonts w:hint="eastAsia" w:ascii="仿宋" w:hAnsi="仿宋" w:eastAsia="仿宋" w:cs="仿宋"/>
                <w:color w:val="000000" w:themeColor="text1"/>
                <w:sz w:val="24"/>
                <w:highlight w:val="none"/>
                <w14:textFill>
                  <w14:solidFill>
                    <w14:schemeClr w14:val="tx1"/>
                  </w14:solidFill>
                </w14:textFill>
              </w:rPr>
              <w:t>分钟</w:t>
            </w:r>
            <w:r>
              <w:rPr>
                <w:rFonts w:hint="eastAsia" w:ascii="仿宋" w:hAnsi="仿宋" w:eastAsia="仿宋" w:cs="仿宋"/>
                <w:color w:val="000000" w:themeColor="text1"/>
                <w:sz w:val="24"/>
                <w:highlight w:val="none"/>
                <w:u w:val="single"/>
                <w14:textFill>
                  <w14:solidFill>
                    <w14:schemeClr w14:val="tx1"/>
                  </w14:solidFill>
                </w14:textFill>
              </w:rPr>
              <w:t>（编制时可根据项目情况进行调整）</w:t>
            </w:r>
            <w:r>
              <w:rPr>
                <w:rFonts w:hint="eastAsia" w:ascii="仿宋" w:hAnsi="仿宋" w:eastAsia="仿宋" w:cs="仿宋"/>
                <w:color w:val="000000" w:themeColor="text1"/>
                <w:sz w:val="24"/>
                <w:highlight w:val="none"/>
                <w14:textFill>
                  <w14:solidFill>
                    <w14:schemeClr w14:val="tx1"/>
                  </w14:solidFill>
                </w14:textFill>
              </w:rPr>
              <w:t>，讲解次序以响应文件解密时间先后次序为准，讲解演示人员不超过</w:t>
            </w:r>
            <w:r>
              <w:rPr>
                <w:rFonts w:hint="eastAsia" w:ascii="仿宋" w:hAnsi="仿宋" w:eastAsia="仿宋" w:cs="仿宋"/>
                <w:color w:val="000000" w:themeColor="text1"/>
                <w:sz w:val="24"/>
                <w:highlight w:val="none"/>
                <w:u w:val="single"/>
                <w14:textFill>
                  <w14:solidFill>
                    <w14:schemeClr w14:val="tx1"/>
                  </w14:solidFill>
                </w14:textFill>
              </w:rPr>
              <w:t xml:space="preserve"> 3  </w:t>
            </w:r>
            <w:r>
              <w:rPr>
                <w:rFonts w:hint="eastAsia" w:ascii="仿宋" w:hAnsi="仿宋" w:eastAsia="仿宋" w:cs="仿宋"/>
                <w:color w:val="000000" w:themeColor="text1"/>
                <w:sz w:val="24"/>
                <w:highlight w:val="none"/>
                <w14:textFill>
                  <w14:solidFill>
                    <w14:schemeClr w14:val="tx1"/>
                  </w14:solidFill>
                </w14:textFill>
              </w:rPr>
              <w:t>人（编制时可根据项目情况进行调整）。讲解演示结束后按要求解答磋商小组提问。</w:t>
            </w:r>
          </w:p>
          <w:p w14:paraId="25424ACB">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（2）方案讲解演示可选择以下其中一种方式：</w:t>
            </w:r>
          </w:p>
          <w:p w14:paraId="3E776AC0">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□方式一：政采云平台在线讲解演示。政采云平台在线讲解需供应商根据政采云平台操作要求做好准备工作，提前完善软硬件配置环境。</w:t>
            </w:r>
          </w:p>
          <w:p w14:paraId="3918BDE1">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□方式二：采购代理机构现场讲解演示。现场讲解地点为    ，讲解演示所用电脑等设备由供应商自备。现场讲解演示人员进场时提供讲解人员名单（加盖公章或授权代表签名）及身份证明，否则不得讲解演示。</w:t>
            </w:r>
          </w:p>
          <w:p w14:paraId="56F018A3">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三：采用“不见面”形式演示。供应商在磋商截止时间前，递交自行录制的“音视频文件”，磋商小组在评审现场对其进行播放并以此作为与方案演示有关评审内容的评分依据。各供应商递交的音视频文件光盘或U盘中应有确保文件正常打开的播放器。（此段表述为自行添加）</w:t>
            </w:r>
          </w:p>
          <w:p w14:paraId="6125856B">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225E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restart"/>
            <w:vAlign w:val="center"/>
          </w:tcPr>
          <w:p w14:paraId="35CCFA11">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Merge w:val="restart"/>
            <w:vAlign w:val="center"/>
          </w:tcPr>
          <w:p w14:paraId="322D4E05">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供应商应当提供的资格、资信证明文件</w:t>
            </w:r>
          </w:p>
        </w:tc>
        <w:tc>
          <w:tcPr>
            <w:tcW w:w="5855" w:type="dxa"/>
            <w:vAlign w:val="center"/>
          </w:tcPr>
          <w:p w14:paraId="10A611ED">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（1）资格证明文件：见磋商文件第二部分11.1。</w:t>
            </w:r>
          </w:p>
          <w:p w14:paraId="49ECFDE3">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供应商未提供有效的资格证明文件的，视为供应</w:t>
            </w:r>
            <w:r>
              <w:rPr>
                <w:rFonts w:hint="eastAsia" w:ascii="仿宋" w:hAnsi="仿宋" w:eastAsia="仿宋" w:cs="仿宋"/>
                <w:b/>
                <w:bCs/>
                <w:color w:val="000000" w:themeColor="text1"/>
                <w:sz w:val="24"/>
                <w:highlight w:val="none"/>
                <w14:textFill>
                  <w14:solidFill>
                    <w14:schemeClr w14:val="tx1"/>
                  </w14:solidFill>
                </w14:textFill>
              </w:rPr>
              <w:t>商不具备磋商文件中规定的资格要求，响应无效</w:t>
            </w:r>
            <w:r>
              <w:rPr>
                <w:rFonts w:hint="eastAsia" w:ascii="仿宋" w:hAnsi="仿宋" w:eastAsia="仿宋" w:cs="仿宋"/>
                <w:b/>
                <w:bCs/>
                <w:color w:val="000000" w:themeColor="text1"/>
                <w:kern w:val="0"/>
                <w:sz w:val="24"/>
                <w:highlight w:val="none"/>
                <w:lang w:val="zh-CN"/>
                <w14:textFill>
                  <w14:solidFill>
                    <w14:schemeClr w14:val="tx1"/>
                  </w14:solidFill>
                </w14:textFill>
              </w:rPr>
              <w:t>。</w:t>
            </w:r>
          </w:p>
        </w:tc>
      </w:tr>
      <w:tr w14:paraId="0A8E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continue"/>
            <w:vAlign w:val="center"/>
          </w:tcPr>
          <w:p w14:paraId="652E328D">
            <w:pPr>
              <w:tabs>
                <w:tab w:val="left" w:pos="0"/>
                <w:tab w:val="center" w:pos="368"/>
              </w:tabs>
              <w:snapToGrid w:val="0"/>
              <w:spacing w:line="400" w:lineRule="exact"/>
              <w:ind w:left="210" w:right="105" w:rightChars="50"/>
              <w:rPr>
                <w:rFonts w:hint="eastAsia" w:ascii="仿宋" w:hAnsi="仿宋" w:eastAsia="仿宋" w:cs="仿宋"/>
                <w:color w:val="000000" w:themeColor="text1"/>
                <w:sz w:val="24"/>
                <w:highlight w:val="none"/>
                <w14:textFill>
                  <w14:solidFill>
                    <w14:schemeClr w14:val="tx1"/>
                  </w14:solidFill>
                </w14:textFill>
              </w:rPr>
            </w:pPr>
          </w:p>
        </w:tc>
        <w:tc>
          <w:tcPr>
            <w:tcW w:w="2067" w:type="dxa"/>
            <w:vMerge w:val="continue"/>
            <w:vAlign w:val="center"/>
          </w:tcPr>
          <w:p w14:paraId="2D95B77C">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p>
        </w:tc>
        <w:tc>
          <w:tcPr>
            <w:tcW w:w="5855" w:type="dxa"/>
            <w:vAlign w:val="center"/>
          </w:tcPr>
          <w:p w14:paraId="07FFBEEB">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（2）资信证明文件：根据磋商文件第五部分评标标准提供。</w:t>
            </w:r>
          </w:p>
        </w:tc>
      </w:tr>
      <w:tr w14:paraId="5BC12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rPr>
        <w:tc>
          <w:tcPr>
            <w:tcW w:w="629" w:type="dxa"/>
            <w:vAlign w:val="center"/>
          </w:tcPr>
          <w:p w14:paraId="28705A24">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649B78D9">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最后报价要求</w:t>
            </w:r>
          </w:p>
        </w:tc>
        <w:tc>
          <w:tcPr>
            <w:tcW w:w="5855" w:type="dxa"/>
            <w:vAlign w:val="center"/>
          </w:tcPr>
          <w:p w14:paraId="2D32FB89">
            <w:pPr>
              <w:snapToGrid w:val="0"/>
              <w:spacing w:line="400" w:lineRule="exact"/>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有关本项目实施所需的</w:t>
            </w:r>
            <w:r>
              <w:rPr>
                <w:rFonts w:hint="eastAsia" w:ascii="仿宋" w:hAnsi="仿宋" w:eastAsia="仿宋" w:cs="仿宋"/>
                <w:color w:val="000000" w:themeColor="text1"/>
                <w:sz w:val="24"/>
                <w:highlight w:val="none"/>
                <w14:textFill>
                  <w14:solidFill>
                    <w14:schemeClr w14:val="tx1"/>
                  </w14:solidFill>
                </w14:textFill>
              </w:rPr>
              <w:t>全部</w:t>
            </w:r>
            <w:r>
              <w:rPr>
                <w:rFonts w:hint="eastAsia" w:ascii="仿宋" w:hAnsi="仿宋" w:eastAsia="仿宋" w:cs="仿宋"/>
                <w:color w:val="000000" w:themeColor="text1"/>
                <w:kern w:val="0"/>
                <w:sz w:val="24"/>
                <w:highlight w:val="none"/>
                <w:lang w:val="zh-CN"/>
                <w14:textFill>
                  <w14:solidFill>
                    <w14:schemeClr w14:val="tx1"/>
                  </w14:solidFill>
                </w14:textFill>
              </w:rPr>
              <w:t>费用（含税费）均计入最后报价。</w:t>
            </w:r>
            <w:r>
              <w:rPr>
                <w:rFonts w:hint="eastAsia" w:ascii="仿宋" w:hAnsi="仿宋" w:eastAsia="仿宋" w:cs="仿宋"/>
                <w:color w:val="000000" w:themeColor="text1"/>
                <w:sz w:val="24"/>
                <w:highlight w:val="none"/>
                <w14:textFill>
                  <w14:solidFill>
                    <w14:schemeClr w14:val="tx1"/>
                  </w14:solidFill>
                </w14:textFill>
              </w:rPr>
              <w:t>《最后报价一览表》是报价的唯一载体</w:t>
            </w:r>
            <w:r>
              <w:rPr>
                <w:rFonts w:hint="eastAsia" w:ascii="仿宋" w:hAnsi="仿宋" w:eastAsia="仿宋" w:cs="仿宋"/>
                <w:color w:val="000000" w:themeColor="text1"/>
                <w:kern w:val="0"/>
                <w:sz w:val="24"/>
                <w:highlight w:val="none"/>
                <w:lang w:val="zh-CN"/>
                <w14:textFill>
                  <w14:solidFill>
                    <w14:schemeClr w14:val="tx1"/>
                  </w14:solidFill>
                </w14:textFill>
              </w:rPr>
              <w:t>。响应文件中价格全部采用人民币报价。磋商文件未列明，而供应商认为必需的费用也需列入最后报价。</w:t>
            </w:r>
          </w:p>
          <w:p w14:paraId="22803BC0">
            <w:pPr>
              <w:snapToGrid w:val="0"/>
              <w:spacing w:line="400" w:lineRule="exact"/>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最后报价出现下列情形的，响应无效：</w:t>
            </w:r>
          </w:p>
          <w:p w14:paraId="0BA18641">
            <w:pPr>
              <w:numPr>
                <w:ilvl w:val="0"/>
                <w:numId w:val="18"/>
              </w:numPr>
              <w:snapToGrid w:val="0"/>
              <w:spacing w:line="400" w:lineRule="exact"/>
              <w:ind w:left="5" w:hanging="5"/>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出现不是唯一的、有选择性最后报价的；</w:t>
            </w:r>
          </w:p>
          <w:p w14:paraId="0DD7EA19">
            <w:pPr>
              <w:numPr>
                <w:ilvl w:val="0"/>
                <w:numId w:val="18"/>
              </w:numPr>
              <w:snapToGrid w:val="0"/>
              <w:spacing w:line="400" w:lineRule="exact"/>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最后报价高于本项目采购预算的;</w:t>
            </w:r>
          </w:p>
          <w:p w14:paraId="5ED0C7D3">
            <w:pPr>
              <w:numPr>
                <w:ilvl w:val="0"/>
                <w:numId w:val="18"/>
              </w:numPr>
              <w:snapToGrid w:val="0"/>
              <w:spacing w:line="400" w:lineRule="exact"/>
              <w:ind w:left="5" w:hanging="5"/>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最后</w:t>
            </w:r>
            <w:r>
              <w:rPr>
                <w:rFonts w:hint="eastAsia" w:ascii="仿宋" w:hAnsi="仿宋" w:eastAsia="仿宋" w:cs="仿宋"/>
                <w:b/>
                <w:color w:val="000000" w:themeColor="text1"/>
                <w:kern w:val="0"/>
                <w:sz w:val="24"/>
                <w:highlight w:val="none"/>
                <w14:textFill>
                  <w14:solidFill>
                    <w14:schemeClr w14:val="tx1"/>
                  </w14:solidFill>
                </w14:textFill>
              </w:rPr>
              <w:t>报价明显低于其他供应商的最后报价，有可能影响产品质量或者不能诚信履约，且未能按要求提供书面说明或者提交相关证明材料，不能证明其报价合理性的</w:t>
            </w:r>
            <w:r>
              <w:rPr>
                <w:rFonts w:hint="eastAsia" w:ascii="仿宋" w:hAnsi="仿宋" w:eastAsia="仿宋" w:cs="仿宋"/>
                <w:b/>
                <w:color w:val="000000" w:themeColor="text1"/>
                <w:sz w:val="24"/>
                <w:szCs w:val="21"/>
                <w:highlight w:val="none"/>
                <w14:textFill>
                  <w14:solidFill>
                    <w14:schemeClr w14:val="tx1"/>
                  </w14:solidFill>
                </w14:textFill>
              </w:rPr>
              <w:t>;</w:t>
            </w:r>
          </w:p>
          <w:p w14:paraId="7E470F7B">
            <w:pPr>
              <w:numPr>
                <w:ilvl w:val="0"/>
                <w:numId w:val="18"/>
              </w:numPr>
              <w:snapToGrid w:val="0"/>
              <w:spacing w:line="400" w:lineRule="exact"/>
              <w:ind w:left="5" w:hanging="5"/>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《最后报价一览表》填写不完整或字迹不能辨认或有漏项的；</w:t>
            </w:r>
          </w:p>
          <w:p w14:paraId="56D3416E">
            <w:pPr>
              <w:numPr>
                <w:ilvl w:val="0"/>
                <w:numId w:val="18"/>
              </w:num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供应商对根据修正原则修正后的报价不确认的</w:t>
            </w:r>
            <w:r>
              <w:rPr>
                <w:rFonts w:hint="eastAsia" w:ascii="仿宋" w:hAnsi="仿宋" w:eastAsia="仿宋" w:cs="仿宋"/>
                <w:b/>
                <w:color w:val="000000" w:themeColor="text1"/>
                <w:sz w:val="24"/>
                <w:highlight w:val="none"/>
                <w14:textFill>
                  <w14:solidFill>
                    <w14:schemeClr w14:val="tx1"/>
                  </w14:solidFill>
                </w14:textFill>
              </w:rPr>
              <w:t>。</w:t>
            </w:r>
          </w:p>
        </w:tc>
      </w:tr>
      <w:tr w14:paraId="27450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9" w:hRule="atLeast"/>
        </w:trPr>
        <w:tc>
          <w:tcPr>
            <w:tcW w:w="629" w:type="dxa"/>
            <w:vAlign w:val="center"/>
          </w:tcPr>
          <w:p w14:paraId="3748F91A">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29656B48">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中小企业信用融资</w:t>
            </w:r>
          </w:p>
        </w:tc>
        <w:tc>
          <w:tcPr>
            <w:tcW w:w="5855" w:type="dxa"/>
            <w:vAlign w:val="center"/>
          </w:tcPr>
          <w:p w14:paraId="362AABEC">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316C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2AB97ECF">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613F5CFA">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备份响应文件送达地点和签收人员 </w:t>
            </w:r>
          </w:p>
        </w:tc>
        <w:tc>
          <w:tcPr>
            <w:tcW w:w="5855" w:type="dxa"/>
            <w:vAlign w:val="center"/>
          </w:tcPr>
          <w:p w14:paraId="5066B4EE">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备份响应文件送达地点：</w:t>
            </w:r>
            <w:r>
              <w:rPr>
                <w:rFonts w:hint="eastAsia" w:ascii="仿宋" w:hAnsi="仿宋" w:eastAsia="仿宋" w:cs="仿宋"/>
                <w:color w:val="000000" w:themeColor="text1"/>
                <w:sz w:val="24"/>
                <w:highlight w:val="none"/>
                <w:u w:val="single"/>
                <w14:textFill>
                  <w14:solidFill>
                    <w14:schemeClr w14:val="tx1"/>
                  </w14:solidFill>
                </w14:textFill>
              </w:rPr>
              <w:t xml:space="preserve"> 浙江省杭州市文三路90号东部软件园1号楼3楼317室  </w:t>
            </w:r>
            <w:r>
              <w:rPr>
                <w:rFonts w:hint="eastAsia" w:ascii="仿宋" w:hAnsi="仿宋" w:eastAsia="仿宋" w:cs="仿宋"/>
                <w:color w:val="000000" w:themeColor="text1"/>
                <w:kern w:val="28"/>
                <w:sz w:val="24"/>
                <w:szCs w:val="24"/>
                <w:highlight w:val="none"/>
                <w14:textFill>
                  <w14:solidFill>
                    <w14:schemeClr w14:val="tx1"/>
                  </w14:solidFill>
                </w14:textFill>
              </w:rPr>
              <w:t>；</w:t>
            </w:r>
          </w:p>
          <w:p w14:paraId="5548DD0B">
            <w:pPr>
              <w:pStyle w:val="32"/>
              <w:snapToGrid w:val="0"/>
              <w:spacing w:line="400" w:lineRule="exac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备份响应文件签收联系人：</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28"/>
                <w:sz w:val="24"/>
                <w:szCs w:val="24"/>
                <w:highlight w:val="none"/>
                <w:u w:val="single"/>
                <w:lang w:eastAsia="zh-CN"/>
                <w14:textFill>
                  <w14:solidFill>
                    <w14:schemeClr w14:val="tx1"/>
                  </w14:solidFill>
                </w14:textFill>
              </w:rPr>
              <w:t>谭策</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28"/>
                <w:sz w:val="24"/>
                <w:szCs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17816023180</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71B21B7C">
            <w:pPr>
              <w:pStyle w:val="32"/>
              <w:snapToGrid w:val="0"/>
              <w:spacing w:line="400" w:lineRule="exact"/>
              <w:rPr>
                <w:rFonts w:hint="eastAsia" w:ascii="仿宋" w:hAnsi="仿宋" w:eastAsia="仿宋" w:cs="仿宋"/>
                <w:color w:val="000000" w:themeColor="text1"/>
                <w:kern w:val="28"/>
                <w:sz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采购人、采购代理机构不强制或变相强制供应商提交备份响应文件。</w:t>
            </w:r>
          </w:p>
        </w:tc>
      </w:tr>
      <w:tr w14:paraId="152A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3359C3D3">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0BA94647">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采购代理服务费</w:t>
            </w:r>
          </w:p>
        </w:tc>
        <w:tc>
          <w:tcPr>
            <w:tcW w:w="5855" w:type="dxa"/>
            <w:vAlign w:val="center"/>
          </w:tcPr>
          <w:p w14:paraId="45BBB8F0">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本项目的采购代理服务费由成交供应商支付。</w:t>
            </w:r>
          </w:p>
          <w:p w14:paraId="4275E122">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计费标准：</w:t>
            </w:r>
          </w:p>
          <w:p w14:paraId="5911AC1C">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1、（1）该项目采购代理服务费按</w:t>
            </w:r>
            <w:r>
              <w:rPr>
                <w:rFonts w:hint="eastAsia" w:ascii="仿宋" w:hAnsi="仿宋" w:eastAsia="仿宋" w:cs="仿宋"/>
                <w:color w:val="000000" w:themeColor="text1"/>
                <w:kern w:val="28"/>
                <w:sz w:val="24"/>
                <w:szCs w:val="24"/>
                <w:highlight w:val="none"/>
                <w:lang w:eastAsia="zh-CN"/>
                <w14:textFill>
                  <w14:solidFill>
                    <w14:schemeClr w14:val="tx1"/>
                  </w14:solidFill>
                </w14:textFill>
              </w:rPr>
              <w:t>发改价格</w:t>
            </w:r>
            <w:r>
              <w:rPr>
                <w:rFonts w:hint="eastAsia" w:ascii="仿宋" w:hAnsi="仿宋" w:eastAsia="仿宋" w:cs="仿宋"/>
                <w:color w:val="000000" w:themeColor="text1"/>
                <w:kern w:val="28"/>
                <w:sz w:val="24"/>
                <w:szCs w:val="24"/>
                <w:highlight w:val="none"/>
                <w14:textFill>
                  <w14:solidFill>
                    <w14:schemeClr w14:val="tx1"/>
                  </w14:solidFill>
                </w14:textFill>
              </w:rPr>
              <w:t>［20</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11</w:t>
            </w:r>
            <w:r>
              <w:rPr>
                <w:rFonts w:hint="eastAsia" w:ascii="仿宋" w:hAnsi="仿宋" w:eastAsia="仿宋" w:cs="仿宋"/>
                <w:color w:val="000000" w:themeColor="text1"/>
                <w:kern w:val="28"/>
                <w:sz w:val="24"/>
                <w:szCs w:val="24"/>
                <w:highlight w:val="none"/>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534</w:t>
            </w:r>
            <w:r>
              <w:rPr>
                <w:rFonts w:hint="eastAsia" w:ascii="仿宋" w:hAnsi="仿宋" w:eastAsia="仿宋" w:cs="仿宋"/>
                <w:color w:val="000000" w:themeColor="text1"/>
                <w:kern w:val="28"/>
                <w:sz w:val="24"/>
                <w:szCs w:val="24"/>
                <w:highlight w:val="none"/>
                <w14:textFill>
                  <w14:solidFill>
                    <w14:schemeClr w14:val="tx1"/>
                  </w14:solidFill>
                </w14:textFill>
              </w:rPr>
              <w:t>号文件收费标准的70%计取，如不足2000元按2000元计取。</w:t>
            </w:r>
          </w:p>
          <w:p w14:paraId="55CB0831">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（2）该项目造价咨询服务费按照</w:t>
            </w:r>
            <w:r>
              <w:rPr>
                <w:rFonts w:hint="eastAsia" w:ascii="仿宋" w:hAnsi="仿宋" w:eastAsia="仿宋" w:cs="仿宋"/>
                <w:color w:val="000000" w:themeColor="text1"/>
                <w:kern w:val="28"/>
                <w:sz w:val="24"/>
                <w:szCs w:val="24"/>
                <w:highlight w:val="none"/>
                <w:lang w:eastAsia="zh-CN"/>
                <w14:textFill>
                  <w14:solidFill>
                    <w14:schemeClr w14:val="tx1"/>
                  </w14:solidFill>
                </w14:textFill>
              </w:rPr>
              <w:t>浙建价协</w:t>
            </w:r>
            <w:r>
              <w:rPr>
                <w:rFonts w:hint="eastAsia" w:ascii="仿宋" w:hAnsi="仿宋" w:eastAsia="仿宋" w:cs="仿宋"/>
                <w:color w:val="000000" w:themeColor="text1"/>
                <w:kern w:val="28"/>
                <w:sz w:val="24"/>
                <w:szCs w:val="24"/>
                <w:highlight w:val="none"/>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2021</w:t>
            </w:r>
            <w:r>
              <w:rPr>
                <w:rFonts w:hint="eastAsia" w:ascii="仿宋" w:hAnsi="仿宋" w:eastAsia="仿宋" w:cs="仿宋"/>
                <w:color w:val="000000" w:themeColor="text1"/>
                <w:kern w:val="28"/>
                <w:sz w:val="24"/>
                <w:szCs w:val="24"/>
                <w:highlight w:val="none"/>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13</w:t>
            </w:r>
            <w:r>
              <w:rPr>
                <w:rFonts w:hint="eastAsia" w:ascii="仿宋" w:hAnsi="仿宋" w:eastAsia="仿宋" w:cs="仿宋"/>
                <w:color w:val="000000" w:themeColor="text1"/>
                <w:kern w:val="28"/>
                <w:sz w:val="24"/>
                <w:szCs w:val="24"/>
                <w:highlight w:val="none"/>
                <w14:textFill>
                  <w14:solidFill>
                    <w14:schemeClr w14:val="tx1"/>
                  </w14:solidFill>
                </w14:textFill>
              </w:rPr>
              <w:t>号文收费标准为参照基础按70%计算，如不足2000元按2000元计取。</w:t>
            </w:r>
          </w:p>
          <w:p w14:paraId="1DE36EF7">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lang w:eastAsia="zh-CN"/>
                <w14:textFill>
                  <w14:solidFill>
                    <w14:schemeClr w14:val="tx1"/>
                  </w14:solidFill>
                </w14:textFill>
              </w:rPr>
              <w:t>（</w:t>
            </w:r>
            <w:r>
              <w:rPr>
                <w:rFonts w:hint="eastAsia" w:ascii="仿宋" w:hAnsi="仿宋" w:eastAsia="仿宋" w:cs="仿宋"/>
                <w:color w:val="000000" w:themeColor="text1"/>
                <w:kern w:val="28"/>
                <w:sz w:val="24"/>
                <w:szCs w:val="24"/>
                <w:highlight w:val="none"/>
                <w:lang w:val="en-US" w:eastAsia="zh-CN"/>
                <w14:textFill>
                  <w14:solidFill>
                    <w14:schemeClr w14:val="tx1"/>
                  </w14:solidFill>
                </w14:textFill>
              </w:rPr>
              <w:t>3</w:t>
            </w:r>
            <w:r>
              <w:rPr>
                <w:rFonts w:hint="eastAsia" w:ascii="仿宋" w:hAnsi="仿宋" w:eastAsia="仿宋" w:cs="仿宋"/>
                <w:color w:val="000000" w:themeColor="text1"/>
                <w:kern w:val="28"/>
                <w:sz w:val="24"/>
                <w:szCs w:val="24"/>
                <w:highlight w:val="none"/>
                <w:lang w:eastAsia="zh-CN"/>
                <w14:textFill>
                  <w14:solidFill>
                    <w14:schemeClr w14:val="tx1"/>
                  </w14:solidFill>
                </w14:textFill>
              </w:rPr>
              <w:t>）</w:t>
            </w:r>
            <w:r>
              <w:rPr>
                <w:rFonts w:hint="eastAsia" w:ascii="仿宋" w:hAnsi="仿宋" w:eastAsia="仿宋" w:cs="仿宋"/>
                <w:color w:val="000000" w:themeColor="text1"/>
                <w:kern w:val="28"/>
                <w:sz w:val="24"/>
                <w:szCs w:val="24"/>
                <w:highlight w:val="none"/>
                <w14:textFill>
                  <w14:solidFill>
                    <w14:schemeClr w14:val="tx1"/>
                  </w14:solidFill>
                </w14:textFill>
              </w:rPr>
              <w:t>对于单个标项采购在200万元人民币以上的项目，采购代理服务费一律按200万元人民币为收费基数收取</w:t>
            </w:r>
          </w:p>
          <w:p w14:paraId="4796053D">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2、结算方式及时间为：在领取成交通知书时由成交供应商一次性向采购代理机构付清。成交结果公告发出后，成交供应商可按成交结果公告上的服务费金额缴纳至如下账号：</w:t>
            </w:r>
          </w:p>
          <w:p w14:paraId="0350D7AB">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（1）收 款 人：浙江国际招投标有限公司</w:t>
            </w:r>
          </w:p>
          <w:p w14:paraId="565EE2EC">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（2）开户银行：中国工商银行杭州武林支行</w:t>
            </w:r>
          </w:p>
          <w:p w14:paraId="1ED65C02">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（3）账    号：1202 0212 0990 6782 015</w:t>
            </w:r>
          </w:p>
          <w:p w14:paraId="49FDF1CB">
            <w:pPr>
              <w:pStyle w:val="32"/>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3、投标人在报价时应综合考虑上述费用。</w:t>
            </w:r>
          </w:p>
        </w:tc>
      </w:tr>
      <w:tr w14:paraId="10E14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14:paraId="3CF9BC0A">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Merge w:val="restart"/>
            <w:vAlign w:val="center"/>
          </w:tcPr>
          <w:p w14:paraId="5755448B">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联合体投标说明</w:t>
            </w:r>
          </w:p>
          <w:p w14:paraId="084F3B5D">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p>
        </w:tc>
        <w:tc>
          <w:tcPr>
            <w:tcW w:w="5855" w:type="dxa"/>
            <w:vAlign w:val="center"/>
          </w:tcPr>
          <w:p w14:paraId="4BA28532">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业绩证明材料</w:t>
            </w:r>
          </w:p>
          <w:p w14:paraId="3AE45681">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color w:val="000000" w:themeColor="text1"/>
                <w:kern w:val="28"/>
                <w:sz w:val="24"/>
                <w:szCs w:val="24"/>
                <w:highlight w:val="none"/>
                <w14:textFill>
                  <w14:solidFill>
                    <w14:schemeClr w14:val="tx1"/>
                  </w14:solidFill>
                </w14:textFill>
              </w:rPr>
              <w:t>联合体投标的，按联合体协议约定的分工内容出具相应的业绩证明材料。承担相同工作的各方或工作内容存在部 分相同的，业绩数量以提供材料较少的一方为准。</w:t>
            </w:r>
          </w:p>
          <w:p w14:paraId="7E42A8AB">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☐联合体投标的，由联合体牵头方出具相应的业绩证明材料。</w:t>
            </w:r>
          </w:p>
          <w:p w14:paraId="5F8260EC">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☐其他规定：</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p>
        </w:tc>
      </w:tr>
      <w:tr w14:paraId="67628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continue"/>
            <w:vAlign w:val="center"/>
          </w:tcPr>
          <w:p w14:paraId="547CF5EC">
            <w:pPr>
              <w:tabs>
                <w:tab w:val="left" w:pos="0"/>
                <w:tab w:val="center" w:pos="368"/>
              </w:tabs>
              <w:snapToGrid w:val="0"/>
              <w:spacing w:line="400" w:lineRule="exact"/>
              <w:ind w:left="210" w:right="105" w:rightChars="5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Merge w:val="continue"/>
            <w:vAlign w:val="center"/>
          </w:tcPr>
          <w:p w14:paraId="36605882">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p>
        </w:tc>
        <w:tc>
          <w:tcPr>
            <w:tcW w:w="5855" w:type="dxa"/>
            <w:vAlign w:val="center"/>
          </w:tcPr>
          <w:p w14:paraId="467F0F47">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其他资信证明材料</w:t>
            </w:r>
          </w:p>
          <w:p w14:paraId="47B94CDB">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☐联合体投标的，联合体各方均需按磋商文件第五部分评标标准要求提供资信证明文件，否则视为不符合相关要求。</w:t>
            </w:r>
          </w:p>
          <w:p w14:paraId="4332EEA7">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color w:val="000000" w:themeColor="text1"/>
                <w:kern w:val="28"/>
                <w:sz w:val="24"/>
                <w:szCs w:val="24"/>
                <w:highlight w:val="none"/>
                <w14:textFill>
                  <w14:solidFill>
                    <w14:schemeClr w14:val="tx1"/>
                  </w14:solidFill>
                </w14:textFill>
              </w:rPr>
              <w:t>联合体投标的，联合体牵头方或者联合体成员根据分工按磋商文件第五部分评标标准要求提供资信证明文件的，视为符合了相关要求。</w:t>
            </w:r>
          </w:p>
          <w:p w14:paraId="51CE93CD">
            <w:pPr>
              <w:pStyle w:val="32"/>
              <w:snapToGrid w:val="0"/>
              <w:spacing w:line="400" w:lineRule="exact"/>
              <w:rPr>
                <w:rFonts w:hint="eastAsia"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☐其他规定：</w:t>
            </w:r>
            <w:r>
              <w:rPr>
                <w:rFonts w:hint="eastAsia" w:ascii="仿宋" w:hAnsi="仿宋" w:eastAsia="仿宋" w:cs="仿宋"/>
                <w:color w:val="000000" w:themeColor="text1"/>
                <w:kern w:val="28"/>
                <w:sz w:val="24"/>
                <w:szCs w:val="24"/>
                <w:highlight w:val="none"/>
                <w:u w:val="single"/>
                <w14:textFill>
                  <w14:solidFill>
                    <w14:schemeClr w14:val="tx1"/>
                  </w14:solidFill>
                </w14:textFill>
              </w:rPr>
              <w:t xml:space="preserve">                 </w:t>
            </w:r>
          </w:p>
        </w:tc>
      </w:tr>
      <w:tr w14:paraId="3F9F3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5260B155">
            <w:pPr>
              <w:numPr>
                <w:ilvl w:val="0"/>
                <w:numId w:val="16"/>
              </w:numPr>
              <w:tabs>
                <w:tab w:val="left" w:pos="0"/>
                <w:tab w:val="center" w:pos="368"/>
                <w:tab w:val="clear" w:pos="42"/>
              </w:tabs>
              <w:snapToGrid w:val="0"/>
              <w:spacing w:line="400" w:lineRule="exact"/>
              <w:ind w:left="210" w:right="105" w:rightChars="50" w:firstLine="0"/>
              <w:jc w:val="center"/>
              <w:rPr>
                <w:rFonts w:hint="eastAsia" w:ascii="仿宋" w:hAnsi="仿宋" w:eastAsia="仿宋" w:cs="仿宋"/>
                <w:color w:val="000000" w:themeColor="text1"/>
                <w:sz w:val="24"/>
                <w:highlight w:val="none"/>
                <w14:textFill>
                  <w14:solidFill>
                    <w14:schemeClr w14:val="tx1"/>
                  </w14:solidFill>
                </w14:textFill>
              </w:rPr>
            </w:pPr>
          </w:p>
        </w:tc>
        <w:tc>
          <w:tcPr>
            <w:tcW w:w="2067" w:type="dxa"/>
            <w:vAlign w:val="center"/>
          </w:tcPr>
          <w:p w14:paraId="45ADF125">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特别说明</w:t>
            </w:r>
          </w:p>
        </w:tc>
        <w:tc>
          <w:tcPr>
            <w:tcW w:w="5855" w:type="dxa"/>
            <w:vAlign w:val="center"/>
          </w:tcPr>
          <w:p w14:paraId="1793F97E">
            <w:pPr>
              <w:snapToGrid w:val="0"/>
              <w:spacing w:line="400" w:lineRule="exact"/>
              <w:rPr>
                <w:rFonts w:hint="eastAsia" w:ascii="仿宋" w:hAnsi="仿宋" w:eastAsia="仿宋" w:cs="仿宋"/>
                <w:snapToGrid w:val="0"/>
                <w:color w:val="000000" w:themeColor="text1"/>
                <w:kern w:val="28"/>
                <w:sz w:val="24"/>
                <w:highlight w:val="none"/>
                <w:u w:val="singl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□有，</w:t>
            </w:r>
            <w:r>
              <w:rPr>
                <w:rFonts w:hint="eastAsia" w:ascii="仿宋" w:hAnsi="仿宋" w:eastAsia="仿宋" w:cs="仿宋"/>
                <w:snapToGrid w:val="0"/>
                <w:color w:val="000000" w:themeColor="text1"/>
                <w:kern w:val="28"/>
                <w:sz w:val="24"/>
                <w:highlight w:val="none"/>
                <w:u w:val="single"/>
                <w14:textFill>
                  <w14:solidFill>
                    <w14:schemeClr w14:val="tx1"/>
                  </w14:solidFill>
                </w14:textFill>
              </w:rPr>
              <w:t xml:space="preserve">                    </w:t>
            </w:r>
          </w:p>
          <w:p w14:paraId="7E664ACB">
            <w:pPr>
              <w:snapToGrid w:val="0"/>
              <w:spacing w:line="400" w:lineRule="exact"/>
              <w:rPr>
                <w:rFonts w:hint="eastAsia" w:ascii="仿宋" w:hAnsi="仿宋" w:eastAsia="仿宋" w:cs="仿宋"/>
                <w:snapToGrid w:val="0"/>
                <w:color w:val="000000" w:themeColor="text1"/>
                <w:kern w:val="28"/>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snapToGrid w:val="0"/>
                <w:color w:val="000000" w:themeColor="text1"/>
                <w:kern w:val="28"/>
                <w:sz w:val="24"/>
                <w:highlight w:val="none"/>
                <w14:textFill>
                  <w14:solidFill>
                    <w14:schemeClr w14:val="tx1"/>
                  </w14:solidFill>
                </w14:textFill>
              </w:rPr>
              <w:t>无</w:t>
            </w:r>
            <w:r>
              <w:rPr>
                <w:rFonts w:hint="eastAsia" w:ascii="仿宋" w:hAnsi="仿宋" w:eastAsia="仿宋" w:cs="仿宋"/>
                <w:b/>
                <w:color w:val="000000" w:themeColor="text1"/>
                <w:kern w:val="0"/>
                <w:sz w:val="24"/>
                <w:highlight w:val="none"/>
                <w14:textFill>
                  <w14:solidFill>
                    <w14:schemeClr w14:val="tx1"/>
                  </w14:solidFill>
                </w14:textFill>
              </w:rPr>
              <w:t>。</w:t>
            </w:r>
          </w:p>
        </w:tc>
      </w:tr>
    </w:tbl>
    <w:p w14:paraId="256E03AB">
      <w:pPr>
        <w:rPr>
          <w:rFonts w:hint="eastAsia" w:ascii="仿宋" w:hAnsi="仿宋" w:eastAsia="仿宋" w:cs="仿宋"/>
          <w:color w:val="000000" w:themeColor="text1"/>
          <w:highlight w:val="none"/>
          <w14:textFill>
            <w14:solidFill>
              <w14:schemeClr w14:val="tx1"/>
            </w14:solidFill>
          </w14:textFill>
        </w:rPr>
      </w:pPr>
    </w:p>
    <w:p w14:paraId="4A32062D">
      <w:pPr>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br w:type="page"/>
      </w:r>
    </w:p>
    <w:p w14:paraId="7E32CBA0">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二、总则</w:t>
      </w:r>
    </w:p>
    <w:p w14:paraId="09834833">
      <w:pPr>
        <w:numPr>
          <w:ilvl w:val="0"/>
          <w:numId w:val="19"/>
        </w:numPr>
        <w:snapToGrid w:val="0"/>
        <w:spacing w:line="360" w:lineRule="auto"/>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适用范围</w:t>
      </w:r>
    </w:p>
    <w:p w14:paraId="01AD6598">
      <w:pPr>
        <w:snapToGrid w:val="0"/>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本磋商文件适用于该项目的邀请、响应、开启响应文件、信用信息查询、资格性审查、评审、成交、合同、验收等行为（法律、法规另有规定的，从其规定）。</w:t>
      </w:r>
    </w:p>
    <w:p w14:paraId="7BB22EF5">
      <w:pPr>
        <w:numPr>
          <w:ilvl w:val="0"/>
          <w:numId w:val="19"/>
        </w:numPr>
        <w:snapToGrid w:val="0"/>
        <w:spacing w:line="360" w:lineRule="auto"/>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定义</w:t>
      </w:r>
    </w:p>
    <w:p w14:paraId="7B29131B">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“采购人”系指磋商邀请公告中载明的本项目的采购人。</w:t>
      </w:r>
    </w:p>
    <w:p w14:paraId="0E1912A5">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“采购代理机构”系指磋商邀请公告中载明的本项目的采购代理机构。</w:t>
      </w:r>
    </w:p>
    <w:p w14:paraId="4231ABFB">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“供应商”系指响应磋商、参加本次竞争的法人、其他组织或自然人。</w:t>
      </w:r>
    </w:p>
    <w:p w14:paraId="261EC2BE">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“负责人”系指法人企业的法定负责人，或其他组织为法律、行政法规规定代表单位行使职权的主要负责人，或自然人本人。</w:t>
      </w:r>
    </w:p>
    <w:p w14:paraId="39242A26">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“成交人”系指经评审确定的成交供应商。</w:t>
      </w:r>
    </w:p>
    <w:p w14:paraId="78A366EF">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“响应文件”系指供应商提交的商务技术文件。供应商提交最后报价后，最后报价是供应商响应文件的有效组成部分。</w:t>
      </w:r>
    </w:p>
    <w:p w14:paraId="74F712BB">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“电子交易平台”是指本项目政府采购活动所依托的政府采购云平台（</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"https://www.zcygov.cn/"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snapToGrid/>
          <w:color w:val="000000" w:themeColor="text1"/>
          <w:kern w:val="2"/>
          <w:sz w:val="24"/>
          <w:szCs w:val="24"/>
          <w:highlight w:val="none"/>
          <w14:textFill>
            <w14:solidFill>
              <w14:schemeClr w14:val="tx1"/>
            </w14:solidFill>
          </w14:textFill>
        </w:rPr>
        <w:t>https://www.zcygov.cn/</w:t>
      </w:r>
      <w:r>
        <w:rPr>
          <w:rStyle w:val="68"/>
          <w:rFonts w:hint="eastAsia" w:ascii="仿宋" w:hAnsi="仿宋" w:eastAsia="仿宋" w:cs="仿宋"/>
          <w:snapToGrid/>
          <w:color w:val="000000" w:themeColor="text1"/>
          <w:kern w:val="2"/>
          <w:sz w:val="24"/>
          <w:szCs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w:t>
      </w:r>
    </w:p>
    <w:p w14:paraId="0F5B8002">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子签名”系指数据电文中以电子形式所含、所附用于识别签名人身份并表明签名人认可其中内容的数据；“公章”系指单位法定名称章。因特殊原因需要使用冠以法定名称的业务专用章的，响应时须提供《业务专用章使用说明函》（附件4）。</w:t>
      </w:r>
    </w:p>
    <w:p w14:paraId="774F28E2">
      <w:pPr>
        <w:numPr>
          <w:ilvl w:val="1"/>
          <w:numId w:val="20"/>
        </w:numPr>
        <w:spacing w:line="360" w:lineRule="auto"/>
        <w:ind w:left="10" w:firstLine="38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“书面形式”包括数据电文形式与纸质形式。数据电文形式与纸质形式的采购活动具有同等法律效力。</w:t>
      </w:r>
    </w:p>
    <w:p w14:paraId="62EDE44A">
      <w:pPr>
        <w:numPr>
          <w:ilvl w:val="1"/>
          <w:numId w:val="20"/>
        </w:numPr>
        <w:spacing w:line="360" w:lineRule="auto"/>
        <w:ind w:left="10" w:firstLine="387"/>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 系指实质性要求条款，“※”系指磋商过程中可能实质性变动的内容，“</w:t>
      </w:r>
      <w:sdt>
        <w:sdtPr>
          <w:rPr>
            <w:rFonts w:hint="eastAsia" w:ascii="仿宋" w:hAnsi="仿宋" w:eastAsia="仿宋" w:cs="仿宋"/>
            <w:b/>
            <w:bCs/>
            <w:color w:val="000000" w:themeColor="text1"/>
            <w:kern w:val="0"/>
            <w:sz w:val="24"/>
            <w:highlight w:val="none"/>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仿宋" w:hAnsi="仿宋" w:eastAsia="仿宋" w:cs="仿宋"/>
            <w:b/>
            <w:bCs/>
            <w:color w:val="000000" w:themeColor="text1"/>
            <w:kern w:val="0"/>
            <w:sz w:val="24"/>
            <w:highlight w:val="none"/>
            <w14:textFill>
              <w14:solidFill>
                <w14:schemeClr w14:val="tx1"/>
              </w14:solidFill>
            </w14:textFill>
          </w:rPr>
        </w:sdtEndPr>
        <w:sdtContent>
          <w:r>
            <w:rPr>
              <w:rFonts w:hint="eastAsia" w:ascii="Wingdings" w:hAnsi="Wingdings" w:eastAsia="仿宋" w:cs="仿宋"/>
              <w:b/>
              <w:bCs/>
              <w:color w:val="000000" w:themeColor="text1"/>
              <w:kern w:val="0"/>
              <w:sz w:val="24"/>
              <w:szCs w:val="24"/>
              <w:highlight w:val="none"/>
              <w:lang w:val="en-US" w:eastAsia="zh-CN" w:bidi="ar-SA"/>
              <w14:textFill>
                <w14:solidFill>
                  <w14:schemeClr w14:val="tx1"/>
                </w14:solidFill>
              </w14:textFill>
            </w:rPr>
            <w:t>þ</w:t>
          </w:r>
        </w:sdtContent>
      </w:sdt>
      <w:r>
        <w:rPr>
          <w:rFonts w:hint="eastAsia" w:ascii="仿宋" w:hAnsi="仿宋" w:eastAsia="仿宋" w:cs="仿宋"/>
          <w:b/>
          <w:bCs/>
          <w:color w:val="000000" w:themeColor="text1"/>
          <w:sz w:val="24"/>
          <w:highlight w:val="none"/>
          <w14:textFill>
            <w14:solidFill>
              <w14:schemeClr w14:val="tx1"/>
            </w14:solidFill>
          </w14:textFill>
        </w:rPr>
        <w:t>” 系指适用本项目的要求，“</w:t>
      </w:r>
      <w:sdt>
        <w:sdtPr>
          <w:rPr>
            <w:rFonts w:hint="eastAsia" w:ascii="仿宋" w:hAnsi="仿宋" w:eastAsia="仿宋" w:cs="仿宋"/>
            <w:b/>
            <w:bCs/>
            <w:color w:val="000000" w:themeColor="text1"/>
            <w:kern w:val="0"/>
            <w:sz w:val="24"/>
            <w:highlight w:val="none"/>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仿宋" w:hAnsi="仿宋" w:eastAsia="仿宋" w:cs="仿宋"/>
            <w:b/>
            <w:bCs/>
            <w:color w:val="000000" w:themeColor="text1"/>
            <w:kern w:val="0"/>
            <w:sz w:val="24"/>
            <w:highlight w:val="none"/>
            <w14:textFill>
              <w14:solidFill>
                <w14:schemeClr w14:val="tx1"/>
              </w14:solidFill>
            </w14:textFill>
          </w:rPr>
        </w:sdtEndPr>
        <w:sdtContent>
          <w:r>
            <w:rPr>
              <w:rFonts w:hint="eastAsia" w:ascii="仿宋" w:hAnsi="仿宋" w:eastAsia="仿宋" w:cs="仿宋"/>
              <w:b/>
              <w:bCs/>
              <w:color w:val="000000" w:themeColor="text1"/>
              <w:kern w:val="0"/>
              <w:sz w:val="24"/>
              <w:highlight w:val="none"/>
              <w14:textFill>
                <w14:solidFill>
                  <w14:schemeClr w14:val="tx1"/>
                </w14:solidFill>
              </w14:textFill>
            </w:rPr>
            <w:t>☐</w:t>
          </w:r>
        </w:sdtContent>
      </w:sdt>
      <w:r>
        <w:rPr>
          <w:rFonts w:hint="eastAsia" w:ascii="仿宋" w:hAnsi="仿宋" w:eastAsia="仿宋" w:cs="仿宋"/>
          <w:b/>
          <w:bCs/>
          <w:color w:val="000000" w:themeColor="text1"/>
          <w:sz w:val="24"/>
          <w:highlight w:val="none"/>
          <w14:textFill>
            <w14:solidFill>
              <w14:schemeClr w14:val="tx1"/>
            </w14:solidFill>
          </w14:textFill>
        </w:rPr>
        <w:t>” 系指不适用本项目的要求。</w:t>
      </w:r>
    </w:p>
    <w:p w14:paraId="564AB065">
      <w:pPr>
        <w:numPr>
          <w:ilvl w:val="0"/>
          <w:numId w:val="19"/>
        </w:numPr>
        <w:snapToGrid w:val="0"/>
        <w:spacing w:line="360" w:lineRule="auto"/>
        <w:jc w:val="left"/>
        <w:outlineLvl w:val="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响应有效期</w:t>
      </w:r>
    </w:p>
    <w:p w14:paraId="7E1EB991">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▲3.1响应有效期为从提交响应文件的截止之日起90天。供应商的响应文件中承诺的响应有效期少于磋商文件中载明的磋商有效期的，响应无效。</w:t>
      </w:r>
    </w:p>
    <w:p w14:paraId="28A152A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3.2响应文件合格提交后，自响应截止日期起，在响应有效期内有效。</w:t>
      </w:r>
    </w:p>
    <w:p w14:paraId="530FB12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在原定响应有效期满之前，如果出现特殊情况，采购代理机构可以以书面形式通知供应商延长响应有效期。供应商同意延长的，不得要求或被允许修改其响应文件;供应商拒绝延长的，其响应无效。拒绝延长磋商有效期的供应商不得再参与该项目后续采购活动。</w:t>
      </w:r>
    </w:p>
    <w:p w14:paraId="076420C8">
      <w:pPr>
        <w:numPr>
          <w:ilvl w:val="0"/>
          <w:numId w:val="19"/>
        </w:numPr>
        <w:snapToGrid w:val="0"/>
        <w:spacing w:line="360" w:lineRule="auto"/>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响应费用</w:t>
      </w:r>
    </w:p>
    <w:p w14:paraId="3FFE6D0B">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供应商需自行承担涉及响应的一切费用。</w:t>
      </w:r>
    </w:p>
    <w:p w14:paraId="72BD0C20">
      <w:pPr>
        <w:pStyle w:val="24"/>
        <w:ind w:firstLine="420"/>
        <w:rPr>
          <w:rFonts w:hint="eastAsia" w:ascii="仿宋" w:hAnsi="仿宋" w:eastAsia="仿宋" w:cs="仿宋"/>
          <w:color w:val="000000" w:themeColor="text1"/>
          <w:highlight w:val="none"/>
          <w14:textFill>
            <w14:solidFill>
              <w14:schemeClr w14:val="tx1"/>
            </w14:solidFill>
          </w14:textFill>
        </w:rPr>
      </w:pPr>
    </w:p>
    <w:p w14:paraId="486239FD">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三、需要落实的政府采购政策</w:t>
      </w:r>
    </w:p>
    <w:p w14:paraId="41E7C89A">
      <w:pPr>
        <w:pStyle w:val="393"/>
        <w:spacing w:before="0"/>
        <w:ind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1.是否允许采购进口产品要求</w:t>
      </w:r>
    </w:p>
    <w:p w14:paraId="306F5189">
      <w:pPr>
        <w:pStyle w:val="32"/>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color w:val="000000" w:themeColor="text1"/>
          <w:kern w:val="0"/>
          <w:sz w:val="24"/>
          <w:highlight w:val="none"/>
          <w14:textFill>
            <w14:solidFill>
              <w14:schemeClr w14:val="tx1"/>
            </w14:solidFill>
          </w14:textFill>
        </w:rPr>
        <w:t>优先采购向我国企业转让技术、与我国企业签订消化吸收再创新方案的供应商的进口产品</w:t>
      </w:r>
      <w:r>
        <w:rPr>
          <w:rFonts w:hint="eastAsia" w:ascii="仿宋" w:hAnsi="仿宋" w:eastAsia="仿宋" w:cs="仿宋"/>
          <w:color w:val="000000" w:themeColor="text1"/>
          <w:sz w:val="24"/>
          <w:highlight w:val="none"/>
          <w14:textFill>
            <w14:solidFill>
              <w14:schemeClr w14:val="tx1"/>
            </w14:solidFill>
          </w14:textFill>
        </w:rPr>
        <w:t>。</w:t>
      </w:r>
    </w:p>
    <w:p w14:paraId="4BC46269">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2.支持绿色发展</w:t>
      </w:r>
    </w:p>
    <w:p w14:paraId="4DE6C9F3">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14:paraId="251C6A44">
      <w:pPr>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▲采购人拟采购的产品属于政府强制采购的节能产品品目清单范围的，供应商相应的响应产品未获得国家确定的认证机构出具的、处于有效期之内的节能产品认证证书的，响应无效。</w:t>
      </w:r>
    </w:p>
    <w:p w14:paraId="0983B8F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2.2纳入政府采购管理的修缮、装修类项目采购建材的，鼓励采购单位将绿色建材性能、指标等作为实质性条件纳入采购文件和合同，具体性能指标要求参考相关绿色建材政府采购需求标准。</w:t>
      </w:r>
    </w:p>
    <w:p w14:paraId="22BCEA1B">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3F8384F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 鼓励供应商在参加政府采购过程中开展绿色设计、选择绿色材料、打造绿色制造工艺、开展绿色运输、做好废弃产品回收处理，实现产品全周期的绿色环保。鼓励采购单位对其提高预付款比例、免收履约保证金。</w:t>
      </w:r>
    </w:p>
    <w:p w14:paraId="1B562AC4">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3.支持中小企业发展。</w:t>
      </w:r>
    </w:p>
    <w:p w14:paraId="0EBEBB3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3.1中小企业，是指在中华人民共和国境内依法设立，依据国务院批准的中小企业划分标准确定的中型企业、小型企业和微型企业，但与大企业的负责人为同一人，或者与大企业存在直接控股、管理关系的除外。</w:t>
      </w:r>
    </w:p>
    <w:p w14:paraId="7057359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符合中小企业划分标准的个体工商户，在政府采购活动中视同中小企业。</w:t>
      </w:r>
    </w:p>
    <w:p w14:paraId="7A497EE8">
      <w:pPr>
        <w:widowControl/>
        <w:spacing w:line="360" w:lineRule="auto"/>
        <w:ind w:firstLine="480"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3.2</w:t>
      </w:r>
      <w:r>
        <w:rPr>
          <w:rFonts w:hint="eastAsia" w:ascii="仿宋" w:hAnsi="仿宋" w:eastAsia="仿宋" w:cs="仿宋"/>
          <w:color w:val="000000" w:themeColor="text1"/>
          <w:kern w:val="0"/>
          <w:sz w:val="24"/>
          <w:highlight w:val="none"/>
          <w14:textFill>
            <w14:solidFill>
              <w14:schemeClr w14:val="tx1"/>
            </w14:solidFill>
          </w14:textFill>
        </w:rPr>
        <w:t>在政府采购活动中，服务类项目采购，服务由中小企业承接，即提供服务的人员为中小企业依照《中华人民共和国劳动合同法》订立劳动合同的从业人员，享受中小企业扶持政策。</w:t>
      </w:r>
    </w:p>
    <w:p w14:paraId="4A21800E">
      <w:pPr>
        <w:widowControl/>
        <w:spacing w:line="360" w:lineRule="auto"/>
        <w:ind w:firstLine="480"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14:paraId="61869FA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3.3对于未预留份额专门面向中小企业的政府采购服务项目，以及预留份额政府采购服务项目中的非预留部分标项，对小型和微型企业的最后报价给予</w:t>
      </w:r>
      <w:r>
        <w:rPr>
          <w:rFonts w:hint="eastAsia" w:ascii="仿宋" w:hAnsi="仿宋" w:eastAsia="仿宋" w:cs="仿宋"/>
          <w:b/>
          <w:bCs/>
          <w:color w:val="000000" w:themeColor="text1"/>
          <w:sz w:val="24"/>
          <w:highlight w:val="none"/>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最后报价给予</w:t>
      </w:r>
      <w:r>
        <w:rPr>
          <w:rFonts w:hint="eastAsia" w:ascii="仿宋" w:hAnsi="仿宋" w:eastAsia="仿宋" w:cs="仿宋"/>
          <w:b/>
          <w:bCs/>
          <w:color w:val="000000" w:themeColor="text1"/>
          <w:sz w:val="24"/>
          <w:highlight w:val="none"/>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的扣除，用扣除后的价格参加评审。组成联合体或者接受分包的小微企业与联合体内其他企业、分包企业之间存在直接控股、管理关系的，不享受价格扣除优惠政策。</w:t>
      </w:r>
    </w:p>
    <w:p w14:paraId="17D4917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3.4符合《关于促进残疾人就业政府采购政策的通知》（财库〔2017〕141号）规定的条件并提供《残疾人福利性单位声明函》（附件3）的残疾人福利性单位视同小型、微型企业；</w:t>
      </w:r>
    </w:p>
    <w:p w14:paraId="4840D16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3.5符合《关于政府采购支持监狱企业发展有关问题的通知》（财库[2014]68号）规定的监狱企业并提供由省级以上监狱管理局、戒毒管理局（含新疆生产建设兵团）出具的属于监狱企业证明文件的，视同为小型、微型企业。</w:t>
      </w:r>
    </w:p>
    <w:p w14:paraId="29FC691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3.6可享受中小企业扶持政策的供应商应按照磋商文件格式要求提供《中小企业声明函》，供应商提供的《中小企业声明函》与实际情况不符的，不享受中小企业扶持政策。声明内容不实的，属于提供虚假材料谋取中标、成交的，依法承担法律责任。</w:t>
      </w:r>
    </w:p>
    <w:p w14:paraId="494DFCA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3.7中小企业享受扶持政策获得政府采购合同的，小微企业不得将合同分包给大中型企业，中型企业不得将合同分包给大型企业。</w:t>
      </w:r>
    </w:p>
    <w:p w14:paraId="481CB1A9">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w:t>
      </w:r>
      <w:r>
        <w:rPr>
          <w:rFonts w:hint="eastAsia" w:ascii="仿宋" w:hAnsi="仿宋" w:eastAsia="仿宋" w:cs="仿宋"/>
          <w:b/>
          <w:bCs/>
          <w:color w:val="000000" w:themeColor="text1"/>
          <w:sz w:val="24"/>
          <w:highlight w:val="none"/>
          <w14:textFill>
            <w14:solidFill>
              <w14:schemeClr w14:val="tx1"/>
            </w14:solidFill>
          </w14:textFill>
        </w:rPr>
        <w:t>支持创新发展</w:t>
      </w:r>
    </w:p>
    <w:p w14:paraId="56261DE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 采购人优先采购被认定为首台套产品和“制造精品”的自主创新产品。</w:t>
      </w:r>
    </w:p>
    <w:p w14:paraId="212E48C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03770E28">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5.平等对待内外资企业和符合条件的破产重整企业</w:t>
      </w:r>
    </w:p>
    <w:p w14:paraId="3F381F3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平等对待内外资企业和符合条件的破产重整企业，切实保障企业公平竞争，平等维护企业的合法利益。</w:t>
      </w:r>
    </w:p>
    <w:p w14:paraId="194AF54E">
      <w:pPr>
        <w:pStyle w:val="24"/>
        <w:ind w:firstLine="480"/>
        <w:rPr>
          <w:rFonts w:hint="eastAsia" w:ascii="仿宋" w:hAnsi="仿宋" w:eastAsia="仿宋" w:cs="仿宋"/>
          <w:color w:val="000000" w:themeColor="text1"/>
          <w:sz w:val="24"/>
          <w:highlight w:val="none"/>
          <w14:textFill>
            <w14:solidFill>
              <w14:schemeClr w14:val="tx1"/>
            </w14:solidFill>
          </w14:textFill>
        </w:rPr>
      </w:pPr>
    </w:p>
    <w:p w14:paraId="0232972C">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四、询问、质疑与投诉</w:t>
      </w:r>
    </w:p>
    <w:p w14:paraId="56DD47F9">
      <w:pPr>
        <w:pStyle w:val="32"/>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1.在线询问、质疑、投诉</w:t>
      </w:r>
    </w:p>
    <w:p w14:paraId="0302B7FB">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73B60CF">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2.供应商询问</w:t>
      </w:r>
    </w:p>
    <w:p w14:paraId="0FD9E438">
      <w:pPr>
        <w:autoSpaceDE w:val="0"/>
        <w:autoSpaceDN w:val="0"/>
        <w:spacing w:line="360" w:lineRule="auto"/>
        <w:ind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6F1B9D05">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3.供应商质疑</w:t>
      </w:r>
    </w:p>
    <w:p w14:paraId="37321163">
      <w:pPr>
        <w:pStyle w:val="32"/>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3</w:t>
      </w:r>
      <w:r>
        <w:rPr>
          <w:rFonts w:hint="eastAsia" w:ascii="仿宋" w:hAnsi="仿宋" w:eastAsia="仿宋" w:cs="仿宋"/>
          <w:b/>
          <w:color w:val="000000" w:themeColor="text1"/>
          <w:sz w:val="24"/>
          <w:highlight w:val="none"/>
          <w14:textFill>
            <w14:solidFill>
              <w14:schemeClr w14:val="tx1"/>
            </w14:solidFill>
          </w14:textFill>
        </w:rPr>
        <w:t>.1质疑提出时效</w:t>
      </w:r>
    </w:p>
    <w:p w14:paraId="0F891543">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3.1.1提出质疑的供应商应当是参与所质疑项目采购活动的供应商。潜在供应商已依法获取其可质疑的采购文件的，可以对该文件提出质疑。</w:t>
      </w:r>
    </w:p>
    <w:p w14:paraId="694CD4A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120340AD">
      <w:pPr>
        <w:pStyle w:val="15"/>
        <w:spacing w:line="360" w:lineRule="auto"/>
        <w:ind w:firstLine="434" w:firstLineChars="181"/>
        <w:rPr>
          <w:rFonts w:hint="eastAsia" w:ascii="仿宋" w:hAnsi="仿宋" w:eastAsia="仿宋" w:cs="仿宋"/>
          <w:snapToGrid/>
          <w:color w:val="000000" w:themeColor="text1"/>
          <w:kern w:val="2"/>
          <w:sz w:val="24"/>
          <w:highlight w:val="none"/>
          <w14:textFill>
            <w14:solidFill>
              <w14:schemeClr w14:val="tx1"/>
            </w14:solidFill>
          </w14:textFill>
        </w:rPr>
      </w:pPr>
      <w:r>
        <w:rPr>
          <w:rFonts w:hint="eastAsia" w:ascii="仿宋" w:hAnsi="仿宋" w:eastAsia="仿宋" w:cs="仿宋"/>
          <w:snapToGrid/>
          <w:color w:val="000000" w:themeColor="text1"/>
          <w:kern w:val="2"/>
          <w:sz w:val="24"/>
          <w:highlight w:val="none"/>
          <w14:textFill>
            <w14:solidFill>
              <w14:schemeClr w14:val="tx1"/>
            </w14:solidFill>
          </w14:textFill>
        </w:rPr>
        <w:t>3.1.2.1对采购文件提出质疑的，质疑期限为供应商获得采购文件之日或者采购文件公告期限届满之日起计算，采购文件在获取截止之日后获得的，应当自采购文件公告期限届满之日起计算。</w:t>
      </w:r>
    </w:p>
    <w:p w14:paraId="1599F9C3">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3.1.2.2对采购过程提出质疑的，质疑期限为各采购程序环节结束之日起计算。</w:t>
      </w:r>
    </w:p>
    <w:p w14:paraId="5A87237F">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3.1.2.3对采购结果提出质疑的，质疑期限自采购结果公告期限届满之日起计算。</w:t>
      </w:r>
    </w:p>
    <w:p w14:paraId="2F360DDE">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3.1.2.4对同一采购程序环节的质疑，供应商须一次性提出。</w:t>
      </w:r>
    </w:p>
    <w:p w14:paraId="1B1B3FA1">
      <w:pPr>
        <w:pStyle w:val="32"/>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3.2质疑答复</w:t>
      </w:r>
    </w:p>
    <w:p w14:paraId="427D61F5">
      <w:pPr>
        <w:widowControl/>
        <w:spacing w:line="360" w:lineRule="auto"/>
        <w:ind w:firstLine="480" w:firstLineChars="2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3.2.1采购人或者采购代理机构应当在收到供应商的书面质疑后七个工作日内作出答复，并以书面形式通知质疑供应商和其他与质疑处理结果有利害关系的政府采购当事人，但答复的内容不得涉及商业秘密。</w:t>
      </w:r>
    </w:p>
    <w:p w14:paraId="23123D1B">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浙江省财政厅关于进一步促进政府采购公平竞争打造最优营商环境的通知》（浙财采监（2021）22号）,采购人或者采购代理机构在质疑回复后5个工作日内，在浙江政府采购网的“其他公告”栏目公开质疑答复，答复内容应当完整。质疑函作为附件上传。</w:t>
      </w:r>
    </w:p>
    <w:p w14:paraId="52FF27C2">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3.2.3询问或者质疑事项可能影响采购结果的，采购人应当暂停签订合同，已经签订合同的，应当中止履行合同。</w:t>
      </w:r>
    </w:p>
    <w:p w14:paraId="12245436">
      <w:pPr>
        <w:pStyle w:val="32"/>
        <w:spacing w:line="360" w:lineRule="auto"/>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3.3质疑函</w:t>
      </w:r>
    </w:p>
    <w:p w14:paraId="25315805">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3.3.1供应商提出质疑应当提交质疑函和必要的证明材料。质疑函应当包括下列内容：</w:t>
      </w:r>
    </w:p>
    <w:p w14:paraId="1C4BF8F6">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供应商的姓名或者名称、地址、邮编、联系人及联系电话；</w:t>
      </w:r>
    </w:p>
    <w:p w14:paraId="2E64DA03">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质疑项目的名称、编号；</w:t>
      </w:r>
    </w:p>
    <w:p w14:paraId="12BCB135">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具体、明确的质疑事项和与质疑事项相关的请求；</w:t>
      </w:r>
    </w:p>
    <w:p w14:paraId="40F42E43">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事实依据；</w:t>
      </w:r>
    </w:p>
    <w:p w14:paraId="70C5248E">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必要的法律依据；</w:t>
      </w:r>
    </w:p>
    <w:p w14:paraId="4556116B">
      <w:pPr>
        <w:pStyle w:val="32"/>
        <w:numPr>
          <w:ilvl w:val="0"/>
          <w:numId w:val="21"/>
        </w:numPr>
        <w:tabs>
          <w:tab w:val="left" w:pos="426"/>
        </w:tabs>
        <w:spacing w:line="360" w:lineRule="auto"/>
        <w:ind w:hanging="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提出质疑的日期。</w:t>
      </w:r>
    </w:p>
    <w:p w14:paraId="662922B9">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4138C2D7">
      <w:pPr>
        <w:pStyle w:val="32"/>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质疑函范本及制作说明详见附件1。</w:t>
      </w:r>
    </w:p>
    <w:p w14:paraId="7FCB789D">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4.供应商投诉</w:t>
      </w:r>
    </w:p>
    <w:p w14:paraId="4074D17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4.1质疑供应商对采购人、采购代理机构的答复不满意或者采购人、采购代理机构未在规定的时间内作出答复的，可以在答复期满后十五个工作日内向同级政府采购监督管理部门提出投诉。</w:t>
      </w:r>
    </w:p>
    <w:p w14:paraId="78043B1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4.2供应商投诉的事项不得超出已质疑事项的范围，基于质疑答复内容提出的投诉事项除外。</w:t>
      </w:r>
    </w:p>
    <w:p w14:paraId="0D808887">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4.3供应商投诉应当有明确的请求和必要的证明材料。</w:t>
      </w:r>
    </w:p>
    <w:p w14:paraId="7E12CBD1">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4.4以联合体形式参加政府采购活动的，其投诉应当由组成联合体的所有供应商共同提出。</w:t>
      </w:r>
    </w:p>
    <w:p w14:paraId="4CF9A7EA">
      <w:pPr>
        <w:pStyle w:val="32"/>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4.5浙江省本级、杭州市本级、拱墅区、富阳区政府采购项目投诉材料可寄送浙江省政府采购行政裁决服务中心（杭州），地址：杭州市上城区清泰街549号城建综合大楼11楼，收件人：朱女士/王女士，电话：0571-87227671,0571-87800218。</w:t>
      </w:r>
    </w:p>
    <w:p w14:paraId="10D9A77C">
      <w:pPr>
        <w:pStyle w:val="32"/>
        <w:spacing w:line="360" w:lineRule="auto"/>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投诉书范本及制作说明详见附件2。</w:t>
      </w:r>
    </w:p>
    <w:p w14:paraId="4EC220C9">
      <w:pPr>
        <w:pStyle w:val="616"/>
        <w:shd w:val="clear" w:color="auto" w:fill="FFFFFF"/>
        <w:adjustRightInd w:val="0"/>
        <w:snapToGrid w:val="0"/>
        <w:spacing w:before="0" w:beforeAutospacing="0" w:after="0" w:afterAutospacing="0" w:line="360" w:lineRule="auto"/>
        <w:ind w:firstLine="480" w:firstLineChars="200"/>
        <w:contextualSpacing/>
        <w:rPr>
          <w:rFonts w:hint="eastAsia" w:ascii="仿宋" w:hAnsi="仿宋" w:eastAsia="仿宋" w:cs="仿宋"/>
          <w:color w:val="000000" w:themeColor="text1"/>
          <w:highlight w:val="none"/>
          <w14:textFill>
            <w14:solidFill>
              <w14:schemeClr w14:val="tx1"/>
            </w14:solidFill>
          </w14:textFill>
        </w:rPr>
      </w:pPr>
    </w:p>
    <w:p w14:paraId="5DE8F605">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五、磋商文件的构成、修改、解释</w:t>
      </w:r>
    </w:p>
    <w:p w14:paraId="7D5E807A">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1.磋商文件的构成</w:t>
      </w:r>
    </w:p>
    <w:p w14:paraId="1D103BCB">
      <w:pPr>
        <w:pStyle w:val="32"/>
        <w:spacing w:line="360" w:lineRule="auto"/>
        <w:ind w:left="397"/>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1.1磋商文件包括下列文件及附件</w:t>
      </w:r>
    </w:p>
    <w:p w14:paraId="1B6D6FB9">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供应商邀请</w:t>
      </w:r>
    </w:p>
    <w:p w14:paraId="443D292B">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竞争性磋商流程</w:t>
      </w:r>
    </w:p>
    <w:p w14:paraId="53D55F2D">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供应商须知</w:t>
      </w:r>
    </w:p>
    <w:p w14:paraId="26B82C74">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采购需求</w:t>
      </w:r>
    </w:p>
    <w:p w14:paraId="03B0C4B9">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评审方法及评审标准</w:t>
      </w:r>
    </w:p>
    <w:p w14:paraId="580BE8A1">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拟签订的合同文本</w:t>
      </w:r>
    </w:p>
    <w:p w14:paraId="19F59F06">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应提交的有关格式范例</w:t>
      </w:r>
    </w:p>
    <w:p w14:paraId="0382FC10">
      <w:pPr>
        <w:pStyle w:val="32"/>
        <w:numPr>
          <w:ilvl w:val="0"/>
          <w:numId w:val="22"/>
        </w:numPr>
        <w:spacing w:line="360" w:lineRule="auto"/>
        <w:ind w:left="8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最后报价格式</w:t>
      </w:r>
    </w:p>
    <w:p w14:paraId="7E5C7EE4">
      <w:pPr>
        <w:pStyle w:val="32"/>
        <w:numPr>
          <w:ilvl w:val="255"/>
          <w:numId w:val="0"/>
        </w:numPr>
        <w:spacing w:line="360" w:lineRule="auto"/>
        <w:ind w:left="397"/>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1.2与本项目有关的澄清或者修改的内容为磋商文件的组成部分。</w:t>
      </w:r>
    </w:p>
    <w:p w14:paraId="5C0735CB">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2.磋商文件的澄清、修改</w:t>
      </w:r>
    </w:p>
    <w:p w14:paraId="24E0B4FF">
      <w:pPr>
        <w:pStyle w:val="393"/>
        <w:snapToGrid w:val="0"/>
        <w:spacing w:before="0"/>
        <w:ind w:left="17" w:firstLine="379" w:firstLineChars="158"/>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2.1已获取磋商文件的潜在供应商，若有问题需要澄清，应于提交首次响应文件截止时间前，以书面形式向采购代理机构提出。</w:t>
      </w:r>
    </w:p>
    <w:p w14:paraId="1A803E82">
      <w:pPr>
        <w:pStyle w:val="393"/>
        <w:snapToGrid w:val="0"/>
        <w:spacing w:before="0"/>
        <w:ind w:left="17" w:firstLine="379" w:firstLineChars="158"/>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14:paraId="381DCAD5">
      <w:pPr>
        <w:pStyle w:val="393"/>
        <w:snapToGrid w:val="0"/>
        <w:spacing w:before="0"/>
        <w:ind w:left="17" w:firstLine="379" w:firstLineChars="158"/>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14:paraId="3A6222D4">
      <w:pPr>
        <w:pStyle w:val="393"/>
        <w:snapToGrid w:val="0"/>
        <w:spacing w:before="0"/>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w:t>
      </w:r>
      <w:r>
        <w:rPr>
          <w:rFonts w:hint="eastAsia" w:ascii="仿宋" w:hAnsi="仿宋" w:eastAsia="仿宋" w:cs="仿宋"/>
          <w:b/>
          <w:color w:val="000000" w:themeColor="text1"/>
          <w:szCs w:val="21"/>
          <w:highlight w:val="none"/>
          <w14:textFill>
            <w14:solidFill>
              <w14:schemeClr w14:val="tx1"/>
            </w14:solidFill>
          </w14:textFill>
        </w:rPr>
        <w:t>响应文件未按磋商文件的澄清、修改的内容编制，又不符合实质性要求的，响应无效。</w:t>
      </w:r>
    </w:p>
    <w:p w14:paraId="23609E7F">
      <w:pPr>
        <w:pStyle w:val="22"/>
        <w:rPr>
          <w:rFonts w:hint="eastAsia" w:ascii="仿宋" w:hAnsi="仿宋" w:eastAsia="仿宋" w:cs="仿宋"/>
          <w:color w:val="000000" w:themeColor="text1"/>
          <w:sz w:val="18"/>
          <w:szCs w:val="18"/>
          <w:highlight w:val="none"/>
          <w:lang w:val="en-US"/>
          <w14:textFill>
            <w14:solidFill>
              <w14:schemeClr w14:val="tx1"/>
            </w14:solidFill>
          </w14:textFill>
        </w:rPr>
      </w:pPr>
      <w:r>
        <w:rPr>
          <w:rFonts w:hint="eastAsia" w:ascii="仿宋" w:hAnsi="仿宋" w:eastAsia="仿宋" w:cs="仿宋"/>
          <w:color w:val="000000" w:themeColor="text1"/>
          <w:szCs w:val="24"/>
          <w:highlight w:val="none"/>
          <w:lang w:val="en-US"/>
          <w14:textFill>
            <w14:solidFill>
              <w14:schemeClr w14:val="tx1"/>
            </w14:solidFill>
          </w14:textFill>
        </w:rPr>
        <w:t xml:space="preserve">    </w:t>
      </w:r>
    </w:p>
    <w:p w14:paraId="0F3BF47A">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六、响应文件的编制</w:t>
      </w:r>
    </w:p>
    <w:p w14:paraId="53B032A7">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1.响应文件的语言</w:t>
      </w:r>
    </w:p>
    <w:p w14:paraId="3F53E6C5">
      <w:pPr>
        <w:pStyle w:val="32"/>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响应文件及供应商与采购有关的来往通知、函件和文件均应使用中文。</w:t>
      </w:r>
    </w:p>
    <w:p w14:paraId="3559CDE1">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2.响应文件的组成</w:t>
      </w:r>
    </w:p>
    <w:p w14:paraId="71E5EF15">
      <w:pPr>
        <w:pStyle w:val="32"/>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响应文件应当包括以下主要内容：</w:t>
      </w:r>
    </w:p>
    <w:p w14:paraId="54E872F3">
      <w:pPr>
        <w:numPr>
          <w:ilvl w:val="1"/>
          <w:numId w:val="23"/>
        </w:numPr>
        <w:snapToGrid w:val="0"/>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资格文件：</w:t>
      </w:r>
    </w:p>
    <w:p w14:paraId="0F089453">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符合参加政府采购活动应当具备的一般条件的承诺函；</w:t>
      </w:r>
    </w:p>
    <w:p w14:paraId="07ED92EE">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联合协议（如果有）；</w:t>
      </w:r>
    </w:p>
    <w:p w14:paraId="1CA2DD74">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落实政府采购政策需满足的资格要求；</w:t>
      </w:r>
    </w:p>
    <w:p w14:paraId="03D351EF">
      <w:pPr>
        <w:numPr>
          <w:ilvl w:val="0"/>
          <w:numId w:val="24"/>
        </w:numPr>
        <w:snapToGrid w:val="0"/>
        <w:spacing w:line="360" w:lineRule="auto"/>
        <w:ind w:left="1508" w:hanging="70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本项目的特定资格要求（如果有）。</w:t>
      </w:r>
    </w:p>
    <w:p w14:paraId="53947BB3">
      <w:pPr>
        <w:numPr>
          <w:ilvl w:val="1"/>
          <w:numId w:val="23"/>
        </w:numPr>
        <w:snapToGrid w:val="0"/>
        <w:spacing w:line="360" w:lineRule="auto"/>
        <w:rPr>
          <w:rFonts w:hint="eastAsia" w:ascii="仿宋" w:hAnsi="仿宋" w:eastAsia="仿宋" w:cs="仿宋"/>
          <w:b/>
          <w:color w:val="000000" w:themeColor="text1"/>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商务技术</w:t>
      </w:r>
      <w:r>
        <w:rPr>
          <w:rFonts w:hint="eastAsia" w:ascii="仿宋" w:hAnsi="仿宋" w:eastAsia="仿宋" w:cs="仿宋"/>
          <w:b/>
          <w:color w:val="000000" w:themeColor="text1"/>
          <w:sz w:val="24"/>
          <w:highlight w:val="none"/>
          <w:lang w:val="zh-CN"/>
          <w14:textFill>
            <w14:solidFill>
              <w14:schemeClr w14:val="tx1"/>
            </w14:solidFill>
          </w14:textFill>
        </w:rPr>
        <w:t>文件：</w:t>
      </w:r>
    </w:p>
    <w:p w14:paraId="26C558A6">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w:t>
      </w:r>
      <w:r>
        <w:rPr>
          <w:rFonts w:hint="eastAsia" w:ascii="仿宋" w:hAnsi="仿宋" w:eastAsia="仿宋" w:cs="仿宋"/>
          <w:color w:val="000000" w:themeColor="text1"/>
          <w:sz w:val="24"/>
          <w:highlight w:val="none"/>
          <w:lang w:val="zh-CN"/>
          <w14:textFill>
            <w14:solidFill>
              <w14:schemeClr w14:val="tx1"/>
            </w14:solidFill>
          </w14:textFill>
        </w:rPr>
        <w:t xml:space="preserve"> </w:t>
      </w:r>
    </w:p>
    <w:p w14:paraId="29ED4025">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授权委托书或法定代表人（单位负责人、自然人本人）身份证明；</w:t>
      </w:r>
    </w:p>
    <w:p w14:paraId="2E25EA33">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分包意向协议；</w:t>
      </w:r>
      <w:r>
        <w:rPr>
          <w:rFonts w:hint="eastAsia" w:ascii="仿宋" w:hAnsi="仿宋" w:eastAsia="仿宋" w:cs="仿宋"/>
          <w:bCs/>
          <w:color w:val="000000" w:themeColor="text1"/>
          <w:sz w:val="24"/>
          <w:highlight w:val="none"/>
          <w14:textFill>
            <w14:solidFill>
              <w14:schemeClr w14:val="tx1"/>
            </w14:solidFill>
          </w14:textFill>
        </w:rPr>
        <w:t>（如果有）</w:t>
      </w:r>
    </w:p>
    <w:p w14:paraId="591F4542">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符合性审查资料；</w:t>
      </w:r>
    </w:p>
    <w:p w14:paraId="1050ECCE">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评标标准相应的商务技术资料；</w:t>
      </w:r>
    </w:p>
    <w:p w14:paraId="3DD20013">
      <w:pPr>
        <w:numPr>
          <w:ilvl w:val="0"/>
          <w:numId w:val="25"/>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商务技术偏离表；</w:t>
      </w:r>
    </w:p>
    <w:p w14:paraId="0B9FC7C2">
      <w:pPr>
        <w:numPr>
          <w:ilvl w:val="0"/>
          <w:numId w:val="25"/>
        </w:numPr>
        <w:snapToGrid w:val="0"/>
        <w:spacing w:line="360" w:lineRule="auto"/>
        <w:ind w:firstLine="215"/>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政府采购供应商廉洁自律承诺书。</w:t>
      </w:r>
    </w:p>
    <w:p w14:paraId="24019CD7">
      <w:pPr>
        <w:numPr>
          <w:ilvl w:val="1"/>
          <w:numId w:val="23"/>
        </w:numPr>
        <w:snapToGrid w:val="0"/>
        <w:spacing w:line="360" w:lineRule="auto"/>
        <w:rPr>
          <w:rFonts w:hint="eastAsia" w:ascii="仿宋" w:hAnsi="仿宋" w:eastAsia="仿宋" w:cs="仿宋"/>
          <w:b/>
          <w:color w:val="000000" w:themeColor="text1"/>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lang w:val="zh-CN"/>
          <w14:textFill>
            <w14:solidFill>
              <w14:schemeClr w14:val="tx1"/>
            </w14:solidFill>
          </w14:textFill>
        </w:rPr>
        <w:t xml:space="preserve">报价文件： </w:t>
      </w:r>
    </w:p>
    <w:p w14:paraId="71A22C07">
      <w:pPr>
        <w:numPr>
          <w:ilvl w:val="0"/>
          <w:numId w:val="26"/>
        </w:numPr>
        <w:snapToGrid w:val="0"/>
        <w:spacing w:line="360" w:lineRule="auto"/>
        <w:ind w:firstLine="21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初始报价一览表；</w:t>
      </w:r>
    </w:p>
    <w:p w14:paraId="6F00082B">
      <w:pPr>
        <w:spacing w:line="360" w:lineRule="auto"/>
        <w:ind w:firstLine="42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响应文件含有采购人不能接受的附加条件的，磋商无效；</w:t>
      </w:r>
    </w:p>
    <w:p w14:paraId="507D7DEF">
      <w:pPr>
        <w:spacing w:line="360" w:lineRule="auto"/>
        <w:ind w:firstLine="42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供应商提供虚假材料响应的，磋商无效。</w:t>
      </w:r>
    </w:p>
    <w:p w14:paraId="75832CC8">
      <w:pPr>
        <w:pStyle w:val="22"/>
        <w:rPr>
          <w:rFonts w:hint="eastAsia" w:ascii="仿宋" w:hAnsi="仿宋" w:eastAsia="仿宋" w:cs="仿宋"/>
          <w:color w:val="000000" w:themeColor="text1"/>
          <w:highlight w:val="none"/>
          <w14:textFill>
            <w14:solidFill>
              <w14:schemeClr w14:val="tx1"/>
            </w14:solidFill>
          </w14:textFill>
        </w:rPr>
      </w:pPr>
    </w:p>
    <w:p w14:paraId="2F388422">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3.响应文件的编制和签署</w:t>
      </w:r>
    </w:p>
    <w:p w14:paraId="5034F324">
      <w:pPr>
        <w:spacing w:line="360" w:lineRule="auto"/>
        <w:ind w:firstLine="420" w:firstLineChars="175"/>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3.1</w:t>
      </w:r>
      <w:r>
        <w:rPr>
          <w:rFonts w:hint="eastAsia" w:ascii="仿宋" w:hAnsi="仿宋" w:eastAsia="仿宋" w:cs="仿宋"/>
          <w:color w:val="000000" w:themeColor="text1"/>
          <w:kern w:val="0"/>
          <w:sz w:val="24"/>
          <w:highlight w:val="none"/>
          <w:lang w:val="zh-CN"/>
          <w14:textFill>
            <w14:solidFill>
              <w14:schemeClr w14:val="tx1"/>
            </w14:solidFill>
          </w14:textFill>
        </w:rPr>
        <w:t>响应文件分为资格文件、商务技术文件、报价文件三部分。各供应商在编制响应文件时请按照磋商文件第七部分规定的格式进行，混乱的编排导致响应文件被误读或磋商小组查找不到有效文件是供应商的风险。</w:t>
      </w:r>
    </w:p>
    <w:p w14:paraId="79B1989F">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3.2</w:t>
      </w:r>
      <w:r>
        <w:rPr>
          <w:rFonts w:hint="eastAsia" w:ascii="仿宋" w:hAnsi="仿宋" w:eastAsia="仿宋" w:cs="仿宋"/>
          <w:color w:val="000000" w:themeColor="text1"/>
          <w:kern w:val="0"/>
          <w:sz w:val="24"/>
          <w:highlight w:val="none"/>
          <w:lang w:val="zh-CN"/>
          <w14:textFill>
            <w14:solidFill>
              <w14:schemeClr w14:val="tx1"/>
            </w14:solidFill>
          </w14:textFill>
        </w:rPr>
        <w:t>供应商进行电子交易应安装客户端软件—“政采云电子交易客户端”，并按照磋商文件和电子交易平台的要求编制并加密响应文件。供应商未按规定加密的响应文件，电子交易平台将拒收并提示。</w:t>
      </w:r>
    </w:p>
    <w:p w14:paraId="43380D57">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3.3</w:t>
      </w:r>
      <w:r>
        <w:rPr>
          <w:rFonts w:hint="eastAsia" w:ascii="仿宋" w:hAnsi="仿宋" w:eastAsia="仿宋" w:cs="仿宋"/>
          <w:color w:val="000000" w:themeColor="text1"/>
          <w:kern w:val="0"/>
          <w:sz w:val="24"/>
          <w:highlight w:val="none"/>
          <w:lang w:val="zh-CN"/>
          <w14:textFill>
            <w14:solidFill>
              <w14:schemeClr w14:val="tx1"/>
            </w14:solidFill>
          </w14:textFill>
        </w:rPr>
        <w:t>使用“政采云电子交易客户端”需要提前申领CA数字证书，申领流程请自行前往“浙江政府采购网-下载专区-电子交易客户端-CA驱动和申领流程”进行查阅。</w:t>
      </w:r>
    </w:p>
    <w:p w14:paraId="063B3DB0">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3.4响应文件按照磋商文件第七部分格式要求进行签署、盖章。▲供应商的响应文件未按照磋商文件要求签署、盖章的，其响应无效。</w:t>
      </w:r>
    </w:p>
    <w:p w14:paraId="59A5E763">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3.5为确保网上操作合法、有效和安全，供应商应当在响应截止时间前完成在“政府采购云平台”的身份认证，确保在电子交易过程中能够对相关数据电文进行加密和使用电子签名。</w:t>
      </w:r>
    </w:p>
    <w:p w14:paraId="06D3444D">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3.6磋商文件对响应文件签署、盖章的要求适用于电子签名。</w:t>
      </w:r>
    </w:p>
    <w:p w14:paraId="15BD6BB2">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p>
    <w:p w14:paraId="60187611">
      <w:pPr>
        <w:adjustRightInd/>
        <w:spacing w:line="360" w:lineRule="auto"/>
        <w:jc w:val="center"/>
        <w:outlineLvl w:val="0"/>
        <w:rPr>
          <w:rFonts w:hint="eastAsia" w:ascii="仿宋" w:hAnsi="仿宋" w:eastAsia="仿宋" w:cs="仿宋"/>
          <w:b/>
          <w:color w:val="000000" w:themeColor="text1"/>
          <w:sz w:val="32"/>
          <w:szCs w:val="20"/>
          <w:highlight w:val="none"/>
          <w:lang w:val="zh-CN"/>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七、响应文件的提交和备份</w:t>
      </w:r>
    </w:p>
    <w:p w14:paraId="3A96FCC5">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1.响应文件的提交、补充、修改、撤回</w:t>
      </w:r>
    </w:p>
    <w:p w14:paraId="561FC730">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14:paraId="25BE06C9">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 在响应截止时间以后，不能补充、修改响应文件。</w:t>
      </w:r>
    </w:p>
    <w:p w14:paraId="14B87EF9">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 在提交“最后报价”后，供应商不能退出磋商。</w:t>
      </w:r>
    </w:p>
    <w:p w14:paraId="6BFC0C63">
      <w:pPr>
        <w:spacing w:line="360" w:lineRule="auto"/>
        <w:ind w:firstLine="420" w:firstLineChars="17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1.4 电子交易平台收到响应文件，将妥善保存并即时向供应商发出确认回执通知。在响应截止时间前，除供应商补充、修改或者撤回响应文件外，任何单位和个人不得解密或提取响应文件。</w:t>
      </w:r>
    </w:p>
    <w:p w14:paraId="17E4806B">
      <w:pPr>
        <w:spacing w:line="360" w:lineRule="auto"/>
        <w:ind w:firstLine="420" w:firstLineChars="175"/>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1.5 采购代理机构可以视情况延长提交响应文件的截止时间。在上述情况下，采购代理机构与供应商以前在响应截止期方面的全部权利、责任和义务，将适用于延长至新的响应截止期</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1AFBB55E">
      <w:pPr>
        <w:pStyle w:val="393"/>
        <w:spacing w:before="0"/>
        <w:ind w:left="397" w:firstLine="0" w:firstLineChars="0"/>
        <w:rPr>
          <w:rFonts w:hint="eastAsia" w:ascii="仿宋" w:hAnsi="仿宋" w:eastAsia="仿宋" w:cs="仿宋"/>
          <w:color w:val="000000" w:themeColor="text1"/>
          <w:szCs w:val="24"/>
          <w:highlight w:val="none"/>
          <w14:textFill>
            <w14:solidFill>
              <w14:schemeClr w14:val="tx1"/>
            </w14:solidFill>
          </w14:textFill>
        </w:rPr>
      </w:pPr>
    </w:p>
    <w:p w14:paraId="1655FC32">
      <w:pPr>
        <w:snapToGrid w:val="0"/>
        <w:spacing w:line="360" w:lineRule="auto"/>
        <w:ind w:left="26"/>
        <w:jc w:val="left"/>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2.备份响应文件</w:t>
      </w:r>
    </w:p>
    <w:p w14:paraId="4BBB0546">
      <w:pPr>
        <w:pStyle w:val="32"/>
        <w:spacing w:line="360" w:lineRule="auto"/>
        <w:ind w:left="17" w:firstLine="379" w:firstLineChars="158"/>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2.1供应商在电子交易平台传输提交响应文件后，还可以在响应截止时间前直接提交或者以邮政快递方式递交备份响应文件1份，</w:t>
      </w:r>
      <w:r>
        <w:rPr>
          <w:rFonts w:hint="eastAsia" w:ascii="仿宋" w:hAnsi="仿宋" w:eastAsia="仿宋" w:cs="仿宋"/>
          <w:b/>
          <w:bCs/>
          <w:color w:val="000000" w:themeColor="text1"/>
          <w:sz w:val="24"/>
          <w:szCs w:val="24"/>
          <w:highlight w:val="none"/>
          <w14:textFill>
            <w14:solidFill>
              <w14:schemeClr w14:val="tx1"/>
            </w14:solidFill>
          </w14:textFill>
        </w:rPr>
        <w:t>但采购人、采购代理机构不强制或变相强制供应商提交备份响应文件。</w:t>
      </w:r>
    </w:p>
    <w:p w14:paraId="5087AF8D">
      <w:pPr>
        <w:pStyle w:val="32"/>
        <w:spacing w:line="360" w:lineRule="auto"/>
        <w:ind w:left="17" w:firstLine="379" w:firstLineChars="158"/>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2.2备份响应文件须在“政采云投标客户端”制作生成，并储存在DVD光盘或U盘中。备份响应文件应当密封包装并在包装上加盖公章并注明响应项目名称，供应商名称(联合体响应的，包装物封面需注明联合体响应，并注明联合体成员各方的名称和联合体协议中约定的牵头人的名称)。</w:t>
      </w:r>
    </w:p>
    <w:p w14:paraId="66FD4695">
      <w:pPr>
        <w:pStyle w:val="32"/>
        <w:spacing w:line="360" w:lineRule="auto"/>
        <w:ind w:left="17" w:firstLine="381" w:firstLineChars="158"/>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不符合上述制作、</w:t>
      </w:r>
      <w:r>
        <w:rPr>
          <w:rFonts w:hint="eastAsia" w:ascii="仿宋" w:hAnsi="仿宋" w:eastAsia="仿宋" w:cs="仿宋"/>
          <w:b/>
          <w:bCs/>
          <w:color w:val="000000" w:themeColor="text1"/>
          <w:sz w:val="24"/>
          <w:szCs w:val="24"/>
          <w:highlight w:val="none"/>
          <w14:textFill>
            <w14:solidFill>
              <w14:schemeClr w14:val="tx1"/>
            </w14:solidFill>
          </w14:textFill>
        </w:rPr>
        <w:t>存储、密封规定的备份响应文件将被视为无效或者被拒绝接收。</w:t>
      </w:r>
    </w:p>
    <w:p w14:paraId="3E52B1DC">
      <w:pPr>
        <w:pStyle w:val="32"/>
        <w:spacing w:line="360" w:lineRule="auto"/>
        <w:ind w:left="17" w:firstLine="379" w:firstLineChars="158"/>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2.3直接提交备份响应文件的，供应商应于响应截止时间前在磋商公告中载明的开启响应文件的地点将备份响应文件提交给采购代理机构，采购代理机构将拒绝接受逾期送达的备份响应文件。</w:t>
      </w:r>
    </w:p>
    <w:p w14:paraId="519885B1">
      <w:pPr>
        <w:pStyle w:val="32"/>
        <w:spacing w:line="360" w:lineRule="auto"/>
        <w:ind w:left="17" w:firstLine="379" w:firstLineChars="158"/>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以邮政快递方式递交备份响应文件的，供应商应先将备份响应文件按要求密封和标记，再进行邮政快递包装后邮寄。备份响应文件须在提交响应文件截止时间之前送达磋商文件第三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14:paraId="73AA5D6A">
      <w:pPr>
        <w:pStyle w:val="32"/>
        <w:spacing w:line="360" w:lineRule="auto"/>
        <w:ind w:left="17" w:firstLine="381" w:firstLineChars="158"/>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2.5▲供应商仅提交备份响应文件，未在电子交易平台传输提交响应文件的，响应无效。</w:t>
      </w:r>
    </w:p>
    <w:p w14:paraId="3F053F79">
      <w:pPr>
        <w:pStyle w:val="32"/>
        <w:spacing w:line="360" w:lineRule="auto"/>
        <w:ind w:left="397"/>
        <w:rPr>
          <w:rFonts w:hint="eastAsia" w:ascii="仿宋" w:hAnsi="仿宋" w:eastAsia="仿宋" w:cs="仿宋"/>
          <w:color w:val="000000" w:themeColor="text1"/>
          <w:sz w:val="24"/>
          <w:szCs w:val="24"/>
          <w:highlight w:val="none"/>
          <w14:textFill>
            <w14:solidFill>
              <w14:schemeClr w14:val="tx1"/>
            </w14:solidFill>
          </w14:textFill>
        </w:rPr>
      </w:pPr>
    </w:p>
    <w:p w14:paraId="10AB3DDC">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八、</w:t>
      </w:r>
      <w:r>
        <w:rPr>
          <w:rFonts w:hint="eastAsia" w:ascii="仿宋" w:hAnsi="仿宋" w:eastAsia="仿宋" w:cs="仿宋"/>
          <w:b/>
          <w:color w:val="000000" w:themeColor="text1"/>
          <w:sz w:val="32"/>
          <w:szCs w:val="32"/>
          <w:highlight w:val="none"/>
          <w14:textFill>
            <w14:solidFill>
              <w14:schemeClr w14:val="tx1"/>
            </w14:solidFill>
          </w14:textFill>
        </w:rPr>
        <w:t>开启响应文件与信用信息查询</w:t>
      </w:r>
    </w:p>
    <w:p w14:paraId="6F10DC56">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1. 开启响应文件</w:t>
      </w:r>
    </w:p>
    <w:p w14:paraId="375A581D">
      <w:pPr>
        <w:pStyle w:val="32"/>
        <w:spacing w:line="360" w:lineRule="auto"/>
        <w:ind w:firstLine="360" w:firstLineChars="15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 采购代理机构按照磋商文件规定的时间通过电子交易平台组织响应文件开启，所有供应商均应当准时在线参加。</w:t>
      </w:r>
      <w:r>
        <w:rPr>
          <w:rFonts w:hint="eastAsia" w:ascii="仿宋" w:hAnsi="仿宋" w:eastAsia="仿宋" w:cs="仿宋"/>
          <w:b/>
          <w:color w:val="000000" w:themeColor="text1"/>
          <w:sz w:val="24"/>
          <w:szCs w:val="24"/>
          <w:highlight w:val="none"/>
          <w14:textFill>
            <w14:solidFill>
              <w14:schemeClr w14:val="tx1"/>
            </w14:solidFill>
          </w14:textFill>
        </w:rPr>
        <w:t>供应商数量不符合规定的，不得开启响应文件。</w:t>
      </w:r>
    </w:p>
    <w:p w14:paraId="57EE4F42">
      <w:pPr>
        <w:pStyle w:val="32"/>
        <w:spacing w:line="360" w:lineRule="auto"/>
        <w:ind w:firstLine="360" w:firstLineChars="15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1.2开启响应文件时，电子交易平台按开启响应文件时间自动提取所有响应文件。采购代理机构依托电子交易平台发起开始解密指令，供应商按照平台提示和磋商文件的规定在半小时内完成在线解密。</w:t>
      </w:r>
    </w:p>
    <w:p w14:paraId="5F2DB12F">
      <w:pPr>
        <w:pStyle w:val="32"/>
        <w:spacing w:line="360" w:lineRule="auto"/>
        <w:ind w:firstLine="361" w:firstLineChars="15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1.3响应文件未在规定时间内成功解密的供应商，如提交了备份响应文件的，以备份响应文件作为依据，否则视为响应文件撤回。响应文件解密成功的供应商，其备份响应文件自动失效。</w:t>
      </w:r>
    </w:p>
    <w:p w14:paraId="026615AD">
      <w:pPr>
        <w:pStyle w:val="393"/>
        <w:spacing w:before="0"/>
        <w:ind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2.信用信息查询</w:t>
      </w:r>
    </w:p>
    <w:p w14:paraId="49AF31FA">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2.1信用信息查询渠道及截止时间：采购代理机构将通过“信用中国”网站(</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"http://www.creditchina.gov.cn"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68"/>
          <w:rFonts w:hint="eastAsia" w:ascii="仿宋" w:hAnsi="仿宋" w:eastAsia="仿宋" w:cs="仿宋"/>
          <w:snapToGrid/>
          <w:color w:val="000000" w:themeColor="text1"/>
          <w:sz w:val="24"/>
          <w:szCs w:val="24"/>
          <w:highlight w:val="none"/>
          <w14:textFill>
            <w14:solidFill>
              <w14:schemeClr w14:val="tx1"/>
            </w14:solidFill>
          </w14:textFill>
        </w:rPr>
        <w:t>www.creditchina.gov.cn</w:t>
      </w:r>
      <w:r>
        <w:rPr>
          <w:rStyle w:val="68"/>
          <w:rFonts w:hint="eastAsia" w:ascii="仿宋" w:hAnsi="仿宋" w:eastAsia="仿宋" w:cs="仿宋"/>
          <w:snapToGrid/>
          <w:color w:val="000000" w:themeColor="text1"/>
          <w:sz w:val="24"/>
          <w:szCs w:val="24"/>
          <w:highlight w:val="none"/>
          <w14:textFill>
            <w14:solidFill>
              <w14:schemeClr w14:val="tx1"/>
            </w14:solidFill>
          </w14:textFill>
        </w:rPr>
        <w:fldChar w:fldCharType="end"/>
      </w:r>
      <w:r>
        <w:rPr>
          <w:rFonts w:hint="eastAsia" w:ascii="仿宋" w:hAnsi="仿宋" w:eastAsia="仿宋" w:cs="仿宋"/>
          <w:color w:val="000000" w:themeColor="text1"/>
          <w:kern w:val="0"/>
          <w:szCs w:val="24"/>
          <w:highlight w:val="none"/>
          <w14:textFill>
            <w14:solidFill>
              <w14:schemeClr w14:val="tx1"/>
            </w14:solidFill>
          </w14:textFill>
        </w:rPr>
        <w:t>)、中国政府采购网(www.ccgp.gov.cn)渠道查询供应商响应截止时间前的信用记录。</w:t>
      </w:r>
    </w:p>
    <w:p w14:paraId="68BE845F">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2.2信用信息查询记录和证据留存的具体方式：现场查询的供应商的信用记录、查询结果经确认后存档。</w:t>
      </w:r>
    </w:p>
    <w:p w14:paraId="2EBE42E6">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2.3信用信息的使用规则：经查询列入失信被执行人名单、重大税收违法案件当事人名单、政府采购严重违法失信行为记录名单的供应商将被拒绝参与政府采购活动。</w:t>
      </w:r>
    </w:p>
    <w:p w14:paraId="5D17E053">
      <w:pPr>
        <w:pStyle w:val="393"/>
        <w:spacing w:before="0"/>
        <w:ind w:firstLine="495" w:firstLineChars="0"/>
        <w:rPr>
          <w:rFonts w:hint="eastAsia"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3B63C22D">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p>
    <w:p w14:paraId="66C6FA7E">
      <w:pPr>
        <w:adjustRightInd/>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九、提交最后报价</w:t>
      </w:r>
    </w:p>
    <w:p w14:paraId="481287F1">
      <w:pPr>
        <w:snapToGrid w:val="0"/>
        <w:spacing w:line="360" w:lineRule="auto"/>
        <w:rPr>
          <w:rFonts w:hint="eastAsia" w:ascii="仿宋" w:hAnsi="仿宋" w:eastAsia="仿宋" w:cs="仿宋"/>
          <w:color w:val="000000" w:themeColor="text1"/>
          <w:sz w:val="24"/>
          <w:highlight w:val="none"/>
          <w:u w:val="singl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供应商的</w:t>
      </w:r>
      <w:r>
        <w:rPr>
          <w:rFonts w:hint="eastAsia" w:ascii="仿宋" w:hAnsi="仿宋" w:eastAsia="仿宋" w:cs="仿宋"/>
          <w:b/>
          <w:color w:val="000000" w:themeColor="text1"/>
          <w:sz w:val="24"/>
          <w:highlight w:val="none"/>
          <w14:textFill>
            <w14:solidFill>
              <w14:schemeClr w14:val="tx1"/>
            </w14:solidFill>
          </w14:textFill>
        </w:rPr>
        <w:t>最后报价文件</w:t>
      </w:r>
      <w:r>
        <w:rPr>
          <w:rFonts w:hint="eastAsia" w:ascii="仿宋" w:hAnsi="仿宋" w:eastAsia="仿宋" w:cs="仿宋"/>
          <w:color w:val="000000" w:themeColor="text1"/>
          <w:sz w:val="24"/>
          <w:highlight w:val="none"/>
          <w14:textFill>
            <w14:solidFill>
              <w14:schemeClr w14:val="tx1"/>
            </w14:solidFill>
          </w14:textFill>
        </w:rPr>
        <w:t>应包括以下内容（均需使用电子签名）：</w:t>
      </w:r>
    </w:p>
    <w:p w14:paraId="4A08C197">
      <w:pPr>
        <w:pStyle w:val="32"/>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1.1最后报价一览表；</w:t>
      </w:r>
    </w:p>
    <w:p w14:paraId="3339513B">
      <w:pPr>
        <w:pStyle w:val="32"/>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1.2中小企业声明函。</w:t>
      </w:r>
    </w:p>
    <w:p w14:paraId="2F769C43">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p>
    <w:p w14:paraId="509BB8DE">
      <w:pPr>
        <w:adjustRightInd/>
        <w:spacing w:line="360" w:lineRule="auto"/>
        <w:jc w:val="center"/>
        <w:outlineLvl w:val="0"/>
        <w:rPr>
          <w:rFonts w:hint="eastAsia" w:ascii="仿宋" w:hAnsi="仿宋" w:eastAsia="仿宋" w:cs="仿宋"/>
          <w:b/>
          <w:color w:val="000000" w:themeColor="text1"/>
          <w:sz w:val="32"/>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十、</w:t>
      </w:r>
      <w:r>
        <w:rPr>
          <w:rFonts w:hint="eastAsia" w:ascii="仿宋" w:hAnsi="仿宋" w:eastAsia="仿宋" w:cs="仿宋"/>
          <w:b/>
          <w:color w:val="000000" w:themeColor="text1"/>
          <w:sz w:val="32"/>
          <w:szCs w:val="32"/>
          <w:highlight w:val="none"/>
          <w14:textFill>
            <w14:solidFill>
              <w14:schemeClr w14:val="tx1"/>
            </w14:solidFill>
          </w14:textFill>
        </w:rPr>
        <w:t>评审</w:t>
      </w:r>
    </w:p>
    <w:p w14:paraId="2F0D9DC6">
      <w:pPr>
        <w:pStyle w:val="393"/>
        <w:spacing w:before="0"/>
        <w:ind w:firstLine="0"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w:t>
      </w:r>
      <w:r>
        <w:rPr>
          <w:rFonts w:hint="eastAsia" w:ascii="仿宋" w:hAnsi="仿宋" w:eastAsia="仿宋" w:cs="仿宋"/>
          <w:b/>
          <w:color w:val="000000" w:themeColor="text1"/>
          <w:highlight w:val="none"/>
          <w14:textFill>
            <w14:solidFill>
              <w14:schemeClr w14:val="tx1"/>
            </w14:solidFill>
          </w14:textFill>
        </w:rPr>
        <w:t xml:space="preserve"> 评审方法：</w:t>
      </w:r>
      <w:r>
        <w:rPr>
          <w:rFonts w:hint="eastAsia" w:ascii="仿宋" w:hAnsi="仿宋" w:eastAsia="仿宋" w:cs="仿宋"/>
          <w:color w:val="000000" w:themeColor="text1"/>
          <w:highlight w:val="none"/>
          <w14:textFill>
            <w14:solidFill>
              <w14:schemeClr w14:val="tx1"/>
            </w14:solidFill>
          </w14:textFill>
        </w:rPr>
        <w:t>综合评分法。</w:t>
      </w:r>
    </w:p>
    <w:p w14:paraId="5853520D">
      <w:pPr>
        <w:pStyle w:val="393"/>
        <w:spacing w:before="0"/>
        <w:ind w:firstLine="0"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2. 价格分计算方法：</w:t>
      </w:r>
      <w:r>
        <w:rPr>
          <w:rFonts w:hint="eastAsia" w:ascii="仿宋" w:hAnsi="仿宋" w:eastAsia="仿宋" w:cs="仿宋"/>
          <w:color w:val="000000" w:themeColor="text1"/>
          <w:highlight w:val="none"/>
          <w14:textFill>
            <w14:solidFill>
              <w14:schemeClr w14:val="tx1"/>
            </w14:solidFill>
          </w14:textFill>
        </w:rPr>
        <w:t>低价优先法。</w:t>
      </w:r>
    </w:p>
    <w:p w14:paraId="70DD4CC6">
      <w:pPr>
        <w:pStyle w:val="393"/>
        <w:spacing w:before="0"/>
        <w:ind w:firstLine="0" w:firstLineChars="0"/>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3. 评审要求：</w:t>
      </w:r>
      <w:r>
        <w:rPr>
          <w:rFonts w:hint="eastAsia" w:ascii="仿宋" w:hAnsi="仿宋" w:eastAsia="仿宋" w:cs="仿宋"/>
          <w:color w:val="000000" w:themeColor="text1"/>
          <w:highlight w:val="none"/>
          <w14:textFill>
            <w14:solidFill>
              <w14:schemeClr w14:val="tx1"/>
            </w14:solidFill>
          </w14:textFill>
        </w:rPr>
        <w:t>详见磋商文件第五部分“评审方法及评审标准”。</w:t>
      </w:r>
    </w:p>
    <w:p w14:paraId="73933A3E">
      <w:pPr>
        <w:adjustRightInd/>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p w14:paraId="4BD09B5D">
      <w:p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十一、</w:t>
      </w:r>
      <w:r>
        <w:rPr>
          <w:rFonts w:hint="eastAsia" w:ascii="仿宋" w:hAnsi="仿宋" w:eastAsia="仿宋" w:cs="仿宋"/>
          <w:b/>
          <w:color w:val="000000" w:themeColor="text1"/>
          <w:sz w:val="32"/>
          <w:szCs w:val="32"/>
          <w:highlight w:val="none"/>
          <w14:textFill>
            <w14:solidFill>
              <w14:schemeClr w14:val="tx1"/>
            </w14:solidFill>
          </w14:textFill>
        </w:rPr>
        <w:t>成交</w:t>
      </w:r>
    </w:p>
    <w:p w14:paraId="320F9990">
      <w:pPr>
        <w:pStyle w:val="32"/>
        <w:spacing w:line="360" w:lineRule="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 推荐成交候选供应商</w:t>
      </w:r>
    </w:p>
    <w:p w14:paraId="58EE2A13">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14:paraId="77BEACA9">
      <w:pPr>
        <w:pStyle w:val="32"/>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 确定成交供应商</w:t>
      </w:r>
    </w:p>
    <w:p w14:paraId="5200AB9D">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人应当自收到评审报告之日起2个工作日内在线确定成交供应商。成交通知书和成交结果公告应当在规定时间内同时发出。</w:t>
      </w:r>
    </w:p>
    <w:p w14:paraId="631623B0">
      <w:pPr>
        <w:tabs>
          <w:tab w:val="left" w:pos="0"/>
        </w:tabs>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3．成交通知及成交结果公告</w:t>
      </w:r>
    </w:p>
    <w:p w14:paraId="45E73C04">
      <w:pPr>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3.1自成交人确定之日起2个工作日内，采购代理机构通过电子交易平台向成交人发出成交通知书，</w:t>
      </w:r>
      <w:r>
        <w:rPr>
          <w:rFonts w:hint="eastAsia" w:ascii="仿宋" w:hAnsi="仿宋" w:eastAsia="仿宋" w:cs="仿宋"/>
          <w:color w:val="000000" w:themeColor="text1"/>
          <w:sz w:val="24"/>
          <w:highlight w:val="none"/>
          <w14:textFill>
            <w14:solidFill>
              <w14:schemeClr w14:val="tx1"/>
            </w14:solidFill>
          </w14:textFill>
        </w:rPr>
        <w:t>同时编制发布采购</w:t>
      </w:r>
      <w:r>
        <w:rPr>
          <w:rFonts w:hint="eastAsia" w:ascii="仿宋" w:hAnsi="仿宋" w:eastAsia="仿宋" w:cs="仿宋"/>
          <w:color w:val="000000" w:themeColor="text1"/>
          <w:sz w:val="24"/>
          <w:szCs w:val="21"/>
          <w:highlight w:val="none"/>
          <w14:textFill>
            <w14:solidFill>
              <w14:schemeClr w14:val="tx1"/>
            </w14:solidFill>
          </w14:textFill>
        </w:rPr>
        <w:t>成交结果公告。</w:t>
      </w:r>
      <w:r>
        <w:rPr>
          <w:rFonts w:hint="eastAsia" w:ascii="仿宋" w:hAnsi="仿宋" w:eastAsia="仿宋" w:cs="仿宋"/>
          <w:color w:val="000000" w:themeColor="text1"/>
          <w:sz w:val="24"/>
          <w:highlight w:val="none"/>
          <w14:textFill>
            <w14:solidFill>
              <w14:schemeClr w14:val="tx1"/>
            </w14:solidFill>
          </w14:textFill>
        </w:rPr>
        <w:t>采购代理机构也可以以纸质形式进行成交通知。</w:t>
      </w:r>
    </w:p>
    <w:p w14:paraId="6916E2F9">
      <w:pPr>
        <w:spacing w:line="360" w:lineRule="auto"/>
        <w:ind w:firstLine="360" w:firstLineChars="150"/>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w:t>
      </w:r>
      <w:r>
        <w:rPr>
          <w:rFonts w:hint="eastAsia" w:ascii="仿宋" w:hAnsi="仿宋" w:eastAsia="仿宋" w:cs="仿宋"/>
          <w:color w:val="000000" w:themeColor="text1"/>
          <w:sz w:val="24"/>
          <w:szCs w:val="21"/>
          <w:highlight w:val="none"/>
          <w14:textFill>
            <w14:solidFill>
              <w14:schemeClr w14:val="tx1"/>
            </w14:solidFill>
          </w14:textFill>
        </w:rPr>
        <w:t>成交</w:t>
      </w:r>
      <w:r>
        <w:rPr>
          <w:rFonts w:hint="eastAsia" w:ascii="仿宋" w:hAnsi="仿宋" w:eastAsia="仿宋" w:cs="仿宋"/>
          <w:color w:val="000000" w:themeColor="text1"/>
          <w:sz w:val="24"/>
          <w:highlight w:val="none"/>
          <w14:textFill>
            <w14:solidFill>
              <w14:schemeClr w14:val="tx1"/>
            </w14:solidFill>
          </w14:textFill>
        </w:rPr>
        <w:t>结果公告内容包括采购人及其委托的采购代理机构的名称、地址、联系方式，项目名称和项目编号，成交人名称、地址和成交金额，主要成交标的的名称、规格型号、数量、单价、服务要求，开标记录、</w:t>
      </w:r>
      <w:bookmarkStart w:id="49" w:name="_Hlk101184471"/>
      <w:r>
        <w:rPr>
          <w:rFonts w:hint="eastAsia" w:ascii="仿宋" w:hAnsi="仿宋" w:eastAsia="仿宋" w:cs="仿宋"/>
          <w:color w:val="000000" w:themeColor="text1"/>
          <w:sz w:val="24"/>
          <w:highlight w:val="none"/>
          <w14:textFill>
            <w14:solidFill>
              <w14:schemeClr w14:val="tx1"/>
            </w14:solidFill>
          </w14:textFill>
        </w:rPr>
        <w:t>资格审查情况、评审专家抽取规则、符合性审查情况、</w:t>
      </w:r>
      <w:bookmarkEnd w:id="49"/>
      <w:r>
        <w:rPr>
          <w:rFonts w:hint="eastAsia" w:ascii="仿宋" w:hAnsi="仿宋" w:eastAsia="仿宋" w:cs="仿宋"/>
          <w:color w:val="000000" w:themeColor="text1"/>
          <w:sz w:val="24"/>
          <w:highlight w:val="none"/>
          <w14:textFill>
            <w14:solidFill>
              <w14:schemeClr w14:val="tx1"/>
            </w14:solidFill>
          </w14:textFill>
        </w:rPr>
        <w:t>未成交情况说明、成交公告期限以及评审专家名单、评分汇总及明细。</w:t>
      </w:r>
    </w:p>
    <w:p w14:paraId="64FEF961">
      <w:pPr>
        <w:spacing w:line="360" w:lineRule="auto"/>
        <w:ind w:firstLine="360" w:firstLineChars="150"/>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3.3公告期限为1个工作日。</w:t>
      </w:r>
    </w:p>
    <w:p w14:paraId="4C614026">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p>
    <w:p w14:paraId="20924416">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十二、合同</w:t>
      </w:r>
    </w:p>
    <w:p w14:paraId="17DE326D">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1.合同主要条款：</w:t>
      </w:r>
      <w:r>
        <w:rPr>
          <w:rFonts w:hint="eastAsia" w:ascii="仿宋" w:hAnsi="仿宋" w:eastAsia="仿宋" w:cs="仿宋"/>
          <w:color w:val="000000" w:themeColor="text1"/>
          <w:sz w:val="24"/>
          <w:highlight w:val="none"/>
          <w14:textFill>
            <w14:solidFill>
              <w14:schemeClr w14:val="tx1"/>
            </w14:solidFill>
          </w14:textFill>
        </w:rPr>
        <w:t>详见“第六部分拟签订的合同文本”。</w:t>
      </w:r>
    </w:p>
    <w:p w14:paraId="382C9462">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2.合同的签订</w:t>
      </w:r>
    </w:p>
    <w:p w14:paraId="6BCC04B5">
      <w:pPr>
        <w:widowControl/>
        <w:shd w:val="clear" w:color="auto" w:fill="FFFFFF"/>
        <w:spacing w:line="360" w:lineRule="auto"/>
        <w:ind w:firstLine="48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w:t>
      </w:r>
      <w:r>
        <w:rPr>
          <w:rFonts w:hint="eastAsia" w:ascii="仿宋" w:hAnsi="仿宋" w:eastAsia="仿宋" w:cs="仿宋"/>
          <w:color w:val="000000" w:themeColor="text1"/>
          <w:kern w:val="0"/>
          <w:sz w:val="24"/>
          <w:highlight w:val="none"/>
          <w14:textFill>
            <w14:solidFill>
              <w14:schemeClr w14:val="tx1"/>
            </w14:solidFill>
          </w14:textFill>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14:paraId="1AF2E7E1">
      <w:pPr>
        <w:pStyle w:val="393"/>
        <w:snapToGrid w:val="0"/>
        <w:spacing w:before="0"/>
        <w:ind w:firstLine="480"/>
        <w:rPr>
          <w:rFonts w:hint="eastAsia" w:ascii="仿宋" w:hAnsi="仿宋" w:eastAsia="仿宋" w:cs="仿宋"/>
          <w:color w:val="000000" w:themeColor="text1"/>
          <w:kern w:val="0"/>
          <w:highlight w:val="none"/>
          <w14:textFill>
            <w14:solidFill>
              <w14:schemeClr w14:val="tx1"/>
            </w14:solidFill>
          </w14:textFill>
        </w:rPr>
      </w:pPr>
      <w:r>
        <w:rPr>
          <w:rFonts w:hint="eastAsia" w:ascii="仿宋" w:hAnsi="仿宋" w:eastAsia="仿宋" w:cs="仿宋"/>
          <w:color w:val="000000" w:themeColor="text1"/>
          <w:kern w:val="0"/>
          <w:highlight w:val="none"/>
          <w:lang w:val="zh-CN"/>
          <w14:textFill>
            <w14:solidFill>
              <w14:schemeClr w14:val="tx1"/>
            </w14:solidFill>
          </w14:textFill>
        </w:rPr>
        <w:t>2.2成交供应商按规定的日期、时间、地点，由法定代表人或其授权代表与采购人代表签订合同。如成交供应商为联合体的，由联合体成员各方法定代表人或其授权代表与采购人代表签订合同。</w:t>
      </w:r>
    </w:p>
    <w:p w14:paraId="0D264C32">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41FB5A17">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02642FC3">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2.5如签订合同并生效后，供应商无故拒绝或延期，除按照合同条款处理外，列入不良行为记录一次，并给予通报。</w:t>
      </w:r>
    </w:p>
    <w:p w14:paraId="78E00D97">
      <w:pPr>
        <w:pStyle w:val="393"/>
        <w:snapToGrid w:val="0"/>
        <w:spacing w:before="0" w:after="12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2.6采购合同由采购人与成交供应商根据磋商文件、响应文件等内容通过政府采购电子交易平台在线签订，自动备案。</w:t>
      </w:r>
    </w:p>
    <w:p w14:paraId="5043D627">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3．履约保证金</w:t>
      </w:r>
    </w:p>
    <w:p w14:paraId="25F8409D">
      <w:pPr>
        <w:tabs>
          <w:tab w:val="left" w:pos="0"/>
        </w:tabs>
        <w:spacing w:line="360" w:lineRule="auto"/>
        <w:ind w:firstLine="48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000000" w:themeColor="text1"/>
          <w:sz w:val="24"/>
          <w:highlight w:val="none"/>
          <w14:textFill>
            <w14:solidFill>
              <w14:schemeClr w14:val="tx1"/>
            </w14:solidFill>
          </w14:textFill>
        </w:rPr>
        <w:t>。履约保证金的数额不得超过政府采购合同金额的</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%。鼓励和支持供应商以银行、保险公司出具的保函形式提供履约保证金。采购人不得拒收履约保函，项目验收结束后应及时退还，延迟退还的，应当按照合同约定和法律规定承担相应的赔偿责任。</w:t>
      </w:r>
    </w:p>
    <w:p w14:paraId="2198B8EE">
      <w:pPr>
        <w:tabs>
          <w:tab w:val="left" w:pos="0"/>
        </w:tabs>
        <w:spacing w:line="360" w:lineRule="auto"/>
        <w:ind w:firstLine="482"/>
        <w:rPr>
          <w:rFonts w:hint="eastAsia" w:ascii="仿宋" w:hAnsi="仿宋" w:eastAsia="仿宋" w:cs="仿宋"/>
          <w:snapToGrid w:val="0"/>
          <w:color w:val="000000" w:themeColor="text1"/>
          <w:kern w:val="28"/>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成交项目—确认信息—等待保险/保函受理—确认保单—支付保费—成功出单。政采云金融专线400-903-9583。</w:t>
      </w:r>
    </w:p>
    <w:p w14:paraId="02370B79">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4.预付款</w:t>
      </w:r>
    </w:p>
    <w:p w14:paraId="6693D4A5">
      <w:pPr>
        <w:pStyle w:val="23"/>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snapToGrid w:val="0"/>
          <w:color w:val="000000" w:themeColor="text1"/>
          <w:kern w:val="28"/>
          <w:highlight w:val="none"/>
          <w14:textFill>
            <w14:solidFill>
              <w14:schemeClr w14:val="tx1"/>
            </w14:solidFill>
          </w14:textFill>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7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14:paraId="0D72EC61">
      <w:pPr>
        <w:snapToGrid w:val="0"/>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p>
    <w:p w14:paraId="77C79015">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十三、验收</w:t>
      </w:r>
    </w:p>
    <w:p w14:paraId="0A53FECC">
      <w:pPr>
        <w:pStyle w:val="23"/>
        <w:spacing w:line="360" w:lineRule="auto"/>
        <w:ind w:firstLine="0" w:firstLineChars="0"/>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1.验收</w:t>
      </w:r>
    </w:p>
    <w:p w14:paraId="4FF24C9F">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687E1669">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1.2采购人可以邀请参加本项目的其他供应商或者第三方机构参与验收。参与验收的供应商或者第三方机构的意见作为验收书的参考资料一并存档。</w:t>
      </w:r>
    </w:p>
    <w:p w14:paraId="781588EA">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11BC0E6D">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50D37F61">
      <w:pPr>
        <w:snapToGrid w:val="0"/>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p>
    <w:p w14:paraId="7CCFE4B5">
      <w:pPr>
        <w:snapToGrid w:val="0"/>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十四、电子交易活动的中止</w:t>
      </w:r>
    </w:p>
    <w:p w14:paraId="1016C7B3">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 电子交易活动的中止</w:t>
      </w:r>
    </w:p>
    <w:p w14:paraId="0D5D8AD5">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采购过程中出现以下情形，导致电子交易平台无法正常运行，或者无法保证电子交易的公平、公正和安全时，采购代理机构可中止电子交易活动：</w:t>
      </w:r>
    </w:p>
    <w:p w14:paraId="42D7F3C6">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1.1电子交易平台发生故障而无法登录访问的； </w:t>
      </w:r>
    </w:p>
    <w:p w14:paraId="65FA240C">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1.2电子交易平台应用或数据库出现错误，不能进行正常操作的；</w:t>
      </w:r>
    </w:p>
    <w:p w14:paraId="53F857E6">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1.3电子交易平台发现严重安全漏洞，有潜在泄密危险的；</w:t>
      </w:r>
    </w:p>
    <w:p w14:paraId="5C1E1C2F">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1.4病毒发作导致不能进行正常操作的； </w:t>
      </w:r>
    </w:p>
    <w:p w14:paraId="2C6853BF">
      <w:pPr>
        <w:tabs>
          <w:tab w:val="left" w:pos="0"/>
        </w:tabs>
        <w:spacing w:line="360" w:lineRule="auto"/>
        <w:ind w:firstLine="48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1.5其他无法保证电子交易的公平、公正和安全的情况。</w:t>
      </w:r>
    </w:p>
    <w:p w14:paraId="7A64F501">
      <w:pPr>
        <w:tabs>
          <w:tab w:val="left" w:pos="0"/>
        </w:tabs>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2.出现以上情形，不影响采购公平、公正性的，采购组织机构可以待上述情形消除后继续组织电子交易活动，也可以决定某些环节以纸质形式进行；影响或可能影响采购公平、公正性的，应当重新采购。</w:t>
      </w:r>
    </w:p>
    <w:p w14:paraId="6EDDEA30">
      <w:pPr>
        <w:tabs>
          <w:tab w:val="left" w:pos="0"/>
        </w:tabs>
        <w:spacing w:line="360" w:lineRule="auto"/>
        <w:rPr>
          <w:rFonts w:hint="eastAsia" w:ascii="仿宋" w:hAnsi="仿宋" w:eastAsia="仿宋" w:cs="仿宋"/>
          <w:color w:val="000000" w:themeColor="text1"/>
          <w:kern w:val="0"/>
          <w:sz w:val="24"/>
          <w:highlight w:val="none"/>
          <w14:textFill>
            <w14:solidFill>
              <w14:schemeClr w14:val="tx1"/>
            </w14:solidFill>
          </w14:textFill>
        </w:rPr>
      </w:pPr>
    </w:p>
    <w:bookmarkEnd w:id="10"/>
    <w:p w14:paraId="2675E1B3">
      <w:pPr>
        <w:widowControl/>
        <w:adjustRightInd/>
        <w:jc w:val="left"/>
        <w:rPr>
          <w:rFonts w:hint="eastAsia" w:ascii="仿宋" w:hAnsi="仿宋" w:eastAsia="仿宋" w:cs="仿宋"/>
          <w:color w:val="000000" w:themeColor="text1"/>
          <w:highlight w:val="none"/>
          <w14:textFill>
            <w14:solidFill>
              <w14:schemeClr w14:val="tx1"/>
            </w14:solidFill>
          </w14:textFill>
        </w:rPr>
      </w:pPr>
      <w:bookmarkStart w:id="50" w:name="_Hlt74714665"/>
      <w:bookmarkEnd w:id="50"/>
      <w:bookmarkStart w:id="51" w:name="_Hlt75236290"/>
      <w:bookmarkEnd w:id="51"/>
      <w:bookmarkStart w:id="52" w:name="_Hlt75236011"/>
      <w:bookmarkEnd w:id="52"/>
      <w:bookmarkStart w:id="53" w:name="_Hlt74729768"/>
      <w:bookmarkEnd w:id="53"/>
      <w:bookmarkStart w:id="54" w:name="_Hlt68057669"/>
      <w:bookmarkEnd w:id="54"/>
      <w:bookmarkStart w:id="55" w:name="_Hlt75236101"/>
      <w:bookmarkEnd w:id="55"/>
      <w:bookmarkStart w:id="56" w:name="_Hlt74730295"/>
      <w:bookmarkEnd w:id="56"/>
      <w:bookmarkStart w:id="57" w:name="_Hlt68072990"/>
      <w:bookmarkEnd w:id="57"/>
      <w:bookmarkStart w:id="58" w:name="_Hlt74707468"/>
      <w:bookmarkEnd w:id="58"/>
      <w:bookmarkStart w:id="59" w:name="_Toc164416483"/>
      <w:bookmarkStart w:id="60" w:name="第三部分"/>
    </w:p>
    <w:p w14:paraId="09367837">
      <w:pPr>
        <w:tabs>
          <w:tab w:val="left" w:pos="2724"/>
        </w:tabs>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ab/>
      </w:r>
    </w:p>
    <w:p w14:paraId="1C1075E2">
      <w:pPr>
        <w:widowControl/>
        <w:adjustRightInd/>
        <w:spacing w:line="360" w:lineRule="auto"/>
        <w:ind w:firstLine="0" w:firstLineChars="0"/>
        <w:jc w:val="center"/>
        <w:outlineLvl w:val="0"/>
        <w:rPr>
          <w:rFonts w:hint="eastAsia" w:ascii="仿宋" w:hAnsi="仿宋" w:eastAsia="仿宋" w:cs="仿宋"/>
          <w:b/>
          <w:color w:val="000000" w:themeColor="text1"/>
          <w:sz w:val="36"/>
          <w:szCs w:val="20"/>
          <w:highlight w:val="none"/>
          <w14:textFill>
            <w14:solidFill>
              <w14:schemeClr w14:val="tx1"/>
            </w14:solidFill>
          </w14:textFill>
        </w:rPr>
        <w:sectPr>
          <w:pgSz w:w="11906" w:h="16838"/>
          <w:pgMar w:top="1174" w:right="1418" w:bottom="1151" w:left="1418" w:header="851" w:footer="992" w:gutter="0"/>
          <w:cols w:space="720" w:num="1"/>
          <w:titlePg/>
          <w:docGrid w:linePitch="312" w:charSpace="0"/>
        </w:sectPr>
      </w:pPr>
    </w:p>
    <w:p w14:paraId="14454E68">
      <w:pPr>
        <w:widowControl/>
        <w:adjustRightInd/>
        <w:spacing w:line="360" w:lineRule="auto"/>
        <w:ind w:firstLine="0" w:firstLineChars="0"/>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第四部分  采购需求</w:t>
      </w:r>
    </w:p>
    <w:p w14:paraId="42B908D9">
      <w:pPr>
        <w:keepNext/>
        <w:keepLines/>
        <w:widowControl w:val="0"/>
        <w:spacing w:line="360" w:lineRule="auto"/>
        <w:ind w:firstLine="482" w:firstLineChars="200"/>
        <w:jc w:val="both"/>
        <w:outlineLvl w:val="1"/>
        <w:rPr>
          <w:rFonts w:hint="eastAsia" w:ascii="仿宋" w:hAnsi="仿宋" w:eastAsia="仿宋" w:cs="仿宋"/>
          <w:b/>
          <w:bCs/>
          <w:kern w:val="2"/>
          <w:sz w:val="24"/>
          <w:szCs w:val="24"/>
          <w:highlight w:val="none"/>
          <w:lang w:val="en-US" w:eastAsia="zh-CN" w:bidi="ar-SA"/>
        </w:rPr>
      </w:pPr>
      <w:bookmarkStart w:id="61" w:name="_Toc27066"/>
      <w:bookmarkStart w:id="62" w:name="_Toc430590629"/>
      <w:bookmarkStart w:id="63" w:name="_Toc303030538"/>
      <w:bookmarkStart w:id="64" w:name="_Toc430590631"/>
      <w:bookmarkStart w:id="65" w:name="_Toc297728922"/>
      <w:r>
        <w:rPr>
          <w:rFonts w:hint="eastAsia" w:ascii="仿宋" w:hAnsi="仿宋" w:eastAsia="仿宋" w:cs="仿宋"/>
          <w:b/>
          <w:bCs/>
          <w:kern w:val="2"/>
          <w:sz w:val="24"/>
          <w:szCs w:val="24"/>
          <w:highlight w:val="none"/>
          <w:lang w:val="en-US" w:eastAsia="zh-CN" w:bidi="ar-SA"/>
        </w:rPr>
        <w:t>一、标准及规范</w:t>
      </w:r>
      <w:bookmarkEnd w:id="61"/>
      <w:bookmarkEnd w:id="62"/>
    </w:p>
    <w:p w14:paraId="136345EF">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bookmarkStart w:id="66" w:name="_Toc66769196"/>
      <w:bookmarkStart w:id="67" w:name="_Toc163749453"/>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中华人民共和国国家标准。</w:t>
      </w:r>
    </w:p>
    <w:p w14:paraId="0581E5E4">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有关部门标准与规范。</w:t>
      </w:r>
    </w:p>
    <w:p w14:paraId="7FEC7FA8">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以上标准及规范由承包人自备，如有不足之处或未能达到国家最新标准时，承包人应使施工及选用的设备和材料符合最新版本的国家标准、规范。</w:t>
      </w:r>
    </w:p>
    <w:p w14:paraId="65038867">
      <w:pPr>
        <w:keepNext/>
        <w:keepLines/>
        <w:widowControl w:val="0"/>
        <w:numPr>
          <w:ilvl w:val="0"/>
          <w:numId w:val="27"/>
          <w:numberingChange w:id="0" w:author="冰雪雨叶" w:date="2017-02-27T14:33:00Z" w:original="%1:2:37:、"/>
        </w:numPr>
        <w:spacing w:line="360" w:lineRule="auto"/>
        <w:ind w:firstLine="482" w:firstLineChars="200"/>
        <w:jc w:val="both"/>
        <w:outlineLvl w:val="1"/>
        <w:rPr>
          <w:rFonts w:hint="eastAsia" w:ascii="仿宋" w:hAnsi="仿宋" w:eastAsia="仿宋" w:cs="仿宋"/>
          <w:b/>
          <w:bCs/>
          <w:kern w:val="2"/>
          <w:sz w:val="24"/>
          <w:szCs w:val="24"/>
          <w:highlight w:val="none"/>
          <w:lang w:val="en-US" w:eastAsia="zh-CN" w:bidi="ar-SA"/>
        </w:rPr>
      </w:pPr>
      <w:bookmarkStart w:id="68" w:name="_Toc17525"/>
      <w:bookmarkStart w:id="69" w:name="_Toc430590630"/>
      <w:r>
        <w:rPr>
          <w:rFonts w:hint="eastAsia" w:ascii="仿宋" w:hAnsi="仿宋" w:eastAsia="仿宋" w:cs="仿宋"/>
          <w:b/>
          <w:bCs/>
          <w:kern w:val="2"/>
          <w:sz w:val="24"/>
          <w:szCs w:val="24"/>
          <w:highlight w:val="none"/>
          <w:lang w:val="en-US" w:eastAsia="zh-CN" w:bidi="ar-SA"/>
        </w:rPr>
        <w:t>项目概况</w:t>
      </w:r>
      <w:bookmarkEnd w:id="68"/>
    </w:p>
    <w:bookmarkEnd w:id="69"/>
    <w:p w14:paraId="28D36B83">
      <w:pPr>
        <w:adjustRightInd/>
        <w:spacing w:line="360" w:lineRule="auto"/>
        <w:ind w:left="67" w:right="67" w:firstLine="42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标项一：浙江财经大学5号楼高压配电房改造工程</w:t>
      </w:r>
    </w:p>
    <w:p w14:paraId="5A08FCF2">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浙江财经大学学院楼5号楼配电房更新工程位于杭州市钱塘区。本次主要为拆除配电房原有4台高压柜,9台低压柜,低压母线槽1组，变压器台（2台800kVA变压器）等。新上4台高压柜，9台低压柜,低压母线槽1组，变压器台（2台800kVA变压器），壁挂式直流屏1套，低压智能站控单元系统1套等。原拆除的设备需搬运至学校指定地点。</w:t>
      </w:r>
      <w:r>
        <w:rPr>
          <w:rFonts w:hint="eastAsia" w:ascii="仿宋" w:hAnsi="仿宋" w:eastAsia="仿宋" w:cs="仿宋"/>
          <w:sz w:val="24"/>
          <w:szCs w:val="24"/>
          <w:highlight w:val="none"/>
        </w:rPr>
        <w:t>具体详见图纸和工程量清单及项目需求。</w:t>
      </w:r>
    </w:p>
    <w:p w14:paraId="37517107">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低压智能站控</w:t>
      </w:r>
      <w:r>
        <w:rPr>
          <w:rFonts w:hint="eastAsia" w:ascii="仿宋" w:hAnsi="仿宋" w:eastAsia="仿宋" w:cs="仿宋"/>
          <w:sz w:val="24"/>
          <w:szCs w:val="24"/>
          <w:highlight w:val="none"/>
          <w:lang w:val="en-US" w:eastAsia="zh-CN"/>
        </w:rPr>
        <w:t>单元系统</w:t>
      </w:r>
      <w:r>
        <w:rPr>
          <w:rFonts w:hint="eastAsia" w:ascii="仿宋" w:hAnsi="仿宋" w:eastAsia="仿宋" w:cs="仿宋"/>
          <w:sz w:val="24"/>
          <w:szCs w:val="24"/>
          <w:highlight w:val="none"/>
        </w:rPr>
        <w:t>终端</w:t>
      </w:r>
    </w:p>
    <w:p w14:paraId="77B9E7AA">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为保证配电线路的供电安全可靠，满足日常巡检和故障消缺的高效运维需求，需要在变配电站现场布置一台1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英寸</w:t>
      </w:r>
      <w:r>
        <w:rPr>
          <w:rFonts w:hint="eastAsia" w:ascii="仿宋" w:hAnsi="仿宋" w:eastAsia="仿宋" w:cs="仿宋"/>
          <w:sz w:val="24"/>
          <w:szCs w:val="24"/>
          <w:highlight w:val="none"/>
          <w:lang w:val="en-US" w:eastAsia="zh-CN"/>
        </w:rPr>
        <w:t>或以上</w:t>
      </w:r>
      <w:r>
        <w:rPr>
          <w:rFonts w:hint="eastAsia" w:ascii="仿宋" w:hAnsi="仿宋" w:eastAsia="仿宋" w:cs="仿宋"/>
          <w:sz w:val="24"/>
          <w:szCs w:val="24"/>
          <w:highlight w:val="none"/>
        </w:rPr>
        <w:t>智能站控单元，盘柜安装。智能站控单元具备故障预警及诊断功能，对系统中关键回路（配电室内的进线、母联回路及重要馈线回路）做全面的监测管理，发布关于配电系统的运行和告警信息，提供预警，避免故障停电；提供故障前后的数据，帮助快速定位故障，隔离故障源；监测中低压电气设备的全生命周期的运行数据，并提供预测性维护，最大程度降低停电风险。</w:t>
      </w:r>
    </w:p>
    <w:p w14:paraId="18FBFBFB">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低压智能站控终端功能要求：</w:t>
      </w:r>
    </w:p>
    <w:p w14:paraId="7A7E2DE6">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智能站控终端应采用工业级触屏电脑，在工业级电脑中配置主流的计算机硬件，选配不低于酷睿i3 CPU，选配16G及以上内存，选配256G以上硬盘存储，支持2个有线网络接口。</w:t>
      </w:r>
    </w:p>
    <w:p w14:paraId="66C17DF3">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xml:space="preserve"> 显示单元显示分辨率不低于1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英寸以上TFT显示屏，五点投射式电容触控，显示分辨率不低于1920x1080。</w:t>
      </w:r>
    </w:p>
    <w:p w14:paraId="4A2F8967">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通过单线图的形式，清晰呈现关键回路上下级关系，实现单线图动态着色，表征断路器开关位置变化信息。提供配电站的柜面视图，动态表征断路器开关的位置变化信息，柜面视图与单线图之间形成导览式快速跳转。</w:t>
      </w:r>
    </w:p>
    <w:p w14:paraId="178BA24A">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应按照配电结构中断路器的上下游关系，进行断路器的上下游开关保护的校验检查分析界面，提供分析报告，供运维人员进行判定。</w:t>
      </w:r>
    </w:p>
    <w:p w14:paraId="761F34FA">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应基于配电站房场景构建配电盘布局3D效果模型，对柜内设备告警，提供高亮着色。用户能够自行操作旋转画面，选择所需要的视角，查看站内盘柜。</w:t>
      </w:r>
    </w:p>
    <w:p w14:paraId="59A650DB">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提供全配电室内关键断路器的维护分析，应提供对关键智能断路器的老化分析功能，分析数据应综合评判断路器的运行数据，包括分合次数、跳闸次数、短路分断电流大小、负载率运行时长等数据，根据断路器的运行特性，通过数学模型评估断路器的老化程度，帮助进行预测性维护、实现视情合理运维。</w:t>
      </w:r>
    </w:p>
    <w:p w14:paraId="784CECAB">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提供故障预警功能：系统应能提供丰富的预警功能，提前对断路器及系统的隐患进行警示；应提供关键指标参数的运行偏差提示，如开关状态、运行电流、断路器容量、进线回路电压谐波畸变率以及功率因数等。</w:t>
      </w:r>
    </w:p>
    <w:p w14:paraId="27BD672B">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应具备数据转发的能力，上层系统可以通过智能管理单元获取南向通讯设备的实时读数，以及智能管理单元给出的关键智能断路器的老化分析数据。</w:t>
      </w:r>
    </w:p>
    <w:p w14:paraId="4A730999">
      <w:pPr>
        <w:pStyle w:val="15"/>
        <w:rPr>
          <w:rFonts w:hint="eastAsia"/>
          <w:highlight w:val="none"/>
        </w:rPr>
      </w:pPr>
    </w:p>
    <w:p w14:paraId="49A15772">
      <w:pPr>
        <w:adjustRightInd/>
        <w:spacing w:line="360" w:lineRule="auto"/>
        <w:ind w:left="67" w:right="67" w:firstLine="420"/>
        <w:rPr>
          <w:rFonts w:hint="eastAsia" w:ascii="仿宋" w:hAnsi="仿宋" w:eastAsia="仿宋" w:cs="仿宋"/>
          <w:b/>
          <w:bCs/>
          <w:color w:val="auto"/>
          <w:sz w:val="24"/>
          <w:szCs w:val="24"/>
          <w:highlight w:val="none"/>
        </w:rPr>
      </w:pPr>
      <w:r>
        <w:rPr>
          <w:rFonts w:hint="eastAsia" w:ascii="仿宋" w:hAnsi="仿宋" w:eastAsia="仿宋" w:cs="仿宋"/>
          <w:b/>
          <w:bCs/>
          <w:sz w:val="24"/>
          <w:szCs w:val="24"/>
          <w:highlight w:val="none"/>
          <w:lang w:eastAsia="zh-CN"/>
        </w:rPr>
        <w:t>标项二：</w:t>
      </w:r>
      <w:r>
        <w:rPr>
          <w:rFonts w:hint="eastAsia" w:ascii="仿宋" w:hAnsi="仿宋" w:eastAsia="仿宋" w:cs="仿宋"/>
          <w:b/>
          <w:bCs/>
          <w:color w:val="auto"/>
          <w:sz w:val="24"/>
          <w:szCs w:val="24"/>
          <w:highlight w:val="none"/>
        </w:rPr>
        <w:t>浙江财经大学</w:t>
      </w:r>
      <w:r>
        <w:rPr>
          <w:rFonts w:hint="eastAsia" w:ascii="仿宋" w:hAnsi="仿宋" w:eastAsia="仿宋" w:cs="仿宋"/>
          <w:b/>
          <w:bCs/>
          <w:color w:val="000000" w:themeColor="text1"/>
          <w:sz w:val="24"/>
          <w:highlight w:val="none"/>
          <w:lang w:eastAsia="zh-CN"/>
          <w14:textFill>
            <w14:solidFill>
              <w14:schemeClr w14:val="tx1"/>
            </w14:solidFill>
          </w14:textFill>
        </w:rPr>
        <w:t>图书馆高压</w:t>
      </w:r>
      <w:r>
        <w:rPr>
          <w:rFonts w:hint="eastAsia" w:ascii="仿宋" w:hAnsi="仿宋" w:eastAsia="仿宋" w:cs="仿宋"/>
          <w:b/>
          <w:bCs/>
          <w:color w:val="auto"/>
          <w:sz w:val="24"/>
          <w:szCs w:val="24"/>
          <w:highlight w:val="none"/>
        </w:rPr>
        <w:t>配电房改造工程</w:t>
      </w:r>
    </w:p>
    <w:p w14:paraId="5A8E98AB">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浙江财经大学图书馆配电房更新工程位于杭州市钱塘区。本次主要为拆除配电房原有6台高压柜,18台低压柜,低压母线槽1组，变压器3台（2台800kVA变压器和1台1000KVA）等。新上6台高压柜，18台低压柜,低压母线槽1组，变压器3台（2台800kVA变压器和1台1000KVA），壁挂式直流屏1套，低压智能站控单元系统1套等。保电措施：电源从二号学院楼配电房引入电缆4*70-1*35至图书馆配电房（水泵及消防），原拆除的设备需搬运至学校指定地点。</w:t>
      </w:r>
      <w:r>
        <w:rPr>
          <w:rFonts w:hint="eastAsia" w:ascii="仿宋" w:hAnsi="仿宋" w:eastAsia="仿宋" w:cs="仿宋"/>
          <w:sz w:val="24"/>
          <w:szCs w:val="24"/>
          <w:highlight w:val="none"/>
        </w:rPr>
        <w:t>具体详见图纸和工程量清单及项目需求。</w:t>
      </w:r>
    </w:p>
    <w:p w14:paraId="1440496F">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低压智能站控</w:t>
      </w:r>
      <w:r>
        <w:rPr>
          <w:rFonts w:hint="eastAsia" w:ascii="仿宋" w:hAnsi="仿宋" w:eastAsia="仿宋" w:cs="仿宋"/>
          <w:sz w:val="24"/>
          <w:szCs w:val="24"/>
          <w:highlight w:val="none"/>
          <w:lang w:val="en-US" w:eastAsia="zh-CN"/>
        </w:rPr>
        <w:t>单元系统</w:t>
      </w:r>
      <w:r>
        <w:rPr>
          <w:rFonts w:hint="eastAsia" w:ascii="仿宋" w:hAnsi="仿宋" w:eastAsia="仿宋" w:cs="仿宋"/>
          <w:sz w:val="24"/>
          <w:szCs w:val="24"/>
          <w:highlight w:val="none"/>
        </w:rPr>
        <w:t>终端</w:t>
      </w:r>
    </w:p>
    <w:p w14:paraId="26BFFB57">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为保证配电线路的供电安全可靠，满足日常巡检和故障消缺的高效运维需求，需要在变配电站现场布置一台1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英寸</w:t>
      </w:r>
      <w:r>
        <w:rPr>
          <w:rFonts w:hint="eastAsia" w:ascii="仿宋" w:hAnsi="仿宋" w:eastAsia="仿宋" w:cs="仿宋"/>
          <w:sz w:val="24"/>
          <w:szCs w:val="24"/>
          <w:highlight w:val="none"/>
          <w:lang w:val="en-US" w:eastAsia="zh-CN"/>
        </w:rPr>
        <w:t>或以上</w:t>
      </w:r>
      <w:r>
        <w:rPr>
          <w:rFonts w:hint="eastAsia" w:ascii="仿宋" w:hAnsi="仿宋" w:eastAsia="仿宋" w:cs="仿宋"/>
          <w:sz w:val="24"/>
          <w:szCs w:val="24"/>
          <w:highlight w:val="none"/>
        </w:rPr>
        <w:t>智能站控单元，盘柜安装。智能站控单元具备故障预警及诊断功能，对系统中关键回路（配电室内的进线、母联回路及重要馈线回路）做全面的监测管理，发布关于配电系统的运行和告警信息，提供预警，避免故障停电；提供故障前后的数据，帮助快速定位故障，隔离故障源；监测中低压电气设备的全生命周期的运行数据，并提供预测性维护，最大程度降低停电风险。</w:t>
      </w:r>
    </w:p>
    <w:p w14:paraId="7D8CFF42">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低压智能站控终端功能要求：</w:t>
      </w:r>
    </w:p>
    <w:p w14:paraId="656AD7D4">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智能站控终端应采用工业级触屏电脑，在工业级电脑中配置主流的计算机硬件，选配不低于酷睿i3 CPU，选配16G及以上内存，选配256 G以上硬盘存储，支持2个有线网络接口。</w:t>
      </w:r>
    </w:p>
    <w:p w14:paraId="26AB3177">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显示单元显示分辨率不低于1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英寸以上TFT显示屏，五点投射式电容触控，显示分辨率不低于1920x1080。</w:t>
      </w:r>
    </w:p>
    <w:p w14:paraId="2625FC6F">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通过单线图的形式，清晰呈现关键回路上下级关系，实现单线图动态着色，表征断路器开关位置变化信息。提供配电站的柜面视图，动态表征断路器开关的位置变化信息，柜面视图与单线图之间形成导览式快速跳转。</w:t>
      </w:r>
    </w:p>
    <w:p w14:paraId="343EF301">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应按照配电结构中断路器的上下游关系，进行断路器的上下游开关保护的校验检查分析界面，提供分析报告，供运维人员进行判定。</w:t>
      </w:r>
    </w:p>
    <w:p w14:paraId="457DD28D">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应基于配电站房场景构建配电盘布局3D效果模型，对柜内设备告警，提供高亮着色。用户能够自行操作旋转画面，选择所需要的视角，查看站内盘柜。</w:t>
      </w:r>
    </w:p>
    <w:p w14:paraId="21CE00B3">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提供全配电室内关键断路器的维护分析，应提供对关键智能断路器的老化分析功能，分析数据应综合评判断路器的运行数据，包括分合次数、跳闸次数、短路分断电流大小、负载率运行时长等数据，根据断路器的运行特性，通过数学模型评估断路器的老化程度，帮助进行预测性维护、实现视情合理运维。</w:t>
      </w:r>
    </w:p>
    <w:p w14:paraId="107294AD">
      <w:pPr>
        <w:adjustRightInd/>
        <w:spacing w:line="360" w:lineRule="auto"/>
        <w:ind w:left="67" w:right="67"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提供故障预警功能：系统应能提供丰富的预警功能，提前对断路器及系统的隐患进行警示；应提供关键指标参数的运行偏差提示，如开关状态、运行电流、断路器容量、进线回路电压谐波畸变率以及功率因数等。</w:t>
      </w:r>
    </w:p>
    <w:p w14:paraId="2E9968F8">
      <w:pPr>
        <w:adjustRightInd/>
        <w:spacing w:line="360" w:lineRule="auto"/>
        <w:ind w:left="67" w:right="67" w:firstLine="42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应具备数据转发的能力，上层系统可以通过智能管理单元获取南向通讯设备的实时读数，以及智能管理单元给出的关键智能断路器的老化分析数据。</w:t>
      </w:r>
    </w:p>
    <w:p w14:paraId="43AB1E9B">
      <w:pPr>
        <w:keepNext/>
        <w:keepLines/>
        <w:widowControl w:val="0"/>
        <w:numPr>
          <w:ilvl w:val="0"/>
          <w:numId w:val="27"/>
        </w:numPr>
        <w:spacing w:line="360" w:lineRule="auto"/>
        <w:ind w:firstLine="482" w:firstLineChars="200"/>
        <w:jc w:val="both"/>
        <w:outlineLvl w:val="1"/>
        <w:rPr>
          <w:rFonts w:hint="eastAsia" w:ascii="仿宋" w:hAnsi="仿宋" w:eastAsia="仿宋" w:cs="仿宋"/>
          <w:b/>
          <w:bCs/>
          <w:kern w:val="2"/>
          <w:sz w:val="24"/>
          <w:szCs w:val="24"/>
          <w:highlight w:val="none"/>
          <w:lang w:val="en-US" w:eastAsia="zh-CN" w:bidi="ar-SA"/>
        </w:rPr>
      </w:pPr>
      <w:bookmarkStart w:id="70" w:name="_Toc11610"/>
      <w:r>
        <w:rPr>
          <w:rFonts w:hint="eastAsia" w:ascii="仿宋" w:hAnsi="仿宋" w:eastAsia="仿宋" w:cs="仿宋"/>
          <w:b/>
          <w:bCs/>
          <w:kern w:val="2"/>
          <w:sz w:val="24"/>
          <w:szCs w:val="24"/>
          <w:highlight w:val="none"/>
          <w:lang w:val="en-US" w:eastAsia="zh-CN" w:bidi="ar-SA"/>
        </w:rPr>
        <w:t>采购范围及要求</w:t>
      </w:r>
      <w:bookmarkEnd w:id="70"/>
    </w:p>
    <w:p w14:paraId="1208326F">
      <w:pPr>
        <w:widowControl w:val="0"/>
        <w:spacing w:line="360"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1、主要改造内容具体详见工程技术规范及工程量清单、图纸。</w:t>
      </w:r>
    </w:p>
    <w:p w14:paraId="0D593963">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2、本采购文件中列出的工程量清单是根据图纸及相关规范计算得出，作为各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共同报价的基础，报价人不得修改其内容及数量；</w:t>
      </w:r>
    </w:p>
    <w:p w14:paraId="2B4AE002">
      <w:pPr>
        <w:autoSpaceDE w:val="0"/>
        <w:autoSpaceDN w:val="0"/>
        <w:adjustRightInd/>
        <w:snapToGrid w:val="0"/>
        <w:spacing w:line="360" w:lineRule="auto"/>
        <w:ind w:firstLine="480" w:firstLineChars="200"/>
        <w:textAlignment w:val="bottom"/>
        <w:rPr>
          <w:rFonts w:hint="eastAsia" w:ascii="仿宋" w:hAnsi="仿宋" w:eastAsia="仿宋" w:cs="仿宋"/>
          <w:b w:val="0"/>
          <w:bCs w:val="0"/>
          <w:sz w:val="24"/>
          <w:szCs w:val="24"/>
          <w:highlight w:val="none"/>
          <w:lang w:eastAsia="zh-CN"/>
        </w:rPr>
      </w:pPr>
      <w:r>
        <w:rPr>
          <w:rFonts w:hint="eastAsia" w:ascii="仿宋" w:hAnsi="仿宋" w:eastAsia="仿宋" w:cs="仿宋"/>
          <w:sz w:val="24"/>
          <w:szCs w:val="24"/>
          <w:highlight w:val="none"/>
        </w:rPr>
        <w:t>3、供应商应对施工现场进行踏勘，充分了解现场情况，如有施工图纸中未明确或清单中未列入的，但是项目实施所必须的，是通过工程验收所必备的内容，请供应商在磋商过程中提出，否则采购人将视这些内容的价格已包含在磋商价中。</w:t>
      </w:r>
      <w:r>
        <w:rPr>
          <w:rFonts w:hint="eastAsia" w:ascii="仿宋" w:hAnsi="仿宋" w:eastAsia="仿宋" w:cs="仿宋"/>
          <w:b w:val="0"/>
          <w:bCs w:val="0"/>
          <w:sz w:val="24"/>
          <w:szCs w:val="24"/>
          <w:highlight w:val="none"/>
          <w:lang w:eastAsia="zh-CN"/>
        </w:rPr>
        <w:t>现场实地踏勘联系人：何老师（电话：</w:t>
      </w:r>
      <w:r>
        <w:rPr>
          <w:rFonts w:hint="eastAsia" w:ascii="仿宋" w:hAnsi="仿宋" w:eastAsia="仿宋" w:cs="仿宋"/>
          <w:b w:val="0"/>
          <w:bCs w:val="0"/>
          <w:sz w:val="24"/>
          <w:szCs w:val="24"/>
          <w:highlight w:val="none"/>
          <w:lang w:val="en-US" w:eastAsia="zh-CN"/>
        </w:rPr>
        <w:t>0571-87557190</w:t>
      </w:r>
      <w:r>
        <w:rPr>
          <w:rFonts w:hint="eastAsia" w:ascii="仿宋" w:hAnsi="仿宋" w:eastAsia="仿宋" w:cs="仿宋"/>
          <w:b w:val="0"/>
          <w:bCs w:val="0"/>
          <w:sz w:val="24"/>
          <w:szCs w:val="24"/>
          <w:highlight w:val="none"/>
          <w:lang w:eastAsia="zh-CN"/>
        </w:rPr>
        <w:t>）。</w:t>
      </w:r>
    </w:p>
    <w:p w14:paraId="1626D477">
      <w:pPr>
        <w:autoSpaceDE w:val="0"/>
        <w:autoSpaceDN w:val="0"/>
        <w:adjustRightInd/>
        <w:snapToGrid w:val="0"/>
        <w:spacing w:line="360" w:lineRule="auto"/>
        <w:ind w:firstLine="482" w:firstLineChars="200"/>
        <w:textAlignment w:val="bottom"/>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4、▲工期：</w:t>
      </w:r>
      <w:r>
        <w:rPr>
          <w:rFonts w:hint="eastAsia" w:ascii="仿宋" w:hAnsi="仿宋" w:eastAsia="仿宋" w:cs="仿宋"/>
          <w:b/>
          <w:bCs/>
          <w:sz w:val="24"/>
          <w:szCs w:val="24"/>
          <w:highlight w:val="none"/>
          <w:lang w:val="en-US" w:eastAsia="zh-CN"/>
        </w:rPr>
        <w:t>45</w:t>
      </w:r>
      <w:r>
        <w:rPr>
          <w:rFonts w:hint="eastAsia" w:ascii="仿宋" w:hAnsi="仿宋" w:eastAsia="仿宋" w:cs="仿宋"/>
          <w:b/>
          <w:bCs/>
          <w:sz w:val="24"/>
          <w:szCs w:val="24"/>
          <w:highlight w:val="none"/>
        </w:rPr>
        <w:t>个日历</w:t>
      </w:r>
      <w:r>
        <w:rPr>
          <w:rFonts w:hint="eastAsia" w:ascii="仿宋" w:hAnsi="仿宋" w:eastAsia="仿宋" w:cs="仿宋"/>
          <w:b/>
          <w:bCs/>
          <w:sz w:val="24"/>
          <w:szCs w:val="24"/>
          <w:highlight w:val="none"/>
          <w:lang w:eastAsia="zh-CN"/>
        </w:rPr>
        <w:t>天</w:t>
      </w:r>
      <w:r>
        <w:rPr>
          <w:rFonts w:hint="eastAsia" w:ascii="仿宋" w:hAnsi="仿宋" w:eastAsia="仿宋" w:cs="仿宋"/>
          <w:b/>
          <w:bCs/>
          <w:sz w:val="24"/>
          <w:szCs w:val="24"/>
          <w:highlight w:val="none"/>
        </w:rPr>
        <w:t>。</w:t>
      </w:r>
    </w:p>
    <w:p w14:paraId="3E77CCDA">
      <w:pPr>
        <w:autoSpaceDE w:val="0"/>
        <w:autoSpaceDN w:val="0"/>
        <w:adjustRightInd/>
        <w:snapToGrid w:val="0"/>
        <w:spacing w:line="360" w:lineRule="auto"/>
        <w:ind w:firstLine="482" w:firstLineChars="200"/>
        <w:textAlignment w:val="bottom"/>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5、▲保修期：自</w:t>
      </w:r>
      <w:r>
        <w:rPr>
          <w:rFonts w:hint="eastAsia" w:ascii="仿宋" w:hAnsi="仿宋" w:eastAsia="仿宋" w:cs="仿宋"/>
          <w:b/>
          <w:bCs/>
          <w:sz w:val="24"/>
          <w:szCs w:val="24"/>
          <w:highlight w:val="none"/>
          <w:lang w:eastAsia="zh-CN"/>
        </w:rPr>
        <w:t>采购人</w:t>
      </w:r>
      <w:r>
        <w:rPr>
          <w:rFonts w:hint="eastAsia" w:ascii="仿宋" w:hAnsi="仿宋" w:eastAsia="仿宋" w:cs="仿宋"/>
          <w:b/>
          <w:bCs/>
          <w:sz w:val="24"/>
          <w:szCs w:val="24"/>
          <w:highlight w:val="none"/>
        </w:rPr>
        <w:t>验收合格之日起两年为质保期，在免费保修期内，</w:t>
      </w:r>
      <w:r>
        <w:rPr>
          <w:rFonts w:hint="eastAsia" w:ascii="仿宋" w:hAnsi="仿宋" w:eastAsia="仿宋" w:cs="仿宋"/>
          <w:b/>
          <w:bCs/>
          <w:sz w:val="24"/>
          <w:szCs w:val="24"/>
          <w:highlight w:val="none"/>
          <w:lang w:eastAsia="zh-CN"/>
        </w:rPr>
        <w:t>供应商</w:t>
      </w:r>
      <w:r>
        <w:rPr>
          <w:rFonts w:hint="eastAsia" w:ascii="仿宋" w:hAnsi="仿宋" w:eastAsia="仿宋" w:cs="仿宋"/>
          <w:b/>
          <w:bCs/>
          <w:sz w:val="24"/>
          <w:szCs w:val="24"/>
          <w:highlight w:val="none"/>
        </w:rPr>
        <w:t>对有缺陷的部位必须无偿地给予修理与更换，并承担一切由此引起的对招标人或第三者的直接损失，除非该缺陷是由于人为破坏或合同规定的不可抗因素造成的损坏。</w:t>
      </w:r>
    </w:p>
    <w:p w14:paraId="05080911">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.付款条件（进度和方式）</w:t>
      </w:r>
    </w:p>
    <w:p w14:paraId="4B4286FF">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合同签订提交履约保证金后，支付合同价的40%工程款为预付款；竣工验收合格后支付至合同价的85%；工程结算审计完成，缴纳结算价1.5%的质保金后，支付至结算价的100%。</w:t>
      </w:r>
    </w:p>
    <w:p w14:paraId="441CB18C">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履约保证金、质保金缴纳形式：可以以支票、汇票、本票或者金融机构、担保机构出具的保函等非现金形式提交。履约保证金的数额</w:t>
      </w:r>
      <w:r>
        <w:rPr>
          <w:rFonts w:hint="eastAsia" w:ascii="仿宋" w:hAnsi="仿宋" w:eastAsia="仿宋" w:cs="仿宋"/>
          <w:sz w:val="24"/>
          <w:szCs w:val="24"/>
          <w:highlight w:val="none"/>
          <w:lang w:eastAsia="zh-CN"/>
        </w:rPr>
        <w:t>为</w:t>
      </w:r>
      <w:r>
        <w:rPr>
          <w:rFonts w:hint="eastAsia" w:ascii="仿宋" w:hAnsi="仿宋" w:eastAsia="仿宋" w:cs="仿宋"/>
          <w:sz w:val="24"/>
          <w:szCs w:val="24"/>
          <w:highlight w:val="none"/>
        </w:rPr>
        <w:t>合同金额的2%，鼓励和支持供应商以银行、保险公司出具的保函形式提供履约保证金。</w:t>
      </w:r>
    </w:p>
    <w:p w14:paraId="3C3F4794">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竣工验收合格后可退还履约保证金。缺陷责任期满后扣除应扣部分无息退还质保金。</w:t>
      </w:r>
    </w:p>
    <w:p w14:paraId="371700A9">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承包人提交预付款担保的期限：预付款支付前7个工作日。预付款担保的形式为：等额保函（如主动要求降低预付款或者无需预付款的，保函金额随预付款金额降低。保函有效期至本项目竣工验收合格之日）。</w:t>
      </w:r>
    </w:p>
    <w:p w14:paraId="64CB6C07">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必须对所承包的工程的质量负全部责任，其责任不因其他材料生产商提供的保证书而减轻或更改。</w:t>
      </w:r>
    </w:p>
    <w:p w14:paraId="1F3B20BB">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、所有设备均需提供到货产品采购凭证</w:t>
      </w:r>
      <w:r>
        <w:rPr>
          <w:rFonts w:hint="eastAsia" w:ascii="仿宋" w:hAnsi="仿宋" w:eastAsia="仿宋" w:cs="仿宋"/>
          <w:sz w:val="24"/>
          <w:szCs w:val="24"/>
          <w:highlight w:val="none"/>
          <w:lang w:eastAsia="zh-CN"/>
        </w:rPr>
        <w:t>；</w:t>
      </w:r>
    </w:p>
    <w:p w14:paraId="24755D92">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施工时注意做好必要的劳动保护工作。</w:t>
      </w:r>
    </w:p>
    <w:p w14:paraId="61FF4E9E">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成交</w:t>
      </w:r>
      <w:r>
        <w:rPr>
          <w:rFonts w:hint="eastAsia" w:ascii="仿宋" w:hAnsi="仿宋" w:eastAsia="仿宋" w:cs="仿宋"/>
          <w:sz w:val="24"/>
          <w:szCs w:val="24"/>
          <w:highlight w:val="none"/>
        </w:rPr>
        <w:t>后需提供项目施工管理人员、施工组织方案、报价清单（需提供清单项目综合单价的计算分析和工料机分析、主材价格表）等资料，装订成册。</w:t>
      </w:r>
    </w:p>
    <w:p w14:paraId="17BC722D">
      <w:pPr>
        <w:autoSpaceDE w:val="0"/>
        <w:autoSpaceDN w:val="0"/>
        <w:adjustRightInd/>
        <w:snapToGrid w:val="0"/>
        <w:spacing w:line="360" w:lineRule="auto"/>
        <w:ind w:firstLine="482" w:firstLineChars="200"/>
        <w:textAlignment w:val="bottom"/>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11</w:t>
      </w:r>
      <w:r>
        <w:rPr>
          <w:rFonts w:hint="eastAsia" w:ascii="仿宋" w:hAnsi="仿宋" w:eastAsia="仿宋" w:cs="仿宋"/>
          <w:b/>
          <w:bCs/>
          <w:sz w:val="24"/>
          <w:szCs w:val="24"/>
          <w:highlight w:val="none"/>
        </w:rPr>
        <w:t>、因本工程为改造项目，所以</w:t>
      </w:r>
      <w:r>
        <w:rPr>
          <w:rFonts w:hint="eastAsia" w:ascii="仿宋" w:hAnsi="仿宋" w:eastAsia="仿宋" w:cs="仿宋"/>
          <w:b/>
          <w:bCs/>
          <w:sz w:val="24"/>
          <w:szCs w:val="24"/>
          <w:highlight w:val="none"/>
          <w:lang w:eastAsia="zh-CN"/>
        </w:rPr>
        <w:t>成交</w:t>
      </w:r>
      <w:r>
        <w:rPr>
          <w:rFonts w:hint="eastAsia" w:ascii="仿宋" w:hAnsi="仿宋" w:eastAsia="仿宋" w:cs="仿宋"/>
          <w:b/>
          <w:bCs/>
          <w:sz w:val="24"/>
          <w:szCs w:val="24"/>
          <w:highlight w:val="none"/>
        </w:rPr>
        <w:t>单位需要对原有物品、设备设施进行拆卸，并按要求堆放到学校指定位置，投标单位报价需含此部分费用。</w:t>
      </w:r>
    </w:p>
    <w:p w14:paraId="5F8B6BC5">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因本工程为改造项目，所以</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因施工需要拆除的顶棚、墙面和地面等的交界处装饰面，待施工完毕需做好此处装饰面的衔接过渡和恢复，由此产生的相应费用请在投标报价中考虑，一旦</w:t>
      </w:r>
      <w:r>
        <w:rPr>
          <w:rFonts w:hint="eastAsia" w:ascii="仿宋" w:hAnsi="仿宋" w:eastAsia="仿宋" w:cs="仿宋"/>
          <w:sz w:val="24"/>
          <w:szCs w:val="24"/>
          <w:highlight w:val="none"/>
          <w:lang w:eastAsia="zh-CN"/>
        </w:rPr>
        <w:t>成交</w:t>
      </w:r>
      <w:r>
        <w:rPr>
          <w:rFonts w:hint="eastAsia" w:ascii="仿宋" w:hAnsi="仿宋" w:eastAsia="仿宋" w:cs="仿宋"/>
          <w:sz w:val="24"/>
          <w:szCs w:val="24"/>
          <w:highlight w:val="none"/>
        </w:rPr>
        <w:t>后不调整。</w:t>
      </w:r>
    </w:p>
    <w:bookmarkEnd w:id="66"/>
    <w:bookmarkEnd w:id="67"/>
    <w:p w14:paraId="35A652EF">
      <w:pPr>
        <w:keepNext/>
        <w:keepLines/>
        <w:widowControl w:val="0"/>
        <w:spacing w:line="360" w:lineRule="auto"/>
        <w:ind w:firstLine="482" w:firstLineChars="200"/>
        <w:jc w:val="both"/>
        <w:outlineLvl w:val="1"/>
        <w:rPr>
          <w:rFonts w:hint="eastAsia" w:ascii="仿宋" w:hAnsi="仿宋" w:eastAsia="仿宋" w:cs="仿宋"/>
          <w:b/>
          <w:bCs/>
          <w:kern w:val="2"/>
          <w:sz w:val="24"/>
          <w:szCs w:val="24"/>
          <w:highlight w:val="none"/>
          <w:lang w:val="en-US" w:eastAsia="zh-CN" w:bidi="ar-SA"/>
        </w:rPr>
      </w:pPr>
      <w:bookmarkStart w:id="71" w:name="_Toc28441"/>
      <w:r>
        <w:rPr>
          <w:rFonts w:hint="eastAsia" w:ascii="仿宋" w:hAnsi="仿宋" w:eastAsia="仿宋" w:cs="仿宋"/>
          <w:b/>
          <w:bCs/>
          <w:kern w:val="2"/>
          <w:sz w:val="24"/>
          <w:szCs w:val="24"/>
          <w:highlight w:val="none"/>
          <w:lang w:val="en-US" w:eastAsia="zh-CN" w:bidi="ar-SA"/>
        </w:rPr>
        <w:t>四、材料设备质量要求</w:t>
      </w:r>
      <w:bookmarkEnd w:id="71"/>
    </w:p>
    <w:p w14:paraId="3CEE9AB2">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1、材料设备选择</w:t>
      </w:r>
    </w:p>
    <w:p w14:paraId="1A0E7373">
      <w:pPr>
        <w:widowControl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（1）本工程使用的原材料必须符合设计要求和施工规范的规定。</w:t>
      </w:r>
    </w:p>
    <w:p w14:paraId="05FD345D">
      <w:pPr>
        <w:widowControl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r>
        <w:rPr>
          <w:rFonts w:hint="eastAsia" w:ascii="仿宋" w:hAnsi="仿宋" w:eastAsia="仿宋" w:cs="仿宋"/>
          <w:b/>
          <w:color w:val="auto"/>
          <w:kern w:val="2"/>
          <w:sz w:val="24"/>
          <w:szCs w:val="24"/>
          <w:highlight w:val="none"/>
          <w:lang w:val="en-US" w:eastAsia="zh-CN" w:bidi="ar-SA"/>
        </w:rPr>
        <w:t>本章节附件1为“主要材料（设备）推荐品牌一览表”</w:t>
      </w:r>
      <w:r>
        <w:rPr>
          <w:rFonts w:hint="eastAsia" w:ascii="仿宋" w:hAnsi="仿宋" w:eastAsia="仿宋" w:cs="仿宋"/>
          <w:color w:val="auto"/>
          <w:kern w:val="2"/>
          <w:sz w:val="24"/>
          <w:szCs w:val="24"/>
          <w:highlight w:val="none"/>
          <w:lang w:val="en-US" w:eastAsia="zh-CN" w:bidi="ar-SA"/>
        </w:rPr>
        <w:t>。</w:t>
      </w:r>
    </w:p>
    <w:p w14:paraId="1855F94F">
      <w:pPr>
        <w:widowControl w:val="0"/>
        <w:adjustRightInd w:val="0"/>
        <w:snapToGrid w:val="0"/>
        <w:spacing w:line="360" w:lineRule="auto"/>
        <w:ind w:firstLine="482" w:firstLineChars="200"/>
        <w:jc w:val="both"/>
        <w:rPr>
          <w:rFonts w:hint="eastAsia" w:ascii="仿宋" w:hAnsi="仿宋" w:eastAsia="仿宋" w:cs="仿宋"/>
          <w:b/>
          <w:color w:val="auto"/>
          <w:kern w:val="2"/>
          <w:sz w:val="24"/>
          <w:szCs w:val="24"/>
          <w:highlight w:val="none"/>
          <w:u w:val="single"/>
          <w:lang w:val="en-US" w:eastAsia="zh-CN" w:bidi="ar-SA"/>
        </w:rPr>
      </w:pPr>
      <w:r>
        <w:rPr>
          <w:rFonts w:hint="eastAsia" w:ascii="仿宋" w:hAnsi="仿宋" w:eastAsia="仿宋" w:cs="仿宋"/>
          <w:b/>
          <w:color w:val="auto"/>
          <w:kern w:val="2"/>
          <w:sz w:val="24"/>
          <w:szCs w:val="24"/>
          <w:highlight w:val="none"/>
          <w:u w:val="single"/>
          <w:lang w:val="en-US" w:eastAsia="zh-CN" w:bidi="ar-SA"/>
        </w:rPr>
        <w:t>采购文件中对主要材料设备品牌、规格、型号有推荐的，供应商应采用，并在“主要设备材料品牌表”中明确。如供应商没有按采购文件要求进行选择，或没有明确注明，或所选材料设备的材质、规格、颜色、档次与采购文件要求的存在明显差别，或虽按采购文件推荐的材料品牌选择但该材料因某种原因停产或其他原因而不能供应的，则实际施工过程中采购人有权在采购文件推荐的材料品牌中自行确定，且成交价格不予调整。</w:t>
      </w:r>
    </w:p>
    <w:p w14:paraId="07BA6112">
      <w:pPr>
        <w:autoSpaceDE w:val="0"/>
        <w:autoSpaceDN w:val="0"/>
        <w:adjustRightInd/>
        <w:snapToGrid w:val="0"/>
        <w:spacing w:line="360" w:lineRule="auto"/>
        <w:ind w:firstLine="482" w:firstLineChars="200"/>
        <w:textAlignment w:val="bottom"/>
        <w:rPr>
          <w:rFonts w:hint="eastAsia" w:ascii="仿宋" w:hAnsi="仿宋" w:eastAsia="仿宋" w:cs="仿宋"/>
          <w:b/>
          <w:sz w:val="24"/>
          <w:szCs w:val="24"/>
          <w:highlight w:val="none"/>
          <w:u w:val="single"/>
        </w:rPr>
      </w:pPr>
      <w:r>
        <w:rPr>
          <w:rFonts w:hint="eastAsia" w:ascii="仿宋" w:hAnsi="仿宋" w:eastAsia="仿宋" w:cs="仿宋"/>
          <w:b/>
          <w:sz w:val="24"/>
          <w:szCs w:val="24"/>
          <w:highlight w:val="none"/>
          <w:u w:val="single"/>
        </w:rPr>
        <w:t>采购文件中对材料的品牌、规格、型号没有具体规定的，由磋商响应人按采购文件及施工图的要求进行响应报价，并在“主要设备材料品牌表”里注明所选材料设备的品牌、规格、型号，若磋商响应人没有进行注明的，则采购人有权指定品牌，成交价格不调整。</w:t>
      </w:r>
    </w:p>
    <w:p w14:paraId="6CEE9BF7">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3、材料的质量保证</w:t>
      </w:r>
    </w:p>
    <w:p w14:paraId="30CFA5A6">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（1）在保修期内，承包人对有缺陷的部位必须无偿地给予修理与更换，并承担一切由此引起的对发包人或使用单位的直接损失，除非该缺陷是由于人为破坏或合同规定的不可抗因素造成的损坏。</w:t>
      </w:r>
    </w:p>
    <w:p w14:paraId="77023FFA">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（2）承包人必须对所承包的工程的质量负全部责任，其责任不因产品制造商提供的保证书而减轻或更改。</w:t>
      </w:r>
    </w:p>
    <w:p w14:paraId="1B09E6C7">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（3）材料检验按政府部门相关规定的见证取样和送检规定的程序进行。凡检验结果证明其有害物质含量指标超标的产品不得在工程上使用。</w:t>
      </w:r>
    </w:p>
    <w:p w14:paraId="04B67D4C">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4、供应要求</w:t>
      </w:r>
    </w:p>
    <w:p w14:paraId="475500D0">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1）本次采购范围内的建筑施工材料均由承包人根据本磋商文件、设计图纸和国家有关规定的具体要求进行采购、运输、检验、保管，但采购人保留变更和指定材料的权利；所有建筑材料须有产品合格证，质量保证书、国家规定的认证证书、报告。</w:t>
      </w:r>
    </w:p>
    <w:p w14:paraId="390837AB">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（2）由承包人采购的主要材料设备，当承包人选定的产品质量达不到设计要求和预期质量目标时，采购人保留更换的权利，且成交价不予调整。</w:t>
      </w:r>
    </w:p>
    <w:p w14:paraId="07270186">
      <w:pPr>
        <w:widowControl w:val="0"/>
        <w:adjustRightInd w:val="0"/>
        <w:snapToGrid w:val="0"/>
        <w:spacing w:line="360" w:lineRule="auto"/>
        <w:ind w:firstLine="482" w:firstLineChars="200"/>
        <w:jc w:val="both"/>
        <w:rPr>
          <w:rFonts w:hint="eastAsia" w:ascii="仿宋" w:hAnsi="仿宋" w:eastAsia="仿宋" w:cs="仿宋"/>
          <w:b/>
          <w:color w:val="auto"/>
          <w:kern w:val="2"/>
          <w:sz w:val="24"/>
          <w:szCs w:val="24"/>
          <w:highlight w:val="none"/>
          <w:u w:val="single"/>
          <w:lang w:val="en-US" w:eastAsia="zh-CN" w:bidi="ar-SA"/>
        </w:rPr>
      </w:pPr>
      <w:r>
        <w:rPr>
          <w:rFonts w:hint="eastAsia" w:ascii="仿宋" w:hAnsi="仿宋" w:eastAsia="仿宋" w:cs="仿宋"/>
          <w:b/>
          <w:color w:val="auto"/>
          <w:kern w:val="2"/>
          <w:sz w:val="24"/>
          <w:szCs w:val="24"/>
          <w:highlight w:val="none"/>
          <w:u w:val="single"/>
          <w:lang w:val="en-US" w:eastAsia="zh-CN" w:bidi="ar-SA"/>
        </w:rPr>
        <w:t>所采购设备应委派原厂专业人员现场指导安装及调试。</w:t>
      </w:r>
    </w:p>
    <w:bookmarkEnd w:id="63"/>
    <w:bookmarkEnd w:id="64"/>
    <w:bookmarkEnd w:id="65"/>
    <w:p w14:paraId="20BC2C95">
      <w:pPr>
        <w:keepNext/>
        <w:keepLines/>
        <w:widowControl w:val="0"/>
        <w:spacing w:line="360" w:lineRule="auto"/>
        <w:ind w:firstLine="482" w:firstLineChars="200"/>
        <w:jc w:val="both"/>
        <w:outlineLvl w:val="1"/>
        <w:rPr>
          <w:rFonts w:hint="eastAsia" w:ascii="仿宋" w:hAnsi="仿宋" w:eastAsia="仿宋" w:cs="仿宋"/>
          <w:b/>
          <w:bCs/>
          <w:kern w:val="2"/>
          <w:sz w:val="24"/>
          <w:szCs w:val="24"/>
          <w:highlight w:val="none"/>
          <w:lang w:val="en-US" w:eastAsia="zh-CN" w:bidi="ar-SA"/>
        </w:rPr>
      </w:pPr>
      <w:bookmarkStart w:id="72" w:name="_Toc430590632"/>
      <w:bookmarkStart w:id="73" w:name="_Toc15748"/>
      <w:bookmarkStart w:id="74" w:name="_Toc303030539"/>
      <w:bookmarkStart w:id="75" w:name="_Toc297728923"/>
      <w:r>
        <w:rPr>
          <w:rFonts w:hint="eastAsia" w:ascii="仿宋" w:hAnsi="仿宋" w:eastAsia="仿宋" w:cs="仿宋"/>
          <w:b/>
          <w:bCs/>
          <w:kern w:val="2"/>
          <w:sz w:val="24"/>
          <w:szCs w:val="24"/>
          <w:highlight w:val="none"/>
          <w:lang w:val="en-US" w:eastAsia="zh-CN" w:bidi="ar-SA"/>
        </w:rPr>
        <w:t>五、项目管理的要求</w:t>
      </w:r>
      <w:bookmarkEnd w:id="72"/>
      <w:bookmarkEnd w:id="73"/>
      <w:bookmarkEnd w:id="74"/>
      <w:bookmarkEnd w:id="75"/>
    </w:p>
    <w:p w14:paraId="72DF0F80">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1、采购范围内的工程项目</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未经发包人同意一律不得分包。一经发现立即取消承包资格，作违约处理，并承担由此引起的一切经济损失。</w:t>
      </w:r>
    </w:p>
    <w:p w14:paraId="09BF5667">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2、承包人无条件地接受发包人对施工质量的监督和管理。</w:t>
      </w:r>
    </w:p>
    <w:p w14:paraId="23663299">
      <w:pPr>
        <w:autoSpaceDE w:val="0"/>
        <w:autoSpaceDN w:val="0"/>
        <w:adjustRightInd/>
        <w:snapToGrid w:val="0"/>
        <w:spacing w:line="360" w:lineRule="auto"/>
        <w:ind w:firstLine="480" w:firstLineChars="200"/>
        <w:textAlignment w:val="bottom"/>
        <w:rPr>
          <w:rFonts w:hint="eastAsia" w:ascii="仿宋" w:hAnsi="仿宋" w:eastAsia="仿宋" w:cs="仿宋"/>
          <w:sz w:val="24"/>
          <w:szCs w:val="24"/>
          <w:highlight w:val="none"/>
        </w:rPr>
      </w:pPr>
      <w:r>
        <w:rPr>
          <w:rFonts w:hint="eastAsia" w:ascii="仿宋" w:hAnsi="仿宋" w:eastAsia="仿宋" w:cs="仿宋"/>
          <w:sz w:val="24"/>
          <w:szCs w:val="24"/>
          <w:highlight w:val="none"/>
        </w:rPr>
        <w:t>3、供应商在磋商响应文件中的承诺的管理人员未经发包人同意，承包人不得调换和撤离，并按工程进度及时到位。发包人有权要求施工单位撤换工作不负责任、管理不力、贻误工期和造成严重的安全事故和工程质量事故、违法乱纪的专业技术、管理人员直至技术负责人，直至发包人满意为止。如相应资质的专业技术人员未按要求到位，视作违约，发包人有权单方面终止合同。</w:t>
      </w:r>
    </w:p>
    <w:p w14:paraId="1F2DFC77">
      <w:pPr>
        <w:keepNext/>
        <w:keepLines/>
        <w:widowControl w:val="0"/>
        <w:spacing w:line="360" w:lineRule="auto"/>
        <w:ind w:firstLine="482" w:firstLineChars="200"/>
        <w:jc w:val="both"/>
        <w:outlineLvl w:val="1"/>
        <w:rPr>
          <w:rFonts w:hint="eastAsia" w:ascii="仿宋" w:hAnsi="仿宋" w:eastAsia="仿宋" w:cs="仿宋"/>
          <w:b/>
          <w:bCs/>
          <w:kern w:val="2"/>
          <w:sz w:val="24"/>
          <w:szCs w:val="24"/>
          <w:highlight w:val="none"/>
          <w:lang w:val="en-US" w:eastAsia="zh-CN" w:bidi="ar-SA"/>
        </w:rPr>
      </w:pPr>
      <w:bookmarkStart w:id="76" w:name="_Toc430590633"/>
      <w:bookmarkStart w:id="77" w:name="_Toc15484"/>
      <w:r>
        <w:rPr>
          <w:rFonts w:hint="eastAsia" w:ascii="仿宋" w:hAnsi="仿宋" w:eastAsia="仿宋" w:cs="仿宋"/>
          <w:b/>
          <w:bCs/>
          <w:kern w:val="2"/>
          <w:sz w:val="24"/>
          <w:szCs w:val="24"/>
          <w:highlight w:val="none"/>
          <w:lang w:val="en-US" w:eastAsia="zh-CN" w:bidi="ar-SA"/>
        </w:rPr>
        <w:t>六、验收要求</w:t>
      </w:r>
      <w:bookmarkEnd w:id="76"/>
      <w:bookmarkEnd w:id="77"/>
    </w:p>
    <w:p w14:paraId="09429406">
      <w:pPr>
        <w:snapToGrid w:val="0"/>
        <w:spacing w:line="360" w:lineRule="auto"/>
        <w:ind w:firstLine="422"/>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程质量要求达到相关国家验收规范合格标准。确保本工程通过项目所在地电力部门的审批、验收合格、正式通电投入使用，并协助采购人。做好与电力部门的沟通、申请、审批、文件递交等相关事宜。供应商按规范进行施工，直至通过采购人组织的验收，验收过程中，如有不满足磋商文件规定要求及不符合国家相关规范要求的，由供应商负责整改，费用自理。</w:t>
      </w:r>
    </w:p>
    <w:p w14:paraId="151E6F7B">
      <w:pPr>
        <w:snapToGrid w:val="0"/>
        <w:spacing w:line="360" w:lineRule="auto"/>
        <w:ind w:firstLine="422"/>
        <w:rPr>
          <w:rFonts w:hint="eastAsia" w:ascii="仿宋" w:hAnsi="仿宋" w:eastAsia="仿宋" w:cs="仿宋"/>
          <w:b/>
          <w:bCs/>
          <w:sz w:val="24"/>
          <w:szCs w:val="24"/>
          <w:highlight w:val="none"/>
          <w:u w:val="none"/>
          <w:lang w:eastAsia="zh-CN"/>
        </w:rPr>
      </w:pPr>
      <w:r>
        <w:rPr>
          <w:rFonts w:hint="eastAsia" w:ascii="仿宋" w:hAnsi="仿宋" w:eastAsia="仿宋" w:cs="仿宋"/>
          <w:b/>
          <w:bCs/>
          <w:sz w:val="24"/>
          <w:szCs w:val="24"/>
          <w:highlight w:val="none"/>
          <w:u w:val="none"/>
          <w:lang w:eastAsia="zh-CN"/>
        </w:rPr>
        <w:t>七、技术响应要求</w:t>
      </w:r>
    </w:p>
    <w:p w14:paraId="740BC354">
      <w:pPr>
        <w:numPr>
          <w:ilvl w:val="0"/>
          <w:numId w:val="0"/>
        </w:num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1</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派驻现场的工程施工人员配置情况,人数的充足性，分工合理性情况。</w:t>
      </w:r>
    </w:p>
    <w:p w14:paraId="2373920F">
      <w:pPr>
        <w:numPr>
          <w:ilvl w:val="0"/>
          <w:numId w:val="0"/>
        </w:numPr>
        <w:snapToGrid w:val="0"/>
        <w:spacing w:line="360" w:lineRule="auto"/>
        <w:ind w:left="0" w:leftChars="0" w:firstLine="482" w:firstLineChars="200"/>
        <w:rPr>
          <w:rFonts w:hint="eastAsia" w:ascii="仿宋" w:hAnsi="仿宋" w:eastAsia="仿宋" w:cs="仿宋"/>
          <w:b/>
          <w:bCs/>
          <w:color w:val="000000" w:themeColor="text1"/>
          <w:sz w:val="24"/>
          <w:highlight w:val="none"/>
          <w:lang w:eastAsia="zh-CN"/>
          <w14:textFill>
            <w14:solidFill>
              <w14:schemeClr w14:val="tx1"/>
            </w14:solidFill>
          </w14:textFill>
        </w:rPr>
      </w:pPr>
      <w: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t>2</w:t>
      </w:r>
      <w:r>
        <w:rPr>
          <w:rFonts w:hint="eastAsia" w:ascii="仿宋" w:hAnsi="仿宋" w:eastAsia="仿宋" w:cs="仿宋"/>
          <w:sz w:val="24"/>
          <w:szCs w:val="24"/>
          <w:highlight w:val="none"/>
        </w:rPr>
        <w:t>、</w:t>
      </w:r>
      <w:r>
        <w:rPr>
          <w:rFonts w:hint="eastAsia" w:ascii="仿宋" w:hAnsi="仿宋" w:eastAsia="仿宋" w:cs="仿宋"/>
          <w:b/>
          <w:bCs/>
          <w:color w:val="000000" w:themeColor="text1"/>
          <w:sz w:val="24"/>
          <w:highlight w:val="none"/>
          <w14:textFill>
            <w14:solidFill>
              <w14:schemeClr w14:val="tx1"/>
            </w14:solidFill>
          </w14:textFill>
        </w:rPr>
        <w:t>项目负责人：▲拟派项目</w:t>
      </w:r>
      <w:r>
        <w:rPr>
          <w:rFonts w:hint="eastAsia" w:ascii="仿宋" w:hAnsi="仿宋" w:eastAsia="仿宋" w:cs="仿宋"/>
          <w:b/>
          <w:bCs/>
          <w:color w:val="000000" w:themeColor="text1"/>
          <w:sz w:val="24"/>
          <w:highlight w:val="none"/>
          <w:lang w:eastAsia="zh-CN"/>
          <w14:textFill>
            <w14:solidFill>
              <w14:schemeClr w14:val="tx1"/>
            </w14:solidFill>
          </w14:textFill>
        </w:rPr>
        <w:t>负责人</w:t>
      </w:r>
      <w:r>
        <w:rPr>
          <w:rFonts w:hint="eastAsia" w:ascii="仿宋" w:hAnsi="仿宋" w:eastAsia="仿宋" w:cs="仿宋"/>
          <w:b/>
          <w:bCs/>
          <w:color w:val="000000" w:themeColor="text1"/>
          <w:sz w:val="24"/>
          <w:highlight w:val="none"/>
          <w14:textFill>
            <w14:solidFill>
              <w14:schemeClr w14:val="tx1"/>
            </w14:solidFill>
          </w14:textFill>
        </w:rPr>
        <w:t>具有机电工程专业二级及以上建造师注册证书</w:t>
      </w:r>
      <w:r>
        <w:rPr>
          <w:rFonts w:hint="eastAsia" w:ascii="仿宋" w:hAnsi="仿宋" w:eastAsia="仿宋" w:cs="仿宋"/>
          <w:b/>
          <w:bCs/>
          <w:color w:val="000000" w:themeColor="text1"/>
          <w:sz w:val="24"/>
          <w:highlight w:val="none"/>
          <w:lang w:val="en-US" w:eastAsia="zh-CN"/>
          <w14:textFill>
            <w14:solidFill>
              <w14:schemeClr w14:val="tx1"/>
            </w14:solidFill>
          </w14:textFill>
        </w:rPr>
        <w:t>及“三类人员”B类证书,</w:t>
      </w:r>
      <w:r>
        <w:rPr>
          <w:rFonts w:hint="eastAsia" w:ascii="仿宋" w:hAnsi="仿宋" w:eastAsia="仿宋" w:cs="仿宋"/>
          <w:b/>
          <w:bCs/>
          <w:color w:val="000000" w:themeColor="text1"/>
          <w:sz w:val="24"/>
          <w:highlight w:val="none"/>
          <w14:textFill>
            <w14:solidFill>
              <w14:schemeClr w14:val="tx1"/>
            </w14:solidFill>
          </w14:textFill>
        </w:rPr>
        <w:t>须提供证书复印件</w:t>
      </w:r>
      <w:r>
        <w:rPr>
          <w:rFonts w:hint="eastAsia" w:ascii="仿宋" w:hAnsi="仿宋" w:eastAsia="仿宋" w:cs="仿宋"/>
          <w:b/>
          <w:bCs/>
          <w:color w:val="000000" w:themeColor="text1"/>
          <w:sz w:val="24"/>
          <w:highlight w:val="none"/>
          <w:lang w:eastAsia="zh-CN"/>
          <w14:textFill>
            <w14:solidFill>
              <w14:schemeClr w14:val="tx1"/>
            </w14:solidFill>
          </w14:textFill>
        </w:rPr>
        <w:t>及三个月来任意时间的社保证明扫描件。</w:t>
      </w:r>
    </w:p>
    <w:p w14:paraId="0B31A06B">
      <w:pPr>
        <w:numPr>
          <w:ilvl w:val="0"/>
          <w:numId w:val="0"/>
        </w:numPr>
        <w:snapToGrid w:val="0"/>
        <w:spacing w:line="360" w:lineRule="auto"/>
        <w:ind w:left="0" w:leftChars="0" w:firstLine="480" w:firstLineChars="200"/>
        <w:rPr>
          <w:rFonts w:hint="eastAsia" w:ascii="仿宋" w:hAnsi="仿宋" w:eastAsia="仿宋" w:cs="仿宋"/>
          <w:b w:val="0"/>
          <w:bCs w:val="0"/>
          <w:color w:val="000000" w:themeColor="text1"/>
          <w:sz w:val="24"/>
          <w:highlight w:val="none"/>
          <w14:textFill>
            <w14:solidFill>
              <w14:schemeClr w14:val="tx1"/>
            </w14:solidFill>
          </w14:textFill>
        </w:rPr>
      </w:pPr>
      <w:r>
        <w:rPr>
          <w:rFonts w:hint="eastAsia" w:ascii="仿宋" w:hAnsi="仿宋" w:eastAsia="仿宋" w:cs="仿宋"/>
          <w:b w:val="0"/>
          <w:bCs w:val="0"/>
          <w:color w:val="000000" w:themeColor="text1"/>
          <w:kern w:val="2"/>
          <w:sz w:val="24"/>
          <w:szCs w:val="24"/>
          <w:highlight w:val="none"/>
          <w:lang w:val="en-US" w:eastAsia="zh-CN" w:bidi="ar-SA"/>
          <w14:textFill>
            <w14:solidFill>
              <w14:schemeClr w14:val="tx1"/>
            </w14:solidFill>
          </w14:textFill>
        </w:rPr>
        <w:t>3</w:t>
      </w:r>
      <w:r>
        <w:rPr>
          <w:rFonts w:hint="eastAsia" w:ascii="仿宋" w:hAnsi="仿宋" w:eastAsia="仿宋" w:cs="仿宋"/>
          <w:sz w:val="24"/>
          <w:szCs w:val="24"/>
          <w:highlight w:val="none"/>
        </w:rPr>
        <w:t>、</w:t>
      </w:r>
      <w:r>
        <w:rPr>
          <w:rFonts w:hint="eastAsia" w:ascii="仿宋" w:hAnsi="仿宋" w:eastAsia="仿宋" w:cs="仿宋"/>
          <w:b w:val="0"/>
          <w:bCs w:val="0"/>
          <w:color w:val="000000" w:themeColor="text1"/>
          <w:sz w:val="24"/>
          <w:highlight w:val="none"/>
          <w:lang w:eastAsia="zh-CN"/>
          <w14:textFill>
            <w14:solidFill>
              <w14:schemeClr w14:val="tx1"/>
            </w14:solidFill>
          </w14:textFill>
        </w:rPr>
        <w:t>项目负责人及</w:t>
      </w:r>
      <w:r>
        <w:rPr>
          <w:rFonts w:hint="eastAsia" w:ascii="仿宋" w:hAnsi="仿宋" w:eastAsia="仿宋" w:cs="仿宋"/>
          <w:b w:val="0"/>
          <w:bCs w:val="0"/>
          <w:color w:val="000000" w:themeColor="text1"/>
          <w:sz w:val="24"/>
          <w:highlight w:val="none"/>
          <w14:textFill>
            <w14:solidFill>
              <w14:schemeClr w14:val="tx1"/>
            </w14:solidFill>
          </w14:textFill>
        </w:rPr>
        <w:t>技术负责人</w:t>
      </w:r>
      <w:r>
        <w:rPr>
          <w:rFonts w:hint="eastAsia" w:ascii="仿宋" w:hAnsi="仿宋" w:eastAsia="仿宋" w:cs="仿宋"/>
          <w:b w:val="0"/>
          <w:bCs w:val="0"/>
          <w:color w:val="000000" w:themeColor="text1"/>
          <w:sz w:val="24"/>
          <w:highlight w:val="none"/>
          <w:lang w:eastAsia="zh-CN"/>
          <w14:textFill>
            <w14:solidFill>
              <w14:schemeClr w14:val="tx1"/>
            </w14:solidFill>
          </w14:textFill>
        </w:rPr>
        <w:t>应</w:t>
      </w:r>
      <w:r>
        <w:rPr>
          <w:rFonts w:hint="eastAsia" w:ascii="仿宋" w:hAnsi="仿宋" w:eastAsia="仿宋" w:cs="仿宋"/>
          <w:b w:val="0"/>
          <w:bCs w:val="0"/>
          <w:color w:val="000000" w:themeColor="text1"/>
          <w:sz w:val="24"/>
          <w:highlight w:val="none"/>
          <w14:textFill>
            <w14:solidFill>
              <w14:schemeClr w14:val="tx1"/>
            </w14:solidFill>
          </w14:textFill>
        </w:rPr>
        <w:t>具有工程类工程师及以上技术职称</w:t>
      </w:r>
      <w:r>
        <w:rPr>
          <w:rFonts w:hint="eastAsia" w:ascii="仿宋" w:hAnsi="仿宋" w:eastAsia="仿宋" w:cs="仿宋"/>
          <w:b w:val="0"/>
          <w:bCs w:val="0"/>
          <w:color w:val="000000" w:themeColor="text1"/>
          <w:sz w:val="24"/>
          <w:highlight w:val="none"/>
          <w:lang w:eastAsia="zh-CN"/>
          <w14:textFill>
            <w14:solidFill>
              <w14:schemeClr w14:val="tx1"/>
            </w14:solidFill>
          </w14:textFill>
        </w:rPr>
        <w:t>。</w:t>
      </w:r>
    </w:p>
    <w:p w14:paraId="14C6807E">
      <w:pPr>
        <w:autoSpaceDE w:val="0"/>
        <w:autoSpaceDN w:val="0"/>
        <w:adjustRightInd/>
        <w:snapToGrid w:val="0"/>
        <w:spacing w:line="360" w:lineRule="auto"/>
        <w:ind w:firstLine="480" w:firstLineChars="200"/>
        <w:textAlignment w:val="bottom"/>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b w:val="0"/>
          <w:bCs w:val="0"/>
          <w:sz w:val="24"/>
          <w:szCs w:val="24"/>
          <w:highlight w:val="none"/>
        </w:rPr>
        <w:t>项目经理、技术负责人到位率应在80％以上，其它管理人员到位率应在100％。</w:t>
      </w:r>
    </w:p>
    <w:p w14:paraId="71B9B9C9">
      <w:pPr>
        <w:pStyle w:val="105"/>
        <w:ind w:left="0" w:leftChars="0" w:firstLine="480" w:firstLineChars="200"/>
        <w:jc w:val="left"/>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3</w:t>
      </w:r>
      <w:r>
        <w:rPr>
          <w:rFonts w:hint="eastAsia" w:ascii="仿宋" w:hAnsi="仿宋" w:eastAsia="仿宋" w:cs="仿宋"/>
          <w:sz w:val="24"/>
          <w:szCs w:val="24"/>
          <w:highlight w:val="none"/>
        </w:rPr>
        <w:t>、</w:t>
      </w:r>
      <w:r>
        <w:rPr>
          <w:rFonts w:hint="eastAsia" w:ascii="仿宋" w:hAnsi="仿宋" w:eastAsia="仿宋" w:cs="仿宋"/>
          <w:color w:val="000000" w:themeColor="text1"/>
          <w:highlight w:val="none"/>
          <w14:textFill>
            <w14:solidFill>
              <w14:schemeClr w14:val="tx1"/>
            </w14:solidFill>
          </w14:textFill>
        </w:rPr>
        <w:t>供应商应当有全面、合理、针对本项目的工程施工技术方案和措施，此工程施工技术方案应当具有明确的针对性和可操作性，各项施工措施应当明确、到位</w:t>
      </w:r>
      <w:r>
        <w:rPr>
          <w:rFonts w:hint="eastAsia" w:ascii="仿宋" w:hAnsi="仿宋" w:eastAsia="仿宋" w:cs="仿宋"/>
          <w:color w:val="000000" w:themeColor="text1"/>
          <w:highlight w:val="none"/>
          <w:lang w:eastAsia="zh-CN"/>
          <w14:textFill>
            <w14:solidFill>
              <w14:schemeClr w14:val="tx1"/>
            </w14:solidFill>
          </w14:textFill>
        </w:rPr>
        <w:t>。</w:t>
      </w:r>
    </w:p>
    <w:p w14:paraId="615AE13A">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供应商应当有全面、合理、针对本项目的施工组织设计，此施工组织设计应当具有明确的针对性和可操作性，施工组织设计应当明确、到位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749F38E2">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供应商应当有全面、合理、针对本项目的主要施工方法，主要施工方法应当具有明确的针对性和可操作性，对施工的各道程序应当明确、到位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7C508348">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6</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针对特殊施工环境、预防自然灾害等方面，各供应商应有具体的组织措施和技术措施；</w:t>
      </w:r>
    </w:p>
    <w:p w14:paraId="71DA9829">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7</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供应商应当有针对材料设备进场计划及施工计划，材料设备的进场计划应当包含材料设备进场的包装、运输、进场验收等各个环节，施工计划应当包含施工的各个环节</w:t>
      </w:r>
      <w:r>
        <w:rPr>
          <w:rFonts w:hint="eastAsia" w:ascii="仿宋" w:hAnsi="仿宋" w:eastAsia="仿宋" w:cs="仿宋"/>
          <w:color w:val="000000" w:themeColor="text1"/>
          <w:sz w:val="24"/>
          <w:highlight w:val="none"/>
          <w:lang w:eastAsia="zh-CN"/>
          <w14:textFill>
            <w14:solidFill>
              <w14:schemeClr w14:val="tx1"/>
            </w14:solidFill>
          </w14:textFill>
        </w:rPr>
        <w:t>。</w:t>
      </w:r>
    </w:p>
    <w:p w14:paraId="36399DE9">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8</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供应商应当有针对工程特点、难点的分析，并根据本工程项目的特点、难点提出有针对性的施工方案与措施</w:t>
      </w:r>
      <w:r>
        <w:rPr>
          <w:rFonts w:hint="eastAsia" w:ascii="仿宋" w:hAnsi="仿宋" w:eastAsia="仿宋" w:cs="仿宋"/>
          <w:color w:val="000000" w:themeColor="text1"/>
          <w:sz w:val="24"/>
          <w:highlight w:val="none"/>
          <w:lang w:eastAsia="zh-CN"/>
          <w14:textFill>
            <w14:solidFill>
              <w14:schemeClr w14:val="tx1"/>
            </w14:solidFill>
          </w14:textFill>
        </w:rPr>
        <w:t>。</w:t>
      </w:r>
    </w:p>
    <w:p w14:paraId="0A1B7EDD">
      <w:pPr>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9</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供应商应当具有针对本项目施工特点的安全、文明施工及环保、消防等的保证措施</w:t>
      </w:r>
      <w:r>
        <w:rPr>
          <w:rFonts w:hint="eastAsia" w:ascii="仿宋" w:hAnsi="仿宋" w:eastAsia="仿宋" w:cs="仿宋"/>
          <w:color w:val="000000" w:themeColor="text1"/>
          <w:sz w:val="24"/>
          <w:highlight w:val="none"/>
          <w:lang w:eastAsia="zh-CN"/>
          <w14:textFill>
            <w14:solidFill>
              <w14:schemeClr w14:val="tx1"/>
            </w14:solidFill>
          </w14:textFill>
        </w:rPr>
        <w:t>。</w:t>
      </w:r>
    </w:p>
    <w:p w14:paraId="60B0858F">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10</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供应商应当具有针对本项目</w:t>
      </w:r>
      <w:r>
        <w:rPr>
          <w:rFonts w:hint="eastAsia" w:ascii="仿宋" w:hAnsi="仿宋" w:eastAsia="仿宋" w:cs="仿宋"/>
          <w:color w:val="000000" w:themeColor="text1"/>
          <w:sz w:val="24"/>
          <w:highlight w:val="none"/>
          <w:lang w:eastAsia="zh-CN"/>
          <w14:textFill>
            <w14:solidFill>
              <w14:schemeClr w14:val="tx1"/>
            </w14:solidFill>
          </w14:textFill>
        </w:rPr>
        <w:t>场地的</w:t>
      </w:r>
      <w:r>
        <w:rPr>
          <w:rFonts w:hint="eastAsia" w:ascii="仿宋" w:hAnsi="仿宋" w:eastAsia="仿宋" w:cs="仿宋"/>
          <w:color w:val="000000" w:themeColor="text1"/>
          <w:sz w:val="24"/>
          <w:highlight w:val="none"/>
          <w14:textFill>
            <w14:solidFill>
              <w14:schemeClr w14:val="tx1"/>
            </w14:solidFill>
          </w14:textFill>
        </w:rPr>
        <w:t>保护措施，措施应当完善、到位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6C480533">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供应商应当针对本项目施工工期要求编制进度计划及控制措施，包括人工的合理安排、工作量的前后分配等</w:t>
      </w:r>
      <w:r>
        <w:rPr>
          <w:rFonts w:hint="eastAsia" w:ascii="仿宋" w:hAnsi="仿宋" w:eastAsia="仿宋" w:cs="仿宋"/>
          <w:color w:val="000000" w:themeColor="text1"/>
          <w:sz w:val="24"/>
          <w:highlight w:val="none"/>
          <w:lang w:eastAsia="zh-CN"/>
          <w14:textFill>
            <w14:solidFill>
              <w14:schemeClr w14:val="tx1"/>
            </w14:solidFill>
          </w14:textFill>
        </w:rPr>
        <w:t>。</w:t>
      </w:r>
    </w:p>
    <w:p w14:paraId="5B4F7CB7">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供应商应具有针对本项目的具体施工质量控制措施，质量控制措施应当完善、到位</w:t>
      </w:r>
      <w:r>
        <w:rPr>
          <w:rFonts w:hint="eastAsia" w:ascii="仿宋" w:hAnsi="仿宋" w:eastAsia="仿宋" w:cs="仿宋"/>
          <w:color w:val="000000" w:themeColor="text1"/>
          <w:sz w:val="24"/>
          <w:highlight w:val="none"/>
          <w:lang w:eastAsia="zh-CN"/>
          <w14:textFill>
            <w14:solidFill>
              <w14:schemeClr w14:val="tx1"/>
            </w14:solidFill>
          </w14:textFill>
        </w:rPr>
        <w:t>。</w:t>
      </w:r>
    </w:p>
    <w:p w14:paraId="01C1A6EF">
      <w:pPr>
        <w:tabs>
          <w:tab w:val="left" w:pos="840"/>
          <w:tab w:val="left" w:pos="1050"/>
        </w:tabs>
        <w:snapToGrid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供应商在缺陷责任期内应当具有完善的售后技术支持和服务体系，能够保证采购人在缺陷责任期内得到不少于本磋商文件所附工程质量保修书的相关服务要求</w:t>
      </w:r>
      <w:r>
        <w:rPr>
          <w:rFonts w:hint="eastAsia" w:ascii="仿宋" w:hAnsi="仿宋" w:eastAsia="仿宋" w:cs="仿宋"/>
          <w:color w:val="000000" w:themeColor="text1"/>
          <w:sz w:val="24"/>
          <w:highlight w:val="none"/>
          <w:lang w:eastAsia="zh-CN"/>
          <w14:textFill>
            <w14:solidFill>
              <w14:schemeClr w14:val="tx1"/>
            </w14:solidFill>
          </w14:textFill>
        </w:rPr>
        <w:t>。</w:t>
      </w:r>
    </w:p>
    <w:p w14:paraId="38ACF634">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14:textFill>
            <w14:solidFill>
              <w14:schemeClr w14:val="tx1"/>
            </w14:solidFill>
          </w14:textFill>
        </w:rPr>
        <w:t>主要材料表所选用材料的品质、性能情况</w:t>
      </w:r>
      <w:r>
        <w:rPr>
          <w:rFonts w:hint="eastAsia" w:ascii="仿宋" w:hAnsi="仿宋" w:eastAsia="仿宋" w:cs="仿宋"/>
          <w:color w:val="000000" w:themeColor="text1"/>
          <w:sz w:val="24"/>
          <w:highlight w:val="none"/>
          <w:lang w:eastAsia="zh"/>
          <w14:textFill>
            <w14:solidFill>
              <w14:schemeClr w14:val="tx1"/>
            </w14:solidFill>
          </w14:textFill>
        </w:rPr>
        <w:t>满足采购人要求</w:t>
      </w:r>
      <w:r>
        <w:rPr>
          <w:rFonts w:hint="eastAsia" w:ascii="仿宋" w:hAnsi="仿宋" w:eastAsia="仿宋" w:cs="仿宋"/>
          <w:color w:val="000000" w:themeColor="text1"/>
          <w:sz w:val="24"/>
          <w:highlight w:val="none"/>
          <w14:textFill>
            <w14:solidFill>
              <w14:schemeClr w14:val="tx1"/>
            </w14:solidFill>
          </w14:textFill>
        </w:rPr>
        <w:t>。</w:t>
      </w:r>
    </w:p>
    <w:p w14:paraId="5542B480">
      <w:pPr>
        <w:spacing w:line="360" w:lineRule="auto"/>
        <w:ind w:firstLine="480" w:firstLineChars="200"/>
        <w:jc w:val="left"/>
        <w:rPr>
          <w:rFonts w:hint="eastAsia" w:ascii="仿宋" w:hAnsi="仿宋" w:eastAsia="仿宋" w:cs="仿宋"/>
          <w:sz w:val="24"/>
          <w:szCs w:val="24"/>
          <w:highlight w:val="none"/>
          <w:u w:val="none"/>
          <w:lang w:eastAsia="zh-CN"/>
        </w:rPr>
      </w:pPr>
      <w:r>
        <w:rPr>
          <w:rFonts w:hint="eastAsia" w:ascii="仿宋" w:hAnsi="仿宋" w:eastAsia="仿宋" w:cs="仿宋"/>
          <w:color w:val="000000" w:themeColor="text1"/>
          <w:sz w:val="24"/>
          <w:highlight w:val="none"/>
          <w:lang w:val="en-US" w:eastAsia="zh-CN"/>
          <w14:textFill>
            <w14:solidFill>
              <w14:schemeClr w14:val="tx1"/>
            </w14:solidFill>
          </w14:textFill>
        </w:rPr>
        <w:t>15</w:t>
      </w:r>
      <w:r>
        <w:rPr>
          <w:rFonts w:hint="eastAsia" w:ascii="仿宋" w:hAnsi="仿宋" w:eastAsia="仿宋" w:cs="仿宋"/>
          <w:sz w:val="24"/>
          <w:szCs w:val="24"/>
          <w:highlight w:val="none"/>
        </w:rPr>
        <w:t>、</w:t>
      </w:r>
      <w:r>
        <w:rPr>
          <w:rFonts w:hint="eastAsia" w:ascii="仿宋" w:hAnsi="仿宋" w:eastAsia="仿宋" w:cs="仿宋"/>
          <w:color w:val="000000" w:themeColor="text1"/>
          <w:sz w:val="24"/>
          <w:highlight w:val="none"/>
          <w:lang w:val="en-US" w:eastAsia="zh-CN"/>
          <w14:textFill>
            <w14:solidFill>
              <w14:schemeClr w14:val="tx1"/>
            </w14:solidFill>
          </w14:textFill>
        </w:rPr>
        <w:t>拟派项目管理班子中施工员、安全员、质检员、材料员等重要岗位应人员配置齐全</w:t>
      </w:r>
      <w:r>
        <w:rPr>
          <w:rFonts w:hint="eastAsia" w:ascii="仿宋" w:hAnsi="仿宋" w:eastAsia="仿宋" w:cs="仿宋"/>
          <w:color w:val="000000" w:themeColor="text1"/>
          <w:sz w:val="24"/>
          <w:highlight w:val="none"/>
          <w14:textFill>
            <w14:solidFill>
              <w14:schemeClr w14:val="tx1"/>
            </w14:solidFill>
          </w14:textFill>
        </w:rPr>
        <w:t>。</w:t>
      </w:r>
    </w:p>
    <w:p w14:paraId="2D73D949">
      <w:pPr>
        <w:spacing w:line="360" w:lineRule="auto"/>
        <w:jc w:val="left"/>
        <w:rPr>
          <w:rFonts w:hint="eastAsia" w:ascii="仿宋" w:hAnsi="仿宋" w:eastAsia="仿宋" w:cs="仿宋"/>
          <w:b/>
          <w:bCs/>
          <w:sz w:val="24"/>
          <w:szCs w:val="24"/>
          <w:highlight w:val="none"/>
          <w:u w:val="none"/>
        </w:rPr>
      </w:pPr>
      <w:r>
        <w:rPr>
          <w:rFonts w:hint="eastAsia" w:ascii="仿宋" w:hAnsi="仿宋" w:eastAsia="仿宋" w:cs="仿宋"/>
          <w:b/>
          <w:bCs/>
          <w:sz w:val="24"/>
          <w:szCs w:val="24"/>
          <w:highlight w:val="none"/>
          <w:u w:val="none"/>
          <w:lang w:eastAsia="zh-CN"/>
        </w:rPr>
        <w:t>八</w:t>
      </w:r>
      <w:r>
        <w:rPr>
          <w:rFonts w:hint="eastAsia" w:ascii="仿宋" w:hAnsi="仿宋" w:eastAsia="仿宋" w:cs="仿宋"/>
          <w:b/>
          <w:bCs/>
          <w:sz w:val="24"/>
          <w:szCs w:val="24"/>
          <w:highlight w:val="none"/>
          <w:u w:val="none"/>
        </w:rPr>
        <w:t>、其他要求</w:t>
      </w:r>
    </w:p>
    <w:p w14:paraId="61DA422F">
      <w:pPr>
        <w:spacing w:line="360" w:lineRule="auto"/>
        <w:ind w:firstLine="482" w:firstLineChars="200"/>
        <w:jc w:val="left"/>
        <w:rPr>
          <w:rFonts w:hint="eastAsia" w:ascii="仿宋" w:hAnsi="仿宋" w:eastAsia="仿宋" w:cs="仿宋"/>
          <w:b/>
          <w:bCs/>
          <w:sz w:val="24"/>
          <w:szCs w:val="24"/>
          <w:highlight w:val="none"/>
          <w:u w:val="none"/>
        </w:rPr>
      </w:pPr>
      <w:r>
        <w:rPr>
          <w:rFonts w:hint="eastAsia" w:ascii="仿宋" w:hAnsi="仿宋" w:eastAsia="仿宋" w:cs="仿宋"/>
          <w:b/>
          <w:bCs/>
          <w:sz w:val="24"/>
          <w:szCs w:val="24"/>
          <w:highlight w:val="none"/>
          <w:u w:val="none"/>
          <w:lang w:val="en-US" w:eastAsia="zh-CN"/>
        </w:rPr>
        <w:t>1、</w:t>
      </w:r>
      <w:r>
        <w:rPr>
          <w:rFonts w:hint="eastAsia" w:ascii="仿宋" w:hAnsi="仿宋" w:eastAsia="仿宋" w:cs="仿宋"/>
          <w:b/>
          <w:bCs/>
          <w:sz w:val="24"/>
          <w:szCs w:val="24"/>
          <w:highlight w:val="none"/>
          <w:u w:val="none"/>
        </w:rPr>
        <w:t>安全与文明施工管理</w:t>
      </w:r>
    </w:p>
    <w:p w14:paraId="39B36059">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none"/>
        </w:rPr>
        <w:t>成交供应商服从当地政府有关部门在社会治安、综合治理、计划生育、交通管理、环境保护等的管理规定，成交供应商应设专职人员负责本条款的执行，采购人有权对此监督检查。</w:t>
      </w:r>
    </w:p>
    <w:p w14:paraId="052C30F0">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成交供应商的响应文件中提供详细的施工安全措施和安全管理组织及配备专职负责人的说明和承诺。</w:t>
      </w:r>
    </w:p>
    <w:p w14:paraId="197AD04E">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成交供应商在工程施工期间，必须配备专职用电管理员，全面负责施工用电的管理。</w:t>
      </w:r>
    </w:p>
    <w:p w14:paraId="6D4C984B">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工程施工过程中因成交供应商原因造成的一切安全事故，成交供应商承担全部经济责任和法律责任，成交后需签订“安全文明责任书”。</w:t>
      </w:r>
    </w:p>
    <w:p w14:paraId="50D9EAB6">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施工现场做好标准化，醒目位置悬挂工程告示牌，施工人员统一着装、统一编号，工作装或马甲上醒目标识单位名称、人员编号。</w:t>
      </w:r>
    </w:p>
    <w:p w14:paraId="37FE7856">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成交供应商在校内须严格遵守国家相关法律法规，严格遵守学校有关疫情防控、意识形态、宗教管理教育工作等相关规定；</w:t>
      </w:r>
    </w:p>
    <w:p w14:paraId="0FF9BF8D">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成交供应商应充分考虑材料供应紧张的因素，提前做好各类材料的备货工作，成交后不得以此原因提出工期延误及费用调整。</w:t>
      </w:r>
    </w:p>
    <w:p w14:paraId="15808912">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w:t>
      </w:r>
      <w:r>
        <w:rPr>
          <w:rFonts w:hint="eastAsia" w:ascii="仿宋" w:hAnsi="仿宋" w:eastAsia="仿宋" w:cs="仿宋"/>
          <w:sz w:val="24"/>
          <w:szCs w:val="24"/>
          <w:highlight w:val="none"/>
          <w:u w:val="none"/>
        </w:rPr>
        <w:t>施工单位在施工全过程中，要认真做好材料和成品的保护，如有损失均由承包方负责。凡由此而损及发包方利益的，承包方应负责赔偿发包方的损失。</w:t>
      </w:r>
    </w:p>
    <w:p w14:paraId="18C92695">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u w:val="none"/>
        </w:rPr>
        <w:t>校方不提供施工人员住宿，不提供除施工场地范围外的施工材料堆放处。</w:t>
      </w:r>
    </w:p>
    <w:p w14:paraId="100612B2">
      <w:pPr>
        <w:spacing w:line="360" w:lineRule="auto"/>
        <w:ind w:firstLine="480" w:firstLineChars="200"/>
        <w:jc w:val="lef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u w:val="none"/>
          <w:lang w:val="en-US" w:eastAsia="zh-CN"/>
        </w:rPr>
        <w:t>安全文明施工需达到学校及相关主管部门要求，根据学校要求设置警戒区、封闭围挡、安全出入口、施工区域地面铺设保护板等。安全文明经学校验收后方可施工。</w:t>
      </w:r>
    </w:p>
    <w:p w14:paraId="698D1AA9">
      <w:pPr>
        <w:spacing w:line="360" w:lineRule="auto"/>
        <w:ind w:firstLine="482" w:firstLineChars="200"/>
        <w:jc w:val="left"/>
        <w:rPr>
          <w:rFonts w:hint="eastAsia" w:ascii="仿宋" w:hAnsi="仿宋" w:eastAsia="仿宋" w:cs="仿宋"/>
          <w:b/>
          <w:bCs/>
          <w:sz w:val="24"/>
          <w:szCs w:val="24"/>
          <w:highlight w:val="none"/>
          <w:u w:val="none"/>
          <w:lang w:val="en-US" w:eastAsia="zh-CN"/>
        </w:rPr>
      </w:pPr>
      <w:r>
        <w:rPr>
          <w:rFonts w:hint="eastAsia" w:ascii="仿宋" w:hAnsi="仿宋" w:eastAsia="仿宋" w:cs="仿宋"/>
          <w:b/>
          <w:bCs/>
          <w:sz w:val="24"/>
          <w:szCs w:val="24"/>
          <w:highlight w:val="none"/>
          <w:u w:val="none"/>
          <w:lang w:val="en-US" w:eastAsia="zh-CN"/>
        </w:rPr>
        <w:t>2、</w:t>
      </w:r>
      <w:r>
        <w:rPr>
          <w:rFonts w:hint="eastAsia" w:ascii="仿宋" w:hAnsi="仿宋" w:eastAsia="仿宋" w:cs="仿宋"/>
          <w:b/>
          <w:bCs/>
          <w:sz w:val="24"/>
          <w:szCs w:val="24"/>
          <w:highlight w:val="none"/>
          <w:u w:val="none"/>
        </w:rPr>
        <w:t>其他要求</w:t>
      </w:r>
    </w:p>
    <w:p w14:paraId="3BDD0CEF">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（1）供应商在施工时需针对高校特点合理安排施工时间及噪音控制；</w:t>
      </w:r>
    </w:p>
    <w:p w14:paraId="0D299628">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（2）供应商在施工时需严格做好施工现场管理的安全管理，如防火、防盗等；</w:t>
      </w:r>
    </w:p>
    <w:p w14:paraId="3E774CA4">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（3）供应商需在竣工后及时供给水、电，做好卫生保洁工作。</w:t>
      </w:r>
    </w:p>
    <w:p w14:paraId="591836FE">
      <w:pPr>
        <w:spacing w:line="360" w:lineRule="auto"/>
        <w:ind w:firstLine="480" w:firstLineChars="200"/>
        <w:jc w:val="left"/>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（4）供应商在校内须严格遵守国家相关法律法规、严格遵守学校有关意识形态、宗教管理教育工作等相关规定。</w:t>
      </w:r>
    </w:p>
    <w:p w14:paraId="25223226">
      <w:pPr>
        <w:spacing w:line="360" w:lineRule="auto"/>
        <w:ind w:firstLine="480" w:firstLineChars="200"/>
        <w:jc w:val="left"/>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val="en-US" w:eastAsia="zh-CN"/>
        </w:rPr>
        <w:t>5</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none"/>
          <w:lang w:val="en-US" w:eastAsia="zh-CN"/>
        </w:rPr>
        <w:t>附件工程量清单是本项目采购文件的组成部分，供应商需认真仔细阅读工程量清单所有内容。</w:t>
      </w:r>
    </w:p>
    <w:p w14:paraId="425A40C6">
      <w:pPr>
        <w:widowControl w:val="0"/>
        <w:ind w:firstLine="0" w:firstLineChars="0"/>
        <w:jc w:val="both"/>
        <w:rPr>
          <w:rFonts w:hint="eastAsia" w:ascii="仿宋" w:hAnsi="仿宋" w:eastAsia="仿宋" w:cs="仿宋"/>
          <w:b/>
          <w:bCs/>
          <w:kern w:val="0"/>
          <w:sz w:val="24"/>
          <w:szCs w:val="24"/>
          <w:highlight w:val="none"/>
          <w:lang w:val="en-US" w:eastAsia="zh-CN" w:bidi="ar-SA"/>
        </w:rPr>
        <w:sectPr>
          <w:pgSz w:w="11906" w:h="16838"/>
          <w:pgMar w:top="1174" w:right="1418" w:bottom="1151" w:left="1418" w:header="851" w:footer="992" w:gutter="0"/>
          <w:cols w:space="720" w:num="1"/>
          <w:titlePg/>
          <w:docGrid w:linePitch="312" w:charSpace="0"/>
        </w:sectPr>
      </w:pPr>
    </w:p>
    <w:p w14:paraId="43EDF836">
      <w:pPr>
        <w:widowControl w:val="0"/>
        <w:ind w:firstLine="0" w:firstLineChars="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b/>
          <w:bCs/>
          <w:kern w:val="0"/>
          <w:sz w:val="24"/>
          <w:szCs w:val="24"/>
          <w:highlight w:val="none"/>
          <w:lang w:val="en-US" w:eastAsia="zh-CN" w:bidi="ar-SA"/>
        </w:rPr>
        <w:t>附件1</w:t>
      </w:r>
      <w:r>
        <w:rPr>
          <w:rFonts w:hint="eastAsia" w:ascii="仿宋" w:hAnsi="仿宋" w:eastAsia="仿宋" w:cs="仿宋"/>
          <w:b/>
          <w:kern w:val="2"/>
          <w:sz w:val="24"/>
          <w:szCs w:val="24"/>
          <w:highlight w:val="none"/>
          <w:lang w:val="en-US" w:eastAsia="zh-CN" w:bidi="ar-SA"/>
        </w:rPr>
        <w:t>主要材料（设备）推荐品牌一览表</w:t>
      </w:r>
    </w:p>
    <w:p w14:paraId="7D5EE69C">
      <w:pPr>
        <w:adjustRightInd/>
        <w:spacing w:line="420" w:lineRule="exact"/>
        <w:ind w:firstLine="226" w:firstLineChars="94"/>
        <w:jc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rPr>
        <w:t>主要材料（设备）推荐品牌一览表</w:t>
      </w:r>
    </w:p>
    <w:tbl>
      <w:tblPr>
        <w:tblStyle w:val="60"/>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985"/>
        <w:gridCol w:w="4881"/>
        <w:gridCol w:w="1559"/>
      </w:tblGrid>
      <w:tr w14:paraId="0A57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5DBCD91D">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985" w:type="dxa"/>
            <w:tcBorders>
              <w:top w:val="single" w:color="auto" w:sz="4" w:space="0"/>
              <w:left w:val="single" w:color="auto" w:sz="4" w:space="0"/>
              <w:bottom w:val="single" w:color="auto" w:sz="4" w:space="0"/>
              <w:right w:val="single" w:color="auto" w:sz="4" w:space="0"/>
            </w:tcBorders>
            <w:vAlign w:val="center"/>
          </w:tcPr>
          <w:p w14:paraId="73D662A1">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材料（设备）名称</w:t>
            </w:r>
          </w:p>
        </w:tc>
        <w:tc>
          <w:tcPr>
            <w:tcW w:w="4881" w:type="dxa"/>
            <w:tcBorders>
              <w:top w:val="single" w:color="auto" w:sz="4" w:space="0"/>
              <w:left w:val="single" w:color="auto" w:sz="4" w:space="0"/>
              <w:bottom w:val="single" w:color="auto" w:sz="4" w:space="0"/>
              <w:right w:val="single" w:color="auto" w:sz="4" w:space="0"/>
            </w:tcBorders>
            <w:vAlign w:val="center"/>
          </w:tcPr>
          <w:p w14:paraId="08B5E65D">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推荐生产厂或品牌</w:t>
            </w:r>
          </w:p>
        </w:tc>
        <w:tc>
          <w:tcPr>
            <w:tcW w:w="1559" w:type="dxa"/>
            <w:tcBorders>
              <w:top w:val="single" w:color="auto" w:sz="4" w:space="0"/>
              <w:left w:val="single" w:color="auto" w:sz="4" w:space="0"/>
              <w:bottom w:val="single" w:color="auto" w:sz="4" w:space="0"/>
              <w:right w:val="single" w:color="auto" w:sz="4" w:space="0"/>
            </w:tcBorders>
            <w:vAlign w:val="center"/>
          </w:tcPr>
          <w:p w14:paraId="37216E5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w:t>
            </w:r>
          </w:p>
        </w:tc>
      </w:tr>
      <w:tr w14:paraId="2945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2BE04628">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985" w:type="dxa"/>
            <w:tcBorders>
              <w:top w:val="single" w:color="auto" w:sz="4" w:space="0"/>
              <w:left w:val="single" w:color="auto" w:sz="4" w:space="0"/>
              <w:bottom w:val="single" w:color="auto" w:sz="4" w:space="0"/>
              <w:right w:val="single" w:color="auto" w:sz="4" w:space="0"/>
            </w:tcBorders>
            <w:vAlign w:val="center"/>
          </w:tcPr>
          <w:p w14:paraId="12237653">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高压环网柜型及成套厂</w:t>
            </w:r>
          </w:p>
        </w:tc>
        <w:tc>
          <w:tcPr>
            <w:tcW w:w="4881" w:type="dxa"/>
            <w:tcBorders>
              <w:top w:val="single" w:color="auto" w:sz="4" w:space="0"/>
              <w:left w:val="single" w:color="auto" w:sz="4" w:space="0"/>
              <w:bottom w:val="single" w:color="auto" w:sz="4" w:space="0"/>
              <w:right w:val="single" w:color="auto" w:sz="4" w:space="0"/>
            </w:tcBorders>
            <w:vAlign w:val="center"/>
          </w:tcPr>
          <w:p w14:paraId="7A732AB3">
            <w:pPr>
              <w:spacing w:line="32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施耐德（RM6）, 制造商：施耐德（北京）中压电器有限公司,产地：北京；</w:t>
            </w:r>
          </w:p>
          <w:p w14:paraId="3CEA7D9E">
            <w:pPr>
              <w:spacing w:line="32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西门子（8DJH）, 制造商:西门子中压开关技术（无锡）有限公司，产地：无锡；</w:t>
            </w:r>
          </w:p>
          <w:p w14:paraId="037B4944">
            <w:pPr>
              <w:spacing w:line="32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ABB（safe）, 制造商：北京ABB开关有限公司，产地：北京；或相当于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76DBA701">
            <w:pPr>
              <w:spacing w:line="320" w:lineRule="exact"/>
              <w:jc w:val="center"/>
              <w:rPr>
                <w:rFonts w:hint="eastAsia" w:ascii="仿宋" w:hAnsi="仿宋" w:eastAsia="仿宋" w:cs="仿宋"/>
                <w:color w:val="000000"/>
                <w:sz w:val="24"/>
                <w:szCs w:val="24"/>
                <w:highlight w:val="none"/>
              </w:rPr>
            </w:pPr>
          </w:p>
        </w:tc>
      </w:tr>
      <w:tr w14:paraId="4A5B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515FB36">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985" w:type="dxa"/>
            <w:tcBorders>
              <w:top w:val="single" w:color="auto" w:sz="4" w:space="0"/>
              <w:left w:val="single" w:color="auto" w:sz="4" w:space="0"/>
              <w:bottom w:val="single" w:color="auto" w:sz="4" w:space="0"/>
              <w:right w:val="single" w:color="auto" w:sz="4" w:space="0"/>
            </w:tcBorders>
            <w:vAlign w:val="center"/>
          </w:tcPr>
          <w:p w14:paraId="502C68E8">
            <w:pPr>
              <w:widowControl/>
              <w:spacing w:line="32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低压柜型及成套厂</w:t>
            </w:r>
          </w:p>
        </w:tc>
        <w:tc>
          <w:tcPr>
            <w:tcW w:w="4881" w:type="dxa"/>
            <w:tcBorders>
              <w:top w:val="single" w:color="auto" w:sz="4" w:space="0"/>
              <w:left w:val="single" w:color="auto" w:sz="4" w:space="0"/>
              <w:bottom w:val="single" w:color="auto" w:sz="4" w:space="0"/>
              <w:right w:val="single" w:color="auto" w:sz="4" w:space="0"/>
            </w:tcBorders>
            <w:vAlign w:val="center"/>
          </w:tcPr>
          <w:p w14:paraId="42292EA5">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施耐德（BLOKSET），制造商：施耐德电气设备工程（西安）有限公司,产地：西安</w:t>
            </w:r>
          </w:p>
          <w:p w14:paraId="27AFF345">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ABB（MNS3.0）,制造商:厦门ABB低压电器设备有限公司,产地：厦门；</w:t>
            </w:r>
          </w:p>
          <w:p w14:paraId="4B1F8487">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西门子（S8），制造商：西门子中压开关技术（无锡）有限公司，产地：无锡；或相当于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33C60A92">
            <w:pPr>
              <w:spacing w:line="320" w:lineRule="exact"/>
              <w:jc w:val="center"/>
              <w:rPr>
                <w:rFonts w:hint="eastAsia" w:ascii="仿宋" w:hAnsi="仿宋" w:eastAsia="仿宋" w:cs="仿宋"/>
                <w:color w:val="000000"/>
                <w:sz w:val="24"/>
                <w:szCs w:val="24"/>
                <w:highlight w:val="none"/>
              </w:rPr>
            </w:pPr>
          </w:p>
        </w:tc>
      </w:tr>
      <w:tr w14:paraId="2844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75CFC4FB">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985" w:type="dxa"/>
            <w:tcBorders>
              <w:top w:val="single" w:color="auto" w:sz="4" w:space="0"/>
              <w:left w:val="single" w:color="auto" w:sz="4" w:space="0"/>
              <w:bottom w:val="single" w:color="auto" w:sz="4" w:space="0"/>
              <w:right w:val="single" w:color="auto" w:sz="4" w:space="0"/>
            </w:tcBorders>
            <w:vAlign w:val="center"/>
          </w:tcPr>
          <w:p w14:paraId="2700E9B5">
            <w:pPr>
              <w:widowControl/>
              <w:spacing w:line="32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框架断路器</w:t>
            </w:r>
          </w:p>
        </w:tc>
        <w:tc>
          <w:tcPr>
            <w:tcW w:w="4881" w:type="dxa"/>
            <w:tcBorders>
              <w:top w:val="single" w:color="auto" w:sz="4" w:space="0"/>
              <w:left w:val="single" w:color="auto" w:sz="4" w:space="0"/>
              <w:bottom w:val="single" w:color="auto" w:sz="4" w:space="0"/>
              <w:right w:val="single" w:color="auto" w:sz="4" w:space="0"/>
            </w:tcBorders>
            <w:vAlign w:val="center"/>
          </w:tcPr>
          <w:p w14:paraId="5E152749">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施耐德 MTZ系列，配Micrologic 5.0型智能脱扣器</w:t>
            </w:r>
          </w:p>
          <w:p w14:paraId="246413D3">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ABB Emax2系列，配Ekip Hi-Touch-LSI智能脱扣器</w:t>
            </w:r>
          </w:p>
          <w:p w14:paraId="7B0CF2FC">
            <w:pPr>
              <w:widowControl/>
              <w:spacing w:line="320" w:lineRule="exact"/>
              <w:jc w:val="left"/>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西门子 3WL系列，配ETU76B/LCD/G +MEA+profiBUS+测量模块；或相当于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7A5AD24A">
            <w:pPr>
              <w:widowControl/>
              <w:spacing w:line="32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要求电子脱扣器带中文菜单</w:t>
            </w:r>
          </w:p>
        </w:tc>
      </w:tr>
      <w:tr w14:paraId="5143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556DD7B9">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1985" w:type="dxa"/>
            <w:tcBorders>
              <w:top w:val="single" w:color="auto" w:sz="4" w:space="0"/>
              <w:left w:val="single" w:color="auto" w:sz="4" w:space="0"/>
              <w:bottom w:val="single" w:color="auto" w:sz="4" w:space="0"/>
              <w:right w:val="single" w:color="auto" w:sz="4" w:space="0"/>
            </w:tcBorders>
            <w:vAlign w:val="center"/>
          </w:tcPr>
          <w:p w14:paraId="2803314F">
            <w:pPr>
              <w:widowControl/>
              <w:spacing w:line="320" w:lineRule="exact"/>
              <w:jc w:val="center"/>
              <w:textAlignment w:val="center"/>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rPr>
              <w:t>塑壳断路器</w:t>
            </w:r>
          </w:p>
        </w:tc>
        <w:tc>
          <w:tcPr>
            <w:tcW w:w="4881" w:type="dxa"/>
            <w:tcBorders>
              <w:top w:val="single" w:color="auto" w:sz="4" w:space="0"/>
              <w:left w:val="single" w:color="auto" w:sz="4" w:space="0"/>
              <w:bottom w:val="single" w:color="auto" w:sz="4" w:space="0"/>
              <w:right w:val="single" w:color="auto" w:sz="4" w:space="0"/>
            </w:tcBorders>
            <w:vAlign w:val="center"/>
          </w:tcPr>
          <w:p w14:paraId="49B861B4">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施耐德的NSX系列、ABB的XT4系列、西门子的3VL系列；或相当于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30A6FF1E">
            <w:pPr>
              <w:widowControl/>
              <w:spacing w:line="32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100A~250A应为相同尺寸，400A~630A应为相同尺寸</w:t>
            </w:r>
          </w:p>
        </w:tc>
      </w:tr>
      <w:tr w14:paraId="04FE2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1CFF19E9">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1985" w:type="dxa"/>
            <w:tcBorders>
              <w:top w:val="single" w:color="auto" w:sz="4" w:space="0"/>
              <w:left w:val="single" w:color="auto" w:sz="4" w:space="0"/>
              <w:bottom w:val="single" w:color="auto" w:sz="4" w:space="0"/>
              <w:right w:val="single" w:color="auto" w:sz="4" w:space="0"/>
            </w:tcBorders>
            <w:vAlign w:val="center"/>
          </w:tcPr>
          <w:p w14:paraId="3C49EB29">
            <w:pPr>
              <w:widowControl/>
              <w:spacing w:line="32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多功能表</w:t>
            </w:r>
          </w:p>
        </w:tc>
        <w:tc>
          <w:tcPr>
            <w:tcW w:w="4881" w:type="dxa"/>
            <w:tcBorders>
              <w:top w:val="single" w:color="auto" w:sz="4" w:space="0"/>
              <w:left w:val="single" w:color="auto" w:sz="4" w:space="0"/>
              <w:bottom w:val="single" w:color="auto" w:sz="4" w:space="0"/>
              <w:right w:val="single" w:color="auto" w:sz="4" w:space="0"/>
            </w:tcBorders>
            <w:vAlign w:val="center"/>
          </w:tcPr>
          <w:p w14:paraId="2DD95F17">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施耐德</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PM4000系列</w:t>
            </w:r>
          </w:p>
          <w:p w14:paraId="6A887A21">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ABB</w:t>
            </w:r>
            <w:r>
              <w:rPr>
                <w:rFonts w:hint="eastAsia" w:ascii="仿宋" w:hAnsi="仿宋" w:eastAsia="仿宋" w:cs="仿宋"/>
                <w:color w:val="000000"/>
                <w:kern w:val="0"/>
                <w:sz w:val="24"/>
                <w:szCs w:val="24"/>
                <w:highlight w:val="none"/>
                <w:lang w:val="en-US" w:eastAsia="zh-CN"/>
              </w:rPr>
              <w:t xml:space="preserve"> </w:t>
            </w:r>
            <w:r>
              <w:rPr>
                <w:rFonts w:hint="eastAsia" w:ascii="仿宋" w:hAnsi="仿宋" w:eastAsia="仿宋" w:cs="仿宋"/>
                <w:color w:val="000000"/>
                <w:kern w:val="0"/>
                <w:sz w:val="24"/>
                <w:szCs w:val="24"/>
                <w:highlight w:val="none"/>
              </w:rPr>
              <w:t>M4M系列</w:t>
            </w:r>
          </w:p>
          <w:p w14:paraId="4ACF1525">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西门子PAC4200系列；或相当于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0895885F">
            <w:pPr>
              <w:widowControl/>
              <w:spacing w:line="320" w:lineRule="exact"/>
              <w:jc w:val="left"/>
              <w:textAlignment w:val="center"/>
              <w:rPr>
                <w:rFonts w:hint="eastAsia" w:ascii="仿宋" w:hAnsi="仿宋" w:eastAsia="仿宋" w:cs="仿宋"/>
                <w:color w:val="000000"/>
                <w:kern w:val="0"/>
                <w:sz w:val="24"/>
                <w:szCs w:val="24"/>
                <w:highlight w:val="none"/>
              </w:rPr>
            </w:pPr>
          </w:p>
        </w:tc>
      </w:tr>
      <w:tr w14:paraId="539E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4BF35C52">
            <w:pPr>
              <w:widowControl/>
              <w:spacing w:line="32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6</w:t>
            </w:r>
          </w:p>
        </w:tc>
        <w:tc>
          <w:tcPr>
            <w:tcW w:w="1985" w:type="dxa"/>
            <w:tcBorders>
              <w:top w:val="single" w:color="auto" w:sz="4" w:space="0"/>
              <w:left w:val="single" w:color="auto" w:sz="4" w:space="0"/>
              <w:bottom w:val="single" w:color="auto" w:sz="4" w:space="0"/>
              <w:right w:val="single" w:color="auto" w:sz="4" w:space="0"/>
            </w:tcBorders>
            <w:vAlign w:val="center"/>
          </w:tcPr>
          <w:p w14:paraId="0C8EB399">
            <w:pPr>
              <w:widowControl/>
              <w:spacing w:line="32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电容器、SVG模块</w:t>
            </w:r>
          </w:p>
        </w:tc>
        <w:tc>
          <w:tcPr>
            <w:tcW w:w="4881" w:type="dxa"/>
            <w:tcBorders>
              <w:top w:val="single" w:color="auto" w:sz="4" w:space="0"/>
              <w:left w:val="single" w:color="auto" w:sz="4" w:space="0"/>
              <w:bottom w:val="single" w:color="auto" w:sz="4" w:space="0"/>
              <w:right w:val="single" w:color="auto" w:sz="4" w:space="0"/>
            </w:tcBorders>
            <w:vAlign w:val="center"/>
          </w:tcPr>
          <w:p w14:paraId="4D29AEDE">
            <w:pPr>
              <w:widowControl/>
              <w:spacing w:line="320" w:lineRule="exact"/>
              <w:jc w:val="left"/>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盛弘电气、爱普科斯、许继电气或相当于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75FDA85F">
            <w:pPr>
              <w:spacing w:line="320" w:lineRule="exact"/>
              <w:jc w:val="center"/>
              <w:rPr>
                <w:rFonts w:hint="eastAsia" w:ascii="仿宋" w:hAnsi="仿宋" w:eastAsia="仿宋" w:cs="仿宋"/>
                <w:color w:val="000000"/>
                <w:sz w:val="24"/>
                <w:szCs w:val="24"/>
                <w:highlight w:val="none"/>
              </w:rPr>
            </w:pPr>
          </w:p>
        </w:tc>
      </w:tr>
      <w:tr w14:paraId="45E6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05254A0B">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1985" w:type="dxa"/>
            <w:tcBorders>
              <w:top w:val="single" w:color="auto" w:sz="4" w:space="0"/>
              <w:left w:val="single" w:color="auto" w:sz="4" w:space="0"/>
              <w:bottom w:val="single" w:color="auto" w:sz="4" w:space="0"/>
              <w:right w:val="single" w:color="auto" w:sz="4" w:space="0"/>
            </w:tcBorders>
            <w:vAlign w:val="center"/>
          </w:tcPr>
          <w:p w14:paraId="77F4BBC4">
            <w:pPr>
              <w:widowControl/>
              <w:spacing w:line="32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浪涌保护器</w:t>
            </w:r>
          </w:p>
        </w:tc>
        <w:tc>
          <w:tcPr>
            <w:tcW w:w="4881" w:type="dxa"/>
            <w:tcBorders>
              <w:top w:val="single" w:color="auto" w:sz="4" w:space="0"/>
              <w:left w:val="single" w:color="auto" w:sz="4" w:space="0"/>
              <w:bottom w:val="single" w:color="auto" w:sz="4" w:space="0"/>
              <w:right w:val="single" w:color="auto" w:sz="4" w:space="0"/>
            </w:tcBorders>
            <w:vAlign w:val="center"/>
          </w:tcPr>
          <w:p w14:paraId="744CCABD">
            <w:pPr>
              <w:widowControl/>
              <w:spacing w:line="320" w:lineRule="exact"/>
              <w:jc w:val="left"/>
              <w:textAlignment w:val="center"/>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rPr>
              <w:t>ABB的OVR 系列、西门子的5SD74系列、施耐德的iPRF系列或相当于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65FDB12F">
            <w:pPr>
              <w:spacing w:line="320" w:lineRule="exact"/>
              <w:jc w:val="center"/>
              <w:rPr>
                <w:rFonts w:hint="eastAsia" w:ascii="仿宋" w:hAnsi="仿宋" w:eastAsia="仿宋" w:cs="仿宋"/>
                <w:color w:val="000000"/>
                <w:sz w:val="24"/>
                <w:szCs w:val="24"/>
                <w:highlight w:val="none"/>
              </w:rPr>
            </w:pPr>
          </w:p>
        </w:tc>
      </w:tr>
      <w:tr w14:paraId="2C6B4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078185B1">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1985" w:type="dxa"/>
            <w:tcBorders>
              <w:top w:val="single" w:color="auto" w:sz="4" w:space="0"/>
              <w:left w:val="single" w:color="auto" w:sz="4" w:space="0"/>
              <w:bottom w:val="single" w:color="auto" w:sz="4" w:space="0"/>
              <w:right w:val="single" w:color="auto" w:sz="4" w:space="0"/>
            </w:tcBorders>
            <w:vAlign w:val="center"/>
          </w:tcPr>
          <w:p w14:paraId="345C88A8">
            <w:pPr>
              <w:widowControl/>
              <w:spacing w:line="32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电缆</w:t>
            </w:r>
          </w:p>
        </w:tc>
        <w:tc>
          <w:tcPr>
            <w:tcW w:w="4881" w:type="dxa"/>
            <w:tcBorders>
              <w:top w:val="single" w:color="auto" w:sz="4" w:space="0"/>
              <w:left w:val="single" w:color="auto" w:sz="4" w:space="0"/>
              <w:bottom w:val="single" w:color="auto" w:sz="4" w:space="0"/>
              <w:right w:val="single" w:color="auto" w:sz="4" w:space="0"/>
            </w:tcBorders>
            <w:vAlign w:val="center"/>
          </w:tcPr>
          <w:p w14:paraId="23C5709B">
            <w:pPr>
              <w:widowControl/>
              <w:spacing w:line="320" w:lineRule="exact"/>
              <w:jc w:val="left"/>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浙江万马、远东电缆，杭州永通或相当于</w:t>
            </w:r>
          </w:p>
        </w:tc>
        <w:tc>
          <w:tcPr>
            <w:tcW w:w="1559" w:type="dxa"/>
            <w:tcBorders>
              <w:top w:val="single" w:color="auto" w:sz="4" w:space="0"/>
              <w:left w:val="single" w:color="auto" w:sz="4" w:space="0"/>
              <w:bottom w:val="single" w:color="auto" w:sz="4" w:space="0"/>
              <w:right w:val="single" w:color="auto" w:sz="4" w:space="0"/>
            </w:tcBorders>
            <w:vAlign w:val="center"/>
          </w:tcPr>
          <w:p w14:paraId="43EC49CA">
            <w:pPr>
              <w:spacing w:line="320" w:lineRule="exact"/>
              <w:jc w:val="center"/>
              <w:rPr>
                <w:rFonts w:hint="eastAsia" w:ascii="仿宋" w:hAnsi="仿宋" w:eastAsia="仿宋" w:cs="仿宋"/>
                <w:color w:val="000000"/>
                <w:sz w:val="24"/>
                <w:szCs w:val="24"/>
                <w:highlight w:val="none"/>
              </w:rPr>
            </w:pPr>
          </w:p>
        </w:tc>
      </w:tr>
      <w:tr w14:paraId="7271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6A094C10">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669EF29E">
            <w:pPr>
              <w:widowControl/>
              <w:spacing w:line="32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变压器</w:t>
            </w:r>
          </w:p>
        </w:tc>
        <w:tc>
          <w:tcPr>
            <w:tcW w:w="4881" w:type="dxa"/>
            <w:tcBorders>
              <w:top w:val="single" w:color="auto" w:sz="4" w:space="0"/>
              <w:left w:val="single" w:color="auto" w:sz="4" w:space="0"/>
              <w:bottom w:val="single" w:color="auto" w:sz="4" w:space="0"/>
              <w:right w:val="single" w:color="auto" w:sz="4" w:space="0"/>
            </w:tcBorders>
            <w:shd w:val="clear" w:color="auto" w:fill="auto"/>
            <w:vAlign w:val="center"/>
          </w:tcPr>
          <w:p w14:paraId="6AE119FE">
            <w:pPr>
              <w:widowControl/>
              <w:spacing w:line="320" w:lineRule="exact"/>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钱江变压器、广东顺特、天津特变</w:t>
            </w:r>
            <w:r>
              <w:rPr>
                <w:rFonts w:hint="eastAsia" w:ascii="仿宋" w:hAnsi="仿宋" w:eastAsia="仿宋" w:cs="仿宋"/>
                <w:color w:val="000000"/>
                <w:sz w:val="24"/>
                <w:szCs w:val="24"/>
                <w:highlight w:val="none"/>
              </w:rPr>
              <w:t>或相当于</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78FE0C42">
            <w:pPr>
              <w:spacing w:line="32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SCB1</w:t>
            </w:r>
            <w:r>
              <w:rPr>
                <w:rFonts w:hint="eastAsia" w:ascii="仿宋" w:hAnsi="仿宋" w:eastAsia="仿宋" w:cs="仿宋"/>
                <w:color w:val="000000"/>
                <w:sz w:val="24"/>
                <w:szCs w:val="24"/>
                <w:highlight w:val="none"/>
                <w:lang w:val="en-US" w:eastAsia="zh-CN"/>
              </w:rPr>
              <w:t>8</w:t>
            </w:r>
            <w:r>
              <w:rPr>
                <w:rFonts w:hint="eastAsia" w:ascii="仿宋" w:hAnsi="仿宋" w:eastAsia="仿宋" w:cs="仿宋"/>
                <w:color w:val="000000"/>
                <w:sz w:val="24"/>
                <w:szCs w:val="24"/>
                <w:highlight w:val="none"/>
              </w:rPr>
              <w:t>或以上</w:t>
            </w:r>
          </w:p>
        </w:tc>
      </w:tr>
      <w:tr w14:paraId="6D1B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06C00DC7">
            <w:pPr>
              <w:spacing w:line="320" w:lineRule="exact"/>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10</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8CD08DA">
            <w:pPr>
              <w:widowControl/>
              <w:spacing w:line="320" w:lineRule="exact"/>
              <w:jc w:val="center"/>
              <w:textAlignment w:val="center"/>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lang w:val="en-US" w:eastAsia="zh-CN"/>
              </w:rPr>
              <w:t>密集型母线槽</w:t>
            </w:r>
          </w:p>
        </w:tc>
        <w:tc>
          <w:tcPr>
            <w:tcW w:w="4881" w:type="dxa"/>
            <w:tcBorders>
              <w:top w:val="single" w:color="auto" w:sz="4" w:space="0"/>
              <w:left w:val="single" w:color="auto" w:sz="4" w:space="0"/>
              <w:bottom w:val="single" w:color="auto" w:sz="4" w:space="0"/>
              <w:right w:val="single" w:color="auto" w:sz="4" w:space="0"/>
            </w:tcBorders>
            <w:shd w:val="clear" w:color="auto" w:fill="auto"/>
            <w:vAlign w:val="center"/>
          </w:tcPr>
          <w:p w14:paraId="3EB621D7">
            <w:pPr>
              <w:widowControl/>
              <w:spacing w:line="320" w:lineRule="exact"/>
              <w:jc w:val="left"/>
              <w:textAlignment w:val="center"/>
              <w:rPr>
                <w:rFonts w:hint="eastAsia" w:ascii="仿宋" w:hAnsi="仿宋" w:eastAsia="仿宋" w:cs="仿宋"/>
                <w:color w:val="000000"/>
                <w:kern w:val="0"/>
                <w:sz w:val="24"/>
                <w:szCs w:val="24"/>
                <w:highlight w:val="none"/>
                <w:lang w:val="en-US" w:eastAsia="zh-CN" w:bidi="ar-SA"/>
              </w:rPr>
            </w:pPr>
            <w:r>
              <w:rPr>
                <w:rFonts w:hint="eastAsia" w:ascii="仿宋" w:hAnsi="仿宋" w:eastAsia="仿宋" w:cs="仿宋"/>
                <w:color w:val="000000"/>
                <w:kern w:val="0"/>
                <w:sz w:val="24"/>
                <w:szCs w:val="24"/>
                <w:highlight w:val="none"/>
              </w:rPr>
              <w:t>浙江金盾科技</w:t>
            </w:r>
            <w:r>
              <w:rPr>
                <w:rFonts w:hint="eastAsia" w:ascii="仿宋" w:hAnsi="仿宋" w:eastAsia="仿宋" w:cs="仿宋"/>
                <w:color w:val="000000"/>
                <w:kern w:val="0"/>
                <w:sz w:val="24"/>
                <w:szCs w:val="24"/>
                <w:highlight w:val="none"/>
                <w:lang w:eastAsia="zh-CN"/>
              </w:rPr>
              <w:t>、扬州华谊电气、浙江远大电力设备</w:t>
            </w:r>
            <w:r>
              <w:rPr>
                <w:rFonts w:hint="eastAsia" w:ascii="仿宋" w:hAnsi="仿宋" w:eastAsia="仿宋" w:cs="仿宋"/>
                <w:color w:val="000000"/>
                <w:kern w:val="0"/>
                <w:sz w:val="24"/>
                <w:szCs w:val="24"/>
                <w:highlight w:val="none"/>
              </w:rPr>
              <w:t>或相当于</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14:paraId="17BB7B82">
            <w:pPr>
              <w:spacing w:line="320" w:lineRule="exact"/>
              <w:jc w:val="center"/>
              <w:rPr>
                <w:rFonts w:hint="eastAsia" w:ascii="仿宋" w:hAnsi="仿宋" w:eastAsia="仿宋" w:cs="仿宋"/>
                <w:color w:val="000000"/>
                <w:sz w:val="24"/>
                <w:szCs w:val="24"/>
                <w:highlight w:val="none"/>
              </w:rPr>
            </w:pPr>
          </w:p>
        </w:tc>
      </w:tr>
    </w:tbl>
    <w:p w14:paraId="68133D9D">
      <w:pPr>
        <w:adjustRightInd/>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注：1、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须在上述材料的备选品牌或厂家（或同档次品牌）中选择一个报价。否则采购人有权在备选品牌中指定。</w:t>
      </w:r>
    </w:p>
    <w:p w14:paraId="39F21B05">
      <w:pPr>
        <w:numPr>
          <w:ilvl w:val="0"/>
          <w:numId w:val="0"/>
        </w:numPr>
        <w:adjustRightInd/>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2、</w:t>
      </w:r>
      <w:r>
        <w:rPr>
          <w:rFonts w:hint="eastAsia" w:ascii="仿宋" w:hAnsi="仿宋" w:eastAsia="仿宋" w:cs="仿宋"/>
          <w:sz w:val="24"/>
          <w:szCs w:val="24"/>
          <w:highlight w:val="none"/>
        </w:rPr>
        <w:t>在本项目施工期间如出现</w:t>
      </w:r>
      <w:r>
        <w:rPr>
          <w:rFonts w:hint="eastAsia" w:ascii="仿宋" w:hAnsi="仿宋" w:eastAsia="仿宋" w:cs="仿宋"/>
          <w:sz w:val="24"/>
          <w:szCs w:val="24"/>
          <w:highlight w:val="none"/>
          <w:lang w:eastAsia="zh-CN"/>
        </w:rPr>
        <w:t>采购</w:t>
      </w:r>
      <w:r>
        <w:rPr>
          <w:rFonts w:hint="eastAsia" w:ascii="仿宋" w:hAnsi="仿宋" w:eastAsia="仿宋" w:cs="仿宋"/>
          <w:sz w:val="24"/>
          <w:szCs w:val="24"/>
          <w:highlight w:val="none"/>
        </w:rPr>
        <w:t>提供的品牌表中某品牌已停止生产或其他何种原因无法采购到时,由</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在原有品牌或同档次中任选其他某一品牌，</w:t>
      </w:r>
      <w:r>
        <w:rPr>
          <w:rFonts w:hint="eastAsia" w:ascii="仿宋" w:hAnsi="仿宋" w:eastAsia="仿宋" w:cs="仿宋"/>
          <w:sz w:val="24"/>
          <w:szCs w:val="24"/>
          <w:highlight w:val="none"/>
          <w:lang w:eastAsia="zh-CN"/>
        </w:rPr>
        <w:t>成交供应商</w:t>
      </w:r>
      <w:r>
        <w:rPr>
          <w:rFonts w:hint="eastAsia" w:ascii="仿宋" w:hAnsi="仿宋" w:eastAsia="仿宋" w:cs="仿宋"/>
          <w:sz w:val="24"/>
          <w:szCs w:val="24"/>
          <w:highlight w:val="none"/>
        </w:rPr>
        <w:t>不得有异议，费用不作调整；</w:t>
      </w:r>
    </w:p>
    <w:p w14:paraId="740E07EC">
      <w:pPr>
        <w:numPr>
          <w:ilvl w:val="0"/>
          <w:numId w:val="0"/>
        </w:numPr>
        <w:adjustRightInd/>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3、</w:t>
      </w:r>
      <w:r>
        <w:rPr>
          <w:rFonts w:hint="eastAsia" w:ascii="仿宋" w:hAnsi="仿宋" w:eastAsia="仿宋" w:cs="仿宋"/>
          <w:sz w:val="24"/>
          <w:szCs w:val="24"/>
          <w:highlight w:val="none"/>
        </w:rPr>
        <w:t>所有的材料采购前提前均需15天送样，待</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、设计、监理确认后方可批量采购。</w:t>
      </w:r>
    </w:p>
    <w:p w14:paraId="25BE6241">
      <w:pPr>
        <w:numPr>
          <w:ilvl w:val="0"/>
          <w:numId w:val="0"/>
        </w:numPr>
        <w:adjustRightInd/>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4、</w:t>
      </w:r>
      <w:r>
        <w:rPr>
          <w:rFonts w:hint="eastAsia" w:ascii="仿宋" w:hAnsi="仿宋" w:eastAsia="仿宋" w:cs="仿宋"/>
          <w:sz w:val="24"/>
          <w:szCs w:val="24"/>
          <w:highlight w:val="none"/>
        </w:rPr>
        <w:t>所有的材料最低质量保修期为两年，国家及相关规定高于两年的，从高设定质量保修期。</w:t>
      </w:r>
    </w:p>
    <w:p w14:paraId="2891DDF5">
      <w:pPr>
        <w:numPr>
          <w:ilvl w:val="0"/>
          <w:numId w:val="0"/>
        </w:numPr>
        <w:adjustRightInd/>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5、</w:t>
      </w:r>
      <w:r>
        <w:rPr>
          <w:rFonts w:hint="eastAsia" w:ascii="仿宋" w:hAnsi="仿宋" w:eastAsia="仿宋" w:cs="仿宋"/>
          <w:sz w:val="24"/>
          <w:szCs w:val="24"/>
          <w:highlight w:val="none"/>
        </w:rPr>
        <w:t>所有材料的颜色在施工前，根据</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要求确定，但单价不作调整。</w:t>
      </w:r>
    </w:p>
    <w:p w14:paraId="6DDDF6DC">
      <w:pPr>
        <w:numPr>
          <w:ilvl w:val="0"/>
          <w:numId w:val="0"/>
        </w:numPr>
        <w:adjustRightInd/>
        <w:spacing w:line="360" w:lineRule="auto"/>
        <w:ind w:left="0" w:leftChars="0" w:firstLine="480" w:firstLineChars="20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6、</w:t>
      </w:r>
      <w:r>
        <w:rPr>
          <w:rFonts w:hint="eastAsia" w:ascii="仿宋" w:hAnsi="仿宋" w:eastAsia="仿宋" w:cs="仿宋"/>
          <w:sz w:val="24"/>
          <w:szCs w:val="24"/>
          <w:highlight w:val="none"/>
        </w:rPr>
        <w:t>所有工序完成后需现场清理干净。</w:t>
      </w:r>
    </w:p>
    <w:p w14:paraId="1281727D">
      <w:pPr>
        <w:widowControl w:val="0"/>
        <w:ind w:firstLine="480" w:firstLineChars="200"/>
        <w:jc w:val="both"/>
        <w:rPr>
          <w:rFonts w:hint="eastAsia" w:ascii="仿宋" w:hAnsi="仿宋" w:eastAsia="仿宋" w:cs="仿宋"/>
          <w:kern w:val="2"/>
          <w:sz w:val="24"/>
          <w:szCs w:val="24"/>
          <w:highlight w:val="none"/>
          <w:lang w:val="en-US" w:eastAsia="zh-CN" w:bidi="ar-SA"/>
        </w:rPr>
      </w:pPr>
    </w:p>
    <w:p w14:paraId="436088A8">
      <w:pPr>
        <w:widowControl w:val="0"/>
        <w:ind w:firstLine="480" w:firstLineChars="200"/>
        <w:jc w:val="both"/>
        <w:rPr>
          <w:rFonts w:hint="eastAsia" w:ascii="仿宋" w:hAnsi="仿宋" w:eastAsia="仿宋" w:cs="仿宋"/>
          <w:kern w:val="2"/>
          <w:sz w:val="24"/>
          <w:szCs w:val="24"/>
          <w:highlight w:val="none"/>
          <w:lang w:val="en-US" w:eastAsia="zh-CN" w:bidi="ar-SA"/>
        </w:rPr>
      </w:pPr>
    </w:p>
    <w:p w14:paraId="0637C9A0">
      <w:pPr>
        <w:widowControl w:val="0"/>
        <w:ind w:firstLine="480" w:firstLineChars="200"/>
        <w:jc w:val="both"/>
        <w:rPr>
          <w:rFonts w:hint="eastAsia" w:ascii="仿宋" w:hAnsi="仿宋" w:eastAsia="仿宋" w:cs="仿宋"/>
          <w:kern w:val="2"/>
          <w:sz w:val="24"/>
          <w:szCs w:val="24"/>
          <w:highlight w:val="none"/>
          <w:lang w:val="en-US" w:eastAsia="zh-CN" w:bidi="ar-SA"/>
        </w:rPr>
      </w:pPr>
    </w:p>
    <w:p w14:paraId="67FC9746">
      <w:pPr>
        <w:widowControl w:val="0"/>
        <w:ind w:firstLine="480" w:firstLineChars="200"/>
        <w:jc w:val="both"/>
        <w:rPr>
          <w:rFonts w:hint="eastAsia" w:ascii="仿宋" w:hAnsi="仿宋" w:eastAsia="仿宋" w:cs="仿宋"/>
          <w:kern w:val="2"/>
          <w:sz w:val="24"/>
          <w:szCs w:val="24"/>
          <w:highlight w:val="none"/>
          <w:lang w:val="en-US" w:eastAsia="zh-CN" w:bidi="ar-SA"/>
        </w:rPr>
      </w:pPr>
    </w:p>
    <w:p w14:paraId="26D4CE8D">
      <w:pPr>
        <w:adjustRightInd/>
        <w:rPr>
          <w:rFonts w:ascii="Times New Roman" w:hAnsi="Times New Roman" w:eastAsia="宋体" w:cs="Times New Roman"/>
          <w:highlight w:val="none"/>
        </w:rPr>
      </w:pPr>
    </w:p>
    <w:p w14:paraId="681E4ED1">
      <w:pPr>
        <w:keepNext/>
        <w:keepLines/>
        <w:widowControl w:val="0"/>
        <w:spacing w:line="360" w:lineRule="auto"/>
        <w:ind w:firstLine="562" w:firstLineChars="200"/>
        <w:jc w:val="center"/>
        <w:outlineLvl w:val="1"/>
        <w:rPr>
          <w:rFonts w:hint="eastAsia" w:ascii="仿宋" w:hAnsi="仿宋" w:eastAsia="仿宋" w:cs="仿宋"/>
          <w:b/>
          <w:bCs/>
          <w:sz w:val="28"/>
          <w:szCs w:val="28"/>
          <w:highlight w:val="none"/>
          <w:u w:val="none"/>
          <w:lang w:eastAsia="zh-CN"/>
        </w:rPr>
        <w:sectPr>
          <w:pgSz w:w="11906" w:h="16838"/>
          <w:pgMar w:top="1174" w:right="1418" w:bottom="1151" w:left="1418" w:header="851" w:footer="992" w:gutter="0"/>
          <w:cols w:space="720" w:num="1"/>
          <w:titlePg/>
          <w:docGrid w:linePitch="312" w:charSpace="0"/>
        </w:sectPr>
      </w:pPr>
    </w:p>
    <w:tbl>
      <w:tblPr>
        <w:tblStyle w:val="60"/>
        <w:tblW w:w="5000" w:type="pct"/>
        <w:tblInd w:w="0" w:type="dxa"/>
        <w:tblLayout w:type="autofit"/>
        <w:tblCellMar>
          <w:top w:w="0" w:type="dxa"/>
          <w:left w:w="108" w:type="dxa"/>
          <w:bottom w:w="0" w:type="dxa"/>
          <w:right w:w="108" w:type="dxa"/>
        </w:tblCellMar>
      </w:tblPr>
      <w:tblGrid>
        <w:gridCol w:w="698"/>
        <w:gridCol w:w="1213"/>
        <w:gridCol w:w="3542"/>
        <w:gridCol w:w="701"/>
        <w:gridCol w:w="701"/>
        <w:gridCol w:w="1667"/>
      </w:tblGrid>
      <w:tr w14:paraId="27A9F13E">
        <w:tblPrEx>
          <w:tblCellMar>
            <w:top w:w="0" w:type="dxa"/>
            <w:left w:w="108" w:type="dxa"/>
            <w:bottom w:w="0" w:type="dxa"/>
            <w:right w:w="108" w:type="dxa"/>
          </w:tblCellMar>
        </w:tblPrEx>
        <w:tc>
          <w:tcPr>
            <w:tcW w:w="5000" w:type="pct"/>
            <w:gridSpan w:val="6"/>
            <w:tcBorders>
              <w:top w:val="single" w:color="000000" w:sz="8" w:space="0"/>
              <w:left w:val="single" w:color="000000" w:sz="8" w:space="0"/>
              <w:bottom w:val="single" w:color="000000" w:sz="8" w:space="0"/>
              <w:right w:val="single" w:color="000000" w:sz="8" w:space="0"/>
            </w:tcBorders>
            <w:noWrap w:val="0"/>
            <w:vAlign w:val="center"/>
          </w:tcPr>
          <w:p w14:paraId="2814543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bCs/>
                <w:color w:val="000000"/>
                <w:kern w:val="2"/>
                <w:sz w:val="24"/>
                <w:szCs w:val="24"/>
                <w:highlight w:val="none"/>
                <w:lang w:val="en-US" w:eastAsia="zh-CN" w:bidi="ar-SA"/>
              </w:rPr>
              <w:t>标项一：学院楼5号楼配电房部分（新上部分）</w:t>
            </w:r>
          </w:p>
        </w:tc>
      </w:tr>
      <w:tr w14:paraId="088F42F4">
        <w:tblPrEx>
          <w:tblCellMar>
            <w:top w:w="0" w:type="dxa"/>
            <w:left w:w="108" w:type="dxa"/>
            <w:bottom w:w="0" w:type="dxa"/>
            <w:right w:w="108" w:type="dxa"/>
          </w:tblCellMar>
        </w:tblPrEx>
        <w:tc>
          <w:tcPr>
            <w:tcW w:w="410" w:type="pct"/>
            <w:tcBorders>
              <w:top w:val="nil"/>
              <w:left w:val="single" w:color="000000" w:sz="8" w:space="0"/>
              <w:bottom w:val="single" w:color="000000" w:sz="8" w:space="0"/>
              <w:right w:val="single" w:color="000000" w:sz="8" w:space="0"/>
            </w:tcBorders>
            <w:noWrap w:val="0"/>
            <w:vAlign w:val="center"/>
          </w:tcPr>
          <w:p w14:paraId="328C11B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序号</w:t>
            </w:r>
          </w:p>
        </w:tc>
        <w:tc>
          <w:tcPr>
            <w:tcW w:w="712" w:type="pct"/>
            <w:tcBorders>
              <w:top w:val="single" w:color="000000" w:sz="8" w:space="0"/>
              <w:left w:val="single" w:color="000000" w:sz="8" w:space="0"/>
              <w:bottom w:val="single" w:color="000000" w:sz="8" w:space="0"/>
              <w:right w:val="single" w:color="000000" w:sz="8" w:space="0"/>
            </w:tcBorders>
            <w:noWrap w:val="0"/>
            <w:vAlign w:val="center"/>
          </w:tcPr>
          <w:p w14:paraId="447C166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名称</w:t>
            </w:r>
          </w:p>
        </w:tc>
        <w:tc>
          <w:tcPr>
            <w:tcW w:w="2078" w:type="pct"/>
            <w:tcBorders>
              <w:top w:val="single" w:color="000000" w:sz="8" w:space="0"/>
              <w:left w:val="single" w:color="000000" w:sz="8" w:space="0"/>
              <w:bottom w:val="single" w:color="000000" w:sz="8" w:space="0"/>
              <w:right w:val="single" w:color="000000" w:sz="8" w:space="0"/>
            </w:tcBorders>
            <w:noWrap w:val="0"/>
            <w:vAlign w:val="center"/>
          </w:tcPr>
          <w:p w14:paraId="333BC6D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规格与型号</w:t>
            </w:r>
          </w:p>
        </w:tc>
        <w:tc>
          <w:tcPr>
            <w:tcW w:w="411" w:type="pct"/>
            <w:tcBorders>
              <w:top w:val="single" w:color="000000" w:sz="8" w:space="0"/>
              <w:left w:val="single" w:color="000000" w:sz="8" w:space="0"/>
              <w:bottom w:val="single" w:color="000000" w:sz="8" w:space="0"/>
              <w:right w:val="single" w:color="000000" w:sz="8" w:space="0"/>
            </w:tcBorders>
            <w:noWrap w:val="0"/>
            <w:vAlign w:val="center"/>
          </w:tcPr>
          <w:p w14:paraId="40D0F61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单位</w:t>
            </w:r>
          </w:p>
        </w:tc>
        <w:tc>
          <w:tcPr>
            <w:tcW w:w="411" w:type="pct"/>
            <w:tcBorders>
              <w:top w:val="single" w:color="000000" w:sz="8" w:space="0"/>
              <w:left w:val="single" w:color="000000" w:sz="8" w:space="0"/>
              <w:bottom w:val="single" w:color="000000" w:sz="8" w:space="0"/>
              <w:right w:val="single" w:color="000000" w:sz="8" w:space="0"/>
            </w:tcBorders>
            <w:noWrap w:val="0"/>
            <w:vAlign w:val="center"/>
          </w:tcPr>
          <w:p w14:paraId="4FF1173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数量</w:t>
            </w:r>
          </w:p>
        </w:tc>
        <w:tc>
          <w:tcPr>
            <w:tcW w:w="975" w:type="pct"/>
            <w:tcBorders>
              <w:top w:val="single" w:color="000000" w:sz="8" w:space="0"/>
              <w:left w:val="single" w:color="000000" w:sz="8" w:space="0"/>
              <w:bottom w:val="single" w:color="000000" w:sz="8" w:space="0"/>
              <w:right w:val="single" w:color="000000" w:sz="8" w:space="0"/>
            </w:tcBorders>
            <w:noWrap w:val="0"/>
            <w:vAlign w:val="center"/>
          </w:tcPr>
          <w:p w14:paraId="6BB73DD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备注</w:t>
            </w:r>
          </w:p>
        </w:tc>
      </w:tr>
      <w:tr w14:paraId="70E08226">
        <w:tblPrEx>
          <w:tblCellMar>
            <w:top w:w="0" w:type="dxa"/>
            <w:left w:w="108" w:type="dxa"/>
            <w:bottom w:w="0" w:type="dxa"/>
            <w:right w:w="108" w:type="dxa"/>
          </w:tblCellMar>
        </w:tblPrEx>
        <w:tc>
          <w:tcPr>
            <w:tcW w:w="410" w:type="pct"/>
            <w:tcBorders>
              <w:top w:val="nil"/>
              <w:left w:val="single" w:color="000000" w:sz="8" w:space="0"/>
              <w:bottom w:val="single" w:color="000000" w:sz="8" w:space="0"/>
              <w:right w:val="single" w:color="000000" w:sz="8" w:space="0"/>
            </w:tcBorders>
            <w:noWrap w:val="0"/>
            <w:vAlign w:val="center"/>
          </w:tcPr>
          <w:p w14:paraId="3A45387B">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w:t>
            </w:r>
          </w:p>
        </w:tc>
        <w:tc>
          <w:tcPr>
            <w:tcW w:w="712" w:type="pct"/>
            <w:tcBorders>
              <w:top w:val="nil"/>
              <w:left w:val="single" w:color="000000" w:sz="8" w:space="0"/>
              <w:bottom w:val="single" w:color="000000" w:sz="8" w:space="0"/>
              <w:right w:val="single" w:color="000000" w:sz="8" w:space="0"/>
            </w:tcBorders>
            <w:noWrap w:val="0"/>
            <w:vAlign w:val="center"/>
          </w:tcPr>
          <w:p w14:paraId="4656693A">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干式变压器</w:t>
            </w:r>
          </w:p>
        </w:tc>
        <w:tc>
          <w:tcPr>
            <w:tcW w:w="2078" w:type="pct"/>
            <w:tcBorders>
              <w:top w:val="nil"/>
              <w:left w:val="single" w:color="000000" w:sz="8" w:space="0"/>
              <w:bottom w:val="single" w:color="000000" w:sz="8" w:space="0"/>
              <w:right w:val="single" w:color="000000" w:sz="8" w:space="0"/>
            </w:tcBorders>
            <w:noWrap w:val="0"/>
            <w:vAlign w:val="center"/>
          </w:tcPr>
          <w:p w14:paraId="78CE5923">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SCB18，800KVA</w:t>
            </w:r>
          </w:p>
        </w:tc>
        <w:tc>
          <w:tcPr>
            <w:tcW w:w="411" w:type="pct"/>
            <w:tcBorders>
              <w:top w:val="nil"/>
              <w:left w:val="single" w:color="000000" w:sz="8" w:space="0"/>
              <w:bottom w:val="single" w:color="000000" w:sz="8" w:space="0"/>
              <w:right w:val="single" w:color="000000" w:sz="8" w:space="0"/>
            </w:tcBorders>
            <w:noWrap w:val="0"/>
            <w:vAlign w:val="center"/>
          </w:tcPr>
          <w:p w14:paraId="42EFFACA">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台</w:t>
            </w:r>
          </w:p>
        </w:tc>
        <w:tc>
          <w:tcPr>
            <w:tcW w:w="411" w:type="pct"/>
            <w:tcBorders>
              <w:top w:val="nil"/>
              <w:left w:val="single" w:color="000000" w:sz="8" w:space="0"/>
              <w:bottom w:val="single" w:color="000000" w:sz="8" w:space="0"/>
              <w:right w:val="single" w:color="000000" w:sz="8" w:space="0"/>
            </w:tcBorders>
            <w:noWrap w:val="0"/>
            <w:vAlign w:val="center"/>
          </w:tcPr>
          <w:p w14:paraId="5061A3F1">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2</w:t>
            </w:r>
          </w:p>
        </w:tc>
        <w:tc>
          <w:tcPr>
            <w:tcW w:w="975" w:type="pct"/>
            <w:tcBorders>
              <w:top w:val="nil"/>
              <w:left w:val="single" w:color="000000" w:sz="8" w:space="0"/>
              <w:bottom w:val="single" w:color="000000" w:sz="8" w:space="0"/>
              <w:right w:val="single" w:color="000000" w:sz="8" w:space="0"/>
            </w:tcBorders>
            <w:noWrap w:val="0"/>
            <w:vAlign w:val="center"/>
          </w:tcPr>
          <w:p w14:paraId="73CFBA2A">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Dyn11  UK=6%配置温控仪及冷却风机，满足一级或以上能效要求</w:t>
            </w:r>
          </w:p>
        </w:tc>
      </w:tr>
      <w:tr w14:paraId="4E864828">
        <w:tblPrEx>
          <w:tblCellMar>
            <w:top w:w="0" w:type="dxa"/>
            <w:left w:w="108" w:type="dxa"/>
            <w:bottom w:w="0" w:type="dxa"/>
            <w:right w:w="108" w:type="dxa"/>
          </w:tblCellMar>
        </w:tblPrEx>
        <w:tc>
          <w:tcPr>
            <w:tcW w:w="410" w:type="pct"/>
            <w:tcBorders>
              <w:top w:val="nil"/>
              <w:left w:val="single" w:color="000000" w:sz="8" w:space="0"/>
              <w:bottom w:val="single" w:color="000000" w:sz="8" w:space="0"/>
              <w:right w:val="single" w:color="000000" w:sz="8" w:space="0"/>
            </w:tcBorders>
            <w:noWrap w:val="0"/>
            <w:vAlign w:val="center"/>
          </w:tcPr>
          <w:p w14:paraId="0873308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712" w:type="pct"/>
            <w:tcBorders>
              <w:top w:val="nil"/>
              <w:left w:val="single" w:color="000000" w:sz="8" w:space="0"/>
              <w:bottom w:val="single" w:color="000000" w:sz="8" w:space="0"/>
              <w:right w:val="single" w:color="000000" w:sz="8" w:space="0"/>
            </w:tcBorders>
            <w:noWrap w:val="0"/>
            <w:vAlign w:val="center"/>
          </w:tcPr>
          <w:p w14:paraId="5BB6DA5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干式变压器外壳</w:t>
            </w:r>
          </w:p>
        </w:tc>
        <w:tc>
          <w:tcPr>
            <w:tcW w:w="2078" w:type="pct"/>
            <w:tcBorders>
              <w:top w:val="nil"/>
              <w:left w:val="single" w:color="000000" w:sz="8" w:space="0"/>
              <w:bottom w:val="single" w:color="000000" w:sz="8" w:space="0"/>
              <w:right w:val="single" w:color="000000" w:sz="8" w:space="0"/>
            </w:tcBorders>
            <w:noWrap w:val="0"/>
            <w:vAlign w:val="center"/>
          </w:tcPr>
          <w:p w14:paraId="6578961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最大尺寸为1900(长)x1350(宽)x2200(高)</w:t>
            </w:r>
          </w:p>
        </w:tc>
        <w:tc>
          <w:tcPr>
            <w:tcW w:w="411" w:type="pct"/>
            <w:tcBorders>
              <w:top w:val="nil"/>
              <w:left w:val="single" w:color="000000" w:sz="8" w:space="0"/>
              <w:bottom w:val="single" w:color="000000" w:sz="8" w:space="0"/>
              <w:right w:val="single" w:color="000000" w:sz="8" w:space="0"/>
            </w:tcBorders>
            <w:noWrap w:val="0"/>
            <w:vAlign w:val="center"/>
          </w:tcPr>
          <w:p w14:paraId="77FA6D6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nil"/>
              <w:left w:val="single" w:color="000000" w:sz="8" w:space="0"/>
              <w:bottom w:val="single" w:color="000000" w:sz="8" w:space="0"/>
              <w:right w:val="single" w:color="000000" w:sz="8" w:space="0"/>
            </w:tcBorders>
            <w:noWrap w:val="0"/>
            <w:vAlign w:val="center"/>
          </w:tcPr>
          <w:p w14:paraId="45AAC80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975" w:type="pct"/>
            <w:tcBorders>
              <w:top w:val="nil"/>
              <w:left w:val="single" w:color="000000" w:sz="8" w:space="0"/>
              <w:bottom w:val="single" w:color="000000" w:sz="8" w:space="0"/>
              <w:right w:val="single" w:color="000000" w:sz="8" w:space="0"/>
            </w:tcBorders>
            <w:noWrap w:val="0"/>
            <w:vAlign w:val="center"/>
          </w:tcPr>
          <w:p w14:paraId="7A1CB0D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防护等级IP30</w:t>
            </w:r>
          </w:p>
        </w:tc>
      </w:tr>
      <w:tr w14:paraId="181E00E2">
        <w:tblPrEx>
          <w:tblCellMar>
            <w:top w:w="0" w:type="dxa"/>
            <w:left w:w="108" w:type="dxa"/>
            <w:bottom w:w="0" w:type="dxa"/>
            <w:right w:w="108" w:type="dxa"/>
          </w:tblCellMar>
        </w:tblPrEx>
        <w:tc>
          <w:tcPr>
            <w:tcW w:w="410" w:type="pct"/>
            <w:tcBorders>
              <w:top w:val="nil"/>
              <w:left w:val="single" w:color="000000" w:sz="8" w:space="0"/>
              <w:bottom w:val="single" w:color="000000" w:sz="8" w:space="0"/>
              <w:right w:val="single" w:color="000000" w:sz="8" w:space="0"/>
            </w:tcBorders>
            <w:noWrap w:val="0"/>
            <w:vAlign w:val="center"/>
          </w:tcPr>
          <w:p w14:paraId="33C47E3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3</w:t>
            </w:r>
          </w:p>
        </w:tc>
        <w:tc>
          <w:tcPr>
            <w:tcW w:w="712" w:type="pct"/>
            <w:tcBorders>
              <w:top w:val="nil"/>
              <w:left w:val="single" w:color="000000" w:sz="8" w:space="0"/>
              <w:bottom w:val="single" w:color="000000" w:sz="8" w:space="0"/>
              <w:right w:val="single" w:color="000000" w:sz="8" w:space="0"/>
            </w:tcBorders>
            <w:noWrap w:val="0"/>
            <w:vAlign w:val="center"/>
          </w:tcPr>
          <w:p w14:paraId="494E3E2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10kV环网柜</w:t>
            </w:r>
          </w:p>
        </w:tc>
        <w:tc>
          <w:tcPr>
            <w:tcW w:w="2078" w:type="pct"/>
            <w:tcBorders>
              <w:top w:val="nil"/>
              <w:left w:val="single" w:color="000000" w:sz="8" w:space="0"/>
              <w:bottom w:val="single" w:color="000000" w:sz="8" w:space="0"/>
              <w:right w:val="single" w:color="000000" w:sz="8" w:space="0"/>
            </w:tcBorders>
            <w:noWrap w:val="0"/>
            <w:vAlign w:val="center"/>
          </w:tcPr>
          <w:p w14:paraId="6922C96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负荷开关柜</w:t>
            </w:r>
          </w:p>
        </w:tc>
        <w:tc>
          <w:tcPr>
            <w:tcW w:w="411" w:type="pct"/>
            <w:tcBorders>
              <w:top w:val="nil"/>
              <w:left w:val="single" w:color="000000" w:sz="8" w:space="0"/>
              <w:bottom w:val="single" w:color="000000" w:sz="8" w:space="0"/>
              <w:right w:val="single" w:color="000000" w:sz="8" w:space="0"/>
            </w:tcBorders>
            <w:noWrap w:val="0"/>
            <w:vAlign w:val="center"/>
          </w:tcPr>
          <w:p w14:paraId="2A2C073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nil"/>
              <w:left w:val="single" w:color="000000" w:sz="8" w:space="0"/>
              <w:bottom w:val="single" w:color="000000" w:sz="8" w:space="0"/>
              <w:right w:val="single" w:color="000000" w:sz="8" w:space="0"/>
            </w:tcBorders>
            <w:noWrap w:val="0"/>
            <w:vAlign w:val="center"/>
          </w:tcPr>
          <w:p w14:paraId="497FC27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975" w:type="pct"/>
            <w:tcBorders>
              <w:top w:val="nil"/>
              <w:left w:val="single" w:color="000000" w:sz="8" w:space="0"/>
              <w:bottom w:val="single" w:color="000000" w:sz="8" w:space="0"/>
              <w:right w:val="single" w:color="000000" w:sz="8" w:space="0"/>
            </w:tcBorders>
            <w:noWrap w:val="0"/>
            <w:vAlign w:val="center"/>
          </w:tcPr>
          <w:p w14:paraId="71F8492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10kV进线柜</w:t>
            </w:r>
          </w:p>
        </w:tc>
      </w:tr>
      <w:tr w14:paraId="50E36F0C">
        <w:tblPrEx>
          <w:tblCellMar>
            <w:top w:w="0" w:type="dxa"/>
            <w:left w:w="108" w:type="dxa"/>
            <w:bottom w:w="0" w:type="dxa"/>
            <w:right w:w="108" w:type="dxa"/>
          </w:tblCellMar>
        </w:tblPrEx>
        <w:tc>
          <w:tcPr>
            <w:tcW w:w="410" w:type="pct"/>
            <w:tcBorders>
              <w:top w:val="nil"/>
              <w:left w:val="single" w:color="000000" w:sz="8" w:space="0"/>
              <w:bottom w:val="single" w:color="000000" w:sz="8" w:space="0"/>
              <w:right w:val="single" w:color="000000" w:sz="8" w:space="0"/>
            </w:tcBorders>
            <w:noWrap w:val="0"/>
            <w:vAlign w:val="center"/>
          </w:tcPr>
          <w:p w14:paraId="5AAEBFF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4</w:t>
            </w:r>
          </w:p>
        </w:tc>
        <w:tc>
          <w:tcPr>
            <w:tcW w:w="712" w:type="pct"/>
            <w:tcBorders>
              <w:top w:val="nil"/>
              <w:left w:val="single" w:color="000000" w:sz="8" w:space="0"/>
              <w:bottom w:val="single" w:color="000000" w:sz="8" w:space="0"/>
              <w:right w:val="single" w:color="000000" w:sz="8" w:space="0"/>
            </w:tcBorders>
            <w:noWrap w:val="0"/>
            <w:vAlign w:val="center"/>
          </w:tcPr>
          <w:p w14:paraId="2DB12A6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10kV环网柜</w:t>
            </w:r>
          </w:p>
        </w:tc>
        <w:tc>
          <w:tcPr>
            <w:tcW w:w="2078" w:type="pct"/>
            <w:tcBorders>
              <w:top w:val="nil"/>
              <w:left w:val="single" w:color="000000" w:sz="8" w:space="0"/>
              <w:bottom w:val="single" w:color="000000" w:sz="8" w:space="0"/>
              <w:right w:val="single" w:color="000000" w:sz="8" w:space="0"/>
            </w:tcBorders>
            <w:noWrap w:val="0"/>
            <w:vAlign w:val="center"/>
          </w:tcPr>
          <w:p w14:paraId="63A9EFE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断路器柜</w:t>
            </w:r>
          </w:p>
        </w:tc>
        <w:tc>
          <w:tcPr>
            <w:tcW w:w="411" w:type="pct"/>
            <w:tcBorders>
              <w:top w:val="nil"/>
              <w:left w:val="single" w:color="000000" w:sz="8" w:space="0"/>
              <w:bottom w:val="single" w:color="000000" w:sz="8" w:space="0"/>
              <w:right w:val="single" w:color="000000" w:sz="8" w:space="0"/>
            </w:tcBorders>
            <w:noWrap w:val="0"/>
            <w:vAlign w:val="center"/>
          </w:tcPr>
          <w:p w14:paraId="7FD7F55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nil"/>
              <w:left w:val="single" w:color="000000" w:sz="8" w:space="0"/>
              <w:bottom w:val="single" w:color="000000" w:sz="8" w:space="0"/>
              <w:right w:val="single" w:color="000000" w:sz="8" w:space="0"/>
            </w:tcBorders>
            <w:noWrap w:val="0"/>
            <w:vAlign w:val="center"/>
          </w:tcPr>
          <w:p w14:paraId="21A6C06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975" w:type="pct"/>
            <w:tcBorders>
              <w:top w:val="nil"/>
              <w:left w:val="single" w:color="000000" w:sz="8" w:space="0"/>
              <w:bottom w:val="single" w:color="000000" w:sz="8" w:space="0"/>
              <w:right w:val="single" w:color="000000" w:sz="8" w:space="0"/>
            </w:tcBorders>
            <w:noWrap w:val="0"/>
            <w:vAlign w:val="center"/>
          </w:tcPr>
          <w:p w14:paraId="5652970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10kV配变柜</w:t>
            </w:r>
          </w:p>
        </w:tc>
      </w:tr>
      <w:tr w14:paraId="18DDB65C">
        <w:tblPrEx>
          <w:tblCellMar>
            <w:top w:w="0" w:type="dxa"/>
            <w:left w:w="108" w:type="dxa"/>
            <w:bottom w:w="0" w:type="dxa"/>
            <w:right w:w="108" w:type="dxa"/>
          </w:tblCellMar>
        </w:tblPrEx>
        <w:tc>
          <w:tcPr>
            <w:tcW w:w="410" w:type="pct"/>
            <w:tcBorders>
              <w:top w:val="nil"/>
              <w:left w:val="single" w:color="000000" w:sz="8" w:space="0"/>
              <w:bottom w:val="single" w:color="000000" w:sz="8" w:space="0"/>
              <w:right w:val="single" w:color="000000" w:sz="8" w:space="0"/>
            </w:tcBorders>
            <w:noWrap w:val="0"/>
            <w:vAlign w:val="center"/>
          </w:tcPr>
          <w:p w14:paraId="67105DC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5</w:t>
            </w:r>
          </w:p>
        </w:tc>
        <w:tc>
          <w:tcPr>
            <w:tcW w:w="712" w:type="pct"/>
            <w:tcBorders>
              <w:top w:val="nil"/>
              <w:left w:val="single" w:color="000000" w:sz="8" w:space="0"/>
              <w:bottom w:val="single" w:color="000000" w:sz="8" w:space="0"/>
              <w:right w:val="single" w:color="000000" w:sz="8" w:space="0"/>
            </w:tcBorders>
            <w:noWrap w:val="0"/>
            <w:vAlign w:val="center"/>
          </w:tcPr>
          <w:p w14:paraId="471BF76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变电所改造</w:t>
            </w:r>
          </w:p>
        </w:tc>
        <w:tc>
          <w:tcPr>
            <w:tcW w:w="2078" w:type="pct"/>
            <w:tcBorders>
              <w:top w:val="nil"/>
              <w:left w:val="single" w:color="000000" w:sz="8" w:space="0"/>
              <w:bottom w:val="single" w:color="000000" w:sz="8" w:space="0"/>
              <w:right w:val="single" w:color="000000" w:sz="8" w:space="0"/>
            </w:tcBorders>
            <w:noWrap w:val="0"/>
            <w:vAlign w:val="center"/>
          </w:tcPr>
          <w:p w14:paraId="1E1F963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排水泵及控制系统更新、设备基础等</w:t>
            </w:r>
          </w:p>
        </w:tc>
        <w:tc>
          <w:tcPr>
            <w:tcW w:w="411" w:type="pct"/>
            <w:tcBorders>
              <w:top w:val="nil"/>
              <w:left w:val="single" w:color="000000" w:sz="8" w:space="0"/>
              <w:bottom w:val="single" w:color="000000" w:sz="8" w:space="0"/>
              <w:right w:val="single" w:color="000000" w:sz="8" w:space="0"/>
            </w:tcBorders>
            <w:noWrap w:val="0"/>
            <w:vAlign w:val="center"/>
          </w:tcPr>
          <w:p w14:paraId="1F62536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项</w:t>
            </w:r>
          </w:p>
        </w:tc>
        <w:tc>
          <w:tcPr>
            <w:tcW w:w="411" w:type="pct"/>
            <w:tcBorders>
              <w:top w:val="nil"/>
              <w:left w:val="single" w:color="000000" w:sz="8" w:space="0"/>
              <w:bottom w:val="single" w:color="000000" w:sz="8" w:space="0"/>
              <w:right w:val="single" w:color="000000" w:sz="8" w:space="0"/>
            </w:tcBorders>
            <w:noWrap w:val="0"/>
            <w:vAlign w:val="center"/>
          </w:tcPr>
          <w:p w14:paraId="43AE590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nil"/>
              <w:left w:val="single" w:color="000000" w:sz="8" w:space="0"/>
              <w:bottom w:val="single" w:color="000000" w:sz="8" w:space="0"/>
              <w:right w:val="single" w:color="000000" w:sz="8" w:space="0"/>
            </w:tcBorders>
            <w:noWrap w:val="0"/>
            <w:vAlign w:val="center"/>
          </w:tcPr>
          <w:p w14:paraId="1444B62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05630841">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61D98DE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6</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3C2F326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壁挂式直流电源箱</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2DFEA3C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DC110V，40AH</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3167277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587DEB6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519E2CA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73138060">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03C4D6C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7</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4D26266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双电源照明配电箱</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36ADB13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　ATS 63A自动转换开关，互为备用</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0597112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2DED153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421A786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电源引自指定低压出线，需考虑适当回路预留</w:t>
            </w:r>
          </w:p>
        </w:tc>
      </w:tr>
      <w:tr w14:paraId="3745A5AD">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78D5CA2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8</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45AB7A4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568673A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7411543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1628F88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52C3424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0.4kV低压总柜</w:t>
            </w:r>
          </w:p>
        </w:tc>
      </w:tr>
      <w:tr w14:paraId="0B488942">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2D9C5D9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9</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1D2215D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783C490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5870FDC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33FD34F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559007D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0.4kV低压电容柜</w:t>
            </w:r>
          </w:p>
        </w:tc>
      </w:tr>
      <w:tr w14:paraId="2FFB7791">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78C0DE7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0D3E816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2B3FCC4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56BE3FD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687B47E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4</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140ACE2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0.4kV低压出线柜</w:t>
            </w:r>
          </w:p>
        </w:tc>
      </w:tr>
      <w:tr w14:paraId="449E2084">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59D0E8A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11</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03039DB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6EE450B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25FC711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3BF4AF0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0511F71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0.4kV联络柜</w:t>
            </w:r>
          </w:p>
        </w:tc>
      </w:tr>
      <w:tr w14:paraId="263180F3">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5302C27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12</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0B237C7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一次模拟图板</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0903F35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c>
          <w:tcPr>
            <w:tcW w:w="411" w:type="pct"/>
            <w:tcBorders>
              <w:top w:val="single" w:color="auto" w:sz="4" w:space="0"/>
              <w:left w:val="single" w:color="auto" w:sz="4" w:space="0"/>
              <w:bottom w:val="single" w:color="auto" w:sz="4" w:space="0"/>
              <w:right w:val="single" w:color="auto" w:sz="4" w:space="0"/>
            </w:tcBorders>
            <w:noWrap w:val="0"/>
            <w:vAlign w:val="center"/>
          </w:tcPr>
          <w:p w14:paraId="3F924C5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块</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617D0F7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5F8089E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2AC06560">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44FEDE2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13</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08699CA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安全工器具</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0B6A7C2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含灭火器、接地线、绝缘垫等</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2181E65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3FDF355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628DC4C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6DE10291">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0A77465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14</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2A57DE2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低压智能站控终端</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31D036E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p w14:paraId="1A5E61E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低压总开关柜出线回路温度探测与</w:t>
            </w:r>
          </w:p>
          <w:p w14:paraId="6A1433D5">
            <w:pPr>
              <w:widowControl w:val="0"/>
              <w:spacing w:line="24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低压智能站控终端</w:t>
            </w:r>
          </w:p>
          <w:p w14:paraId="12B5772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c>
          <w:tcPr>
            <w:tcW w:w="411" w:type="pct"/>
            <w:tcBorders>
              <w:top w:val="single" w:color="auto" w:sz="4" w:space="0"/>
              <w:left w:val="single" w:color="auto" w:sz="4" w:space="0"/>
              <w:bottom w:val="single" w:color="auto" w:sz="4" w:space="0"/>
              <w:right w:val="single" w:color="auto" w:sz="4" w:space="0"/>
            </w:tcBorders>
            <w:noWrap w:val="0"/>
            <w:vAlign w:val="center"/>
          </w:tcPr>
          <w:p w14:paraId="373DD0E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168C25D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5E07E4F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温度检测包含环网柜、低压总配电柜出线回路电缆</w:t>
            </w:r>
          </w:p>
        </w:tc>
      </w:tr>
      <w:tr w14:paraId="6872DCC3">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417380DE">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15</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74DBA74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后台监控系统</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03CC2B2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c>
          <w:tcPr>
            <w:tcW w:w="411" w:type="pct"/>
            <w:tcBorders>
              <w:top w:val="single" w:color="auto" w:sz="4" w:space="0"/>
              <w:left w:val="single" w:color="auto" w:sz="4" w:space="0"/>
              <w:bottom w:val="single" w:color="auto" w:sz="4" w:space="0"/>
              <w:right w:val="single" w:color="auto" w:sz="4" w:space="0"/>
            </w:tcBorders>
            <w:noWrap w:val="0"/>
            <w:vAlign w:val="center"/>
          </w:tcPr>
          <w:p w14:paraId="49F5133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11DB3D29">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6851271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0C748062">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69E467CD">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16</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30383AD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10KV冷缩式电缆终端</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0D3AE59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3x70mm²</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73F4E7C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30AB8898">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4</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538503E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55791D82">
        <w:tblPrEx>
          <w:tblCellMar>
            <w:top w:w="0" w:type="dxa"/>
            <w:left w:w="108" w:type="dxa"/>
            <w:bottom w:w="0" w:type="dxa"/>
            <w:right w:w="108" w:type="dxa"/>
          </w:tblCellMar>
        </w:tblPrEx>
        <w:tc>
          <w:tcPr>
            <w:tcW w:w="410" w:type="pct"/>
            <w:tcBorders>
              <w:top w:val="single" w:color="auto" w:sz="4" w:space="0"/>
              <w:left w:val="single" w:color="auto" w:sz="4" w:space="0"/>
              <w:bottom w:val="single" w:color="auto" w:sz="4" w:space="0"/>
              <w:right w:val="single" w:color="auto" w:sz="4" w:space="0"/>
            </w:tcBorders>
            <w:noWrap w:val="0"/>
            <w:vAlign w:val="center"/>
          </w:tcPr>
          <w:p w14:paraId="7ABC47C2">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17</w:t>
            </w:r>
          </w:p>
        </w:tc>
        <w:tc>
          <w:tcPr>
            <w:tcW w:w="712" w:type="pct"/>
            <w:tcBorders>
              <w:top w:val="single" w:color="auto" w:sz="4" w:space="0"/>
              <w:left w:val="single" w:color="auto" w:sz="4" w:space="0"/>
              <w:bottom w:val="single" w:color="auto" w:sz="4" w:space="0"/>
              <w:right w:val="single" w:color="auto" w:sz="4" w:space="0"/>
            </w:tcBorders>
            <w:noWrap w:val="0"/>
            <w:vAlign w:val="center"/>
          </w:tcPr>
          <w:p w14:paraId="43818AE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铜芯电力电缆</w:t>
            </w:r>
          </w:p>
        </w:tc>
        <w:tc>
          <w:tcPr>
            <w:tcW w:w="2078" w:type="pct"/>
            <w:tcBorders>
              <w:top w:val="single" w:color="auto" w:sz="4" w:space="0"/>
              <w:left w:val="single" w:color="auto" w:sz="4" w:space="0"/>
              <w:bottom w:val="single" w:color="auto" w:sz="4" w:space="0"/>
              <w:right w:val="single" w:color="auto" w:sz="4" w:space="0"/>
            </w:tcBorders>
            <w:noWrap w:val="0"/>
            <w:vAlign w:val="center"/>
          </w:tcPr>
          <w:p w14:paraId="59EFDBB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YJV22-8.7/15-3*70</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2712CC5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米</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26C9C69C">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60</w:t>
            </w:r>
          </w:p>
        </w:tc>
        <w:tc>
          <w:tcPr>
            <w:tcW w:w="975" w:type="pct"/>
            <w:tcBorders>
              <w:top w:val="single" w:color="auto" w:sz="4" w:space="0"/>
              <w:left w:val="single" w:color="auto" w:sz="4" w:space="0"/>
              <w:bottom w:val="single" w:color="auto" w:sz="4" w:space="0"/>
              <w:right w:val="single" w:color="auto" w:sz="4" w:space="0"/>
            </w:tcBorders>
            <w:noWrap w:val="0"/>
            <w:vAlign w:val="center"/>
          </w:tcPr>
          <w:p w14:paraId="28F1570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bl>
    <w:p w14:paraId="679CC80B">
      <w:pPr>
        <w:rPr>
          <w:highlight w:val="none"/>
        </w:rPr>
        <w:sectPr>
          <w:pgSz w:w="11906" w:h="16838"/>
          <w:pgMar w:top="1440" w:right="1800" w:bottom="1440" w:left="1800" w:header="851" w:footer="992" w:gutter="0"/>
          <w:cols w:space="425" w:num="1"/>
          <w:docGrid w:type="lines" w:linePitch="312" w:charSpace="0"/>
        </w:sectPr>
      </w:pPr>
    </w:p>
    <w:tbl>
      <w:tblPr>
        <w:tblStyle w:val="60"/>
        <w:tblW w:w="5000" w:type="pct"/>
        <w:tblInd w:w="0" w:type="dxa"/>
        <w:tblLayout w:type="autofit"/>
        <w:tblCellMar>
          <w:top w:w="0" w:type="dxa"/>
          <w:left w:w="108" w:type="dxa"/>
          <w:bottom w:w="0" w:type="dxa"/>
          <w:right w:w="108" w:type="dxa"/>
        </w:tblCellMar>
      </w:tblPr>
      <w:tblGrid>
        <w:gridCol w:w="759"/>
        <w:gridCol w:w="1318"/>
        <w:gridCol w:w="3856"/>
        <w:gridCol w:w="760"/>
        <w:gridCol w:w="760"/>
        <w:gridCol w:w="1833"/>
      </w:tblGrid>
      <w:tr w14:paraId="6FF16070">
        <w:tblPrEx>
          <w:tblCellMar>
            <w:top w:w="0" w:type="dxa"/>
            <w:left w:w="108" w:type="dxa"/>
            <w:bottom w:w="0" w:type="dxa"/>
            <w:right w:w="108" w:type="dxa"/>
          </w:tblCellMar>
        </w:tblPrEx>
        <w:tc>
          <w:tcPr>
            <w:tcW w:w="5000" w:type="pct"/>
            <w:gridSpan w:val="6"/>
            <w:tcBorders>
              <w:top w:val="single" w:color="000000" w:sz="8" w:space="0"/>
              <w:left w:val="single" w:color="000000" w:sz="8" w:space="0"/>
              <w:bottom w:val="single" w:color="000000" w:sz="8" w:space="0"/>
              <w:right w:val="single" w:color="000000" w:sz="8" w:space="0"/>
            </w:tcBorders>
            <w:noWrap w:val="0"/>
            <w:vAlign w:val="center"/>
          </w:tcPr>
          <w:p w14:paraId="501AA3F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bCs/>
                <w:color w:val="000000"/>
                <w:kern w:val="2"/>
                <w:sz w:val="24"/>
                <w:szCs w:val="24"/>
                <w:highlight w:val="none"/>
                <w:lang w:val="en-US" w:eastAsia="zh-CN" w:bidi="ar-SA"/>
              </w:rPr>
              <w:t>标项二：图书馆配电房部分（新上部分）</w:t>
            </w:r>
          </w:p>
        </w:tc>
      </w:tr>
      <w:tr w14:paraId="55CE0F07">
        <w:tblPrEx>
          <w:tblCellMar>
            <w:top w:w="0" w:type="dxa"/>
            <w:left w:w="108" w:type="dxa"/>
            <w:bottom w:w="0" w:type="dxa"/>
            <w:right w:w="108" w:type="dxa"/>
          </w:tblCellMar>
        </w:tblPrEx>
        <w:tc>
          <w:tcPr>
            <w:tcW w:w="409" w:type="pct"/>
            <w:tcBorders>
              <w:top w:val="nil"/>
              <w:left w:val="single" w:color="000000" w:sz="8" w:space="0"/>
              <w:bottom w:val="single" w:color="000000" w:sz="8" w:space="0"/>
              <w:right w:val="single" w:color="000000" w:sz="8" w:space="0"/>
            </w:tcBorders>
            <w:noWrap w:val="0"/>
            <w:vAlign w:val="center"/>
          </w:tcPr>
          <w:p w14:paraId="7A81617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序号</w:t>
            </w:r>
          </w:p>
        </w:tc>
        <w:tc>
          <w:tcPr>
            <w:tcW w:w="710" w:type="pct"/>
            <w:tcBorders>
              <w:top w:val="single" w:color="000000" w:sz="8" w:space="0"/>
              <w:left w:val="single" w:color="000000" w:sz="8" w:space="0"/>
              <w:bottom w:val="single" w:color="000000" w:sz="8" w:space="0"/>
              <w:right w:val="single" w:color="000000" w:sz="8" w:space="0"/>
            </w:tcBorders>
            <w:noWrap w:val="0"/>
            <w:vAlign w:val="center"/>
          </w:tcPr>
          <w:p w14:paraId="2CFD577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名称</w:t>
            </w:r>
          </w:p>
        </w:tc>
        <w:tc>
          <w:tcPr>
            <w:tcW w:w="2076" w:type="pct"/>
            <w:tcBorders>
              <w:top w:val="single" w:color="000000" w:sz="8" w:space="0"/>
              <w:left w:val="single" w:color="000000" w:sz="8" w:space="0"/>
              <w:bottom w:val="single" w:color="000000" w:sz="8" w:space="0"/>
              <w:right w:val="single" w:color="000000" w:sz="8" w:space="0"/>
            </w:tcBorders>
            <w:noWrap w:val="0"/>
            <w:vAlign w:val="center"/>
          </w:tcPr>
          <w:p w14:paraId="06FB606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规格与型号</w:t>
            </w:r>
          </w:p>
        </w:tc>
        <w:tc>
          <w:tcPr>
            <w:tcW w:w="409" w:type="pct"/>
            <w:tcBorders>
              <w:top w:val="single" w:color="000000" w:sz="8" w:space="0"/>
              <w:left w:val="single" w:color="000000" w:sz="8" w:space="0"/>
              <w:bottom w:val="single" w:color="000000" w:sz="8" w:space="0"/>
              <w:right w:val="single" w:color="000000" w:sz="8" w:space="0"/>
            </w:tcBorders>
            <w:noWrap w:val="0"/>
            <w:vAlign w:val="center"/>
          </w:tcPr>
          <w:p w14:paraId="54BA3BD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单位</w:t>
            </w:r>
          </w:p>
        </w:tc>
        <w:tc>
          <w:tcPr>
            <w:tcW w:w="409" w:type="pct"/>
            <w:tcBorders>
              <w:top w:val="single" w:color="000000" w:sz="8" w:space="0"/>
              <w:left w:val="single" w:color="000000" w:sz="8" w:space="0"/>
              <w:bottom w:val="single" w:color="000000" w:sz="8" w:space="0"/>
              <w:right w:val="single" w:color="000000" w:sz="8" w:space="0"/>
            </w:tcBorders>
            <w:noWrap w:val="0"/>
            <w:vAlign w:val="center"/>
          </w:tcPr>
          <w:p w14:paraId="6003CAA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数量</w:t>
            </w:r>
          </w:p>
        </w:tc>
        <w:tc>
          <w:tcPr>
            <w:tcW w:w="984" w:type="pct"/>
            <w:tcBorders>
              <w:top w:val="single" w:color="000000" w:sz="8" w:space="0"/>
              <w:left w:val="single" w:color="000000" w:sz="8" w:space="0"/>
              <w:bottom w:val="single" w:color="000000" w:sz="8" w:space="0"/>
              <w:right w:val="single" w:color="000000" w:sz="8" w:space="0"/>
            </w:tcBorders>
            <w:noWrap w:val="0"/>
            <w:vAlign w:val="center"/>
          </w:tcPr>
          <w:p w14:paraId="2143F39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备注</w:t>
            </w:r>
          </w:p>
        </w:tc>
      </w:tr>
      <w:tr w14:paraId="1B20599B">
        <w:tblPrEx>
          <w:tblCellMar>
            <w:top w:w="0" w:type="dxa"/>
            <w:left w:w="108" w:type="dxa"/>
            <w:bottom w:w="0" w:type="dxa"/>
            <w:right w:w="108" w:type="dxa"/>
          </w:tblCellMar>
        </w:tblPrEx>
        <w:tc>
          <w:tcPr>
            <w:tcW w:w="409" w:type="pct"/>
            <w:tcBorders>
              <w:top w:val="nil"/>
              <w:left w:val="single" w:color="000000" w:sz="8" w:space="0"/>
              <w:bottom w:val="single" w:color="000000" w:sz="8" w:space="0"/>
              <w:right w:val="single" w:color="000000" w:sz="8" w:space="0"/>
            </w:tcBorders>
            <w:noWrap w:val="0"/>
            <w:vAlign w:val="center"/>
          </w:tcPr>
          <w:p w14:paraId="2B9430F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710" w:type="pct"/>
            <w:tcBorders>
              <w:top w:val="nil"/>
              <w:left w:val="single" w:color="000000" w:sz="8" w:space="0"/>
              <w:bottom w:val="single" w:color="000000" w:sz="8" w:space="0"/>
              <w:right w:val="single" w:color="000000" w:sz="8" w:space="0"/>
            </w:tcBorders>
            <w:noWrap w:val="0"/>
            <w:vAlign w:val="center"/>
          </w:tcPr>
          <w:p w14:paraId="2381A22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干式变压器</w:t>
            </w:r>
          </w:p>
        </w:tc>
        <w:tc>
          <w:tcPr>
            <w:tcW w:w="2076" w:type="pct"/>
            <w:tcBorders>
              <w:top w:val="nil"/>
              <w:left w:val="single" w:color="000000" w:sz="8" w:space="0"/>
              <w:bottom w:val="single" w:color="000000" w:sz="8" w:space="0"/>
              <w:right w:val="single" w:color="000000" w:sz="8" w:space="0"/>
            </w:tcBorders>
            <w:noWrap w:val="0"/>
            <w:vAlign w:val="center"/>
          </w:tcPr>
          <w:p w14:paraId="27E1F18A">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SCB18，800KVA2台、1000KVA1台</w:t>
            </w:r>
          </w:p>
        </w:tc>
        <w:tc>
          <w:tcPr>
            <w:tcW w:w="409" w:type="pct"/>
            <w:tcBorders>
              <w:top w:val="nil"/>
              <w:left w:val="single" w:color="000000" w:sz="8" w:space="0"/>
              <w:bottom w:val="single" w:color="000000" w:sz="8" w:space="0"/>
              <w:right w:val="single" w:color="000000" w:sz="8" w:space="0"/>
            </w:tcBorders>
            <w:noWrap w:val="0"/>
            <w:vAlign w:val="center"/>
          </w:tcPr>
          <w:p w14:paraId="654281D0">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台</w:t>
            </w:r>
          </w:p>
        </w:tc>
        <w:tc>
          <w:tcPr>
            <w:tcW w:w="409" w:type="pct"/>
            <w:tcBorders>
              <w:top w:val="nil"/>
              <w:left w:val="single" w:color="000000" w:sz="8" w:space="0"/>
              <w:bottom w:val="single" w:color="000000" w:sz="8" w:space="0"/>
              <w:right w:val="single" w:color="000000" w:sz="8" w:space="0"/>
            </w:tcBorders>
            <w:noWrap w:val="0"/>
            <w:vAlign w:val="center"/>
          </w:tcPr>
          <w:p w14:paraId="747E8F01">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w:t>
            </w:r>
          </w:p>
        </w:tc>
        <w:tc>
          <w:tcPr>
            <w:tcW w:w="984" w:type="pct"/>
            <w:tcBorders>
              <w:top w:val="nil"/>
              <w:left w:val="single" w:color="000000" w:sz="8" w:space="0"/>
              <w:bottom w:val="single" w:color="000000" w:sz="8" w:space="0"/>
              <w:right w:val="single" w:color="000000" w:sz="8" w:space="0"/>
            </w:tcBorders>
            <w:noWrap w:val="0"/>
            <w:vAlign w:val="center"/>
          </w:tcPr>
          <w:p w14:paraId="1F6285E0">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Dyn11  UK=6%配置温控仪及冷却风机，满足一级或以上能效要求</w:t>
            </w:r>
          </w:p>
        </w:tc>
      </w:tr>
      <w:tr w14:paraId="103ED432">
        <w:tblPrEx>
          <w:tblCellMar>
            <w:top w:w="0" w:type="dxa"/>
            <w:left w:w="108" w:type="dxa"/>
            <w:bottom w:w="0" w:type="dxa"/>
            <w:right w:w="108" w:type="dxa"/>
          </w:tblCellMar>
        </w:tblPrEx>
        <w:tc>
          <w:tcPr>
            <w:tcW w:w="409" w:type="pct"/>
            <w:tcBorders>
              <w:top w:val="nil"/>
              <w:left w:val="single" w:color="000000" w:sz="8" w:space="0"/>
              <w:bottom w:val="single" w:color="000000" w:sz="8" w:space="0"/>
              <w:right w:val="single" w:color="000000" w:sz="8" w:space="0"/>
            </w:tcBorders>
            <w:noWrap w:val="0"/>
            <w:vAlign w:val="center"/>
          </w:tcPr>
          <w:p w14:paraId="7B056F6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710" w:type="pct"/>
            <w:tcBorders>
              <w:top w:val="nil"/>
              <w:left w:val="single" w:color="000000" w:sz="8" w:space="0"/>
              <w:bottom w:val="single" w:color="000000" w:sz="8" w:space="0"/>
              <w:right w:val="single" w:color="000000" w:sz="8" w:space="0"/>
            </w:tcBorders>
            <w:noWrap w:val="0"/>
            <w:vAlign w:val="center"/>
          </w:tcPr>
          <w:p w14:paraId="44F11C1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干式变压器外壳</w:t>
            </w:r>
          </w:p>
        </w:tc>
        <w:tc>
          <w:tcPr>
            <w:tcW w:w="2076" w:type="pct"/>
            <w:tcBorders>
              <w:top w:val="nil"/>
              <w:left w:val="single" w:color="000000" w:sz="8" w:space="0"/>
              <w:bottom w:val="single" w:color="000000" w:sz="8" w:space="0"/>
              <w:right w:val="single" w:color="000000" w:sz="8" w:space="0"/>
            </w:tcBorders>
            <w:noWrap w:val="0"/>
            <w:vAlign w:val="center"/>
          </w:tcPr>
          <w:p w14:paraId="0B3E228D">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最大尺寸为1900(长)x1350(宽)x2200(高)</w:t>
            </w:r>
          </w:p>
        </w:tc>
        <w:tc>
          <w:tcPr>
            <w:tcW w:w="409" w:type="pct"/>
            <w:tcBorders>
              <w:top w:val="nil"/>
              <w:left w:val="single" w:color="000000" w:sz="8" w:space="0"/>
              <w:bottom w:val="single" w:color="000000" w:sz="8" w:space="0"/>
              <w:right w:val="single" w:color="000000" w:sz="8" w:space="0"/>
            </w:tcBorders>
            <w:noWrap w:val="0"/>
            <w:vAlign w:val="center"/>
          </w:tcPr>
          <w:p w14:paraId="58010953">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台</w:t>
            </w:r>
          </w:p>
        </w:tc>
        <w:tc>
          <w:tcPr>
            <w:tcW w:w="409" w:type="pct"/>
            <w:tcBorders>
              <w:top w:val="nil"/>
              <w:left w:val="single" w:color="000000" w:sz="8" w:space="0"/>
              <w:bottom w:val="single" w:color="000000" w:sz="8" w:space="0"/>
              <w:right w:val="single" w:color="000000" w:sz="8" w:space="0"/>
            </w:tcBorders>
            <w:noWrap w:val="0"/>
            <w:vAlign w:val="center"/>
          </w:tcPr>
          <w:p w14:paraId="24D8E42D">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w:t>
            </w:r>
          </w:p>
        </w:tc>
        <w:tc>
          <w:tcPr>
            <w:tcW w:w="984" w:type="pct"/>
            <w:tcBorders>
              <w:top w:val="nil"/>
              <w:left w:val="single" w:color="000000" w:sz="8" w:space="0"/>
              <w:bottom w:val="single" w:color="000000" w:sz="8" w:space="0"/>
              <w:right w:val="single" w:color="000000" w:sz="8" w:space="0"/>
            </w:tcBorders>
            <w:noWrap w:val="0"/>
            <w:vAlign w:val="center"/>
          </w:tcPr>
          <w:p w14:paraId="15DAABFC">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防护等级IP30</w:t>
            </w:r>
          </w:p>
        </w:tc>
      </w:tr>
      <w:tr w14:paraId="07A775FC">
        <w:tblPrEx>
          <w:tblCellMar>
            <w:top w:w="0" w:type="dxa"/>
            <w:left w:w="108" w:type="dxa"/>
            <w:bottom w:w="0" w:type="dxa"/>
            <w:right w:w="108" w:type="dxa"/>
          </w:tblCellMar>
        </w:tblPrEx>
        <w:tc>
          <w:tcPr>
            <w:tcW w:w="409" w:type="pct"/>
            <w:tcBorders>
              <w:top w:val="nil"/>
              <w:left w:val="single" w:color="000000" w:sz="8" w:space="0"/>
              <w:bottom w:val="single" w:color="000000" w:sz="8" w:space="0"/>
              <w:right w:val="single" w:color="000000" w:sz="8" w:space="0"/>
            </w:tcBorders>
            <w:noWrap w:val="0"/>
            <w:vAlign w:val="center"/>
          </w:tcPr>
          <w:p w14:paraId="638397F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3</w:t>
            </w:r>
          </w:p>
        </w:tc>
        <w:tc>
          <w:tcPr>
            <w:tcW w:w="710" w:type="pct"/>
            <w:tcBorders>
              <w:top w:val="nil"/>
              <w:left w:val="single" w:color="000000" w:sz="8" w:space="0"/>
              <w:bottom w:val="single" w:color="000000" w:sz="8" w:space="0"/>
              <w:right w:val="single" w:color="000000" w:sz="8" w:space="0"/>
            </w:tcBorders>
            <w:noWrap w:val="0"/>
            <w:vAlign w:val="center"/>
          </w:tcPr>
          <w:p w14:paraId="7D6D731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10kV环网柜</w:t>
            </w:r>
          </w:p>
        </w:tc>
        <w:tc>
          <w:tcPr>
            <w:tcW w:w="2076" w:type="pct"/>
            <w:tcBorders>
              <w:top w:val="nil"/>
              <w:left w:val="single" w:color="000000" w:sz="8" w:space="0"/>
              <w:bottom w:val="single" w:color="000000" w:sz="8" w:space="0"/>
              <w:right w:val="single" w:color="000000" w:sz="8" w:space="0"/>
            </w:tcBorders>
            <w:noWrap w:val="0"/>
            <w:vAlign w:val="center"/>
          </w:tcPr>
          <w:p w14:paraId="6C124DCD">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负荷开关柜</w:t>
            </w:r>
          </w:p>
        </w:tc>
        <w:tc>
          <w:tcPr>
            <w:tcW w:w="409" w:type="pct"/>
            <w:tcBorders>
              <w:top w:val="nil"/>
              <w:left w:val="single" w:color="000000" w:sz="8" w:space="0"/>
              <w:bottom w:val="single" w:color="000000" w:sz="8" w:space="0"/>
              <w:right w:val="single" w:color="000000" w:sz="8" w:space="0"/>
            </w:tcBorders>
            <w:noWrap w:val="0"/>
            <w:vAlign w:val="center"/>
          </w:tcPr>
          <w:p w14:paraId="367F0343">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台</w:t>
            </w:r>
          </w:p>
        </w:tc>
        <w:tc>
          <w:tcPr>
            <w:tcW w:w="409" w:type="pct"/>
            <w:tcBorders>
              <w:top w:val="nil"/>
              <w:left w:val="single" w:color="000000" w:sz="8" w:space="0"/>
              <w:bottom w:val="single" w:color="000000" w:sz="8" w:space="0"/>
              <w:right w:val="single" w:color="000000" w:sz="8" w:space="0"/>
            </w:tcBorders>
            <w:noWrap w:val="0"/>
            <w:vAlign w:val="center"/>
          </w:tcPr>
          <w:p w14:paraId="6D83F77D">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w:t>
            </w:r>
          </w:p>
        </w:tc>
        <w:tc>
          <w:tcPr>
            <w:tcW w:w="984" w:type="pct"/>
            <w:tcBorders>
              <w:top w:val="nil"/>
              <w:left w:val="single" w:color="000000" w:sz="8" w:space="0"/>
              <w:bottom w:val="single" w:color="000000" w:sz="8" w:space="0"/>
              <w:right w:val="single" w:color="000000" w:sz="8" w:space="0"/>
            </w:tcBorders>
            <w:noWrap w:val="0"/>
            <w:vAlign w:val="center"/>
          </w:tcPr>
          <w:p w14:paraId="4B912B9C">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10kV进线柜</w:t>
            </w:r>
          </w:p>
        </w:tc>
      </w:tr>
      <w:tr w14:paraId="369F0C7A">
        <w:tblPrEx>
          <w:tblCellMar>
            <w:top w:w="0" w:type="dxa"/>
            <w:left w:w="108" w:type="dxa"/>
            <w:bottom w:w="0" w:type="dxa"/>
            <w:right w:w="108" w:type="dxa"/>
          </w:tblCellMar>
        </w:tblPrEx>
        <w:tc>
          <w:tcPr>
            <w:tcW w:w="409" w:type="pct"/>
            <w:tcBorders>
              <w:top w:val="nil"/>
              <w:left w:val="single" w:color="000000" w:sz="8" w:space="0"/>
              <w:bottom w:val="single" w:color="000000" w:sz="8" w:space="0"/>
              <w:right w:val="single" w:color="000000" w:sz="8" w:space="0"/>
            </w:tcBorders>
            <w:noWrap w:val="0"/>
            <w:vAlign w:val="center"/>
          </w:tcPr>
          <w:p w14:paraId="4DE80CE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4</w:t>
            </w:r>
          </w:p>
        </w:tc>
        <w:tc>
          <w:tcPr>
            <w:tcW w:w="710" w:type="pct"/>
            <w:tcBorders>
              <w:top w:val="nil"/>
              <w:left w:val="single" w:color="000000" w:sz="8" w:space="0"/>
              <w:bottom w:val="single" w:color="000000" w:sz="8" w:space="0"/>
              <w:right w:val="single" w:color="000000" w:sz="8" w:space="0"/>
            </w:tcBorders>
            <w:noWrap w:val="0"/>
            <w:vAlign w:val="center"/>
          </w:tcPr>
          <w:p w14:paraId="6BB029D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10kV环网柜</w:t>
            </w:r>
          </w:p>
        </w:tc>
        <w:tc>
          <w:tcPr>
            <w:tcW w:w="2076" w:type="pct"/>
            <w:tcBorders>
              <w:top w:val="nil"/>
              <w:left w:val="single" w:color="000000" w:sz="8" w:space="0"/>
              <w:bottom w:val="single" w:color="000000" w:sz="8" w:space="0"/>
              <w:right w:val="single" w:color="000000" w:sz="8" w:space="0"/>
            </w:tcBorders>
            <w:noWrap w:val="0"/>
            <w:vAlign w:val="center"/>
          </w:tcPr>
          <w:p w14:paraId="42B56ACE">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断路器柜</w:t>
            </w:r>
          </w:p>
        </w:tc>
        <w:tc>
          <w:tcPr>
            <w:tcW w:w="409" w:type="pct"/>
            <w:tcBorders>
              <w:top w:val="nil"/>
              <w:left w:val="single" w:color="000000" w:sz="8" w:space="0"/>
              <w:bottom w:val="single" w:color="000000" w:sz="8" w:space="0"/>
              <w:right w:val="single" w:color="000000" w:sz="8" w:space="0"/>
            </w:tcBorders>
            <w:noWrap w:val="0"/>
            <w:vAlign w:val="center"/>
          </w:tcPr>
          <w:p w14:paraId="2F769153">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台</w:t>
            </w:r>
          </w:p>
        </w:tc>
        <w:tc>
          <w:tcPr>
            <w:tcW w:w="409" w:type="pct"/>
            <w:tcBorders>
              <w:top w:val="nil"/>
              <w:left w:val="single" w:color="000000" w:sz="8" w:space="0"/>
              <w:bottom w:val="single" w:color="000000" w:sz="8" w:space="0"/>
              <w:right w:val="single" w:color="000000" w:sz="8" w:space="0"/>
            </w:tcBorders>
            <w:noWrap w:val="0"/>
            <w:vAlign w:val="center"/>
          </w:tcPr>
          <w:p w14:paraId="49717C54">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w:t>
            </w:r>
          </w:p>
        </w:tc>
        <w:tc>
          <w:tcPr>
            <w:tcW w:w="984" w:type="pct"/>
            <w:tcBorders>
              <w:top w:val="nil"/>
              <w:left w:val="single" w:color="000000" w:sz="8" w:space="0"/>
              <w:bottom w:val="single" w:color="000000" w:sz="8" w:space="0"/>
              <w:right w:val="single" w:color="000000" w:sz="8" w:space="0"/>
            </w:tcBorders>
            <w:noWrap w:val="0"/>
            <w:vAlign w:val="center"/>
          </w:tcPr>
          <w:p w14:paraId="2CF7969C">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10kV配变柜</w:t>
            </w:r>
          </w:p>
        </w:tc>
      </w:tr>
      <w:tr w14:paraId="34FDDA3E">
        <w:tblPrEx>
          <w:tblCellMar>
            <w:top w:w="0" w:type="dxa"/>
            <w:left w:w="108" w:type="dxa"/>
            <w:bottom w:w="0" w:type="dxa"/>
            <w:right w:w="108" w:type="dxa"/>
          </w:tblCellMar>
        </w:tblPrEx>
        <w:tc>
          <w:tcPr>
            <w:tcW w:w="409" w:type="pct"/>
            <w:tcBorders>
              <w:top w:val="nil"/>
              <w:left w:val="single" w:color="000000" w:sz="8" w:space="0"/>
              <w:bottom w:val="single" w:color="000000" w:sz="8" w:space="0"/>
              <w:right w:val="single" w:color="000000" w:sz="8" w:space="0"/>
            </w:tcBorders>
            <w:noWrap w:val="0"/>
            <w:vAlign w:val="center"/>
          </w:tcPr>
          <w:p w14:paraId="5DED4BB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5</w:t>
            </w:r>
          </w:p>
        </w:tc>
        <w:tc>
          <w:tcPr>
            <w:tcW w:w="710" w:type="pct"/>
            <w:tcBorders>
              <w:top w:val="nil"/>
              <w:left w:val="single" w:color="000000" w:sz="8" w:space="0"/>
              <w:bottom w:val="single" w:color="000000" w:sz="8" w:space="0"/>
              <w:right w:val="single" w:color="000000" w:sz="8" w:space="0"/>
            </w:tcBorders>
            <w:noWrap w:val="0"/>
            <w:vAlign w:val="center"/>
          </w:tcPr>
          <w:p w14:paraId="2156C74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变电所改造</w:t>
            </w:r>
          </w:p>
        </w:tc>
        <w:tc>
          <w:tcPr>
            <w:tcW w:w="2076" w:type="pct"/>
            <w:tcBorders>
              <w:top w:val="nil"/>
              <w:left w:val="single" w:color="000000" w:sz="8" w:space="0"/>
              <w:bottom w:val="single" w:color="000000" w:sz="8" w:space="0"/>
              <w:right w:val="single" w:color="000000" w:sz="8" w:space="0"/>
            </w:tcBorders>
            <w:noWrap w:val="0"/>
            <w:vAlign w:val="center"/>
          </w:tcPr>
          <w:p w14:paraId="5135E0D2">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设备基础等</w:t>
            </w:r>
          </w:p>
        </w:tc>
        <w:tc>
          <w:tcPr>
            <w:tcW w:w="409" w:type="pct"/>
            <w:tcBorders>
              <w:top w:val="nil"/>
              <w:left w:val="single" w:color="000000" w:sz="8" w:space="0"/>
              <w:bottom w:val="single" w:color="000000" w:sz="8" w:space="0"/>
              <w:right w:val="single" w:color="000000" w:sz="8" w:space="0"/>
            </w:tcBorders>
            <w:noWrap w:val="0"/>
            <w:vAlign w:val="center"/>
          </w:tcPr>
          <w:p w14:paraId="704AE7D8">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项</w:t>
            </w:r>
          </w:p>
        </w:tc>
        <w:tc>
          <w:tcPr>
            <w:tcW w:w="409" w:type="pct"/>
            <w:tcBorders>
              <w:top w:val="nil"/>
              <w:left w:val="single" w:color="000000" w:sz="8" w:space="0"/>
              <w:bottom w:val="single" w:color="000000" w:sz="8" w:space="0"/>
              <w:right w:val="single" w:color="000000" w:sz="8" w:space="0"/>
            </w:tcBorders>
            <w:noWrap w:val="0"/>
            <w:vAlign w:val="center"/>
          </w:tcPr>
          <w:p w14:paraId="10D0E749">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w:t>
            </w:r>
          </w:p>
        </w:tc>
        <w:tc>
          <w:tcPr>
            <w:tcW w:w="984" w:type="pct"/>
            <w:tcBorders>
              <w:top w:val="nil"/>
              <w:left w:val="single" w:color="000000" w:sz="8" w:space="0"/>
              <w:bottom w:val="single" w:color="000000" w:sz="8" w:space="0"/>
              <w:right w:val="single" w:color="000000" w:sz="8" w:space="0"/>
            </w:tcBorders>
            <w:noWrap w:val="0"/>
            <w:vAlign w:val="center"/>
          </w:tcPr>
          <w:p w14:paraId="58A8EE67">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p>
        </w:tc>
      </w:tr>
      <w:tr w14:paraId="7F621BE6">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4527A94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6</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781D521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壁挂式直流电源箱</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06C2C7E3">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DC110V，40AH</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35484C67">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546B486D">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62013D0F">
            <w:pPr>
              <w:keepNext/>
              <w:widowControl w:val="0"/>
              <w:spacing w:line="360" w:lineRule="auto"/>
              <w:jc w:val="center"/>
              <w:outlineLvl w:val="0"/>
              <w:rPr>
                <w:rFonts w:hint="eastAsia" w:ascii="仿宋" w:hAnsi="仿宋" w:eastAsia="仿宋" w:cs="仿宋"/>
                <w:b w:val="0"/>
                <w:bCs w:val="0"/>
                <w:color w:val="auto"/>
                <w:kern w:val="2"/>
                <w:sz w:val="24"/>
                <w:szCs w:val="24"/>
                <w:highlight w:val="none"/>
                <w:lang w:val="en-US" w:eastAsia="zh-CN" w:bidi="ar-SA"/>
              </w:rPr>
            </w:pPr>
          </w:p>
        </w:tc>
      </w:tr>
      <w:tr w14:paraId="134D68EA">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27EECF4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7</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569415D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双电源照明配电箱</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7740D88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　ATS 63A自动转换开关，互为备用</w:t>
            </w:r>
          </w:p>
          <w:p w14:paraId="77A0BDB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输出回路</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5044932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3E1D843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42F3AC7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电源引自指定低压出线，需考虑适当回路预留</w:t>
            </w:r>
          </w:p>
        </w:tc>
      </w:tr>
      <w:tr w14:paraId="6EEE0FF6">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154BA1F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8</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40EF23A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4E58E4B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7CBB9E2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6641F7B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3</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7AE7AA5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0.4kV低压总柜</w:t>
            </w:r>
          </w:p>
        </w:tc>
      </w:tr>
      <w:tr w14:paraId="7E872A39">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7408022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9</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7963F82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17A17EB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55E901B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0F1DAB1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3</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083CB85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0.4kV低压电容柜</w:t>
            </w:r>
          </w:p>
        </w:tc>
      </w:tr>
      <w:tr w14:paraId="012C7F86">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2D3BD20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230D52B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4E7E763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0AF4071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61D0F54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2D07B05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0.4kV低压出线柜</w:t>
            </w:r>
          </w:p>
        </w:tc>
      </w:tr>
      <w:tr w14:paraId="213AF385">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2FA993C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11</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15A46744">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0.4kV开关柜</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14A9541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抽屉式开关柜</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3DD51D4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049DC55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4B1FC22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0.4kV联络柜</w:t>
            </w:r>
          </w:p>
        </w:tc>
      </w:tr>
      <w:tr w14:paraId="2BECE9A1">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30EBA53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12</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236D18E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一次模拟图板</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5E844DC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c>
          <w:tcPr>
            <w:tcW w:w="409" w:type="pct"/>
            <w:tcBorders>
              <w:top w:val="single" w:color="auto" w:sz="4" w:space="0"/>
              <w:left w:val="single" w:color="auto" w:sz="4" w:space="0"/>
              <w:bottom w:val="single" w:color="auto" w:sz="4" w:space="0"/>
              <w:right w:val="single" w:color="auto" w:sz="4" w:space="0"/>
            </w:tcBorders>
            <w:noWrap w:val="0"/>
            <w:vAlign w:val="center"/>
          </w:tcPr>
          <w:p w14:paraId="38E7121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块</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3419510B">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76B46F8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17772CFF">
        <w:tblPrEx>
          <w:tblCellMar>
            <w:top w:w="0" w:type="dxa"/>
            <w:left w:w="108" w:type="dxa"/>
            <w:bottom w:w="0" w:type="dxa"/>
            <w:right w:w="108" w:type="dxa"/>
          </w:tblCellMar>
        </w:tblPrEx>
        <w:tc>
          <w:tcPr>
            <w:tcW w:w="409" w:type="pct"/>
            <w:tcBorders>
              <w:top w:val="single" w:color="auto" w:sz="4" w:space="0"/>
              <w:left w:val="single" w:color="auto" w:sz="4" w:space="0"/>
              <w:bottom w:val="single" w:color="auto" w:sz="4" w:space="0"/>
              <w:right w:val="single" w:color="auto" w:sz="4" w:space="0"/>
            </w:tcBorders>
            <w:noWrap w:val="0"/>
            <w:vAlign w:val="center"/>
          </w:tcPr>
          <w:p w14:paraId="617ECA6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13</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7776505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安全工器具</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4BFF6A2C">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含灭火器、接地线、绝缘垫等</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2F879C3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6192C63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69B7F5B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7BD1804E">
        <w:tblPrEx>
          <w:tblCellMar>
            <w:top w:w="0" w:type="dxa"/>
            <w:left w:w="108" w:type="dxa"/>
            <w:bottom w:w="0" w:type="dxa"/>
            <w:right w:w="108" w:type="dxa"/>
          </w:tblCellMar>
        </w:tblPrEx>
        <w:trPr>
          <w:trHeight w:val="2292"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37017A9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14</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03E72618">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低压智能站控终端</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38C13E5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p w14:paraId="2678E60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低压总开关柜出线回路温度探测与</w:t>
            </w:r>
          </w:p>
          <w:p w14:paraId="60F1ED1A">
            <w:pPr>
              <w:widowControl w:val="0"/>
              <w:spacing w:line="24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低压智能站控终端</w:t>
            </w:r>
          </w:p>
          <w:p w14:paraId="5BB1174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c>
          <w:tcPr>
            <w:tcW w:w="409" w:type="pct"/>
            <w:tcBorders>
              <w:top w:val="single" w:color="auto" w:sz="4" w:space="0"/>
              <w:left w:val="single" w:color="auto" w:sz="4" w:space="0"/>
              <w:bottom w:val="single" w:color="auto" w:sz="4" w:space="0"/>
              <w:right w:val="single" w:color="auto" w:sz="4" w:space="0"/>
            </w:tcBorders>
            <w:noWrap w:val="0"/>
            <w:vAlign w:val="center"/>
          </w:tcPr>
          <w:p w14:paraId="445A7A6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0B75A150">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1E882FA2">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温度检测包含环网柜、低压总配电柜出线回路电缆</w:t>
            </w:r>
          </w:p>
        </w:tc>
      </w:tr>
      <w:tr w14:paraId="080EDA5C">
        <w:tblPrEx>
          <w:tblCellMar>
            <w:top w:w="0" w:type="dxa"/>
            <w:left w:w="108" w:type="dxa"/>
            <w:bottom w:w="0" w:type="dxa"/>
            <w:right w:w="108" w:type="dxa"/>
          </w:tblCellMar>
        </w:tblPrEx>
        <w:trPr>
          <w:trHeight w:val="1317"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17A2BA1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15</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136D70D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保电</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310ED7FF">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电力电缆4*70*1*35</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55FB1DEA">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项</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7BFAA60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56FA419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电源从2号学院楼配电房引入</w:t>
            </w:r>
          </w:p>
        </w:tc>
      </w:tr>
      <w:tr w14:paraId="25F4531C">
        <w:tblPrEx>
          <w:tblCellMar>
            <w:top w:w="0" w:type="dxa"/>
            <w:left w:w="108" w:type="dxa"/>
            <w:bottom w:w="0" w:type="dxa"/>
            <w:right w:w="108" w:type="dxa"/>
          </w:tblCellMar>
        </w:tblPrEx>
        <w:trPr>
          <w:trHeight w:val="1317"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1E0EC2E7">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16</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4F8A7AA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低压封闭式插接母线槽始端箱</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47334DFB">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1600A</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1A58EB8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台</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4F7629C9">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2</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0C0E510E">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1DD9177F">
        <w:tblPrEx>
          <w:tblCellMar>
            <w:top w:w="0" w:type="dxa"/>
            <w:left w:w="108" w:type="dxa"/>
            <w:bottom w:w="0" w:type="dxa"/>
            <w:right w:w="108" w:type="dxa"/>
          </w:tblCellMar>
        </w:tblPrEx>
        <w:trPr>
          <w:trHeight w:val="1317"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283E8EF2">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17</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7CD66F9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后台监控系统</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75DC61C9">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c>
          <w:tcPr>
            <w:tcW w:w="409" w:type="pct"/>
            <w:tcBorders>
              <w:top w:val="single" w:color="auto" w:sz="4" w:space="0"/>
              <w:left w:val="single" w:color="auto" w:sz="4" w:space="0"/>
              <w:bottom w:val="single" w:color="auto" w:sz="4" w:space="0"/>
              <w:right w:val="single" w:color="auto" w:sz="4" w:space="0"/>
            </w:tcBorders>
            <w:noWrap w:val="0"/>
            <w:vAlign w:val="center"/>
          </w:tcPr>
          <w:p w14:paraId="7AF3532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6BACAFB4">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6E522871">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4FC0FDC8">
        <w:tblPrEx>
          <w:tblCellMar>
            <w:top w:w="0" w:type="dxa"/>
            <w:left w:w="108" w:type="dxa"/>
            <w:bottom w:w="0" w:type="dxa"/>
            <w:right w:w="108" w:type="dxa"/>
          </w:tblCellMar>
        </w:tblPrEx>
        <w:trPr>
          <w:trHeight w:val="1317"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7147653A">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18</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0F9D10B1">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10KV冷缩式电缆终端</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630425B3">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3x70mm² 4套，3x95mm² 2套</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125A4D55">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套</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38E7BCF7">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6</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6CC78E46">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r w14:paraId="4E462E81">
        <w:tblPrEx>
          <w:tblCellMar>
            <w:top w:w="0" w:type="dxa"/>
            <w:left w:w="108" w:type="dxa"/>
            <w:bottom w:w="0" w:type="dxa"/>
            <w:right w:w="108" w:type="dxa"/>
          </w:tblCellMar>
        </w:tblPrEx>
        <w:trPr>
          <w:trHeight w:val="1317" w:hRule="atLeast"/>
        </w:trPr>
        <w:tc>
          <w:tcPr>
            <w:tcW w:w="409" w:type="pct"/>
            <w:tcBorders>
              <w:top w:val="single" w:color="auto" w:sz="4" w:space="0"/>
              <w:left w:val="single" w:color="auto" w:sz="4" w:space="0"/>
              <w:bottom w:val="single" w:color="auto" w:sz="4" w:space="0"/>
              <w:right w:val="single" w:color="auto" w:sz="4" w:space="0"/>
            </w:tcBorders>
            <w:noWrap w:val="0"/>
            <w:vAlign w:val="center"/>
          </w:tcPr>
          <w:p w14:paraId="33E3BD9D">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19</w:t>
            </w:r>
          </w:p>
        </w:tc>
        <w:tc>
          <w:tcPr>
            <w:tcW w:w="710" w:type="pct"/>
            <w:tcBorders>
              <w:top w:val="single" w:color="auto" w:sz="4" w:space="0"/>
              <w:left w:val="single" w:color="auto" w:sz="4" w:space="0"/>
              <w:bottom w:val="single" w:color="auto" w:sz="4" w:space="0"/>
              <w:right w:val="single" w:color="auto" w:sz="4" w:space="0"/>
            </w:tcBorders>
            <w:noWrap w:val="0"/>
            <w:vAlign w:val="center"/>
          </w:tcPr>
          <w:p w14:paraId="3EF5E003">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铜芯电力电缆</w:t>
            </w:r>
          </w:p>
        </w:tc>
        <w:tc>
          <w:tcPr>
            <w:tcW w:w="2076" w:type="pct"/>
            <w:tcBorders>
              <w:top w:val="single" w:color="auto" w:sz="4" w:space="0"/>
              <w:left w:val="single" w:color="auto" w:sz="4" w:space="0"/>
              <w:bottom w:val="single" w:color="auto" w:sz="4" w:space="0"/>
              <w:right w:val="single" w:color="auto" w:sz="4" w:space="0"/>
            </w:tcBorders>
            <w:noWrap w:val="0"/>
            <w:vAlign w:val="center"/>
          </w:tcPr>
          <w:p w14:paraId="071B2E6D">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YJV22-8.7/15-3*70x60m</w:t>
            </w:r>
          </w:p>
          <w:p w14:paraId="3018BC19">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YJV22-8.7/15-3*95x30m</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6CF768D7">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米</w:t>
            </w:r>
          </w:p>
        </w:tc>
        <w:tc>
          <w:tcPr>
            <w:tcW w:w="409" w:type="pct"/>
            <w:tcBorders>
              <w:top w:val="single" w:color="auto" w:sz="4" w:space="0"/>
              <w:left w:val="single" w:color="auto" w:sz="4" w:space="0"/>
              <w:bottom w:val="single" w:color="auto" w:sz="4" w:space="0"/>
              <w:right w:val="single" w:color="auto" w:sz="4" w:space="0"/>
            </w:tcBorders>
            <w:noWrap w:val="0"/>
            <w:vAlign w:val="center"/>
          </w:tcPr>
          <w:p w14:paraId="35B41F6D">
            <w:pPr>
              <w:keepNext/>
              <w:widowControl w:val="0"/>
              <w:spacing w:line="360" w:lineRule="auto"/>
              <w:jc w:val="center"/>
              <w:outlineLvl w:val="0"/>
              <w:rPr>
                <w:rFonts w:hint="default"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90</w:t>
            </w:r>
          </w:p>
        </w:tc>
        <w:tc>
          <w:tcPr>
            <w:tcW w:w="984" w:type="pct"/>
            <w:tcBorders>
              <w:top w:val="single" w:color="auto" w:sz="4" w:space="0"/>
              <w:left w:val="single" w:color="auto" w:sz="4" w:space="0"/>
              <w:bottom w:val="single" w:color="auto" w:sz="4" w:space="0"/>
              <w:right w:val="single" w:color="auto" w:sz="4" w:space="0"/>
            </w:tcBorders>
            <w:noWrap w:val="0"/>
            <w:vAlign w:val="center"/>
          </w:tcPr>
          <w:p w14:paraId="5CBC59BD">
            <w:pPr>
              <w:keepNext/>
              <w:widowControl w:val="0"/>
              <w:spacing w:line="360" w:lineRule="auto"/>
              <w:jc w:val="center"/>
              <w:outlineLvl w:val="0"/>
              <w:rPr>
                <w:rFonts w:hint="eastAsia" w:ascii="仿宋" w:hAnsi="仿宋" w:eastAsia="仿宋" w:cs="仿宋"/>
                <w:b w:val="0"/>
                <w:bCs w:val="0"/>
                <w:color w:val="000000"/>
                <w:kern w:val="2"/>
                <w:sz w:val="24"/>
                <w:szCs w:val="24"/>
                <w:highlight w:val="none"/>
                <w:lang w:val="en-US" w:eastAsia="zh-CN" w:bidi="ar-SA"/>
              </w:rPr>
            </w:pPr>
          </w:p>
        </w:tc>
      </w:tr>
    </w:tbl>
    <w:p w14:paraId="18558066">
      <w:pPr>
        <w:keepNext/>
        <w:keepLines/>
        <w:widowControl w:val="0"/>
        <w:spacing w:line="360" w:lineRule="auto"/>
        <w:jc w:val="both"/>
        <w:outlineLvl w:val="1"/>
        <w:rPr>
          <w:rFonts w:hint="eastAsia" w:ascii="仿宋" w:hAnsi="仿宋" w:eastAsia="仿宋" w:cs="仿宋"/>
          <w:b/>
          <w:bCs/>
          <w:sz w:val="28"/>
          <w:szCs w:val="28"/>
          <w:highlight w:val="none"/>
          <w:u w:val="none"/>
          <w:lang w:eastAsia="zh-CN"/>
        </w:rPr>
        <w:sectPr>
          <w:pgSz w:w="11906" w:h="16838"/>
          <w:pgMar w:top="1174" w:right="1418" w:bottom="1151" w:left="1418" w:header="851" w:footer="992" w:gutter="0"/>
          <w:cols w:space="720" w:num="1"/>
          <w:titlePg/>
          <w:docGrid w:linePitch="312" w:charSpace="0"/>
        </w:sectPr>
      </w:pPr>
    </w:p>
    <w:p w14:paraId="15039DA8">
      <w:pPr>
        <w:adjustRightInd/>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 xml:space="preserve">第五部分  </w:t>
      </w:r>
      <w:bookmarkEnd w:id="59"/>
      <w:bookmarkEnd w:id="60"/>
      <w:bookmarkStart w:id="78" w:name="第四部分"/>
      <w:r>
        <w:rPr>
          <w:rFonts w:hint="eastAsia" w:ascii="仿宋" w:hAnsi="仿宋" w:eastAsia="仿宋" w:cs="仿宋"/>
          <w:b/>
          <w:color w:val="000000" w:themeColor="text1"/>
          <w:sz w:val="36"/>
          <w:szCs w:val="36"/>
          <w:highlight w:val="none"/>
          <w14:textFill>
            <w14:solidFill>
              <w14:schemeClr w14:val="tx1"/>
            </w14:solidFill>
          </w14:textFill>
        </w:rPr>
        <w:t>评审方法及评审标准</w:t>
      </w:r>
    </w:p>
    <w:p w14:paraId="5513516A">
      <w:pPr>
        <w:snapToGrid w:val="0"/>
        <w:spacing w:before="120" w:beforeLines="50" w:after="120" w:afterLines="50" w:line="360" w:lineRule="auto"/>
        <w:jc w:val="center"/>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评标办法前附表</w:t>
      </w:r>
    </w:p>
    <w:tbl>
      <w:tblPr>
        <w:tblStyle w:val="60"/>
        <w:tblW w:w="48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5269"/>
        <w:gridCol w:w="800"/>
        <w:gridCol w:w="938"/>
        <w:gridCol w:w="1297"/>
      </w:tblGrid>
      <w:tr w14:paraId="4435C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427" w:type="pct"/>
            <w:vAlign w:val="center"/>
          </w:tcPr>
          <w:p w14:paraId="46C4C40A">
            <w:pPr>
              <w:snapToGrid w:val="0"/>
              <w:spacing w:line="400" w:lineRule="exact"/>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序号</w:t>
            </w:r>
          </w:p>
        </w:tc>
        <w:tc>
          <w:tcPr>
            <w:tcW w:w="2901" w:type="pct"/>
            <w:vAlign w:val="center"/>
          </w:tcPr>
          <w:p w14:paraId="5766E5F6">
            <w:pPr>
              <w:spacing w:line="360" w:lineRule="auto"/>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评标标准</w:t>
            </w:r>
          </w:p>
        </w:tc>
        <w:tc>
          <w:tcPr>
            <w:tcW w:w="440" w:type="pct"/>
            <w:vAlign w:val="center"/>
          </w:tcPr>
          <w:p w14:paraId="221A5024">
            <w:pPr>
              <w:spacing w:line="360" w:lineRule="auto"/>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权重</w:t>
            </w:r>
          </w:p>
        </w:tc>
        <w:tc>
          <w:tcPr>
            <w:tcW w:w="516" w:type="pct"/>
            <w:vAlign w:val="center"/>
          </w:tcPr>
          <w:p w14:paraId="083064DE">
            <w:pPr>
              <w:spacing w:line="360" w:lineRule="auto"/>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主观分/客观分属性</w:t>
            </w:r>
          </w:p>
        </w:tc>
        <w:tc>
          <w:tcPr>
            <w:tcW w:w="714" w:type="pct"/>
            <w:vAlign w:val="center"/>
          </w:tcPr>
          <w:p w14:paraId="13FB3D91">
            <w:pPr>
              <w:snapToGrid w:val="0"/>
              <w:jc w:val="center"/>
              <w:outlineLvl w:val="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响应文件中评标标准相应的商务技术资料目录</w:t>
            </w:r>
            <w:r>
              <w:rPr>
                <w:rFonts w:hint="eastAsia" w:ascii="仿宋" w:hAnsi="仿宋" w:eastAsia="仿宋" w:cs="仿宋"/>
                <w:color w:val="000000" w:themeColor="text1"/>
                <w:sz w:val="24"/>
                <w:highlight w:val="none"/>
                <w:shd w:val="clear" w:color="auto" w:fill="FFFFFF"/>
                <w14:textFill>
                  <w14:solidFill>
                    <w14:schemeClr w14:val="tx1"/>
                  </w14:solidFill>
                </w14:textFill>
              </w:rPr>
              <w:t>*</w:t>
            </w:r>
          </w:p>
        </w:tc>
      </w:tr>
      <w:tr w14:paraId="27A4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6722DE8E">
            <w:pPr>
              <w:snapToGrid w:val="0"/>
              <w:spacing w:line="400" w:lineRule="exact"/>
              <w:jc w:val="center"/>
              <w:outlineLvl w:val="0"/>
              <w:rPr>
                <w:rFonts w:hint="eastAsia" w:ascii="仿宋" w:hAnsi="仿宋" w:eastAsia="仿宋" w:cs="仿宋"/>
                <w:b w:val="0"/>
                <w:bCs/>
                <w:color w:val="000000" w:themeColor="text1"/>
                <w:sz w:val="24"/>
                <w:highlight w:val="none"/>
                <w14:textFill>
                  <w14:solidFill>
                    <w14:schemeClr w14:val="tx1"/>
                  </w14:solidFill>
                </w14:textFill>
              </w:rPr>
            </w:pPr>
            <w:r>
              <w:rPr>
                <w:rFonts w:hint="eastAsia" w:ascii="仿宋" w:hAnsi="仿宋" w:eastAsia="仿宋" w:cs="仿宋"/>
                <w:b w:val="0"/>
                <w:bCs/>
                <w:color w:val="000000" w:themeColor="text1"/>
                <w:sz w:val="24"/>
                <w:highlight w:val="none"/>
                <w14:textFill>
                  <w14:solidFill>
                    <w14:schemeClr w14:val="tx1"/>
                  </w14:solidFill>
                </w14:textFill>
              </w:rPr>
              <w:t>1</w:t>
            </w:r>
          </w:p>
        </w:tc>
        <w:tc>
          <w:tcPr>
            <w:tcW w:w="2901" w:type="pct"/>
            <w:vAlign w:val="center"/>
          </w:tcPr>
          <w:p w14:paraId="2C3AF167">
            <w:pPr>
              <w:spacing w:line="360" w:lineRule="auto"/>
              <w:ind w:firstLine="0" w:firstLineChars="0"/>
              <w:jc w:val="both"/>
              <w:outlineLvl w:val="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供应商同类项目业绩：自2021年1月1日至响应文件提交截止时间，具有类似变配电项目工程业绩的，每提供一个项目的证明材料得</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lang w:eastAsia="zh-CN"/>
                <w14:textFill>
                  <w14:solidFill>
                    <w14:schemeClr w14:val="tx1"/>
                  </w14:solidFill>
                </w14:textFill>
              </w:rPr>
              <w:t>分，最高</w:t>
            </w: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lang w:eastAsia="zh-CN"/>
                <w14:textFill>
                  <w14:solidFill>
                    <w14:schemeClr w14:val="tx1"/>
                  </w14:solidFill>
                </w14:textFill>
              </w:rPr>
              <w:t>分，未提供的不得分。</w:t>
            </w:r>
          </w:p>
          <w:p w14:paraId="4B4CD394">
            <w:pPr>
              <w:spacing w:line="360" w:lineRule="auto"/>
              <w:ind w:firstLine="0" w:firstLineChars="0"/>
              <w:jc w:val="both"/>
              <w:outlineLvl w:val="0"/>
              <w:rPr>
                <w:rFonts w:hint="eastAsia"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业绩证明材料：须提供施工合同（以合同时间为准）；要求证明材料能反映评审要素，提供的证明材料不完整或不能反映评审要素的将不予认可。</w:t>
            </w:r>
          </w:p>
        </w:tc>
        <w:tc>
          <w:tcPr>
            <w:tcW w:w="440" w:type="pct"/>
            <w:vAlign w:val="center"/>
          </w:tcPr>
          <w:p w14:paraId="09CFAE2A">
            <w:pPr>
              <w:spacing w:line="360" w:lineRule="auto"/>
              <w:jc w:val="cente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p>
        </w:tc>
        <w:tc>
          <w:tcPr>
            <w:tcW w:w="516" w:type="pct"/>
            <w:vAlign w:val="center"/>
          </w:tcPr>
          <w:p w14:paraId="6934EA66">
            <w:pPr>
              <w:spacing w:line="360" w:lineRule="auto"/>
              <w:ind w:firstLine="0" w:firstLineChars="0"/>
              <w:jc w:val="both"/>
              <w:outlineLvl w:val="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客观分</w:t>
            </w:r>
          </w:p>
        </w:tc>
        <w:tc>
          <w:tcPr>
            <w:tcW w:w="714" w:type="pct"/>
            <w:vAlign w:val="center"/>
          </w:tcPr>
          <w:p w14:paraId="7880B606">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r w14:paraId="1BB1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7" w:type="pct"/>
            <w:vAlign w:val="center"/>
          </w:tcPr>
          <w:p w14:paraId="3B6BCF3F">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val="0"/>
                <w:bCs/>
                <w:color w:val="000000" w:themeColor="text1"/>
                <w:sz w:val="24"/>
                <w:highlight w:val="none"/>
                <w14:textFill>
                  <w14:solidFill>
                    <w14:schemeClr w14:val="tx1"/>
                  </w14:solidFill>
                </w14:textFill>
              </w:rPr>
              <w:t>2</w:t>
            </w:r>
          </w:p>
        </w:tc>
        <w:tc>
          <w:tcPr>
            <w:tcW w:w="2901" w:type="pct"/>
            <w:vAlign w:val="center"/>
          </w:tcPr>
          <w:p w14:paraId="61AF32D2">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供应商具有质量管理体系认证证书、环境认证体系认证证书和职业健康管理体系认证证书且在有效期内的，每提供一个证书得1分，最高得3分。</w:t>
            </w:r>
          </w:p>
          <w:p w14:paraId="5E6ABFEF">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证明材料：认证证书复印件，且证书在全国认证认可信息公共服务平台查询状态为有效（提供查询结果截图）。</w:t>
            </w:r>
          </w:p>
        </w:tc>
        <w:tc>
          <w:tcPr>
            <w:tcW w:w="440" w:type="pct"/>
            <w:vAlign w:val="center"/>
          </w:tcPr>
          <w:p w14:paraId="3539FA4A">
            <w:pPr>
              <w:spacing w:line="360" w:lineRule="auto"/>
              <w:jc w:val="cente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p>
        </w:tc>
        <w:tc>
          <w:tcPr>
            <w:tcW w:w="516" w:type="pct"/>
            <w:vAlign w:val="center"/>
          </w:tcPr>
          <w:p w14:paraId="2193B051">
            <w:pPr>
              <w:spacing w:line="360" w:lineRule="auto"/>
              <w:ind w:firstLine="0" w:firstLineChars="0"/>
              <w:jc w:val="both"/>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客观分</w:t>
            </w:r>
          </w:p>
        </w:tc>
        <w:tc>
          <w:tcPr>
            <w:tcW w:w="714" w:type="pct"/>
            <w:vAlign w:val="center"/>
          </w:tcPr>
          <w:p w14:paraId="75AC9819">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r w14:paraId="0DA5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427" w:type="pct"/>
            <w:vAlign w:val="center"/>
          </w:tcPr>
          <w:p w14:paraId="60F2C47A">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3</w:t>
            </w:r>
          </w:p>
        </w:tc>
        <w:tc>
          <w:tcPr>
            <w:tcW w:w="2901" w:type="pct"/>
            <w:vAlign w:val="center"/>
          </w:tcPr>
          <w:p w14:paraId="60725124">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拟派项目负责人</w:t>
            </w:r>
            <w:r>
              <w:rPr>
                <w:rFonts w:hint="eastAsia" w:ascii="仿宋" w:hAnsi="仿宋" w:eastAsia="仿宋" w:cs="仿宋"/>
                <w:color w:val="000000" w:themeColor="text1"/>
                <w:sz w:val="24"/>
                <w:highlight w:val="none"/>
                <w:lang w:eastAsia="zh-CN"/>
                <w14:textFill>
                  <w14:solidFill>
                    <w14:schemeClr w14:val="tx1"/>
                  </w14:solidFill>
                </w14:textFill>
              </w:rPr>
              <w:t>具有工程类工程师技术职称证书的，得1分,具有工程类高级工程师技术职称的得2分，没有不得分。证明材料：提供职称证书扫描件</w:t>
            </w:r>
            <w:r>
              <w:rPr>
                <w:rFonts w:hint="eastAsia" w:ascii="仿宋" w:hAnsi="仿宋" w:eastAsia="仿宋" w:cs="仿宋"/>
                <w:color w:val="000000" w:themeColor="text1"/>
                <w:sz w:val="24"/>
                <w:highlight w:val="none"/>
                <w14:textFill>
                  <w14:solidFill>
                    <w14:schemeClr w14:val="tx1"/>
                  </w14:solidFill>
                </w14:textFill>
              </w:rPr>
              <w:t>。</w:t>
            </w:r>
          </w:p>
        </w:tc>
        <w:tc>
          <w:tcPr>
            <w:tcW w:w="440" w:type="pct"/>
            <w:vAlign w:val="center"/>
          </w:tcPr>
          <w:p w14:paraId="78AC0106">
            <w:pPr>
              <w:spacing w:line="360" w:lineRule="auto"/>
              <w:jc w:val="center"/>
              <w:rPr>
                <w:rFonts w:hint="eastAsia"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p>
        </w:tc>
        <w:tc>
          <w:tcPr>
            <w:tcW w:w="516" w:type="pct"/>
            <w:vAlign w:val="center"/>
          </w:tcPr>
          <w:p w14:paraId="6DF649C1">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客观分</w:t>
            </w:r>
          </w:p>
        </w:tc>
        <w:tc>
          <w:tcPr>
            <w:tcW w:w="714" w:type="pct"/>
            <w:vAlign w:val="center"/>
          </w:tcPr>
          <w:p w14:paraId="7DAE305A">
            <w:pPr>
              <w:jc w:val="center"/>
              <w:rPr>
                <w:rFonts w:hint="eastAsia" w:ascii="仿宋" w:hAnsi="仿宋" w:eastAsia="仿宋" w:cs="仿宋"/>
                <w:color w:val="000000" w:themeColor="text1"/>
                <w:highlight w:val="none"/>
                <w14:textFill>
                  <w14:solidFill>
                    <w14:schemeClr w14:val="tx1"/>
                  </w14:solidFill>
                </w14:textFill>
              </w:rPr>
            </w:pPr>
          </w:p>
        </w:tc>
      </w:tr>
      <w:tr w14:paraId="5327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341DC345">
            <w:pPr>
              <w:pStyle w:val="23"/>
              <w:ind w:firstLine="240" w:firstLineChars="100"/>
              <w:jc w:val="both"/>
              <w:rPr>
                <w:rFonts w:hint="default" w:ascii="仿宋" w:hAnsi="仿宋" w:eastAsia="仿宋" w:cs="仿宋"/>
                <w:b w:val="0"/>
                <w:bCs/>
                <w:color w:val="000000" w:themeColor="text1"/>
                <w:highlight w:val="none"/>
                <w:lang w:val="en-US"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4</w:t>
            </w:r>
          </w:p>
        </w:tc>
        <w:tc>
          <w:tcPr>
            <w:tcW w:w="2901" w:type="pct"/>
            <w:vAlign w:val="center"/>
          </w:tcPr>
          <w:p w14:paraId="2206C20F">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拟派技术负责人具有工程类工程师技术职称证书的，得1分,具有工程类高级工程师技术职称的得2分，没有不得分。</w:t>
            </w:r>
          </w:p>
          <w:p w14:paraId="6D7366DC">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证明材料：提供职称证书扫描件。</w:t>
            </w:r>
          </w:p>
        </w:tc>
        <w:tc>
          <w:tcPr>
            <w:tcW w:w="440" w:type="pct"/>
            <w:vAlign w:val="center"/>
          </w:tcPr>
          <w:p w14:paraId="3ECAC553">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w:t>
            </w:r>
          </w:p>
        </w:tc>
        <w:tc>
          <w:tcPr>
            <w:tcW w:w="516" w:type="pct"/>
            <w:vAlign w:val="center"/>
          </w:tcPr>
          <w:p w14:paraId="3CED0CF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客观分</w:t>
            </w:r>
          </w:p>
        </w:tc>
        <w:tc>
          <w:tcPr>
            <w:tcW w:w="714" w:type="pct"/>
            <w:vAlign w:val="center"/>
          </w:tcPr>
          <w:p w14:paraId="670375C2">
            <w:pPr>
              <w:jc w:val="center"/>
              <w:rPr>
                <w:rFonts w:hint="eastAsia" w:ascii="仿宋" w:hAnsi="仿宋" w:eastAsia="仿宋" w:cs="仿宋"/>
                <w:color w:val="000000" w:themeColor="text1"/>
                <w:highlight w:val="none"/>
                <w14:textFill>
                  <w14:solidFill>
                    <w14:schemeClr w14:val="tx1"/>
                  </w14:solidFill>
                </w14:textFill>
              </w:rPr>
            </w:pPr>
          </w:p>
        </w:tc>
      </w:tr>
      <w:tr w14:paraId="2864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4438FE4C">
            <w:pPr>
              <w:pStyle w:val="23"/>
              <w:ind w:firstLine="240" w:firstLineChars="100"/>
              <w:jc w:val="both"/>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5</w:t>
            </w:r>
          </w:p>
        </w:tc>
        <w:tc>
          <w:tcPr>
            <w:tcW w:w="2901" w:type="pct"/>
            <w:vAlign w:val="center"/>
          </w:tcPr>
          <w:p w14:paraId="32136017">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拟派项目班子成员配备施工员、安全员、质检员、材料员重要岗位的，每个岗位工种得0.5分，最高得2分。</w:t>
            </w:r>
          </w:p>
          <w:p w14:paraId="1F795B1A">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证明材料：提供拟派项目班子成员表、相关人员的证书扫描件、相关人员近三个月来任意时间的社保证明扫描件。</w:t>
            </w:r>
          </w:p>
        </w:tc>
        <w:tc>
          <w:tcPr>
            <w:tcW w:w="440" w:type="pct"/>
            <w:vAlign w:val="center"/>
          </w:tcPr>
          <w:p w14:paraId="6F05950D">
            <w:pPr>
              <w:spacing w:line="360" w:lineRule="auto"/>
              <w:jc w:val="center"/>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w:t>
            </w:r>
          </w:p>
        </w:tc>
        <w:tc>
          <w:tcPr>
            <w:tcW w:w="516" w:type="pct"/>
            <w:vAlign w:val="center"/>
          </w:tcPr>
          <w:p w14:paraId="59329A40">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客观分</w:t>
            </w:r>
          </w:p>
        </w:tc>
        <w:tc>
          <w:tcPr>
            <w:tcW w:w="714" w:type="pct"/>
            <w:vAlign w:val="center"/>
          </w:tcPr>
          <w:p w14:paraId="55CF2312">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78C5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2C0A9074">
            <w:pPr>
              <w:pStyle w:val="23"/>
              <w:ind w:firstLine="240" w:firstLineChars="100"/>
              <w:jc w:val="both"/>
              <w:rPr>
                <w:rFonts w:hint="default" w:ascii="仿宋" w:hAnsi="仿宋" w:eastAsia="仿宋" w:cs="仿宋"/>
                <w:b w:val="0"/>
                <w:bCs/>
                <w:color w:val="000000" w:themeColor="text1"/>
                <w:highlight w:val="none"/>
                <w:lang w:val="en-US"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6</w:t>
            </w:r>
          </w:p>
        </w:tc>
        <w:tc>
          <w:tcPr>
            <w:tcW w:w="2901" w:type="pct"/>
            <w:vAlign w:val="center"/>
          </w:tcPr>
          <w:p w14:paraId="694878F3">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项目负责人</w:t>
            </w:r>
            <w:r>
              <w:rPr>
                <w:rFonts w:hint="eastAsia" w:ascii="仿宋" w:hAnsi="仿宋" w:eastAsia="仿宋" w:cs="仿宋"/>
                <w:color w:val="000000" w:themeColor="text1"/>
                <w:sz w:val="24"/>
                <w:highlight w:val="none"/>
                <w:lang w:eastAsia="zh-CN"/>
                <w14:textFill>
                  <w14:solidFill>
                    <w14:schemeClr w14:val="tx1"/>
                  </w14:solidFill>
                </w14:textFill>
              </w:rPr>
              <w:t>及</w:t>
            </w:r>
            <w:r>
              <w:rPr>
                <w:rFonts w:hint="eastAsia" w:ascii="仿宋" w:hAnsi="仿宋" w:eastAsia="仿宋" w:cs="仿宋"/>
                <w:b w:val="0"/>
                <w:bCs w:val="0"/>
                <w:sz w:val="24"/>
                <w:szCs w:val="24"/>
                <w:highlight w:val="none"/>
              </w:rPr>
              <w:t>技术负责人</w:t>
            </w:r>
            <w:r>
              <w:rPr>
                <w:rFonts w:hint="eastAsia" w:ascii="仿宋" w:hAnsi="仿宋" w:eastAsia="仿宋" w:cs="仿宋"/>
                <w:color w:val="000000" w:themeColor="text1"/>
                <w:sz w:val="24"/>
                <w:highlight w:val="none"/>
                <w14:textFill>
                  <w14:solidFill>
                    <w14:schemeClr w14:val="tx1"/>
                  </w14:solidFill>
                </w14:textFill>
              </w:rPr>
              <w:t>到位率承诺：拟派项目负责人到位率承诺达到90%及以上得</w:t>
            </w: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分；达到80%及以上得</w:t>
            </w:r>
            <w:r>
              <w:rPr>
                <w:rFonts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分；低于80%不得分。提供承诺书，如合同履约阶段未按承诺到位的，采购人有权终止合同。</w:t>
            </w:r>
          </w:p>
        </w:tc>
        <w:tc>
          <w:tcPr>
            <w:tcW w:w="440" w:type="pct"/>
            <w:vAlign w:val="center"/>
          </w:tcPr>
          <w:p w14:paraId="4E2F54E4">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p>
        </w:tc>
        <w:tc>
          <w:tcPr>
            <w:tcW w:w="516" w:type="pct"/>
            <w:vAlign w:val="center"/>
          </w:tcPr>
          <w:p w14:paraId="6272D61B">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客观分</w:t>
            </w:r>
          </w:p>
        </w:tc>
        <w:tc>
          <w:tcPr>
            <w:tcW w:w="714" w:type="pct"/>
            <w:vAlign w:val="center"/>
          </w:tcPr>
          <w:p w14:paraId="0FE80F83">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5603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2D98BC67">
            <w:pPr>
              <w:pStyle w:val="23"/>
              <w:ind w:firstLine="240" w:firstLineChars="100"/>
              <w:jc w:val="both"/>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7</w:t>
            </w:r>
          </w:p>
        </w:tc>
        <w:tc>
          <w:tcPr>
            <w:tcW w:w="2901" w:type="pct"/>
            <w:vAlign w:val="center"/>
          </w:tcPr>
          <w:p w14:paraId="18ACDD00">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根据供应商提供的工程施工技术方案和措施进行评审。（打分范围：</w:t>
            </w:r>
            <w:r>
              <w:rPr>
                <w:rFonts w:hint="eastAsia" w:ascii="仿宋" w:hAnsi="仿宋" w:eastAsia="仿宋" w:cs="仿宋"/>
                <w:color w:val="000000" w:themeColor="text1"/>
                <w:sz w:val="24"/>
                <w:highlight w:val="none"/>
                <w:lang w:val="en-US" w:eastAsia="zh-CN"/>
                <w14:textFill>
                  <w14:solidFill>
                    <w14:schemeClr w14:val="tx1"/>
                  </w14:solidFill>
                </w14:textFill>
              </w:rPr>
              <w:t>5,4,3,2,1,0</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40" w:type="pct"/>
            <w:vAlign w:val="center"/>
          </w:tcPr>
          <w:p w14:paraId="340E3AD8">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72DA9316">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6C3539DC">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13ED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27" w:type="pct"/>
            <w:vAlign w:val="center"/>
          </w:tcPr>
          <w:p w14:paraId="6D967F89">
            <w:pPr>
              <w:pStyle w:val="23"/>
              <w:ind w:firstLine="240" w:firstLineChars="100"/>
              <w:jc w:val="both"/>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highlight w:val="none"/>
                <w:lang w:val="en-US" w:eastAsia="zh-CN"/>
                <w14:textFill>
                  <w14:solidFill>
                    <w14:schemeClr w14:val="tx1"/>
                  </w14:solidFill>
                </w14:textFill>
              </w:rPr>
              <w:t>8</w:t>
            </w:r>
          </w:p>
        </w:tc>
        <w:tc>
          <w:tcPr>
            <w:tcW w:w="2901" w:type="pct"/>
            <w:vAlign w:val="center"/>
          </w:tcPr>
          <w:p w14:paraId="24B468C5">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根据供应商提供的施工组织设计方案进行评审。（打分范围：5,4,3,2,1,0）</w:t>
            </w:r>
          </w:p>
        </w:tc>
        <w:tc>
          <w:tcPr>
            <w:tcW w:w="440" w:type="pct"/>
            <w:vAlign w:val="center"/>
          </w:tcPr>
          <w:p w14:paraId="01CEB43C">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721FA562">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756AC574">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0957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427" w:type="pct"/>
            <w:vAlign w:val="center"/>
          </w:tcPr>
          <w:p w14:paraId="6D7E8752">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9</w:t>
            </w:r>
          </w:p>
        </w:tc>
        <w:tc>
          <w:tcPr>
            <w:tcW w:w="2901" w:type="pct"/>
            <w:vAlign w:val="center"/>
          </w:tcPr>
          <w:p w14:paraId="773565AD">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根据供应商针对本项目提供的主要施工方法，包括施工的各道程序进行评审。（打分范围：5,4,3,2,1,0）</w:t>
            </w:r>
          </w:p>
        </w:tc>
        <w:tc>
          <w:tcPr>
            <w:tcW w:w="440" w:type="pct"/>
            <w:vAlign w:val="center"/>
          </w:tcPr>
          <w:p w14:paraId="2B208881">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23ADCC11">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3BB92DD6">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32225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29A171C3">
            <w:pPr>
              <w:spacing w:line="360" w:lineRule="auto"/>
              <w:jc w:val="center"/>
              <w:rPr>
                <w:rFonts w:hint="default"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10</w:t>
            </w:r>
          </w:p>
        </w:tc>
        <w:tc>
          <w:tcPr>
            <w:tcW w:w="2901" w:type="pct"/>
            <w:vAlign w:val="center"/>
          </w:tcPr>
          <w:p w14:paraId="73EBEFB1">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根据供应商针对本项目提供的工期承诺和项目进度计划、措施进行评审。（打分范围：5，4,3,2,1,0）</w:t>
            </w:r>
          </w:p>
        </w:tc>
        <w:tc>
          <w:tcPr>
            <w:tcW w:w="440" w:type="pct"/>
            <w:vAlign w:val="center"/>
          </w:tcPr>
          <w:p w14:paraId="14E68E5C">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6B964597">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7D27F6D1">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5877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1B0D4358">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sz w:val="24"/>
                <w:highlight w:val="none"/>
                <w14:textFill>
                  <w14:solidFill>
                    <w14:schemeClr w14:val="tx1"/>
                  </w14:solidFill>
                </w14:textFill>
              </w:rPr>
              <w:t>1</w:t>
            </w:r>
            <w:r>
              <w:rPr>
                <w:rFonts w:hint="eastAsia" w:ascii="仿宋" w:hAnsi="仿宋" w:eastAsia="仿宋" w:cs="仿宋"/>
                <w:b w:val="0"/>
                <w:bCs/>
                <w:color w:val="000000" w:themeColor="text1"/>
                <w:sz w:val="24"/>
                <w:highlight w:val="none"/>
                <w:lang w:val="en-US" w:eastAsia="zh-CN"/>
                <w14:textFill>
                  <w14:solidFill>
                    <w14:schemeClr w14:val="tx1"/>
                  </w14:solidFill>
                </w14:textFill>
              </w:rPr>
              <w:t>1</w:t>
            </w:r>
          </w:p>
        </w:tc>
        <w:tc>
          <w:tcPr>
            <w:tcW w:w="2901" w:type="pct"/>
            <w:vAlign w:val="center"/>
          </w:tcPr>
          <w:p w14:paraId="267E96AA">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根据供应商提供的材料设备进场及施工计划情况进行评审。（打分范围：5,4,3,2,1,0）</w:t>
            </w:r>
          </w:p>
        </w:tc>
        <w:tc>
          <w:tcPr>
            <w:tcW w:w="440" w:type="pct"/>
            <w:vAlign w:val="center"/>
          </w:tcPr>
          <w:p w14:paraId="689DF695">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6EDD2B39">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43859F4A">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793E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60DD192E">
            <w:pPr>
              <w:snapToGrid w:val="0"/>
              <w:spacing w:line="400" w:lineRule="exact"/>
              <w:jc w:val="center"/>
              <w:outlineLvl w:val="0"/>
              <w:rPr>
                <w:rFonts w:hint="eastAsia" w:ascii="仿宋" w:hAnsi="仿宋" w:eastAsia="仿宋" w:cs="仿宋"/>
                <w:b w:val="0"/>
                <w:bCs/>
                <w:color w:val="000000" w:themeColor="text1"/>
                <w:sz w:val="24"/>
                <w:highlight w:val="none"/>
                <w:lang w:eastAsia="zh-CN"/>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12</w:t>
            </w:r>
          </w:p>
        </w:tc>
        <w:tc>
          <w:tcPr>
            <w:tcW w:w="2901" w:type="pct"/>
            <w:vAlign w:val="center"/>
          </w:tcPr>
          <w:p w14:paraId="0034003D">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根据供应商提供的安全、文明施工及环保、消防等的保障措施进行评审。（打分范围：5,4,3,2,1,0）</w:t>
            </w:r>
          </w:p>
        </w:tc>
        <w:tc>
          <w:tcPr>
            <w:tcW w:w="440" w:type="pct"/>
            <w:vAlign w:val="center"/>
          </w:tcPr>
          <w:p w14:paraId="043EE289">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3BFA80B7">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354CDE95">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689C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27" w:type="pct"/>
            <w:vAlign w:val="center"/>
          </w:tcPr>
          <w:p w14:paraId="74A6E281">
            <w:pPr>
              <w:pStyle w:val="41"/>
              <w:jc w:val="center"/>
              <w:rPr>
                <w:rFonts w:hint="eastAsia" w:ascii="仿宋" w:hAnsi="仿宋" w:eastAsia="仿宋" w:cs="仿宋"/>
                <w:b w:val="0"/>
                <w:bCs/>
                <w:color w:val="000000" w:themeColor="text1"/>
                <w:highlight w:val="none"/>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13</w:t>
            </w:r>
          </w:p>
        </w:tc>
        <w:tc>
          <w:tcPr>
            <w:tcW w:w="2901" w:type="pct"/>
            <w:vAlign w:val="center"/>
          </w:tcPr>
          <w:p w14:paraId="14E79AC1">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根据供应商提供的针对本项目场地的保护措施进行评审。（打分范围：5,4,3,2,1,0）</w:t>
            </w:r>
          </w:p>
        </w:tc>
        <w:tc>
          <w:tcPr>
            <w:tcW w:w="440" w:type="pct"/>
            <w:vAlign w:val="center"/>
          </w:tcPr>
          <w:p w14:paraId="1B9521A8">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24F94C82">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166B553C">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2DC1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46D9CCBC">
            <w:pPr>
              <w:pStyle w:val="41"/>
              <w:jc w:val="cente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val="0"/>
                <w:bCs/>
                <w:color w:val="000000" w:themeColor="text1"/>
                <w:kern w:val="2"/>
                <w:sz w:val="24"/>
                <w:szCs w:val="24"/>
                <w:highlight w:val="none"/>
                <w:lang w:val="en-US" w:eastAsia="zh-CN" w:bidi="ar-SA"/>
                <w14:textFill>
                  <w14:solidFill>
                    <w14:schemeClr w14:val="tx1"/>
                  </w14:solidFill>
                </w14:textFill>
              </w:rPr>
              <w:t>14</w:t>
            </w:r>
          </w:p>
        </w:tc>
        <w:tc>
          <w:tcPr>
            <w:tcW w:w="2901" w:type="pct"/>
            <w:vAlign w:val="center"/>
          </w:tcPr>
          <w:p w14:paraId="0C91673E">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根据供应商针对本项目的提供的施工质量控制措施进行评审。（打分范围：5,4,3,2,1,0）</w:t>
            </w:r>
          </w:p>
        </w:tc>
        <w:tc>
          <w:tcPr>
            <w:tcW w:w="440" w:type="pct"/>
            <w:vAlign w:val="center"/>
          </w:tcPr>
          <w:p w14:paraId="403EDED7">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3EAA3471">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1D8DF7CC">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3630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6011B599">
            <w:pPr>
              <w:snapToGrid w:val="0"/>
              <w:spacing w:line="400" w:lineRule="exact"/>
              <w:jc w:val="center"/>
              <w:outlineLvl w:val="0"/>
              <w:rPr>
                <w:rFonts w:hint="eastAsia"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15</w:t>
            </w:r>
          </w:p>
        </w:tc>
        <w:tc>
          <w:tcPr>
            <w:tcW w:w="2901" w:type="pct"/>
            <w:vAlign w:val="center"/>
          </w:tcPr>
          <w:p w14:paraId="24341AB0">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根据供应商提供的针对本项目工程特点、难点的分析及对应的措施进行评审。（打分范围：</w:t>
            </w:r>
            <w:r>
              <w:rPr>
                <w:rFonts w:hint="eastAsia" w:ascii="仿宋" w:hAnsi="仿宋" w:eastAsia="仿宋" w:cs="仿宋"/>
                <w:color w:val="000000" w:themeColor="text1"/>
                <w:sz w:val="24"/>
                <w:highlight w:val="none"/>
                <w:lang w:eastAsia="zh-CN"/>
                <w14:textFill>
                  <w14:solidFill>
                    <w14:schemeClr w14:val="tx1"/>
                  </w14:solidFill>
                </w14:textFill>
              </w:rPr>
              <w:t>5,4,3,2,1,0</w:t>
            </w:r>
            <w:r>
              <w:rPr>
                <w:rFonts w:hint="eastAsia" w:ascii="仿宋" w:hAnsi="仿宋" w:eastAsia="仿宋" w:cs="仿宋"/>
                <w:color w:val="000000" w:themeColor="text1"/>
                <w:sz w:val="24"/>
                <w:highlight w:val="none"/>
                <w:lang w:val="en-US" w:eastAsia="zh-CN"/>
                <w14:textFill>
                  <w14:solidFill>
                    <w14:schemeClr w14:val="tx1"/>
                  </w14:solidFill>
                </w14:textFill>
              </w:rPr>
              <w:t>）</w:t>
            </w:r>
          </w:p>
        </w:tc>
        <w:tc>
          <w:tcPr>
            <w:tcW w:w="440" w:type="pct"/>
            <w:vAlign w:val="center"/>
          </w:tcPr>
          <w:p w14:paraId="6162BCF7">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6FBFDCDC">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4216413E">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30E47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427" w:type="pct"/>
            <w:vAlign w:val="center"/>
          </w:tcPr>
          <w:p w14:paraId="776E68DC">
            <w:pPr>
              <w:spacing w:line="360" w:lineRule="auto"/>
              <w:jc w:val="center"/>
              <w:outlineLvl w:val="0"/>
              <w:rPr>
                <w:rFonts w:hint="default"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16</w:t>
            </w:r>
          </w:p>
        </w:tc>
        <w:tc>
          <w:tcPr>
            <w:tcW w:w="2901" w:type="pct"/>
            <w:vAlign w:val="center"/>
          </w:tcPr>
          <w:p w14:paraId="0FB515D7">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根据供应商针对本项目突发情况的应急预案进行评审。（打分范围：5,4,3,2,1,0）</w:t>
            </w:r>
          </w:p>
        </w:tc>
        <w:tc>
          <w:tcPr>
            <w:tcW w:w="440" w:type="pct"/>
            <w:vAlign w:val="center"/>
          </w:tcPr>
          <w:p w14:paraId="604319F7">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p>
        </w:tc>
        <w:tc>
          <w:tcPr>
            <w:tcW w:w="516" w:type="pct"/>
            <w:vAlign w:val="center"/>
          </w:tcPr>
          <w:p w14:paraId="29E089AD">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主观分</w:t>
            </w:r>
          </w:p>
        </w:tc>
        <w:tc>
          <w:tcPr>
            <w:tcW w:w="714" w:type="pct"/>
            <w:vAlign w:val="center"/>
          </w:tcPr>
          <w:p w14:paraId="06A9EA53">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p>
        </w:tc>
      </w:tr>
      <w:tr w14:paraId="00C3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427" w:type="pct"/>
            <w:vAlign w:val="center"/>
          </w:tcPr>
          <w:p w14:paraId="0D1A7601">
            <w:pPr>
              <w:spacing w:line="360" w:lineRule="auto"/>
              <w:jc w:val="center"/>
              <w:outlineLvl w:val="0"/>
              <w:rPr>
                <w:rFonts w:hint="default" w:ascii="仿宋" w:hAnsi="仿宋" w:eastAsia="仿宋" w:cs="仿宋"/>
                <w:b w:val="0"/>
                <w:bCs/>
                <w:color w:val="000000" w:themeColor="text1"/>
                <w:sz w:val="24"/>
                <w:highlight w:val="none"/>
                <w:lang w:val="en-US" w:eastAsia="zh-CN"/>
                <w14:textFill>
                  <w14:solidFill>
                    <w14:schemeClr w14:val="tx1"/>
                  </w14:solidFill>
                </w14:textFill>
              </w:rPr>
            </w:pPr>
            <w:r>
              <w:rPr>
                <w:rFonts w:hint="eastAsia" w:ascii="仿宋" w:hAnsi="仿宋" w:eastAsia="仿宋" w:cs="仿宋"/>
                <w:b w:val="0"/>
                <w:bCs/>
                <w:color w:val="000000" w:themeColor="text1"/>
                <w:sz w:val="24"/>
                <w:highlight w:val="none"/>
                <w:lang w:val="en-US" w:eastAsia="zh-CN"/>
                <w14:textFill>
                  <w14:solidFill>
                    <w14:schemeClr w14:val="tx1"/>
                  </w14:solidFill>
                </w14:textFill>
              </w:rPr>
              <w:t>17</w:t>
            </w:r>
          </w:p>
        </w:tc>
        <w:tc>
          <w:tcPr>
            <w:tcW w:w="2901" w:type="pct"/>
            <w:vAlign w:val="center"/>
          </w:tcPr>
          <w:p w14:paraId="43C587B0">
            <w:pPr>
              <w:jc w:val="left"/>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有效最后报价的最低价作为评标基准价，其最低报价为满分；按［供应商最后报价得分=（评标基准价/最后报价）*权重］的计算公式计算。</w:t>
            </w:r>
          </w:p>
          <w:p w14:paraId="70BED191">
            <w:pPr>
              <w:jc w:val="left"/>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评标过程中，不得去掉报价中的最高报价和最低报价。</w:t>
            </w:r>
          </w:p>
          <w:p w14:paraId="0947F319">
            <w:pPr>
              <w:jc w:val="left"/>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对于未预留份额专门面向中小企业的政府采购服务项目，以及预留份额政府采购服务项目中的非预留部分标项，对小型和微型企业的投标报价给予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u w:val="single"/>
                <w14:textFill>
                  <w14:solidFill>
                    <w14:schemeClr w14:val="tx1"/>
                  </w14:solidFill>
                </w14:textFill>
              </w:rPr>
              <w:t>5</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u w:val="single"/>
                <w14:textFill>
                  <w14:solidFill>
                    <w14:schemeClr w14:val="tx1"/>
                  </w14:solidFill>
                </w14:textFill>
              </w:rPr>
              <w:t>2</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的扣除，用扣除后的价格参加评审。</w:t>
            </w:r>
          </w:p>
        </w:tc>
        <w:tc>
          <w:tcPr>
            <w:tcW w:w="440" w:type="pct"/>
            <w:vAlign w:val="center"/>
          </w:tcPr>
          <w:p w14:paraId="471AE915">
            <w:pPr>
              <w:spacing w:line="360" w:lineRule="auto"/>
              <w:jc w:val="both"/>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516" w:type="pct"/>
            <w:vAlign w:val="center"/>
          </w:tcPr>
          <w:p w14:paraId="72B7B38C">
            <w:pPr>
              <w:spacing w:line="360" w:lineRule="auto"/>
              <w:ind w:firstLine="120" w:firstLineChars="50"/>
              <w:jc w:val="center"/>
              <w:outlineLvl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714" w:type="pct"/>
            <w:vAlign w:val="center"/>
          </w:tcPr>
          <w:p w14:paraId="46BF17D0">
            <w:pPr>
              <w:spacing w:line="360" w:lineRule="auto"/>
              <w:jc w:val="center"/>
              <w:outlineLvl w:val="0"/>
              <w:rPr>
                <w:rFonts w:hint="eastAsia" w:ascii="仿宋" w:hAnsi="仿宋" w:eastAsia="仿宋" w:cs="仿宋"/>
                <w:color w:val="000000" w:themeColor="text1"/>
                <w:sz w:val="24"/>
                <w:highlight w:val="none"/>
                <w14:textFill>
                  <w14:solidFill>
                    <w14:schemeClr w14:val="tx1"/>
                  </w14:solidFill>
                </w14:textFill>
              </w:rPr>
            </w:pPr>
          </w:p>
        </w:tc>
      </w:tr>
    </w:tbl>
    <w:p w14:paraId="5B356D64">
      <w:pPr>
        <w:snapToGrid w:val="0"/>
        <w:spacing w:line="360" w:lineRule="auto"/>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p>
    <w:p w14:paraId="1A19142F">
      <w:pPr>
        <w:snapToGrid w:val="0"/>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 *</w:t>
      </w:r>
      <w:r>
        <w:rPr>
          <w:rFonts w:hint="eastAsia" w:ascii="仿宋" w:hAnsi="仿宋" w:eastAsia="仿宋" w:cs="仿宋"/>
          <w:b/>
          <w:color w:val="000000" w:themeColor="text1"/>
          <w:sz w:val="24"/>
          <w:highlight w:val="none"/>
          <w14:textFill>
            <w14:solidFill>
              <w14:schemeClr w14:val="tx1"/>
            </w14:solidFill>
          </w14:textFill>
        </w:rPr>
        <w:t>备注：</w:t>
      </w:r>
      <w:r>
        <w:rPr>
          <w:rFonts w:hint="eastAsia" w:ascii="仿宋" w:hAnsi="仿宋" w:eastAsia="仿宋" w:cs="仿宋"/>
          <w:color w:val="000000" w:themeColor="text1"/>
          <w:sz w:val="24"/>
          <w:highlight w:val="none"/>
          <w14:textFill>
            <w14:solidFill>
              <w14:schemeClr w14:val="tx1"/>
            </w14:solidFill>
          </w14:textFill>
        </w:rPr>
        <w:t>供应商编制响应文件（商务技术文件部分）时，建议按此目录（序号和内容）提供评标标准相应的商务技术资料。 </w:t>
      </w:r>
    </w:p>
    <w:p w14:paraId="681566A3">
      <w:pPr>
        <w:rPr>
          <w:rFonts w:hint="eastAsia" w:ascii="仿宋" w:hAnsi="仿宋" w:eastAsia="仿宋" w:cs="仿宋"/>
          <w:b/>
          <w:color w:val="000000" w:themeColor="text1"/>
          <w:sz w:val="32"/>
          <w:highlight w:val="none"/>
          <w14:textFill>
            <w14:solidFill>
              <w14:schemeClr w14:val="tx1"/>
            </w14:solidFill>
          </w14:textFill>
        </w:rPr>
      </w:pPr>
      <w:r>
        <w:rPr>
          <w:rFonts w:hint="eastAsia" w:ascii="仿宋" w:hAnsi="仿宋" w:eastAsia="仿宋" w:cs="仿宋"/>
          <w:b/>
          <w:color w:val="000000" w:themeColor="text1"/>
          <w:sz w:val="32"/>
          <w:highlight w:val="none"/>
          <w14:textFill>
            <w14:solidFill>
              <w14:schemeClr w14:val="tx1"/>
            </w14:solidFill>
          </w14:textFill>
        </w:rPr>
        <w:br w:type="page"/>
      </w:r>
    </w:p>
    <w:p w14:paraId="43FA472A">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评审方法</w:t>
      </w:r>
    </w:p>
    <w:p w14:paraId="7E84F1FE">
      <w:pPr>
        <w:numPr>
          <w:ilvl w:val="0"/>
          <w:numId w:val="29"/>
        </w:numPr>
        <w:adjustRightInd/>
        <w:spacing w:line="360" w:lineRule="auto"/>
        <w:ind w:left="5" w:firstLine="415"/>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kern w:val="0"/>
          <w:sz w:val="24"/>
          <w:highlight w:val="none"/>
          <w14:textFill>
            <w14:solidFill>
              <w14:schemeClr w14:val="tx1"/>
            </w14:solidFill>
          </w14:textFill>
        </w:rPr>
        <w:t>本项目采用综合评分法。</w:t>
      </w:r>
      <w:r>
        <w:rPr>
          <w:rFonts w:hint="eastAsia" w:ascii="仿宋" w:hAnsi="仿宋" w:eastAsia="仿宋" w:cs="仿宋"/>
          <w:color w:val="000000" w:themeColor="text1"/>
          <w:kern w:val="0"/>
          <w:sz w:val="24"/>
          <w:highlight w:val="none"/>
          <w14:textFill>
            <w14:solidFill>
              <w14:schemeClr w14:val="tx1"/>
            </w14:solidFill>
          </w14:textFill>
        </w:rPr>
        <w:t>综合评分法，是指响应文件满足磋商文件全部实质性要求，且按照评审因素的量化指标评审得分最高的供应商为成交候选人的评审方法。</w:t>
      </w:r>
    </w:p>
    <w:p w14:paraId="71246B30">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w:t>
      </w:r>
      <w:r>
        <w:rPr>
          <w:rFonts w:hint="eastAsia" w:ascii="仿宋" w:hAnsi="仿宋" w:eastAsia="仿宋" w:cs="仿宋"/>
          <w:b/>
          <w:bCs/>
          <w:color w:val="000000" w:themeColor="text1"/>
          <w:kern w:val="0"/>
          <w:sz w:val="24"/>
          <w:highlight w:val="none"/>
          <w:lang w:eastAsia="zh-CN"/>
          <w14:textFill>
            <w14:solidFill>
              <w14:schemeClr w14:val="tx1"/>
            </w14:solidFill>
          </w14:textFill>
        </w:rPr>
        <w:t>审</w:t>
      </w:r>
      <w:r>
        <w:rPr>
          <w:rFonts w:hint="eastAsia" w:ascii="仿宋" w:hAnsi="仿宋" w:eastAsia="仿宋" w:cs="仿宋"/>
          <w:b/>
          <w:color w:val="000000" w:themeColor="text1"/>
          <w:sz w:val="28"/>
          <w:szCs w:val="28"/>
          <w:highlight w:val="none"/>
          <w14:textFill>
            <w14:solidFill>
              <w14:schemeClr w14:val="tx1"/>
            </w14:solidFill>
          </w14:textFill>
        </w:rPr>
        <w:t>标准</w:t>
      </w:r>
    </w:p>
    <w:p w14:paraId="2DEC9DCB">
      <w:pPr>
        <w:numPr>
          <w:ilvl w:val="-1"/>
          <w:numId w:val="0"/>
        </w:numPr>
        <w:adjustRightInd/>
        <w:spacing w:line="360" w:lineRule="auto"/>
        <w:ind w:left="420" w:firstLine="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14:textFill>
            <w14:solidFill>
              <w14:schemeClr w14:val="tx1"/>
            </w14:solidFill>
          </w14:textFill>
        </w:rPr>
        <w:t>1.</w:t>
      </w:r>
      <w:r>
        <w:rPr>
          <w:rFonts w:hint="eastAsia" w:ascii="仿宋" w:hAnsi="仿宋" w:eastAsia="仿宋" w:cs="仿宋"/>
          <w:b/>
          <w:bCs/>
          <w:color w:val="000000" w:themeColor="text1"/>
          <w:kern w:val="0"/>
          <w:sz w:val="24"/>
          <w:highlight w:val="none"/>
          <w14:textFill>
            <w14:solidFill>
              <w14:schemeClr w14:val="tx1"/>
            </w14:solidFill>
          </w14:textFill>
        </w:rPr>
        <w:t>评</w:t>
      </w:r>
      <w:r>
        <w:rPr>
          <w:rFonts w:hint="eastAsia" w:ascii="仿宋" w:hAnsi="仿宋" w:eastAsia="仿宋" w:cs="仿宋"/>
          <w:b/>
          <w:bCs/>
          <w:color w:val="000000" w:themeColor="text1"/>
          <w:kern w:val="0"/>
          <w:sz w:val="24"/>
          <w:highlight w:val="none"/>
          <w:lang w:eastAsia="zh-CN"/>
          <w14:textFill>
            <w14:solidFill>
              <w14:schemeClr w14:val="tx1"/>
            </w14:solidFill>
          </w14:textFill>
        </w:rPr>
        <w:t>审</w:t>
      </w:r>
      <w:r>
        <w:rPr>
          <w:rFonts w:hint="eastAsia" w:ascii="仿宋" w:hAnsi="仿宋" w:eastAsia="仿宋" w:cs="仿宋"/>
          <w:b/>
          <w:bCs/>
          <w:color w:val="000000" w:themeColor="text1"/>
          <w:kern w:val="0"/>
          <w:sz w:val="24"/>
          <w:highlight w:val="none"/>
          <w14:textFill>
            <w14:solidFill>
              <w14:schemeClr w14:val="tx1"/>
            </w14:solidFill>
          </w14:textFill>
        </w:rPr>
        <w:t>标准：</w:t>
      </w:r>
      <w:r>
        <w:rPr>
          <w:rFonts w:hint="eastAsia" w:ascii="仿宋" w:hAnsi="仿宋" w:eastAsia="仿宋" w:cs="仿宋"/>
          <w:color w:val="000000" w:themeColor="text1"/>
          <w:kern w:val="0"/>
          <w:sz w:val="24"/>
          <w:highlight w:val="none"/>
          <w14:textFill>
            <w14:solidFill>
              <w14:schemeClr w14:val="tx1"/>
            </w14:solidFill>
          </w14:textFill>
        </w:rPr>
        <w:t>见评标办法前附表。</w:t>
      </w:r>
    </w:p>
    <w:p w14:paraId="591482AD">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磋商小组的职责</w:t>
      </w:r>
    </w:p>
    <w:p w14:paraId="1B0868F6">
      <w:pPr>
        <w:pStyle w:val="393"/>
        <w:spacing w:before="0"/>
        <w:ind w:left="397" w:firstLine="0" w:firstLineChars="0"/>
        <w:rPr>
          <w:rFonts w:hint="eastAsia" w:ascii="仿宋" w:hAnsi="仿宋" w:eastAsia="仿宋" w:cs="仿宋"/>
          <w:b/>
          <w:bCs/>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1.磋商小组负责具体评审事务，并独立履行下列职责：</w:t>
      </w:r>
    </w:p>
    <w:p w14:paraId="3AA28AC4">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1.1对响应文件的有效性、完整性和响应程度进行审查；</w:t>
      </w:r>
    </w:p>
    <w:p w14:paraId="6F880CB2">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1.2审查、评价响应文件是否符合磋商文件的商务、技术等实质性要求；</w:t>
      </w:r>
    </w:p>
    <w:p w14:paraId="70D0A167">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1.3要求供应商对响应文件有关事项作出澄清、说明或者更正；</w:t>
      </w:r>
    </w:p>
    <w:p w14:paraId="333D7054">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1.4磋商小组集中与单一供应商分别进行磋商；</w:t>
      </w:r>
    </w:p>
    <w:p w14:paraId="6523A6F9">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1.5确定磋商文件的变动情况，并确定提交最后报价的供应商；</w:t>
      </w:r>
    </w:p>
    <w:p w14:paraId="5352F4D0">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1.6根据磋商文件确定的评审办法及评审标准对提交最后报价的供应商的响应文件和最后报价采用综合评分法进行综合评分；</w:t>
      </w:r>
    </w:p>
    <w:p w14:paraId="4F066710">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1.7编制评审报告，确定成交候选人名单，以及根据采购人委托直接确定成交人；</w:t>
      </w:r>
    </w:p>
    <w:p w14:paraId="32F1CABE">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1.8向采购人、采购代理机构或者有关部门报告评审中发现的违法行为；</w:t>
      </w:r>
    </w:p>
    <w:p w14:paraId="104200BB">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1.9法律、法规、规章、磋商文件等规定的其它事项。</w:t>
      </w:r>
    </w:p>
    <w:p w14:paraId="3E5469D0">
      <w:pPr>
        <w:pStyle w:val="393"/>
        <w:spacing w:before="0"/>
        <w:ind w:left="397" w:firstLine="0" w:firstLineChars="0"/>
        <w:rPr>
          <w:rFonts w:hint="eastAsia" w:ascii="仿宋" w:hAnsi="仿宋" w:eastAsia="仿宋" w:cs="仿宋"/>
          <w:b/>
          <w:bCs/>
          <w:color w:val="000000" w:themeColor="text1"/>
          <w:szCs w:val="24"/>
          <w:highlight w:val="none"/>
          <w14:textFill>
            <w14:solidFill>
              <w14:schemeClr w14:val="tx1"/>
            </w14:solidFill>
          </w14:textFill>
        </w:rPr>
      </w:pPr>
      <w:r>
        <w:rPr>
          <w:rFonts w:hint="eastAsia" w:ascii="仿宋" w:hAnsi="仿宋" w:eastAsia="仿宋" w:cs="仿宋"/>
          <w:b/>
          <w:bCs/>
          <w:color w:val="000000" w:themeColor="text1"/>
          <w:szCs w:val="24"/>
          <w:highlight w:val="none"/>
          <w14:textFill>
            <w14:solidFill>
              <w14:schemeClr w14:val="tx1"/>
            </w14:solidFill>
          </w14:textFill>
        </w:rPr>
        <w:t>2.磋商小组及其成员不得有下列行为：</w:t>
      </w:r>
    </w:p>
    <w:p w14:paraId="6971C5F6">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2.1确定参与本项目至评审结束前私自接触供应商；</w:t>
      </w:r>
    </w:p>
    <w:p w14:paraId="2B0D76F7">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2.2接受供应商提出的“超出响应文件的范围或者改变响应文件的实质性内容”的澄清、说明或者更正； </w:t>
      </w:r>
    </w:p>
    <w:p w14:paraId="336FE32C">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2.3违反评审纪律发表倾向性意见或者征询采购人的倾向性意见；</w:t>
      </w:r>
    </w:p>
    <w:p w14:paraId="1C27D5B9">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2.4对需要专业判断的主观评审因素协商评分；</w:t>
      </w:r>
    </w:p>
    <w:p w14:paraId="029484AD">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2.5在评审过程中擅离职守，影响评审程序正常进行的；</w:t>
      </w:r>
    </w:p>
    <w:p w14:paraId="3E851AAB">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2.6记录、复制或者带走任何评审资料；</w:t>
      </w:r>
    </w:p>
    <w:p w14:paraId="271331AB">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2.7其他不遵守评审纪律的行为。</w:t>
      </w:r>
    </w:p>
    <w:p w14:paraId="0DA07529">
      <w:pPr>
        <w:pStyle w:val="393"/>
        <w:spacing w:before="0"/>
        <w:ind w:firstLine="48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磋商小组成员有2.1-2.5行为之一的，其评审意见无效，并不得获取评审劳务报酬和报销异地评审差旅费。</w:t>
      </w:r>
    </w:p>
    <w:p w14:paraId="2221CF8A">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评审程序</w:t>
      </w:r>
    </w:p>
    <w:p w14:paraId="7FE04F72">
      <w:pPr>
        <w:pStyle w:val="393"/>
        <w:spacing w:before="0"/>
        <w:ind w:firstLine="472" w:firstLineChars="196"/>
        <w:rPr>
          <w:rFonts w:hint="eastAsia"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详见磋商文件“第二部分 竞争性磋商流程”。</w:t>
      </w:r>
    </w:p>
    <w:p w14:paraId="1C4BAC4A">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评审须知</w:t>
      </w:r>
    </w:p>
    <w:p w14:paraId="10D8A3F4">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1.响应文件的澄清</w:t>
      </w:r>
    </w:p>
    <w:p w14:paraId="31DEDE87">
      <w:pPr>
        <w:spacing w:line="360" w:lineRule="auto"/>
        <w:ind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7B5C656C">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2.最后报价的修正原则</w:t>
      </w:r>
    </w:p>
    <w:p w14:paraId="7B4D8AE3">
      <w:pPr>
        <w:spacing w:line="360" w:lineRule="auto"/>
        <w:ind w:firstLine="48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磋商小组对响应文件的最后报价进行审核，对发现计算、书写等错误的，按以下原则进行修正：</w:t>
      </w:r>
    </w:p>
    <w:p w14:paraId="0D8F461E">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2.1《最后报价一览表》内容与响应文件中响应内容不一致的，以《最后报价一览表》为准;</w:t>
      </w:r>
    </w:p>
    <w:p w14:paraId="393D28B1">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2.2大写金额和小写金额不一致的，以大写金额为准;</w:t>
      </w:r>
    </w:p>
    <w:p w14:paraId="00E039B6">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2.3单价金额小数点或者百分比有明显错位的，以《最后报价一览表》的总价为准，并修改单价;</w:t>
      </w:r>
    </w:p>
    <w:p w14:paraId="2346AFE2">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2.4总价金额与按单价汇总金额不一致的，以单价金额计算结果为准。</w:t>
      </w:r>
    </w:p>
    <w:p w14:paraId="435AB42E">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2.5同时出现两种以上不一致的，按照前款规定的顺序修正。</w:t>
      </w:r>
    </w:p>
    <w:p w14:paraId="1677EA7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2.6以修正后的总价作为最后报价。</w:t>
      </w:r>
    </w:p>
    <w:p w14:paraId="64E8E022">
      <w:pPr>
        <w:spacing w:line="360" w:lineRule="auto"/>
        <w:ind w:firstLine="480"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供应商对根据修正原则修正后的最后报价不确认的，响应无效。</w:t>
      </w:r>
    </w:p>
    <w:p w14:paraId="31DCA9FA">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3.响应无效</w:t>
      </w:r>
    </w:p>
    <w:p w14:paraId="6143E968">
      <w:pPr>
        <w:pStyle w:val="23"/>
        <w:spacing w:line="360" w:lineRule="auto"/>
        <w:ind w:firstLine="600" w:firstLineChars="2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有下列情况之一的，响应无效：</w:t>
      </w:r>
    </w:p>
    <w:p w14:paraId="04898A51">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3.1单位负责人为同一人或者存在直接控股、管理关系的不同供应商参加同一合同项下的政府采购活动的（均无效）；</w:t>
      </w:r>
    </w:p>
    <w:p w14:paraId="2D53001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 xml:space="preserve">3.2为采购项目提供整体设计、规范编制或者项目管理、监理、检测等服务的供应商再参加该采购项目的其他采购活动的； </w:t>
      </w:r>
    </w:p>
    <w:p w14:paraId="7A26497D">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3.3供应商不具备磋商文件中规定的资格要求的（供应商未提供有效的资格证明文件的，视为供应商不具备磋商文件中规定的资格要求）；</w:t>
      </w:r>
    </w:p>
    <w:p w14:paraId="7EB62682">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3.4如以联合体形式参加政府采购活动的，联合协议不符合磋商文件规定的联合协议要求的；</w:t>
      </w:r>
    </w:p>
    <w:p w14:paraId="379AD384">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3.5响应文件未按磋商文件的澄清、修改的内容编制，又不符合实质性要求的；</w:t>
      </w:r>
    </w:p>
    <w:p w14:paraId="2C8FADA8">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3.6响应文件组成漏项，内容不全或内容字迹模糊辨认不清的；</w:t>
      </w:r>
    </w:p>
    <w:p w14:paraId="564DCE33">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3.7响应文件中法人授权书所载内容与本项目内容有异的；</w:t>
      </w:r>
    </w:p>
    <w:p w14:paraId="3177BB73">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3.8响应文件未按照磋商文件要求签署、盖章的；</w:t>
      </w:r>
    </w:p>
    <w:p w14:paraId="06C0A726">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3.9采购人拟采购的产品属于政府强制采购的节能产品品目清单范围的，供应商相应的响应产品未获得国家确定的认证机构出具的、处于有效期之内的节能产品认证证书的；</w:t>
      </w:r>
    </w:p>
    <w:p w14:paraId="4E9CB5ED">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3.10响应文件含有采购人不能接受的附加条件的；</w:t>
      </w:r>
    </w:p>
    <w:p w14:paraId="3BEAB3B8">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3.11响应文件中承诺的响应有效期少于磋商文件中载明的响应有效期的；</w:t>
      </w:r>
    </w:p>
    <w:p w14:paraId="6DB2214F">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3.12供应商所投内容不符合磋商文件中实质性要求的；</w:t>
      </w:r>
    </w:p>
    <w:p w14:paraId="780B20CE">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3.13所提交的《最后报价一览表》中出现不是唯一的、有选择性的报价的;</w:t>
      </w:r>
    </w:p>
    <w:p w14:paraId="46DDB6F4">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3.14最后报价高于本项目采购预算或者最高限价的;</w:t>
      </w:r>
    </w:p>
    <w:p w14:paraId="6ADEFF86">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3.15最后报价明显低于其他供应商的最后报价，有可能影响产品质量或者不能诚信履约的，未能按要求提供书面说明或者提交相关证明材料，不能证明其报价合理性的;</w:t>
      </w:r>
    </w:p>
    <w:p w14:paraId="37D1A6C8">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3.16《最后报价一览表》填写不完整或字迹不能辨认或有漏项的；</w:t>
      </w:r>
    </w:p>
    <w:p w14:paraId="7FC836A7">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3.17供应商对根据修正原则修正后的最后报价不确认的；</w:t>
      </w:r>
    </w:p>
    <w:p w14:paraId="05FDAB60">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3.18供应商提供虚假材料响应的（包括但不限于以下情节）；</w:t>
      </w:r>
    </w:p>
    <w:p w14:paraId="18A4BA02">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使用伪造、变造的许可证件；</w:t>
      </w:r>
    </w:p>
    <w:p w14:paraId="3422A9D5">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提供虚假的财务状况或者业绩；</w:t>
      </w:r>
    </w:p>
    <w:p w14:paraId="3DA509A0">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提供虚假的项目负责人或者主要技术人员简历、劳动关系证明；</w:t>
      </w:r>
    </w:p>
    <w:p w14:paraId="0F8F54DF">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提供虚假的信用状况；</w:t>
      </w:r>
    </w:p>
    <w:p w14:paraId="4AC8FBEC">
      <w:pPr>
        <w:pStyle w:val="393"/>
        <w:numPr>
          <w:ilvl w:val="0"/>
          <w:numId w:val="30"/>
        </w:numPr>
        <w:spacing w:before="0"/>
        <w:ind w:firstLine="63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其他弄虚作假的行为。</w:t>
      </w:r>
    </w:p>
    <w:p w14:paraId="2543A5FA">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w:t>
      </w:r>
      <w:r>
        <w:rPr>
          <w:rFonts w:hint="eastAsia" w:ascii="仿宋" w:hAnsi="仿宋" w:eastAsia="仿宋" w:cs="仿宋"/>
          <w:b/>
          <w:color w:val="000000" w:themeColor="text1"/>
          <w:szCs w:val="24"/>
          <w:highlight w:val="none"/>
          <w:lang w:val="en-US" w:eastAsia="zh-CN"/>
          <w14:textFill>
            <w14:solidFill>
              <w14:schemeClr w14:val="tx1"/>
            </w14:solidFill>
          </w14:textFill>
        </w:rPr>
        <w:t>19</w:t>
      </w:r>
      <w:r>
        <w:rPr>
          <w:rFonts w:hint="eastAsia" w:ascii="仿宋" w:hAnsi="仿宋" w:eastAsia="仿宋" w:cs="仿宋"/>
          <w:b/>
          <w:color w:val="000000" w:themeColor="text1"/>
          <w:szCs w:val="24"/>
          <w:highlight w:val="none"/>
          <w14:textFill>
            <w14:solidFill>
              <w14:schemeClr w14:val="tx1"/>
            </w14:solidFill>
          </w14:textFill>
        </w:rPr>
        <w:t>供应商有恶意串通、妨碍其他供应商的竞争行为、损害采购人或者其他供应商的合法权益情形的。</w:t>
      </w:r>
    </w:p>
    <w:p w14:paraId="09D7C1A7">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有下列情形之一的，属于或视为恶意串通，其响应无效：</w:t>
      </w:r>
    </w:p>
    <w:p w14:paraId="63240B2C">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供应商直接或者间接从采购人或者采购代理机构处获得其他供应商的相关情况并修改其响应文件；</w:t>
      </w:r>
    </w:p>
    <w:p w14:paraId="21F066FE">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供应商按照采购人或者采购代理机构的授意撤换、修改投标文件或者响应文件；</w:t>
      </w:r>
    </w:p>
    <w:p w14:paraId="18D00C8C">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供应商之间协商报价、技术方案等投标文件或者响应文件的实质性内容；</w:t>
      </w:r>
    </w:p>
    <w:p w14:paraId="67266CD0">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属于同一集团、协会、商会等组织成员的供应商按照该组织要求协同参加政府采购活动；</w:t>
      </w:r>
    </w:p>
    <w:p w14:paraId="04A53A52">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供应商之间事先约定由某一特定供应商中标、成交；</w:t>
      </w:r>
    </w:p>
    <w:p w14:paraId="09737B76">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供应商之间商定部分供应商放弃参加政府采购活动或者放弃中标、成交；</w:t>
      </w:r>
    </w:p>
    <w:p w14:paraId="2AA0DB77">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供应商与采购人或者采购代理机构之间、供应商相互之间，为谋求特定供应商中标、成交或者排斥其他供应商的其他串通行为。</w:t>
      </w:r>
    </w:p>
    <w:p w14:paraId="4F4205D4">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不同供应商的响应文件由同一单位或者个人编制；</w:t>
      </w:r>
    </w:p>
    <w:p w14:paraId="540D7B5C">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不同供应商委托同一单位或者个人办理响应事宜；</w:t>
      </w:r>
    </w:p>
    <w:p w14:paraId="51DE1870">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不同供应商的响应文件载明的项目管理成员或者联系人员为同一人；</w:t>
      </w:r>
    </w:p>
    <w:p w14:paraId="0AFB5DDC">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不同供应商的响应文件异常一致或者最后报价呈规律性差异；</w:t>
      </w:r>
    </w:p>
    <w:p w14:paraId="62BA15D9">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不同供应商的响应文件相互混装。</w:t>
      </w:r>
    </w:p>
    <w:p w14:paraId="53A19447">
      <w:pPr>
        <w:pStyle w:val="393"/>
        <w:numPr>
          <w:ilvl w:val="0"/>
          <w:numId w:val="31"/>
        </w:numPr>
        <w:spacing w:before="0"/>
        <w:ind w:left="5" w:firstLine="415"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eastAsia="zh-CN"/>
          <w14:textFill>
            <w14:solidFill>
              <w14:schemeClr w14:val="tx1"/>
            </w14:solidFill>
          </w14:textFill>
        </w:rPr>
        <w:t>不同供应商的</w:t>
      </w:r>
      <w:r>
        <w:rPr>
          <w:rFonts w:hint="eastAsia" w:ascii="仿宋" w:hAnsi="仿宋" w:eastAsia="仿宋" w:cs="仿宋"/>
          <w:b/>
          <w:bCs/>
          <w:kern w:val="0"/>
          <w:sz w:val="24"/>
          <w:szCs w:val="24"/>
          <w:highlight w:val="none"/>
          <w:lang w:val="en-US" w:eastAsia="zh-CN"/>
        </w:rPr>
        <w:t>IP、MAC、设备硬件信息一致。</w:t>
      </w:r>
    </w:p>
    <w:p w14:paraId="3250E9EF">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3.2</w:t>
      </w:r>
      <w:r>
        <w:rPr>
          <w:rFonts w:hint="eastAsia" w:ascii="仿宋" w:hAnsi="仿宋" w:eastAsia="仿宋" w:cs="仿宋"/>
          <w:b/>
          <w:color w:val="000000" w:themeColor="text1"/>
          <w:szCs w:val="24"/>
          <w:highlight w:val="none"/>
          <w:lang w:val="en-US" w:eastAsia="zh-CN"/>
          <w14:textFill>
            <w14:solidFill>
              <w14:schemeClr w14:val="tx1"/>
            </w14:solidFill>
          </w14:textFill>
        </w:rPr>
        <w:t>0</w:t>
      </w:r>
      <w:r>
        <w:rPr>
          <w:rFonts w:hint="eastAsia" w:ascii="仿宋" w:hAnsi="仿宋" w:eastAsia="仿宋" w:cs="仿宋"/>
          <w:b/>
          <w:color w:val="000000" w:themeColor="text1"/>
          <w:szCs w:val="24"/>
          <w:highlight w:val="none"/>
          <w14:textFill>
            <w14:solidFill>
              <w14:schemeClr w14:val="tx1"/>
            </w14:solidFill>
          </w14:textFill>
        </w:rPr>
        <w:t>供应商仅提交备份响应文件，没有在电子交易平台传输提交响应文件的，响应无效；</w:t>
      </w:r>
    </w:p>
    <w:p w14:paraId="178F1CC8">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lang w:val="en-US" w:eastAsia="zh-CN"/>
          <w14:textFill>
            <w14:solidFill>
              <w14:schemeClr w14:val="tx1"/>
            </w14:solidFill>
          </w14:textFill>
        </w:rPr>
        <w:t>3</w:t>
      </w:r>
      <w:r>
        <w:rPr>
          <w:rFonts w:hint="eastAsia" w:ascii="仿宋" w:hAnsi="仿宋" w:eastAsia="仿宋" w:cs="仿宋"/>
          <w:b/>
          <w:color w:val="000000" w:themeColor="text1"/>
          <w:szCs w:val="24"/>
          <w:highlight w:val="none"/>
          <w14:textFill>
            <w14:solidFill>
              <w14:schemeClr w14:val="tx1"/>
            </w14:solidFill>
          </w14:textFill>
        </w:rPr>
        <w:t>.2</w:t>
      </w:r>
      <w:r>
        <w:rPr>
          <w:rFonts w:hint="eastAsia" w:ascii="仿宋" w:hAnsi="仿宋" w:eastAsia="仿宋" w:cs="仿宋"/>
          <w:b/>
          <w:color w:val="000000" w:themeColor="text1"/>
          <w:szCs w:val="24"/>
          <w:highlight w:val="none"/>
          <w:lang w:val="en-US" w:eastAsia="zh-CN"/>
          <w14:textFill>
            <w14:solidFill>
              <w14:schemeClr w14:val="tx1"/>
            </w14:solidFill>
          </w14:textFill>
        </w:rPr>
        <w:t>1</w:t>
      </w:r>
      <w:r>
        <w:rPr>
          <w:rFonts w:hint="eastAsia" w:ascii="仿宋" w:hAnsi="仿宋" w:eastAsia="仿宋" w:cs="仿宋"/>
          <w:b/>
          <w:color w:val="000000" w:themeColor="text1"/>
          <w:szCs w:val="24"/>
          <w:highlight w:val="none"/>
          <w14:textFill>
            <w14:solidFill>
              <w14:schemeClr w14:val="tx1"/>
            </w14:solidFill>
          </w14:textFill>
        </w:rPr>
        <w:t>投</w:t>
      </w:r>
      <w:r>
        <w:rPr>
          <w:rFonts w:hint="eastAsia" w:ascii="仿宋" w:hAnsi="仿宋" w:eastAsia="仿宋" w:cs="仿宋"/>
          <w:b/>
          <w:color w:val="000000" w:themeColor="text1"/>
          <w:szCs w:val="24"/>
          <w:highlight w:val="none"/>
          <w:lang w:eastAsia="zh-CN"/>
          <w14:textFill>
            <w14:solidFill>
              <w14:schemeClr w14:val="tx1"/>
            </w14:solidFill>
          </w14:textFill>
        </w:rPr>
        <w:t>供应商已被推荐为第一成交候选人</w:t>
      </w:r>
      <w:r>
        <w:rPr>
          <w:rFonts w:hint="eastAsia" w:ascii="仿宋" w:hAnsi="仿宋" w:eastAsia="仿宋" w:cs="仿宋"/>
          <w:b/>
          <w:color w:val="000000" w:themeColor="text1"/>
          <w:szCs w:val="24"/>
          <w:highlight w:val="none"/>
          <w14:textFill>
            <w14:solidFill>
              <w14:schemeClr w14:val="tx1"/>
            </w14:solidFill>
          </w14:textFill>
        </w:rPr>
        <w:t>的。（本项目按标项1、2序号依次评审、推荐</w:t>
      </w:r>
      <w:r>
        <w:rPr>
          <w:rFonts w:hint="eastAsia" w:ascii="仿宋" w:hAnsi="仿宋" w:eastAsia="仿宋" w:cs="仿宋"/>
          <w:b/>
          <w:color w:val="000000" w:themeColor="text1"/>
          <w:szCs w:val="24"/>
          <w:highlight w:val="none"/>
          <w:lang w:eastAsia="zh-CN"/>
          <w14:textFill>
            <w14:solidFill>
              <w14:schemeClr w14:val="tx1"/>
            </w14:solidFill>
          </w14:textFill>
        </w:rPr>
        <w:t>成交</w:t>
      </w:r>
      <w:r>
        <w:rPr>
          <w:rFonts w:hint="eastAsia" w:ascii="仿宋" w:hAnsi="仿宋" w:eastAsia="仿宋" w:cs="仿宋"/>
          <w:b/>
          <w:color w:val="000000" w:themeColor="text1"/>
          <w:szCs w:val="24"/>
          <w:highlight w:val="none"/>
          <w14:textFill>
            <w14:solidFill>
              <w14:schemeClr w14:val="tx1"/>
            </w14:solidFill>
          </w14:textFill>
        </w:rPr>
        <w:t>候选人，在已经完成评审的标项中被</w:t>
      </w:r>
      <w:r>
        <w:rPr>
          <w:rFonts w:hint="eastAsia" w:ascii="仿宋" w:hAnsi="仿宋" w:eastAsia="仿宋" w:cs="仿宋"/>
          <w:b/>
          <w:color w:val="000000" w:themeColor="text1"/>
          <w:szCs w:val="24"/>
          <w:highlight w:val="none"/>
          <w:lang w:val="en-US" w:eastAsia="zh-CN"/>
          <w14:textFill>
            <w14:solidFill>
              <w14:schemeClr w14:val="tx1"/>
            </w14:solidFill>
          </w14:textFill>
        </w:rPr>
        <w:t>1</w:t>
      </w:r>
      <w:r>
        <w:rPr>
          <w:rFonts w:hint="eastAsia" w:ascii="仿宋" w:hAnsi="仿宋" w:eastAsia="仿宋" w:cs="仿宋"/>
          <w:b/>
          <w:color w:val="000000" w:themeColor="text1"/>
          <w:szCs w:val="24"/>
          <w:highlight w:val="none"/>
          <w14:textFill>
            <w14:solidFill>
              <w14:schemeClr w14:val="tx1"/>
            </w14:solidFill>
          </w14:textFill>
        </w:rPr>
        <w:t>个标项推荐为第一</w:t>
      </w:r>
      <w:r>
        <w:rPr>
          <w:rFonts w:hint="eastAsia" w:ascii="仿宋" w:hAnsi="仿宋" w:eastAsia="仿宋" w:cs="仿宋"/>
          <w:b/>
          <w:color w:val="000000" w:themeColor="text1"/>
          <w:szCs w:val="24"/>
          <w:highlight w:val="none"/>
          <w:lang w:eastAsia="zh-CN"/>
          <w14:textFill>
            <w14:solidFill>
              <w14:schemeClr w14:val="tx1"/>
            </w14:solidFill>
          </w14:textFill>
        </w:rPr>
        <w:t>成交</w:t>
      </w:r>
      <w:r>
        <w:rPr>
          <w:rFonts w:hint="eastAsia" w:ascii="仿宋" w:hAnsi="仿宋" w:eastAsia="仿宋" w:cs="仿宋"/>
          <w:b/>
          <w:color w:val="000000" w:themeColor="text1"/>
          <w:szCs w:val="24"/>
          <w:highlight w:val="none"/>
          <w14:textFill>
            <w14:solidFill>
              <w14:schemeClr w14:val="tx1"/>
            </w14:solidFill>
          </w14:textFill>
        </w:rPr>
        <w:t>候选人的供应商，在之后的标项中不再作为有效供应商，符合性审查不合格。）</w:t>
      </w:r>
    </w:p>
    <w:p w14:paraId="6282130B">
      <w:pPr>
        <w:pStyle w:val="393"/>
        <w:spacing w:before="0"/>
        <w:ind w:firstLine="482"/>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3.2</w:t>
      </w:r>
      <w:r>
        <w:rPr>
          <w:rFonts w:hint="eastAsia" w:ascii="仿宋" w:hAnsi="仿宋" w:eastAsia="仿宋" w:cs="仿宋"/>
          <w:b/>
          <w:color w:val="000000" w:themeColor="text1"/>
          <w:szCs w:val="24"/>
          <w:highlight w:val="none"/>
          <w:lang w:val="en-US" w:eastAsia="zh-CN"/>
          <w14:textFill>
            <w14:solidFill>
              <w14:schemeClr w14:val="tx1"/>
            </w14:solidFill>
          </w14:textFill>
        </w:rPr>
        <w:t>2</w:t>
      </w:r>
      <w:r>
        <w:rPr>
          <w:rFonts w:hint="eastAsia" w:ascii="仿宋" w:hAnsi="仿宋" w:eastAsia="仿宋" w:cs="仿宋"/>
          <w:b/>
          <w:color w:val="000000" w:themeColor="text1"/>
          <w:szCs w:val="24"/>
          <w:highlight w:val="none"/>
          <w14:textFill>
            <w14:solidFill>
              <w14:schemeClr w14:val="tx1"/>
            </w14:solidFill>
          </w14:textFill>
        </w:rPr>
        <w:t>法律、法规、规章（适用本市的）及省级以上规范性文件（适用本市的）规定的其他无效情形。</w:t>
      </w:r>
    </w:p>
    <w:p w14:paraId="5229F7F8">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4.重新开展采购活动</w:t>
      </w:r>
    </w:p>
    <w:p w14:paraId="25918A3D">
      <w:pPr>
        <w:spacing w:line="360" w:lineRule="auto"/>
        <w:ind w:firstLine="407"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 w:val="24"/>
          <w:szCs w:val="21"/>
          <w:highlight w:val="none"/>
          <w14:textFill>
            <w14:solidFill>
              <w14:schemeClr w14:val="tx1"/>
            </w14:solidFill>
          </w14:textFill>
        </w:rPr>
        <w:t>出现下列情形之一的，采购代理机构应当终止竞争性磋商采购活动，通过电子交易平台发布项目终止公告并说明原因，重新开展采购活动：</w:t>
      </w:r>
    </w:p>
    <w:p w14:paraId="669CF420">
      <w:pPr>
        <w:pStyle w:val="393"/>
        <w:numPr>
          <w:ilvl w:val="0"/>
          <w:numId w:val="32"/>
        </w:numPr>
        <w:spacing w:before="0"/>
        <w:ind w:left="8" w:firstLine="41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因情况变化，不再符合规定的竞争性磋商采购方式适用情形的；</w:t>
      </w:r>
    </w:p>
    <w:p w14:paraId="199BE0F8">
      <w:pPr>
        <w:pStyle w:val="393"/>
        <w:numPr>
          <w:ilvl w:val="0"/>
          <w:numId w:val="32"/>
        </w:numPr>
        <w:spacing w:before="0"/>
        <w:ind w:left="8" w:firstLine="41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出现影响采购公正的违法、违规行为的；</w:t>
      </w:r>
    </w:p>
    <w:p w14:paraId="16468E0F">
      <w:pPr>
        <w:pStyle w:val="393"/>
        <w:numPr>
          <w:ilvl w:val="0"/>
          <w:numId w:val="32"/>
        </w:numPr>
        <w:spacing w:before="0"/>
        <w:ind w:left="8" w:firstLine="412"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在采购过程中符合要求的供应商或者最后报价未超过采购预算的供应商不足3家的（有特殊规定的从其规定）。</w:t>
      </w:r>
    </w:p>
    <w:p w14:paraId="68C53995">
      <w:pPr>
        <w:pStyle w:val="393"/>
        <w:spacing w:before="0"/>
        <w:ind w:left="397" w:firstLine="0" w:firstLineChars="0"/>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5.终止采购活动</w:t>
      </w:r>
    </w:p>
    <w:p w14:paraId="4E5EE3D0">
      <w:pPr>
        <w:spacing w:line="360" w:lineRule="auto"/>
        <w:ind w:firstLine="465" w:firstLineChars="194"/>
        <w:rPr>
          <w:rFonts w:hint="eastAsia"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在采购活动中因重大变故，采购任务取消的，采购代理机构将终止采购活动，通过电子交易平台通知所有参加采购活动的供应商，并将项目实施情况和采购任务取消原因报送本级财政部门。</w:t>
      </w:r>
    </w:p>
    <w:p w14:paraId="7F18FE7E">
      <w:pPr>
        <w:pStyle w:val="393"/>
        <w:spacing w:before="0"/>
        <w:ind w:left="17" w:firstLine="381" w:firstLineChars="158"/>
        <w:rPr>
          <w:rFonts w:hint="eastAsia"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6.采购代理机构有权对磋商小组各成员的评分情况和评审意见进行合理性和合规性审查，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14:paraId="0AF6C2BE">
      <w:pPr>
        <w:numPr>
          <w:ilvl w:val="0"/>
          <w:numId w:val="28"/>
        </w:numPr>
        <w:snapToGrid w:val="0"/>
        <w:spacing w:before="120" w:beforeLines="50" w:after="120" w:afterLines="50" w:line="360" w:lineRule="auto"/>
        <w:ind w:firstLine="0"/>
        <w:jc w:val="left"/>
        <w:outlineLvl w:val="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评审过程的保密与录像</w:t>
      </w:r>
    </w:p>
    <w:p w14:paraId="26DF1CCD">
      <w:pPr>
        <w:widowControl/>
        <w:spacing w:line="360" w:lineRule="auto"/>
        <w:ind w:left="17" w:firstLine="381" w:firstLineChars="15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1.保密。</w:t>
      </w:r>
      <w:r>
        <w:rPr>
          <w:rFonts w:hint="eastAsia" w:ascii="仿宋" w:hAnsi="仿宋" w:eastAsia="仿宋" w:cs="仿宋"/>
          <w:color w:val="000000" w:themeColor="text1"/>
          <w:sz w:val="24"/>
          <w:highlight w:val="none"/>
          <w14:textFill>
            <w14:solidFill>
              <w14:schemeClr w14:val="tx1"/>
            </w14:solidFill>
          </w14:textFill>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14:paraId="19567346">
      <w:pPr>
        <w:widowControl/>
        <w:spacing w:line="360" w:lineRule="auto"/>
        <w:ind w:left="17" w:firstLine="381" w:firstLineChars="158"/>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2.录音录像。</w:t>
      </w:r>
      <w:r>
        <w:rPr>
          <w:rFonts w:hint="eastAsia" w:ascii="仿宋" w:hAnsi="仿宋" w:eastAsia="仿宋" w:cs="仿宋"/>
          <w:color w:val="000000" w:themeColor="text1"/>
          <w:sz w:val="24"/>
          <w:highlight w:val="none"/>
          <w14:textFill>
            <w14:solidFill>
              <w14:schemeClr w14:val="tx1"/>
            </w14:solidFill>
          </w14:textFill>
        </w:rPr>
        <w:t>采购代理机构对评审工作现场进行全过程录音录像，录音录像资料作为采购项目文件随其他文件一并存档。</w:t>
      </w:r>
    </w:p>
    <w:p w14:paraId="561B5CB7">
      <w:pPr>
        <w:snapToGrid w:val="0"/>
        <w:spacing w:line="360" w:lineRule="auto"/>
        <w:ind w:firstLine="467" w:firstLineChars="194"/>
        <w:rPr>
          <w:rFonts w:hint="eastAsia" w:ascii="仿宋" w:hAnsi="仿宋" w:eastAsia="仿宋" w:cs="仿宋"/>
          <w:b/>
          <w:color w:val="000000" w:themeColor="text1"/>
          <w:sz w:val="24"/>
          <w:highlight w:val="none"/>
          <w14:textFill>
            <w14:solidFill>
              <w14:schemeClr w14:val="tx1"/>
            </w14:solidFill>
          </w14:textFill>
        </w:rPr>
      </w:pPr>
    </w:p>
    <w:p w14:paraId="7CB07039">
      <w:pPr>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br w:type="page"/>
      </w:r>
    </w:p>
    <w:p w14:paraId="2F6B2577">
      <w:pPr>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第六部分</w:t>
      </w:r>
      <w:bookmarkEnd w:id="78"/>
      <w:r>
        <w:rPr>
          <w:rFonts w:hint="eastAsia" w:ascii="仿宋" w:hAnsi="仿宋" w:eastAsia="仿宋" w:cs="仿宋"/>
          <w:b/>
          <w:color w:val="000000" w:themeColor="text1"/>
          <w:sz w:val="36"/>
          <w:szCs w:val="36"/>
          <w:highlight w:val="none"/>
          <w14:textFill>
            <w14:solidFill>
              <w14:schemeClr w14:val="tx1"/>
            </w14:solidFill>
          </w14:textFill>
        </w:rPr>
        <w:t xml:space="preserve">  拟签订的合同文本</w:t>
      </w:r>
    </w:p>
    <w:p w14:paraId="2665F443">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bookmarkStart w:id="79" w:name="第五部分"/>
      <w:bookmarkStart w:id="80" w:name="_Toc86217003"/>
      <w:r>
        <w:rPr>
          <w:rFonts w:hint="eastAsia" w:ascii="仿宋" w:hAnsi="仿宋" w:eastAsia="仿宋" w:cs="仿宋"/>
          <w:color w:val="000000" w:themeColor="text1"/>
          <w:sz w:val="24"/>
          <w:highlight w:val="none"/>
          <w14:textFill>
            <w14:solidFill>
              <w14:schemeClr w14:val="tx1"/>
            </w14:solidFill>
          </w14:textFill>
        </w:rPr>
        <w:t>参考住房城乡建设部、原国家工商行政管理总局制定的《建设工程施工合同（示范文本）》（GF-2017-0201）</w:t>
      </w:r>
    </w:p>
    <w:p w14:paraId="53E9394C">
      <w:pPr>
        <w:pStyle w:val="282"/>
        <w:ind w:left="0" w:leftChars="0" w:firstLine="0" w:firstLineChars="0"/>
        <w:jc w:val="center"/>
        <w:rPr>
          <w:rFonts w:hint="eastAsia" w:ascii="仿宋" w:hAnsi="仿宋" w:eastAsia="仿宋" w:cs="仿宋"/>
          <w:b/>
          <w:color w:val="000000" w:themeColor="text1"/>
          <w:sz w:val="36"/>
          <w:szCs w:val="36"/>
          <w:highlight w:val="none"/>
          <w14:textFill>
            <w14:solidFill>
              <w14:schemeClr w14:val="tx1"/>
            </w14:solidFill>
          </w14:textFill>
        </w:rPr>
      </w:pPr>
    </w:p>
    <w:p w14:paraId="343A912C">
      <w:pPr>
        <w:pStyle w:val="282"/>
        <w:rPr>
          <w:rFonts w:hint="eastAsia" w:ascii="仿宋" w:hAnsi="仿宋" w:eastAsia="仿宋" w:cs="仿宋"/>
          <w:color w:val="000000" w:themeColor="text1"/>
          <w:szCs w:val="24"/>
          <w:highlight w:val="none"/>
          <w14:textFill>
            <w14:solidFill>
              <w14:schemeClr w14:val="tx1"/>
            </w14:solidFill>
          </w14:textFill>
        </w:rPr>
      </w:pPr>
    </w:p>
    <w:p w14:paraId="60488664">
      <w:pPr>
        <w:pStyle w:val="282"/>
        <w:rPr>
          <w:rFonts w:hint="eastAsia" w:ascii="仿宋" w:hAnsi="仿宋" w:eastAsia="仿宋" w:cs="仿宋"/>
          <w:color w:val="000000" w:themeColor="text1"/>
          <w:szCs w:val="24"/>
          <w:highlight w:val="none"/>
          <w14:textFill>
            <w14:solidFill>
              <w14:schemeClr w14:val="tx1"/>
            </w14:solidFill>
          </w14:textFill>
        </w:rPr>
      </w:pPr>
    </w:p>
    <w:p w14:paraId="492B15D3">
      <w:pPr>
        <w:spacing w:before="120" w:line="360" w:lineRule="auto"/>
        <w:rPr>
          <w:rFonts w:hint="eastAsia" w:ascii="仿宋" w:hAnsi="仿宋" w:eastAsia="仿宋" w:cs="仿宋"/>
          <w:color w:val="000000" w:themeColor="text1"/>
          <w:sz w:val="24"/>
          <w:highlight w:val="none"/>
          <w14:textFill>
            <w14:solidFill>
              <w14:schemeClr w14:val="tx1"/>
            </w14:solidFill>
          </w14:textFill>
        </w:rPr>
      </w:pPr>
    </w:p>
    <w:p w14:paraId="72FD4161">
      <w:pP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br w:type="page"/>
      </w:r>
    </w:p>
    <w:p w14:paraId="5FE07D66">
      <w:pPr>
        <w:numPr>
          <w:ilvl w:val="0"/>
          <w:numId w:val="33"/>
        </w:numPr>
        <w:adjustRightInd/>
        <w:spacing w:line="360" w:lineRule="auto"/>
        <w:jc w:val="center"/>
        <w:outlineLvl w:val="0"/>
        <w:rPr>
          <w:rFonts w:hint="eastAsia"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合同协议书</w:t>
      </w:r>
    </w:p>
    <w:p w14:paraId="505129F9">
      <w:pPr>
        <w:snapToGrid w:val="0"/>
        <w:spacing w:line="360" w:lineRule="auto"/>
        <w:ind w:firstLine="470" w:firstLineChars="196"/>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发包人（全称）：</w:t>
      </w:r>
      <w:r>
        <w:rPr>
          <w:rFonts w:hint="eastAsia" w:ascii="仿宋" w:hAnsi="仿宋" w:eastAsia="仿宋" w:cs="仿宋"/>
          <w:snapToGrid w:val="0"/>
          <w:kern w:val="0"/>
          <w:sz w:val="24"/>
          <w:highlight w:val="none"/>
          <w:u w:val="single"/>
        </w:rPr>
        <w:t xml:space="preserve"> 浙江财经大学</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 xml:space="preserve"> </w:t>
      </w:r>
    </w:p>
    <w:p w14:paraId="3399B286">
      <w:pPr>
        <w:snapToGrid w:val="0"/>
        <w:spacing w:line="360" w:lineRule="auto"/>
        <w:ind w:firstLine="470" w:firstLineChars="196"/>
        <w:rPr>
          <w:rFonts w:hint="eastAsia" w:ascii="仿宋" w:hAnsi="仿宋" w:eastAsia="仿宋" w:cs="仿宋"/>
          <w:b/>
          <w:snapToGrid w:val="0"/>
          <w:kern w:val="0"/>
          <w:sz w:val="24"/>
          <w:highlight w:val="none"/>
          <w:u w:val="single"/>
        </w:rPr>
      </w:pPr>
      <w:r>
        <w:rPr>
          <w:rFonts w:hint="eastAsia" w:ascii="仿宋" w:hAnsi="仿宋" w:eastAsia="仿宋" w:cs="仿宋"/>
          <w:snapToGrid w:val="0"/>
          <w:kern w:val="0"/>
          <w:sz w:val="24"/>
          <w:highlight w:val="none"/>
        </w:rPr>
        <w:t>承包人（全称）：</w:t>
      </w:r>
      <w:r>
        <w:rPr>
          <w:rFonts w:hint="eastAsia" w:ascii="仿宋" w:hAnsi="仿宋" w:eastAsia="仿宋" w:cs="仿宋"/>
          <w:snapToGrid w:val="0"/>
          <w:kern w:val="0"/>
          <w:sz w:val="24"/>
          <w:highlight w:val="none"/>
          <w:u w:val="single"/>
        </w:rPr>
        <w:t xml:space="preserve">                  </w:t>
      </w:r>
      <w:bookmarkStart w:id="81" w:name="SOA_hhxys_cb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u w:val="single"/>
        </w:rPr>
        <w:t xml:space="preserve">    </w:t>
      </w:r>
      <w:bookmarkEnd w:id="81"/>
      <w:r>
        <w:rPr>
          <w:rFonts w:hint="eastAsia" w:ascii="仿宋" w:hAnsi="仿宋" w:eastAsia="仿宋" w:cs="仿宋"/>
          <w:snapToGrid w:val="0"/>
          <w:kern w:val="0"/>
          <w:sz w:val="24"/>
          <w:highlight w:val="none"/>
          <w:u w:val="single"/>
        </w:rPr>
        <w:t xml:space="preserve">   </w:t>
      </w:r>
    </w:p>
    <w:p w14:paraId="4C7ACAD3">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根据《中华人民共和国民法典》、《中华人民共和国建筑法》及有关法律规定，遵循平等、自愿、公平和诚实信用的原则，双方就</w:t>
      </w:r>
      <w:r>
        <w:rPr>
          <w:rFonts w:hint="eastAsia" w:ascii="仿宋" w:hAnsi="仿宋" w:eastAsia="仿宋" w:cs="仿宋"/>
          <w:snapToGrid w:val="0"/>
          <w:kern w:val="0"/>
          <w:sz w:val="24"/>
          <w:highlight w:val="none"/>
          <w:u w:val="single"/>
          <w:lang w:val="en-US" w:eastAsia="zh-CN"/>
        </w:rPr>
        <w:t xml:space="preserve">     （根据标项填写）       </w:t>
      </w:r>
      <w:r>
        <w:rPr>
          <w:rFonts w:hint="eastAsia" w:ascii="仿宋" w:hAnsi="仿宋" w:eastAsia="仿宋" w:cs="仿宋"/>
          <w:snapToGrid w:val="0"/>
          <w:kern w:val="0"/>
          <w:sz w:val="24"/>
          <w:highlight w:val="none"/>
        </w:rPr>
        <w:t>工程施工及有关事项协商一致，共同达成如下协议：</w:t>
      </w:r>
    </w:p>
    <w:p w14:paraId="4FE8C37E">
      <w:pPr>
        <w:snapToGrid w:val="0"/>
        <w:spacing w:before="24" w:beforeLines="10" w:after="24" w:afterLines="10" w:line="360" w:lineRule="auto"/>
        <w:outlineLvl w:val="1"/>
        <w:rPr>
          <w:rFonts w:hint="eastAsia" w:ascii="仿宋" w:hAnsi="仿宋" w:eastAsia="仿宋" w:cs="仿宋"/>
          <w:b/>
          <w:bCs/>
          <w:snapToGrid w:val="0"/>
          <w:kern w:val="0"/>
          <w:sz w:val="24"/>
          <w:highlight w:val="none"/>
        </w:rPr>
      </w:pPr>
      <w:bookmarkStart w:id="82" w:name="_Toc361220410"/>
      <w:bookmarkStart w:id="83" w:name="_Toc97299498"/>
      <w:r>
        <w:rPr>
          <w:rFonts w:hint="eastAsia" w:ascii="仿宋" w:hAnsi="仿宋" w:eastAsia="仿宋" w:cs="仿宋"/>
          <w:b/>
          <w:bCs/>
          <w:snapToGrid w:val="0"/>
          <w:kern w:val="0"/>
          <w:sz w:val="24"/>
          <w:highlight w:val="none"/>
        </w:rPr>
        <w:t>一、工程概况</w:t>
      </w:r>
      <w:bookmarkEnd w:id="82"/>
      <w:bookmarkEnd w:id="83"/>
    </w:p>
    <w:p w14:paraId="732B4800">
      <w:pPr>
        <w:snapToGrid w:val="0"/>
        <w:spacing w:line="360" w:lineRule="auto"/>
        <w:ind w:firstLine="470" w:firstLineChars="196"/>
        <w:rPr>
          <w:rFonts w:hint="eastAsia" w:ascii="仿宋" w:hAnsi="仿宋" w:eastAsia="仿宋" w:cs="仿宋"/>
          <w:snapToGrid w:val="0"/>
          <w:kern w:val="0"/>
          <w:sz w:val="24"/>
          <w:highlight w:val="none"/>
          <w:u w:val="single"/>
          <w:lang w:eastAsia="zh-CN"/>
        </w:rPr>
      </w:pPr>
      <w:r>
        <w:rPr>
          <w:rFonts w:hint="eastAsia" w:ascii="仿宋" w:hAnsi="仿宋" w:eastAsia="仿宋" w:cs="仿宋"/>
          <w:bCs/>
          <w:snapToGrid w:val="0"/>
          <w:kern w:val="0"/>
          <w:sz w:val="24"/>
          <w:highlight w:val="none"/>
        </w:rPr>
        <w:t>1.工程名称</w:t>
      </w:r>
      <w:r>
        <w:rPr>
          <w:rFonts w:hint="eastAsia" w:ascii="仿宋" w:hAnsi="仿宋" w:eastAsia="仿宋" w:cs="仿宋"/>
          <w:snapToGrid w:val="0"/>
          <w:kern w:val="0"/>
          <w:sz w:val="24"/>
          <w:highlight w:val="none"/>
        </w:rPr>
        <w:t>：</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lang w:eastAsia="zh-CN"/>
        </w:rPr>
        <w:t>（根据具体标项填写）</w:t>
      </w:r>
    </w:p>
    <w:p w14:paraId="46F7B75A">
      <w:pPr>
        <w:snapToGrid w:val="0"/>
        <w:spacing w:line="360" w:lineRule="auto"/>
        <w:ind w:firstLine="470" w:firstLineChars="196"/>
        <w:rPr>
          <w:rFonts w:hint="eastAsia" w:ascii="仿宋" w:hAnsi="仿宋" w:eastAsia="仿宋" w:cs="仿宋"/>
          <w:bCs/>
          <w:snapToGrid w:val="0"/>
          <w:kern w:val="0"/>
          <w:sz w:val="24"/>
          <w:highlight w:val="none"/>
          <w:u w:val="single"/>
        </w:rPr>
      </w:pPr>
      <w:r>
        <w:rPr>
          <w:rFonts w:hint="eastAsia" w:ascii="仿宋" w:hAnsi="仿宋" w:eastAsia="仿宋" w:cs="仿宋"/>
          <w:bCs/>
          <w:snapToGrid w:val="0"/>
          <w:kern w:val="0"/>
          <w:sz w:val="24"/>
          <w:highlight w:val="none"/>
        </w:rPr>
        <w:t>2.工程地点：</w:t>
      </w:r>
      <w:r>
        <w:rPr>
          <w:rFonts w:hint="eastAsia" w:ascii="仿宋" w:hAnsi="仿宋" w:eastAsia="仿宋" w:cs="仿宋"/>
          <w:bCs/>
          <w:snapToGrid w:val="0"/>
          <w:kern w:val="0"/>
          <w:sz w:val="24"/>
          <w:highlight w:val="none"/>
          <w:u w:val="single"/>
        </w:rPr>
        <w:t>浙江省杭州市下沙高教园区学源街18号</w:t>
      </w:r>
    </w:p>
    <w:p w14:paraId="6B6443FE">
      <w:pPr>
        <w:snapToGrid w:val="0"/>
        <w:spacing w:line="360" w:lineRule="auto"/>
        <w:ind w:firstLine="470" w:firstLineChars="196"/>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3.工程立项批准文号：</w:t>
      </w:r>
      <w:r>
        <w:rPr>
          <w:rFonts w:hint="eastAsia" w:ascii="仿宋" w:hAnsi="仿宋" w:eastAsia="仿宋" w:cs="仿宋"/>
          <w:snapToGrid w:val="0"/>
          <w:kern w:val="0"/>
          <w:sz w:val="24"/>
          <w:highlight w:val="none"/>
          <w:u w:val="single"/>
        </w:rPr>
        <w:t xml:space="preserve">   /    </w:t>
      </w:r>
      <w:r>
        <w:rPr>
          <w:rFonts w:hint="eastAsia" w:ascii="仿宋" w:hAnsi="仿宋" w:eastAsia="仿宋" w:cs="仿宋"/>
          <w:bCs/>
          <w:snapToGrid w:val="0"/>
          <w:kern w:val="0"/>
          <w:sz w:val="24"/>
          <w:highlight w:val="none"/>
        </w:rPr>
        <w:t>。</w:t>
      </w:r>
    </w:p>
    <w:p w14:paraId="0CB9D209">
      <w:pPr>
        <w:snapToGrid w:val="0"/>
        <w:spacing w:line="360" w:lineRule="auto"/>
        <w:ind w:firstLine="470" w:firstLineChars="196"/>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4.资金来源：财政资金。</w:t>
      </w:r>
    </w:p>
    <w:p w14:paraId="230C18F0">
      <w:pPr>
        <w:snapToGrid w:val="0"/>
        <w:spacing w:line="360" w:lineRule="auto"/>
        <w:ind w:firstLine="463" w:firstLineChars="193"/>
        <w:rPr>
          <w:rFonts w:hint="eastAsia" w:ascii="仿宋" w:hAnsi="仿宋" w:eastAsia="仿宋" w:cs="仿宋"/>
          <w:snapToGrid w:val="0"/>
          <w:kern w:val="0"/>
          <w:sz w:val="24"/>
          <w:highlight w:val="none"/>
        </w:rPr>
      </w:pPr>
      <w:r>
        <w:rPr>
          <w:rFonts w:hint="eastAsia" w:ascii="仿宋" w:hAnsi="仿宋" w:eastAsia="仿宋" w:cs="仿宋"/>
          <w:bCs/>
          <w:snapToGrid w:val="0"/>
          <w:kern w:val="0"/>
          <w:sz w:val="24"/>
          <w:highlight w:val="none"/>
        </w:rPr>
        <w:t>5.工程内容：</w:t>
      </w:r>
      <w:r>
        <w:rPr>
          <w:rFonts w:hint="eastAsia" w:ascii="仿宋" w:hAnsi="仿宋" w:eastAsia="仿宋" w:cs="仿宋"/>
          <w:bCs/>
          <w:snapToGrid w:val="0"/>
          <w:kern w:val="0"/>
          <w:sz w:val="24"/>
          <w:highlight w:val="none"/>
          <w:lang w:val="en-US" w:eastAsia="zh-CN"/>
        </w:rPr>
        <w:t>采购文件、补充文件（如有）、施工图及工程量清单范围内所有内容</w:t>
      </w:r>
      <w:r>
        <w:rPr>
          <w:rFonts w:hint="eastAsia" w:ascii="仿宋" w:hAnsi="仿宋" w:eastAsia="仿宋" w:cs="仿宋"/>
          <w:bCs/>
          <w:snapToGrid w:val="0"/>
          <w:kern w:val="0"/>
          <w:sz w:val="24"/>
          <w:highlight w:val="none"/>
        </w:rPr>
        <w:t>。</w:t>
      </w:r>
    </w:p>
    <w:p w14:paraId="7474BA17">
      <w:pPr>
        <w:snapToGrid w:val="0"/>
        <w:spacing w:line="360" w:lineRule="auto"/>
        <w:ind w:firstLine="470" w:firstLineChars="196"/>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6.工程承包范围：</w:t>
      </w:r>
    </w:p>
    <w:p w14:paraId="2C82E154">
      <w:pPr>
        <w:snapToGrid w:val="0"/>
        <w:spacing w:line="360" w:lineRule="auto"/>
        <w:ind w:firstLine="463" w:firstLineChars="193"/>
        <w:rPr>
          <w:rFonts w:hint="eastAsia" w:ascii="仿宋" w:hAnsi="仿宋" w:eastAsia="仿宋" w:cs="仿宋"/>
          <w:bCs/>
          <w:snapToGrid w:val="0"/>
          <w:kern w:val="0"/>
          <w:sz w:val="24"/>
          <w:highlight w:val="none"/>
          <w:u w:val="single"/>
          <w:lang w:eastAsia="zh"/>
        </w:rPr>
      </w:pPr>
      <w:bookmarkStart w:id="84" w:name="_Toc361220411"/>
      <w:r>
        <w:rPr>
          <w:rFonts w:hint="eastAsia" w:ascii="仿宋" w:hAnsi="仿宋" w:eastAsia="仿宋" w:cs="仿宋"/>
          <w:bCs/>
          <w:snapToGrid w:val="0"/>
          <w:kern w:val="0"/>
          <w:sz w:val="24"/>
          <w:highlight w:val="none"/>
          <w:u w:val="single"/>
        </w:rPr>
        <w:t>本项目为（</w:t>
      </w:r>
      <w:r>
        <w:rPr>
          <w:rFonts w:hint="eastAsia" w:ascii="仿宋" w:hAnsi="仿宋" w:eastAsia="仿宋" w:cs="仿宋"/>
          <w:bCs/>
          <w:snapToGrid w:val="0"/>
          <w:kern w:val="0"/>
          <w:sz w:val="24"/>
          <w:highlight w:val="none"/>
          <w:u w:val="single"/>
          <w:lang w:eastAsia="zh-CN"/>
        </w:rPr>
        <w:t>根据标项填写</w:t>
      </w:r>
      <w:r>
        <w:rPr>
          <w:rFonts w:hint="eastAsia" w:ascii="仿宋" w:hAnsi="仿宋" w:eastAsia="仿宋" w:cs="仿宋"/>
          <w:bCs/>
          <w:snapToGrid w:val="0"/>
          <w:kern w:val="0"/>
          <w:sz w:val="24"/>
          <w:highlight w:val="none"/>
          <w:u w:val="single"/>
        </w:rPr>
        <w:t>），详见图纸、工程量清单以及采购文件要求</w:t>
      </w:r>
      <w:r>
        <w:rPr>
          <w:rFonts w:hint="eastAsia" w:ascii="仿宋" w:hAnsi="仿宋" w:eastAsia="仿宋" w:cs="仿宋"/>
          <w:bCs/>
          <w:snapToGrid w:val="0"/>
          <w:kern w:val="0"/>
          <w:sz w:val="24"/>
          <w:highlight w:val="none"/>
          <w:u w:val="single"/>
          <w:lang w:eastAsia="zh"/>
        </w:rPr>
        <w:t>。</w:t>
      </w:r>
    </w:p>
    <w:p w14:paraId="17C14777">
      <w:pPr>
        <w:snapToGrid w:val="0"/>
        <w:spacing w:line="360" w:lineRule="auto"/>
        <w:outlineLvl w:val="1"/>
        <w:rPr>
          <w:rFonts w:hint="eastAsia" w:ascii="仿宋" w:hAnsi="仿宋" w:eastAsia="仿宋" w:cs="仿宋"/>
          <w:b/>
          <w:bCs/>
          <w:snapToGrid w:val="0"/>
          <w:kern w:val="0"/>
          <w:sz w:val="24"/>
          <w:highlight w:val="none"/>
        </w:rPr>
      </w:pPr>
      <w:bookmarkStart w:id="85" w:name="_Toc97299499"/>
      <w:r>
        <w:rPr>
          <w:rFonts w:hint="eastAsia" w:ascii="仿宋" w:hAnsi="仿宋" w:eastAsia="仿宋" w:cs="仿宋"/>
          <w:b/>
          <w:bCs/>
          <w:snapToGrid w:val="0"/>
          <w:kern w:val="0"/>
          <w:sz w:val="24"/>
          <w:highlight w:val="none"/>
        </w:rPr>
        <w:t>二、合同工期</w:t>
      </w:r>
      <w:bookmarkEnd w:id="84"/>
      <w:bookmarkEnd w:id="85"/>
    </w:p>
    <w:p w14:paraId="0C203BC5">
      <w:pPr>
        <w:snapToGrid w:val="0"/>
        <w:spacing w:line="360" w:lineRule="auto"/>
        <w:ind w:firstLine="459"/>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计划开工日期：</w:t>
      </w:r>
      <w:r>
        <w:rPr>
          <w:rFonts w:hint="eastAsia" w:ascii="仿宋" w:hAnsi="仿宋" w:eastAsia="仿宋" w:cs="仿宋"/>
          <w:snapToGrid w:val="0"/>
          <w:kern w:val="0"/>
          <w:sz w:val="24"/>
          <w:highlight w:val="none"/>
          <w:u w:val="single"/>
        </w:rPr>
        <w:t xml:space="preserve">20  </w:t>
      </w:r>
      <w:r>
        <w:rPr>
          <w:rFonts w:hint="eastAsia" w:ascii="仿宋" w:hAnsi="仿宋" w:eastAsia="仿宋" w:cs="仿宋"/>
          <w:snapToGrid w:val="0"/>
          <w:kern w:val="0"/>
          <w:sz w:val="24"/>
          <w:highlight w:val="none"/>
        </w:rPr>
        <w:t>年</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月</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日；</w:t>
      </w:r>
    </w:p>
    <w:p w14:paraId="1CA62E53">
      <w:pPr>
        <w:snapToGrid w:val="0"/>
        <w:spacing w:line="360" w:lineRule="auto"/>
        <w:ind w:firstLine="459"/>
        <w:rPr>
          <w:rFonts w:hint="eastAsia" w:ascii="仿宋" w:hAnsi="仿宋" w:eastAsia="仿宋" w:cs="仿宋"/>
          <w:snapToGrid w:val="0"/>
          <w:kern w:val="0"/>
          <w:sz w:val="24"/>
          <w:highlight w:val="none"/>
        </w:rPr>
      </w:pPr>
      <w:bookmarkStart w:id="86" w:name="SOA_hhxys_jgn"/>
      <w:r>
        <w:rPr>
          <w:rFonts w:hint="eastAsia" w:ascii="仿宋" w:hAnsi="仿宋" w:eastAsia="仿宋" w:cs="仿宋"/>
          <w:snapToGrid w:val="0"/>
          <w:kern w:val="0"/>
          <w:sz w:val="24"/>
          <w:highlight w:val="none"/>
        </w:rPr>
        <w:t>计划竣工日期：</w:t>
      </w:r>
      <w:r>
        <w:rPr>
          <w:rFonts w:hint="eastAsia" w:ascii="仿宋" w:hAnsi="仿宋" w:eastAsia="仿宋" w:cs="仿宋"/>
          <w:snapToGrid w:val="0"/>
          <w:kern w:val="0"/>
          <w:sz w:val="24"/>
          <w:highlight w:val="none"/>
          <w:u w:val="single"/>
        </w:rPr>
        <w:t xml:space="preserve">20  </w:t>
      </w:r>
      <w:r>
        <w:rPr>
          <w:rFonts w:hint="eastAsia" w:ascii="仿宋" w:hAnsi="仿宋" w:eastAsia="仿宋" w:cs="仿宋"/>
          <w:snapToGrid w:val="0"/>
          <w:kern w:val="0"/>
          <w:sz w:val="24"/>
          <w:highlight w:val="none"/>
        </w:rPr>
        <w:t>年</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月</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日；</w:t>
      </w:r>
      <w:bookmarkEnd w:id="86"/>
    </w:p>
    <w:p w14:paraId="4B503BD9">
      <w:pPr>
        <w:snapToGrid w:val="0"/>
        <w:spacing w:line="360" w:lineRule="auto"/>
        <w:ind w:firstLine="459"/>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工期总日历天数：</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u w:val="single"/>
          <w:lang w:val="en-US" w:eastAsia="zh-CN"/>
        </w:rPr>
        <w:t>45</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天。工期总日历天数与根据前述计划开竣工日期计算的工期天数不一致的，以工期总日历天数为准。</w:t>
      </w:r>
    </w:p>
    <w:p w14:paraId="5E32E108">
      <w:pPr>
        <w:snapToGrid w:val="0"/>
        <w:spacing w:line="360" w:lineRule="auto"/>
        <w:outlineLvl w:val="1"/>
        <w:rPr>
          <w:rFonts w:hint="eastAsia" w:ascii="仿宋" w:hAnsi="仿宋" w:eastAsia="仿宋" w:cs="仿宋"/>
          <w:b/>
          <w:bCs/>
          <w:snapToGrid w:val="0"/>
          <w:kern w:val="0"/>
          <w:sz w:val="24"/>
          <w:highlight w:val="none"/>
        </w:rPr>
      </w:pPr>
      <w:bookmarkStart w:id="87" w:name="_Toc361220412"/>
      <w:bookmarkStart w:id="88" w:name="_Toc97299500"/>
      <w:r>
        <w:rPr>
          <w:rFonts w:hint="eastAsia" w:ascii="仿宋" w:hAnsi="仿宋" w:eastAsia="仿宋" w:cs="仿宋"/>
          <w:b/>
          <w:bCs/>
          <w:snapToGrid w:val="0"/>
          <w:kern w:val="0"/>
          <w:sz w:val="24"/>
          <w:highlight w:val="none"/>
        </w:rPr>
        <w:t>三、质量标准</w:t>
      </w:r>
      <w:bookmarkEnd w:id="87"/>
      <w:bookmarkEnd w:id="88"/>
    </w:p>
    <w:p w14:paraId="4C8B8076">
      <w:pPr>
        <w:snapToGrid w:val="0"/>
        <w:spacing w:line="360" w:lineRule="auto"/>
        <w:ind w:firstLine="459"/>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工程质量符合</w:t>
      </w:r>
      <w:r>
        <w:rPr>
          <w:rFonts w:hint="eastAsia" w:ascii="仿宋" w:hAnsi="仿宋" w:eastAsia="仿宋" w:cs="仿宋"/>
          <w:snapToGrid w:val="0"/>
          <w:kern w:val="0"/>
          <w:sz w:val="24"/>
          <w:highlight w:val="none"/>
          <w:u w:val="single"/>
        </w:rPr>
        <w:t>国家规定的验收合格标准，一次性验收合格</w:t>
      </w:r>
      <w:r>
        <w:rPr>
          <w:rFonts w:hint="eastAsia" w:ascii="仿宋" w:hAnsi="仿宋" w:eastAsia="仿宋" w:cs="仿宋"/>
          <w:snapToGrid w:val="0"/>
          <w:kern w:val="0"/>
          <w:sz w:val="24"/>
          <w:highlight w:val="none"/>
        </w:rPr>
        <w:t>标准。</w:t>
      </w:r>
    </w:p>
    <w:p w14:paraId="166A7B35">
      <w:pPr>
        <w:snapToGrid w:val="0"/>
        <w:spacing w:line="360" w:lineRule="auto"/>
        <w:outlineLvl w:val="1"/>
        <w:rPr>
          <w:rFonts w:hint="eastAsia" w:ascii="仿宋" w:hAnsi="仿宋" w:eastAsia="仿宋" w:cs="仿宋"/>
          <w:b/>
          <w:bCs/>
          <w:snapToGrid w:val="0"/>
          <w:kern w:val="0"/>
          <w:sz w:val="24"/>
          <w:highlight w:val="none"/>
        </w:rPr>
      </w:pPr>
      <w:bookmarkStart w:id="89" w:name="_Toc361220413"/>
      <w:bookmarkStart w:id="90" w:name="_Toc97299501"/>
      <w:r>
        <w:rPr>
          <w:rFonts w:hint="eastAsia" w:ascii="仿宋" w:hAnsi="仿宋" w:eastAsia="仿宋" w:cs="仿宋"/>
          <w:b/>
          <w:bCs/>
          <w:snapToGrid w:val="0"/>
          <w:kern w:val="0"/>
          <w:sz w:val="24"/>
          <w:highlight w:val="none"/>
        </w:rPr>
        <w:t>四、签约合同价与合同价格形式</w:t>
      </w:r>
      <w:bookmarkEnd w:id="89"/>
      <w:bookmarkEnd w:id="90"/>
    </w:p>
    <w:p w14:paraId="5F975A5E">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1.签约合同价为：</w:t>
      </w:r>
    </w:p>
    <w:p w14:paraId="3D955D84">
      <w:pPr>
        <w:snapToGrid w:val="0"/>
        <w:spacing w:line="360" w:lineRule="auto"/>
        <w:ind w:firstLine="600" w:firstLineChars="25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人民币（大写）</w:t>
      </w:r>
      <w:bookmarkStart w:id="91" w:name="SOA_hhxys_htjdx"/>
      <w:r>
        <w:rPr>
          <w:rFonts w:hint="eastAsia" w:ascii="仿宋" w:hAnsi="仿宋" w:eastAsia="仿宋" w:cs="仿宋"/>
          <w:snapToGrid w:val="0"/>
          <w:kern w:val="0"/>
          <w:sz w:val="24"/>
          <w:highlight w:val="none"/>
          <w:u w:val="single"/>
        </w:rPr>
        <w:t xml:space="preserve">                   </w:t>
      </w:r>
      <w:bookmarkEnd w:id="91"/>
      <w:r>
        <w:rPr>
          <w:rFonts w:hint="eastAsia" w:ascii="仿宋" w:hAnsi="仿宋" w:eastAsia="仿宋" w:cs="仿宋"/>
          <w:snapToGrid w:val="0"/>
          <w:kern w:val="0"/>
          <w:sz w:val="24"/>
          <w:highlight w:val="none"/>
        </w:rPr>
        <w:t>(¥</w:t>
      </w:r>
      <w:r>
        <w:rPr>
          <w:rFonts w:hint="eastAsia" w:ascii="仿宋" w:hAnsi="仿宋" w:eastAsia="仿宋" w:cs="仿宋"/>
          <w:snapToGrid w:val="0"/>
          <w:kern w:val="0"/>
          <w:sz w:val="24"/>
          <w:highlight w:val="none"/>
          <w:u w:val="single"/>
        </w:rPr>
        <w:t xml:space="preserve"> </w:t>
      </w:r>
      <w:bookmarkStart w:id="92" w:name="SOA_hhxys_htjxx"/>
      <w:r>
        <w:rPr>
          <w:rFonts w:hint="eastAsia" w:ascii="仿宋" w:hAnsi="仿宋" w:eastAsia="仿宋" w:cs="仿宋"/>
          <w:snapToGrid w:val="0"/>
          <w:kern w:val="0"/>
          <w:sz w:val="24"/>
          <w:highlight w:val="none"/>
          <w:u w:val="single"/>
        </w:rPr>
        <w:t xml:space="preserve">            </w:t>
      </w:r>
      <w:bookmarkEnd w:id="92"/>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元)；</w:t>
      </w:r>
    </w:p>
    <w:p w14:paraId="1971F0C2">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其中：</w:t>
      </w:r>
    </w:p>
    <w:p w14:paraId="28CFD91F">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（1）安全文明施工费：</w:t>
      </w:r>
    </w:p>
    <w:p w14:paraId="15F3E221">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93" w:name="SOA_hhxys_wmsgfdx"/>
      <w:r>
        <w:rPr>
          <w:rFonts w:hint="eastAsia" w:ascii="仿宋" w:hAnsi="仿宋" w:eastAsia="仿宋" w:cs="仿宋"/>
          <w:snapToGrid w:val="0"/>
          <w:kern w:val="0"/>
          <w:sz w:val="24"/>
          <w:highlight w:val="none"/>
          <w:u w:val="single"/>
        </w:rPr>
        <w:t xml:space="preserve">                </w:t>
      </w:r>
      <w:bookmarkEnd w:id="93"/>
      <w:r>
        <w:rPr>
          <w:rFonts w:hint="eastAsia" w:ascii="仿宋" w:hAnsi="仿宋" w:eastAsia="仿宋" w:cs="仿宋"/>
          <w:snapToGrid w:val="0"/>
          <w:kern w:val="0"/>
          <w:sz w:val="24"/>
          <w:highlight w:val="none"/>
        </w:rPr>
        <w:t>(¥</w:t>
      </w:r>
      <w:bookmarkStart w:id="94" w:name="SOA_hhxys_wmsgfxx"/>
      <w:r>
        <w:rPr>
          <w:rFonts w:hint="eastAsia" w:ascii="仿宋" w:hAnsi="仿宋" w:eastAsia="仿宋" w:cs="仿宋"/>
          <w:snapToGrid w:val="0"/>
          <w:kern w:val="0"/>
          <w:sz w:val="24"/>
          <w:highlight w:val="none"/>
          <w:u w:val="single"/>
        </w:rPr>
        <w:t xml:space="preserve">                  </w:t>
      </w:r>
      <w:bookmarkEnd w:id="94"/>
      <w:r>
        <w:rPr>
          <w:rFonts w:hint="eastAsia" w:ascii="仿宋" w:hAnsi="仿宋" w:eastAsia="仿宋" w:cs="仿宋"/>
          <w:snapToGrid w:val="0"/>
          <w:kern w:val="0"/>
          <w:sz w:val="24"/>
          <w:highlight w:val="none"/>
        </w:rPr>
        <w:t>元)；</w:t>
      </w:r>
    </w:p>
    <w:p w14:paraId="18DC132E">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（2）材料和工程设备暂估价金额：</w:t>
      </w:r>
    </w:p>
    <w:p w14:paraId="43742C90">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95" w:name="SOA_hhxys_sbzgjdx"/>
      <w:r>
        <w:rPr>
          <w:rFonts w:hint="eastAsia" w:ascii="仿宋" w:hAnsi="仿宋" w:eastAsia="仿宋" w:cs="仿宋"/>
          <w:snapToGrid w:val="0"/>
          <w:kern w:val="0"/>
          <w:sz w:val="24"/>
          <w:highlight w:val="none"/>
          <w:u w:val="single"/>
        </w:rPr>
        <w:t xml:space="preserve">       </w:t>
      </w:r>
      <w:bookmarkEnd w:id="95"/>
      <w:r>
        <w:rPr>
          <w:rFonts w:hint="eastAsia" w:ascii="仿宋" w:hAnsi="仿宋" w:eastAsia="仿宋" w:cs="仿宋"/>
          <w:snapToGrid w:val="0"/>
          <w:kern w:val="0"/>
          <w:sz w:val="24"/>
          <w:highlight w:val="none"/>
        </w:rPr>
        <w:t>(¥</w:t>
      </w:r>
      <w:bookmarkStart w:id="96" w:name="SOA_hhxys_sbzgjxx"/>
      <w:r>
        <w:rPr>
          <w:rFonts w:hint="eastAsia" w:ascii="仿宋" w:hAnsi="仿宋" w:eastAsia="仿宋" w:cs="仿宋"/>
          <w:snapToGrid w:val="0"/>
          <w:kern w:val="0"/>
          <w:sz w:val="24"/>
          <w:highlight w:val="none"/>
          <w:u w:val="single"/>
        </w:rPr>
        <w:t xml:space="preserve">      </w:t>
      </w:r>
      <w:bookmarkEnd w:id="96"/>
      <w:r>
        <w:rPr>
          <w:rFonts w:hint="eastAsia" w:ascii="仿宋" w:hAnsi="仿宋" w:eastAsia="仿宋" w:cs="仿宋"/>
          <w:snapToGrid w:val="0"/>
          <w:kern w:val="0"/>
          <w:sz w:val="24"/>
          <w:highlight w:val="none"/>
        </w:rPr>
        <w:t>元)；</w:t>
      </w:r>
    </w:p>
    <w:p w14:paraId="721A66B0">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（3）专业工程暂估价金额：</w:t>
      </w:r>
    </w:p>
    <w:p w14:paraId="6FA3A708">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97" w:name="SOA_hhxys_gczgjdx"/>
      <w:r>
        <w:rPr>
          <w:rFonts w:hint="eastAsia" w:ascii="仿宋" w:hAnsi="仿宋" w:eastAsia="仿宋" w:cs="仿宋"/>
          <w:snapToGrid w:val="0"/>
          <w:kern w:val="0"/>
          <w:sz w:val="24"/>
          <w:highlight w:val="none"/>
          <w:u w:val="single"/>
        </w:rPr>
        <w:t xml:space="preserve">       </w:t>
      </w:r>
      <w:bookmarkEnd w:id="97"/>
      <w:r>
        <w:rPr>
          <w:rFonts w:hint="eastAsia" w:ascii="仿宋" w:hAnsi="仿宋" w:eastAsia="仿宋" w:cs="仿宋"/>
          <w:snapToGrid w:val="0"/>
          <w:kern w:val="0"/>
          <w:sz w:val="24"/>
          <w:highlight w:val="none"/>
        </w:rPr>
        <w:t>(¥</w:t>
      </w:r>
      <w:bookmarkStart w:id="98" w:name="SOA_hhxys_gczgjxx"/>
      <w:r>
        <w:rPr>
          <w:rFonts w:hint="eastAsia" w:ascii="仿宋" w:hAnsi="仿宋" w:eastAsia="仿宋" w:cs="仿宋"/>
          <w:snapToGrid w:val="0"/>
          <w:kern w:val="0"/>
          <w:sz w:val="24"/>
          <w:highlight w:val="none"/>
          <w:u w:val="single"/>
        </w:rPr>
        <w:t xml:space="preserve">       </w:t>
      </w:r>
      <w:bookmarkEnd w:id="98"/>
      <w:r>
        <w:rPr>
          <w:rFonts w:hint="eastAsia" w:ascii="仿宋" w:hAnsi="仿宋" w:eastAsia="仿宋" w:cs="仿宋"/>
          <w:snapToGrid w:val="0"/>
          <w:kern w:val="0"/>
          <w:sz w:val="24"/>
          <w:highlight w:val="none"/>
        </w:rPr>
        <w:t>元)；</w:t>
      </w:r>
    </w:p>
    <w:p w14:paraId="6FF1610D">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（4）暂列金额：</w:t>
      </w:r>
    </w:p>
    <w:p w14:paraId="364A0B96">
      <w:pPr>
        <w:snapToGrid w:val="0"/>
        <w:spacing w:line="360" w:lineRule="auto"/>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     人民币（大写）</w:t>
      </w:r>
      <w:bookmarkStart w:id="99" w:name="SOA_hhxys_zljedx"/>
      <w:r>
        <w:rPr>
          <w:rFonts w:hint="eastAsia" w:ascii="仿宋" w:hAnsi="仿宋" w:eastAsia="仿宋" w:cs="仿宋"/>
          <w:snapToGrid w:val="0"/>
          <w:kern w:val="0"/>
          <w:sz w:val="24"/>
          <w:highlight w:val="none"/>
          <w:u w:val="single"/>
        </w:rPr>
        <w:t xml:space="preserve">       </w:t>
      </w:r>
      <w:bookmarkEnd w:id="99"/>
      <w:r>
        <w:rPr>
          <w:rFonts w:hint="eastAsia" w:ascii="仿宋" w:hAnsi="仿宋" w:eastAsia="仿宋" w:cs="仿宋"/>
          <w:snapToGrid w:val="0"/>
          <w:kern w:val="0"/>
          <w:sz w:val="24"/>
          <w:highlight w:val="none"/>
        </w:rPr>
        <w:t>(¥</w:t>
      </w:r>
      <w:bookmarkStart w:id="100" w:name="SOA_hhxys_zljexx"/>
      <w:r>
        <w:rPr>
          <w:rFonts w:hint="eastAsia" w:ascii="仿宋" w:hAnsi="仿宋" w:eastAsia="仿宋" w:cs="仿宋"/>
          <w:snapToGrid w:val="0"/>
          <w:kern w:val="0"/>
          <w:sz w:val="24"/>
          <w:highlight w:val="none"/>
          <w:u w:val="single"/>
        </w:rPr>
        <w:t xml:space="preserve">        </w:t>
      </w:r>
      <w:bookmarkEnd w:id="100"/>
      <w:r>
        <w:rPr>
          <w:rFonts w:hint="eastAsia" w:ascii="仿宋" w:hAnsi="仿宋" w:eastAsia="仿宋" w:cs="仿宋"/>
          <w:snapToGrid w:val="0"/>
          <w:kern w:val="0"/>
          <w:sz w:val="24"/>
          <w:highlight w:val="none"/>
        </w:rPr>
        <w:t>元)。</w:t>
      </w:r>
    </w:p>
    <w:p w14:paraId="7AC9BC3B">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2.合同价格形式：</w:t>
      </w:r>
      <w:r>
        <w:rPr>
          <w:rFonts w:hint="eastAsia" w:ascii="仿宋" w:hAnsi="仿宋" w:eastAsia="仿宋" w:cs="仿宋"/>
          <w:snapToGrid w:val="0"/>
          <w:kern w:val="0"/>
          <w:sz w:val="24"/>
          <w:highlight w:val="none"/>
          <w:u w:val="single"/>
        </w:rPr>
        <w:t></w:t>
      </w:r>
      <w:r>
        <w:rPr>
          <w:rFonts w:hint="eastAsia" w:ascii="仿宋" w:hAnsi="仿宋" w:eastAsia="仿宋" w:cs="仿宋"/>
          <w:sz w:val="24"/>
          <w:highlight w:val="none"/>
          <w:u w:val="single"/>
        </w:rPr>
        <w:t>固定</w:t>
      </w:r>
      <w:r>
        <w:rPr>
          <w:rFonts w:hint="eastAsia" w:ascii="仿宋" w:hAnsi="仿宋" w:eastAsia="仿宋" w:cs="仿宋"/>
          <w:snapToGrid w:val="0"/>
          <w:kern w:val="0"/>
          <w:sz w:val="24"/>
          <w:highlight w:val="none"/>
          <w:u w:val="single"/>
        </w:rPr>
        <w:t xml:space="preserve">单价合同     </w:t>
      </w:r>
      <w:r>
        <w:rPr>
          <w:rFonts w:hint="eastAsia" w:ascii="仿宋" w:hAnsi="仿宋" w:eastAsia="仿宋" w:cs="仿宋"/>
          <w:snapToGrid w:val="0"/>
          <w:kern w:val="0"/>
          <w:sz w:val="24"/>
          <w:highlight w:val="none"/>
        </w:rPr>
        <w:t>。</w:t>
      </w:r>
    </w:p>
    <w:p w14:paraId="48A826A6">
      <w:pPr>
        <w:snapToGrid w:val="0"/>
        <w:spacing w:line="360" w:lineRule="auto"/>
        <w:outlineLvl w:val="1"/>
        <w:rPr>
          <w:rFonts w:hint="eastAsia" w:ascii="仿宋" w:hAnsi="仿宋" w:eastAsia="仿宋" w:cs="仿宋"/>
          <w:b/>
          <w:bCs/>
          <w:snapToGrid w:val="0"/>
          <w:kern w:val="0"/>
          <w:sz w:val="24"/>
          <w:highlight w:val="none"/>
        </w:rPr>
      </w:pPr>
      <w:bookmarkStart w:id="101" w:name="_Toc361220414"/>
      <w:bookmarkStart w:id="102" w:name="_Toc97299502"/>
      <w:r>
        <w:rPr>
          <w:rFonts w:hint="eastAsia" w:ascii="仿宋" w:hAnsi="仿宋" w:eastAsia="仿宋" w:cs="仿宋"/>
          <w:b/>
          <w:bCs/>
          <w:snapToGrid w:val="0"/>
          <w:kern w:val="0"/>
          <w:sz w:val="24"/>
          <w:highlight w:val="none"/>
        </w:rPr>
        <w:t>五、项目经理</w:t>
      </w:r>
      <w:bookmarkEnd w:id="101"/>
      <w:bookmarkEnd w:id="102"/>
    </w:p>
    <w:p w14:paraId="6A715D1C">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承包人项目经理：</w:t>
      </w:r>
      <w:r>
        <w:rPr>
          <w:rFonts w:hint="eastAsia" w:ascii="仿宋" w:hAnsi="仿宋" w:eastAsia="仿宋" w:cs="仿宋"/>
          <w:snapToGrid w:val="0"/>
          <w:kern w:val="0"/>
          <w:sz w:val="24"/>
          <w:highlight w:val="none"/>
          <w:u w:val="single"/>
        </w:rPr>
        <w:t></w:t>
      </w:r>
      <w:bookmarkStart w:id="103" w:name="SOA_hhxys_cbrxmjl"/>
      <w:r>
        <w:rPr>
          <w:rFonts w:hint="eastAsia" w:ascii="仿宋" w:hAnsi="仿宋" w:eastAsia="仿宋" w:cs="仿宋"/>
          <w:snapToGrid w:val="0"/>
          <w:kern w:val="0"/>
          <w:sz w:val="24"/>
          <w:highlight w:val="none"/>
          <w:u w:val="single"/>
        </w:rPr>
        <w:t xml:space="preserve">        </w:t>
      </w:r>
      <w:bookmarkEnd w:id="103"/>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w:t>
      </w:r>
    </w:p>
    <w:p w14:paraId="78F4203E">
      <w:pPr>
        <w:snapToGrid w:val="0"/>
        <w:spacing w:line="360" w:lineRule="auto"/>
        <w:outlineLvl w:val="1"/>
        <w:rPr>
          <w:rFonts w:hint="eastAsia" w:ascii="仿宋" w:hAnsi="仿宋" w:eastAsia="仿宋" w:cs="仿宋"/>
          <w:b/>
          <w:bCs/>
          <w:snapToGrid w:val="0"/>
          <w:kern w:val="0"/>
          <w:sz w:val="24"/>
          <w:highlight w:val="none"/>
        </w:rPr>
      </w:pPr>
      <w:bookmarkStart w:id="104" w:name="_Toc97299503"/>
      <w:bookmarkStart w:id="105" w:name="_Toc361220415"/>
      <w:r>
        <w:rPr>
          <w:rFonts w:hint="eastAsia" w:ascii="仿宋" w:hAnsi="仿宋" w:eastAsia="仿宋" w:cs="仿宋"/>
          <w:b/>
          <w:bCs/>
          <w:snapToGrid w:val="0"/>
          <w:kern w:val="0"/>
          <w:sz w:val="24"/>
          <w:highlight w:val="none"/>
        </w:rPr>
        <w:t>六、合同文件构成</w:t>
      </w:r>
      <w:bookmarkEnd w:id="104"/>
      <w:bookmarkEnd w:id="105"/>
    </w:p>
    <w:p w14:paraId="61AED9DF">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本协议书与下列文件一起构成合同文件：</w:t>
      </w:r>
    </w:p>
    <w:p w14:paraId="08CD84E0">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（1）成交通知书（如果有）；</w:t>
      </w:r>
    </w:p>
    <w:p w14:paraId="011182D3">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 xml:space="preserve">（2）响应函及其附录（如果有）； </w:t>
      </w:r>
    </w:p>
    <w:p w14:paraId="2FEC360C">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（3）专用合同条款及其附件；</w:t>
      </w:r>
    </w:p>
    <w:p w14:paraId="302DD5F9">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（4）通用合同条款；</w:t>
      </w:r>
    </w:p>
    <w:p w14:paraId="3176840D">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（5）技术标准和要求；</w:t>
      </w:r>
    </w:p>
    <w:p w14:paraId="1AE16383">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（6）图纸；</w:t>
      </w:r>
    </w:p>
    <w:p w14:paraId="6CE0AD9F">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（7）已标价工程量清单或预算书；</w:t>
      </w:r>
    </w:p>
    <w:p w14:paraId="5D38E4A2">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（8）其他合同文件。</w:t>
      </w:r>
    </w:p>
    <w:p w14:paraId="419E70AC">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在合同订立及履行过程中形成的与合同有关的文件均构成合同文件组成部分。</w:t>
      </w:r>
    </w:p>
    <w:p w14:paraId="6883F31A">
      <w:pPr>
        <w:autoSpaceDE w:val="0"/>
        <w:autoSpaceDN w:val="0"/>
        <w:snapToGrid w:val="0"/>
        <w:spacing w:line="360" w:lineRule="auto"/>
        <w:ind w:firstLine="480" w:firstLineChars="200"/>
        <w:jc w:val="left"/>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71985B7F">
      <w:pPr>
        <w:snapToGrid w:val="0"/>
        <w:spacing w:line="360" w:lineRule="auto"/>
        <w:outlineLvl w:val="1"/>
        <w:rPr>
          <w:rFonts w:hint="eastAsia" w:ascii="仿宋" w:hAnsi="仿宋" w:eastAsia="仿宋" w:cs="仿宋"/>
          <w:b/>
          <w:bCs/>
          <w:snapToGrid w:val="0"/>
          <w:kern w:val="0"/>
          <w:sz w:val="24"/>
          <w:highlight w:val="none"/>
        </w:rPr>
      </w:pPr>
      <w:bookmarkStart w:id="106" w:name="_Toc361220416"/>
      <w:bookmarkStart w:id="107" w:name="_Toc97299504"/>
      <w:r>
        <w:rPr>
          <w:rFonts w:hint="eastAsia" w:ascii="仿宋" w:hAnsi="仿宋" w:eastAsia="仿宋" w:cs="仿宋"/>
          <w:b/>
          <w:bCs/>
          <w:snapToGrid w:val="0"/>
          <w:kern w:val="0"/>
          <w:sz w:val="24"/>
          <w:highlight w:val="none"/>
        </w:rPr>
        <w:t>七、承诺</w:t>
      </w:r>
      <w:bookmarkEnd w:id="106"/>
      <w:bookmarkEnd w:id="107"/>
    </w:p>
    <w:p w14:paraId="1A5CBD1A">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1.发包人承诺按照法律规定履行项目审批手续、筹集工程建设资金并按照合同约定的期限和方式支付合同价款。</w:t>
      </w:r>
    </w:p>
    <w:p w14:paraId="7F7E2C04">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2.承包人承诺按照法律规定及合同约定组织完成工程施工，确保工程质量和安全，不进行转包及违法分包，并在缺陷责任期及保修期内承担相应的工程维修责任。</w:t>
      </w:r>
    </w:p>
    <w:p w14:paraId="6D2A595D">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3.发包人和承包人通过</w:t>
      </w:r>
      <w:r>
        <w:rPr>
          <w:rFonts w:hint="eastAsia" w:ascii="仿宋" w:hAnsi="仿宋" w:eastAsia="仿宋" w:cs="仿宋"/>
          <w:highlight w:val="none"/>
        </w:rPr>
        <w:t>政府采购</w:t>
      </w:r>
      <w:r>
        <w:rPr>
          <w:rFonts w:hint="eastAsia" w:ascii="仿宋" w:hAnsi="仿宋" w:eastAsia="仿宋" w:cs="仿宋"/>
          <w:bCs/>
          <w:snapToGrid w:val="0"/>
          <w:kern w:val="0"/>
          <w:sz w:val="24"/>
          <w:highlight w:val="none"/>
        </w:rPr>
        <w:t>形式签订合同的，双方理解并承诺不再就同一工程另行签订与合同实质性内容相背离的协议。</w:t>
      </w:r>
    </w:p>
    <w:p w14:paraId="58369745">
      <w:pPr>
        <w:snapToGrid w:val="0"/>
        <w:spacing w:line="360" w:lineRule="auto"/>
        <w:outlineLvl w:val="1"/>
        <w:rPr>
          <w:rFonts w:hint="eastAsia" w:ascii="仿宋" w:hAnsi="仿宋" w:eastAsia="仿宋" w:cs="仿宋"/>
          <w:b/>
          <w:bCs/>
          <w:snapToGrid w:val="0"/>
          <w:kern w:val="0"/>
          <w:sz w:val="24"/>
          <w:highlight w:val="none"/>
        </w:rPr>
      </w:pPr>
      <w:bookmarkStart w:id="108" w:name="_Toc97299505"/>
      <w:bookmarkStart w:id="109" w:name="_Toc361220417"/>
      <w:r>
        <w:rPr>
          <w:rFonts w:hint="eastAsia" w:ascii="仿宋" w:hAnsi="仿宋" w:eastAsia="仿宋" w:cs="仿宋"/>
          <w:b/>
          <w:bCs/>
          <w:snapToGrid w:val="0"/>
          <w:kern w:val="0"/>
          <w:sz w:val="24"/>
          <w:highlight w:val="none"/>
        </w:rPr>
        <w:t>八、词语含义</w:t>
      </w:r>
      <w:bookmarkEnd w:id="108"/>
      <w:bookmarkEnd w:id="109"/>
    </w:p>
    <w:p w14:paraId="040C633A">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本协议书中词语含义与第二部分通用合同条款中赋予的含义相同。</w:t>
      </w:r>
    </w:p>
    <w:p w14:paraId="22089E31">
      <w:pPr>
        <w:snapToGrid w:val="0"/>
        <w:spacing w:line="360" w:lineRule="auto"/>
        <w:outlineLvl w:val="1"/>
        <w:rPr>
          <w:rFonts w:hint="eastAsia" w:ascii="仿宋" w:hAnsi="仿宋" w:eastAsia="仿宋" w:cs="仿宋"/>
          <w:b/>
          <w:bCs/>
          <w:snapToGrid w:val="0"/>
          <w:kern w:val="0"/>
          <w:sz w:val="24"/>
          <w:highlight w:val="none"/>
        </w:rPr>
      </w:pPr>
      <w:bookmarkStart w:id="110" w:name="_Toc361220418"/>
      <w:bookmarkStart w:id="111" w:name="_Toc97299506"/>
      <w:r>
        <w:rPr>
          <w:rFonts w:hint="eastAsia" w:ascii="仿宋" w:hAnsi="仿宋" w:eastAsia="仿宋" w:cs="仿宋"/>
          <w:b/>
          <w:bCs/>
          <w:snapToGrid w:val="0"/>
          <w:kern w:val="0"/>
          <w:sz w:val="24"/>
          <w:highlight w:val="none"/>
        </w:rPr>
        <w:t>九、签订时间</w:t>
      </w:r>
      <w:bookmarkEnd w:id="110"/>
      <w:bookmarkEnd w:id="111"/>
    </w:p>
    <w:p w14:paraId="153CD8CE">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本合同于</w:t>
      </w:r>
      <w:bookmarkStart w:id="112" w:name="SOA_hhxys_htqdn"/>
      <w:r>
        <w:rPr>
          <w:rFonts w:hint="eastAsia" w:ascii="仿宋" w:hAnsi="仿宋" w:eastAsia="仿宋" w:cs="仿宋"/>
          <w:bCs/>
          <w:snapToGrid w:val="0"/>
          <w:kern w:val="0"/>
          <w:sz w:val="24"/>
          <w:highlight w:val="none"/>
          <w:u w:val="single"/>
        </w:rPr>
        <w:t xml:space="preserve">      </w:t>
      </w:r>
      <w:bookmarkEnd w:id="112"/>
      <w:r>
        <w:rPr>
          <w:rFonts w:hint="eastAsia" w:ascii="仿宋" w:hAnsi="仿宋" w:eastAsia="仿宋" w:cs="仿宋"/>
          <w:bCs/>
          <w:snapToGrid w:val="0"/>
          <w:kern w:val="0"/>
          <w:sz w:val="24"/>
          <w:highlight w:val="none"/>
        </w:rPr>
        <w:t>年</w:t>
      </w:r>
      <w:bookmarkStart w:id="113" w:name="SOA_hhxys_htqdy"/>
      <w:r>
        <w:rPr>
          <w:rFonts w:hint="eastAsia" w:ascii="仿宋" w:hAnsi="仿宋" w:eastAsia="仿宋" w:cs="仿宋"/>
          <w:bCs/>
          <w:snapToGrid w:val="0"/>
          <w:kern w:val="0"/>
          <w:sz w:val="24"/>
          <w:highlight w:val="none"/>
          <w:u w:val="single"/>
        </w:rPr>
        <w:t xml:space="preserve">      </w:t>
      </w:r>
      <w:bookmarkEnd w:id="113"/>
      <w:r>
        <w:rPr>
          <w:rFonts w:hint="eastAsia" w:ascii="仿宋" w:hAnsi="仿宋" w:eastAsia="仿宋" w:cs="仿宋"/>
          <w:bCs/>
          <w:snapToGrid w:val="0"/>
          <w:kern w:val="0"/>
          <w:sz w:val="24"/>
          <w:highlight w:val="none"/>
        </w:rPr>
        <w:t>月</w:t>
      </w:r>
      <w:bookmarkStart w:id="114" w:name="SOA_hhxys_htqdr"/>
      <w:r>
        <w:rPr>
          <w:rFonts w:hint="eastAsia" w:ascii="仿宋" w:hAnsi="仿宋" w:eastAsia="仿宋" w:cs="仿宋"/>
          <w:bCs/>
          <w:snapToGrid w:val="0"/>
          <w:kern w:val="0"/>
          <w:sz w:val="24"/>
          <w:highlight w:val="none"/>
          <w:u w:val="single"/>
        </w:rPr>
        <w:t xml:space="preserve">      </w:t>
      </w:r>
      <w:bookmarkEnd w:id="114"/>
      <w:r>
        <w:rPr>
          <w:rFonts w:hint="eastAsia" w:ascii="仿宋" w:hAnsi="仿宋" w:eastAsia="仿宋" w:cs="仿宋"/>
          <w:bCs/>
          <w:snapToGrid w:val="0"/>
          <w:kern w:val="0"/>
          <w:sz w:val="24"/>
          <w:highlight w:val="none"/>
        </w:rPr>
        <w:t>日签订。</w:t>
      </w:r>
    </w:p>
    <w:p w14:paraId="67593738">
      <w:pPr>
        <w:snapToGrid w:val="0"/>
        <w:spacing w:line="360" w:lineRule="auto"/>
        <w:outlineLvl w:val="1"/>
        <w:rPr>
          <w:rFonts w:hint="eastAsia" w:ascii="仿宋" w:hAnsi="仿宋" w:eastAsia="仿宋" w:cs="仿宋"/>
          <w:b/>
          <w:bCs/>
          <w:snapToGrid w:val="0"/>
          <w:kern w:val="0"/>
          <w:sz w:val="24"/>
          <w:highlight w:val="none"/>
        </w:rPr>
      </w:pPr>
      <w:bookmarkStart w:id="115" w:name="_Toc361220419"/>
      <w:bookmarkStart w:id="116" w:name="_Toc97299507"/>
      <w:r>
        <w:rPr>
          <w:rFonts w:hint="eastAsia" w:ascii="仿宋" w:hAnsi="仿宋" w:eastAsia="仿宋" w:cs="仿宋"/>
          <w:b/>
          <w:bCs/>
          <w:snapToGrid w:val="0"/>
          <w:kern w:val="0"/>
          <w:sz w:val="24"/>
          <w:highlight w:val="none"/>
        </w:rPr>
        <w:t>十、签订地点</w:t>
      </w:r>
      <w:bookmarkEnd w:id="115"/>
      <w:bookmarkEnd w:id="116"/>
    </w:p>
    <w:p w14:paraId="0AAE2039">
      <w:pPr>
        <w:snapToGrid w:val="0"/>
        <w:spacing w:line="360" w:lineRule="auto"/>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 xml:space="preserve">    本合同在</w:t>
      </w:r>
      <w:r>
        <w:rPr>
          <w:rFonts w:hint="eastAsia" w:ascii="仿宋" w:hAnsi="仿宋" w:eastAsia="仿宋" w:cs="仿宋"/>
          <w:bCs/>
          <w:snapToGrid w:val="0"/>
          <w:kern w:val="0"/>
          <w:sz w:val="24"/>
          <w:highlight w:val="none"/>
          <w:u w:val="single"/>
        </w:rPr>
        <w:t xml:space="preserve">   </w:t>
      </w:r>
      <w:bookmarkStart w:id="117" w:name="SOA_zyht_htqddd"/>
      <w:r>
        <w:rPr>
          <w:rFonts w:hint="eastAsia" w:ascii="仿宋" w:hAnsi="仿宋" w:eastAsia="仿宋" w:cs="仿宋"/>
          <w:bCs/>
          <w:snapToGrid w:val="0"/>
          <w:kern w:val="0"/>
          <w:sz w:val="24"/>
          <w:highlight w:val="none"/>
          <w:u w:val="single"/>
        </w:rPr>
        <w:t xml:space="preserve">  杭州</w:t>
      </w:r>
      <w:r>
        <w:rPr>
          <w:rFonts w:hint="eastAsia" w:ascii="仿宋" w:hAnsi="仿宋" w:eastAsia="仿宋" w:cs="仿宋"/>
          <w:bCs/>
          <w:snapToGrid w:val="0"/>
          <w:kern w:val="0"/>
          <w:sz w:val="24"/>
          <w:highlight w:val="none"/>
          <w:u w:val="single"/>
          <w:lang w:val="en-US" w:eastAsia="zh-CN"/>
        </w:rPr>
        <w:t>市</w:t>
      </w:r>
      <w:r>
        <w:rPr>
          <w:rFonts w:hint="eastAsia" w:ascii="仿宋" w:hAnsi="仿宋" w:eastAsia="仿宋" w:cs="仿宋"/>
          <w:bCs/>
          <w:snapToGrid w:val="0"/>
          <w:kern w:val="0"/>
          <w:sz w:val="24"/>
          <w:highlight w:val="none"/>
          <w:u w:val="single"/>
        </w:rPr>
        <w:t xml:space="preserve">   </w:t>
      </w:r>
      <w:bookmarkEnd w:id="117"/>
      <w:r>
        <w:rPr>
          <w:rFonts w:hint="eastAsia" w:ascii="仿宋" w:hAnsi="仿宋" w:eastAsia="仿宋" w:cs="仿宋"/>
          <w:bCs/>
          <w:snapToGrid w:val="0"/>
          <w:kern w:val="0"/>
          <w:sz w:val="24"/>
          <w:highlight w:val="none"/>
          <w:u w:val="single"/>
        </w:rPr>
        <w:t xml:space="preserve">  </w:t>
      </w:r>
      <w:r>
        <w:rPr>
          <w:rFonts w:hint="eastAsia" w:ascii="仿宋" w:hAnsi="仿宋" w:eastAsia="仿宋" w:cs="仿宋"/>
          <w:bCs/>
          <w:snapToGrid w:val="0"/>
          <w:kern w:val="0"/>
          <w:sz w:val="24"/>
          <w:highlight w:val="none"/>
        </w:rPr>
        <w:t>签订。</w:t>
      </w:r>
    </w:p>
    <w:p w14:paraId="1079E9BA">
      <w:pPr>
        <w:snapToGrid w:val="0"/>
        <w:spacing w:line="360" w:lineRule="auto"/>
        <w:outlineLvl w:val="1"/>
        <w:rPr>
          <w:rFonts w:hint="eastAsia" w:ascii="仿宋" w:hAnsi="仿宋" w:eastAsia="仿宋" w:cs="仿宋"/>
          <w:b/>
          <w:bCs/>
          <w:snapToGrid w:val="0"/>
          <w:kern w:val="0"/>
          <w:sz w:val="24"/>
          <w:highlight w:val="none"/>
        </w:rPr>
      </w:pPr>
      <w:bookmarkStart w:id="118" w:name="_Toc361220420"/>
      <w:bookmarkStart w:id="119" w:name="_Toc97299508"/>
      <w:r>
        <w:rPr>
          <w:rFonts w:hint="eastAsia" w:ascii="仿宋" w:hAnsi="仿宋" w:eastAsia="仿宋" w:cs="仿宋"/>
          <w:b/>
          <w:bCs/>
          <w:snapToGrid w:val="0"/>
          <w:kern w:val="0"/>
          <w:sz w:val="24"/>
          <w:highlight w:val="none"/>
        </w:rPr>
        <w:t>十一、补充协议</w:t>
      </w:r>
      <w:bookmarkEnd w:id="118"/>
      <w:bookmarkEnd w:id="119"/>
    </w:p>
    <w:p w14:paraId="1E85F8DB">
      <w:pPr>
        <w:snapToGrid w:val="0"/>
        <w:spacing w:line="360" w:lineRule="auto"/>
        <w:ind w:firstLine="480" w:firstLineChars="200"/>
        <w:rPr>
          <w:rFonts w:hint="eastAsia" w:ascii="仿宋" w:hAnsi="仿宋" w:eastAsia="仿宋" w:cs="仿宋"/>
          <w:b/>
          <w:bCs/>
          <w:snapToGrid w:val="0"/>
          <w:kern w:val="0"/>
          <w:sz w:val="24"/>
          <w:highlight w:val="none"/>
        </w:rPr>
      </w:pPr>
      <w:r>
        <w:rPr>
          <w:rFonts w:hint="eastAsia" w:ascii="仿宋" w:hAnsi="仿宋" w:eastAsia="仿宋" w:cs="仿宋"/>
          <w:bCs/>
          <w:snapToGrid w:val="0"/>
          <w:kern w:val="0"/>
          <w:sz w:val="24"/>
          <w:highlight w:val="none"/>
        </w:rPr>
        <w:t>合同未尽事宜，合同当事人另行签订补充协议，补充协议是合同的组成部分。</w:t>
      </w:r>
    </w:p>
    <w:p w14:paraId="1B3FEA8E">
      <w:pPr>
        <w:snapToGrid w:val="0"/>
        <w:spacing w:line="360" w:lineRule="auto"/>
        <w:outlineLvl w:val="1"/>
        <w:rPr>
          <w:rFonts w:hint="eastAsia" w:ascii="仿宋" w:hAnsi="仿宋" w:eastAsia="仿宋" w:cs="仿宋"/>
          <w:b/>
          <w:bCs/>
          <w:snapToGrid w:val="0"/>
          <w:kern w:val="0"/>
          <w:sz w:val="24"/>
          <w:highlight w:val="none"/>
        </w:rPr>
      </w:pPr>
      <w:bookmarkStart w:id="120" w:name="_Toc97299509"/>
      <w:bookmarkStart w:id="121" w:name="_Toc361220421"/>
      <w:r>
        <w:rPr>
          <w:rFonts w:hint="eastAsia" w:ascii="仿宋" w:hAnsi="仿宋" w:eastAsia="仿宋" w:cs="仿宋"/>
          <w:b/>
          <w:bCs/>
          <w:snapToGrid w:val="0"/>
          <w:kern w:val="0"/>
          <w:sz w:val="24"/>
          <w:highlight w:val="none"/>
        </w:rPr>
        <w:t>十二、合同生效</w:t>
      </w:r>
      <w:bookmarkEnd w:id="120"/>
      <w:bookmarkEnd w:id="121"/>
    </w:p>
    <w:p w14:paraId="77CBC06C">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本合同自</w:t>
      </w:r>
      <w:r>
        <w:rPr>
          <w:rFonts w:hint="eastAsia" w:ascii="仿宋" w:hAnsi="仿宋" w:eastAsia="仿宋" w:cs="仿宋"/>
          <w:bCs/>
          <w:snapToGrid w:val="0"/>
          <w:kern w:val="0"/>
          <w:sz w:val="24"/>
          <w:highlight w:val="none"/>
          <w:u w:val="single"/>
        </w:rPr>
        <w:t xml:space="preserve">  双方签字盖章后  </w:t>
      </w:r>
      <w:r>
        <w:rPr>
          <w:rFonts w:hint="eastAsia" w:ascii="仿宋" w:hAnsi="仿宋" w:eastAsia="仿宋" w:cs="仿宋"/>
          <w:bCs/>
          <w:snapToGrid w:val="0"/>
          <w:kern w:val="0"/>
          <w:sz w:val="24"/>
          <w:highlight w:val="none"/>
        </w:rPr>
        <w:t>生效。</w:t>
      </w:r>
    </w:p>
    <w:p w14:paraId="6D2E74EB">
      <w:pPr>
        <w:snapToGrid w:val="0"/>
        <w:spacing w:line="360" w:lineRule="auto"/>
        <w:outlineLvl w:val="1"/>
        <w:rPr>
          <w:rFonts w:hint="eastAsia" w:ascii="仿宋" w:hAnsi="仿宋" w:eastAsia="仿宋" w:cs="仿宋"/>
          <w:b/>
          <w:bCs/>
          <w:snapToGrid w:val="0"/>
          <w:kern w:val="0"/>
          <w:sz w:val="24"/>
          <w:highlight w:val="none"/>
        </w:rPr>
      </w:pPr>
      <w:bookmarkStart w:id="122" w:name="_Toc361220422"/>
      <w:bookmarkStart w:id="123" w:name="_Toc97299510"/>
      <w:r>
        <w:rPr>
          <w:rFonts w:hint="eastAsia" w:ascii="仿宋" w:hAnsi="仿宋" w:eastAsia="仿宋" w:cs="仿宋"/>
          <w:b/>
          <w:bCs/>
          <w:snapToGrid w:val="0"/>
          <w:kern w:val="0"/>
          <w:sz w:val="24"/>
          <w:highlight w:val="none"/>
        </w:rPr>
        <w:t>十三、合同份数</w:t>
      </w:r>
      <w:bookmarkEnd w:id="122"/>
      <w:bookmarkEnd w:id="123"/>
    </w:p>
    <w:p w14:paraId="18F66FDC">
      <w:pPr>
        <w:snapToGrid w:val="0"/>
        <w:spacing w:line="360" w:lineRule="auto"/>
        <w:ind w:left="210" w:leftChars="100" w:firstLine="240" w:firstLineChars="100"/>
        <w:rPr>
          <w:rFonts w:hint="eastAsia" w:ascii="仿宋" w:hAnsi="仿宋" w:eastAsia="仿宋" w:cs="仿宋"/>
          <w:bCs/>
          <w:snapToGrid w:val="0"/>
          <w:kern w:val="0"/>
          <w:sz w:val="24"/>
          <w:highlight w:val="none"/>
        </w:rPr>
      </w:pPr>
      <w:r>
        <w:rPr>
          <w:rFonts w:hint="eastAsia" w:ascii="仿宋" w:hAnsi="仿宋" w:eastAsia="仿宋" w:cs="仿宋"/>
          <w:bCs/>
          <w:snapToGrid w:val="0"/>
          <w:kern w:val="0"/>
          <w:sz w:val="24"/>
          <w:highlight w:val="none"/>
        </w:rPr>
        <w:t>本合同一式</w:t>
      </w:r>
      <w:r>
        <w:rPr>
          <w:rFonts w:hint="eastAsia" w:ascii="仿宋" w:hAnsi="仿宋" w:eastAsia="仿宋" w:cs="仿宋"/>
          <w:bCs/>
          <w:snapToGrid w:val="0"/>
          <w:kern w:val="0"/>
          <w:sz w:val="24"/>
          <w:highlight w:val="none"/>
          <w:lang w:val="en-US" w:eastAsia="zh-CN"/>
        </w:rPr>
        <w:t>陆</w:t>
      </w:r>
      <w:r>
        <w:rPr>
          <w:rFonts w:hint="eastAsia" w:ascii="仿宋" w:hAnsi="仿宋" w:eastAsia="仿宋" w:cs="仿宋"/>
          <w:bCs/>
          <w:snapToGrid w:val="0"/>
          <w:kern w:val="0"/>
          <w:sz w:val="24"/>
          <w:highlight w:val="none"/>
        </w:rPr>
        <w:t>份，均具有同等法律效力，发包人执</w:t>
      </w:r>
      <w:r>
        <w:rPr>
          <w:rFonts w:hint="eastAsia" w:ascii="仿宋" w:hAnsi="仿宋" w:eastAsia="仿宋" w:cs="仿宋"/>
          <w:bCs/>
          <w:snapToGrid w:val="0"/>
          <w:kern w:val="0"/>
          <w:sz w:val="24"/>
          <w:highlight w:val="none"/>
          <w:lang w:val="en-US" w:eastAsia="zh-CN"/>
        </w:rPr>
        <w:t>肆</w:t>
      </w:r>
      <w:r>
        <w:rPr>
          <w:rFonts w:hint="eastAsia" w:ascii="仿宋" w:hAnsi="仿宋" w:eastAsia="仿宋" w:cs="仿宋"/>
          <w:bCs/>
          <w:snapToGrid w:val="0"/>
          <w:kern w:val="0"/>
          <w:sz w:val="24"/>
          <w:highlight w:val="none"/>
        </w:rPr>
        <w:t>份，承包人执</w:t>
      </w:r>
      <w:r>
        <w:rPr>
          <w:rFonts w:hint="eastAsia" w:ascii="仿宋" w:hAnsi="仿宋" w:eastAsia="仿宋" w:cs="仿宋"/>
          <w:bCs/>
          <w:snapToGrid w:val="0"/>
          <w:kern w:val="0"/>
          <w:sz w:val="24"/>
          <w:highlight w:val="none"/>
          <w:lang w:val="en-US" w:eastAsia="zh-CN"/>
        </w:rPr>
        <w:t>贰</w:t>
      </w:r>
      <w:r>
        <w:rPr>
          <w:rFonts w:hint="eastAsia" w:ascii="仿宋" w:hAnsi="仿宋" w:eastAsia="仿宋" w:cs="仿宋"/>
          <w:bCs/>
          <w:snapToGrid w:val="0"/>
          <w:kern w:val="0"/>
          <w:sz w:val="24"/>
          <w:highlight w:val="none"/>
        </w:rPr>
        <w:t>份。</w:t>
      </w:r>
    </w:p>
    <w:p w14:paraId="62A7C1A6">
      <w:pPr>
        <w:snapToGrid w:val="0"/>
        <w:spacing w:line="360" w:lineRule="auto"/>
        <w:ind w:firstLine="480" w:firstLineChars="200"/>
        <w:rPr>
          <w:rFonts w:hint="eastAsia" w:ascii="仿宋" w:hAnsi="仿宋" w:eastAsia="仿宋" w:cs="仿宋"/>
          <w:snapToGrid w:val="0"/>
          <w:kern w:val="0"/>
          <w:sz w:val="24"/>
          <w:highlight w:val="none"/>
        </w:rPr>
      </w:pPr>
    </w:p>
    <w:p w14:paraId="42E2A5C4">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发包人：(公章)</w:t>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lang w:val="en-US" w:eastAsia="zh-CN"/>
        </w:rPr>
        <w:t xml:space="preserve">                </w:t>
      </w:r>
      <w:r>
        <w:rPr>
          <w:rFonts w:hint="eastAsia" w:ascii="仿宋" w:hAnsi="仿宋" w:eastAsia="仿宋" w:cs="仿宋"/>
          <w:snapToGrid w:val="0"/>
          <w:kern w:val="0"/>
          <w:sz w:val="24"/>
          <w:highlight w:val="none"/>
        </w:rPr>
        <w:t>承包人：(公章)</w:t>
      </w:r>
    </w:p>
    <w:p w14:paraId="22308AD7">
      <w:pPr>
        <w:snapToGrid w:val="0"/>
        <w:spacing w:line="360" w:lineRule="auto"/>
        <w:ind w:firstLine="480" w:firstLineChars="200"/>
        <w:rPr>
          <w:rFonts w:hint="eastAsia" w:ascii="仿宋" w:hAnsi="仿宋" w:eastAsia="仿宋" w:cs="仿宋"/>
          <w:bCs/>
          <w:snapToGrid w:val="0"/>
          <w:kern w:val="0"/>
          <w:sz w:val="24"/>
          <w:highlight w:val="none"/>
        </w:rPr>
      </w:pPr>
      <w:r>
        <w:rPr>
          <w:rFonts w:hint="eastAsia" w:ascii="仿宋" w:hAnsi="仿宋" w:eastAsia="仿宋" w:cs="仿宋"/>
          <w:snapToGrid w:val="0"/>
          <w:kern w:val="0"/>
          <w:sz w:val="24"/>
          <w:highlight w:val="none"/>
        </w:rPr>
        <w:t>法定代表人或其委托代理人：</w:t>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lang w:val="en-US" w:eastAsia="zh-CN"/>
        </w:rPr>
        <w:t xml:space="preserve">     </w:t>
      </w:r>
      <w:r>
        <w:rPr>
          <w:rFonts w:hint="eastAsia" w:ascii="仿宋" w:hAnsi="仿宋" w:eastAsia="仿宋" w:cs="仿宋"/>
          <w:snapToGrid w:val="0"/>
          <w:kern w:val="0"/>
          <w:sz w:val="24"/>
          <w:highlight w:val="none"/>
        </w:rPr>
        <w:t>法定代表人或其委托代理人：</w:t>
      </w:r>
    </w:p>
    <w:p w14:paraId="26761AF3">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（签字）</w:t>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rPr>
        <w:tab/>
      </w:r>
      <w:r>
        <w:rPr>
          <w:rFonts w:hint="eastAsia" w:ascii="仿宋" w:hAnsi="仿宋" w:eastAsia="仿宋" w:cs="仿宋"/>
          <w:snapToGrid w:val="0"/>
          <w:kern w:val="0"/>
          <w:sz w:val="24"/>
          <w:highlight w:val="none"/>
          <w:lang w:val="en-US" w:eastAsia="zh-CN"/>
        </w:rPr>
        <w:t xml:space="preserve">                       </w:t>
      </w:r>
      <w:r>
        <w:rPr>
          <w:rFonts w:hint="eastAsia" w:ascii="仿宋" w:hAnsi="仿宋" w:eastAsia="仿宋" w:cs="仿宋"/>
          <w:snapToGrid w:val="0"/>
          <w:kern w:val="0"/>
          <w:sz w:val="24"/>
          <w:highlight w:val="none"/>
        </w:rPr>
        <w:t>（签字）</w:t>
      </w:r>
    </w:p>
    <w:p w14:paraId="6B115927">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组织机构代码：</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组织机构代码：</w:t>
      </w:r>
      <w:bookmarkStart w:id="124" w:name="SOA_hhxys_zjjgdm1"/>
      <w:r>
        <w:rPr>
          <w:rFonts w:hint="eastAsia" w:ascii="仿宋" w:hAnsi="仿宋" w:eastAsia="仿宋" w:cs="仿宋"/>
          <w:snapToGrid w:val="0"/>
          <w:kern w:val="0"/>
          <w:sz w:val="24"/>
          <w:highlight w:val="none"/>
          <w:u w:val="single"/>
        </w:rPr>
        <w:t xml:space="preserve">                     </w:t>
      </w:r>
      <w:bookmarkEnd w:id="124"/>
      <w:r>
        <w:rPr>
          <w:rFonts w:hint="eastAsia" w:ascii="仿宋" w:hAnsi="仿宋" w:eastAsia="仿宋" w:cs="仿宋"/>
          <w:snapToGrid w:val="0"/>
          <w:kern w:val="0"/>
          <w:sz w:val="24"/>
          <w:highlight w:val="none"/>
          <w:u w:val="single"/>
        </w:rPr>
        <w:t xml:space="preserve">    </w:t>
      </w:r>
    </w:p>
    <w:p w14:paraId="36175505">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地  址：</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地  址：</w:t>
      </w:r>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w:t>
      </w:r>
      <w:r>
        <w:rPr>
          <w:rFonts w:hint="eastAsia" w:ascii="仿宋" w:hAnsi="仿宋" w:eastAsia="仿宋" w:cs="仿宋"/>
          <w:snapToGrid w:val="0"/>
          <w:kern w:val="0"/>
          <w:sz w:val="24"/>
          <w:highlight w:val="none"/>
        </w:rPr>
        <w:t xml:space="preserve">     </w:t>
      </w:r>
    </w:p>
    <w:p w14:paraId="0BA1EE96">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邮政编码：</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邮政编码：</w:t>
      </w:r>
      <w:bookmarkStart w:id="125" w:name="SOA_hhxys_cbryb"/>
      <w:r>
        <w:rPr>
          <w:rFonts w:hint="eastAsia" w:ascii="仿宋" w:hAnsi="仿宋" w:eastAsia="仿宋" w:cs="仿宋"/>
          <w:snapToGrid w:val="0"/>
          <w:kern w:val="0"/>
          <w:sz w:val="24"/>
          <w:highlight w:val="none"/>
          <w:u w:val="single"/>
        </w:rPr>
        <w:t xml:space="preserve">                            </w:t>
      </w:r>
      <w:bookmarkEnd w:id="125"/>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 xml:space="preserve">    </w:t>
      </w:r>
    </w:p>
    <w:p w14:paraId="17F79991">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法定代表人：</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法定代表人：</w:t>
      </w:r>
      <w:bookmarkStart w:id="126" w:name="SOA_hhxys_fddbr1"/>
      <w:r>
        <w:rPr>
          <w:rFonts w:hint="eastAsia" w:ascii="仿宋" w:hAnsi="仿宋" w:eastAsia="仿宋" w:cs="仿宋"/>
          <w:snapToGrid w:val="0"/>
          <w:kern w:val="0"/>
          <w:sz w:val="24"/>
          <w:highlight w:val="none"/>
          <w:u w:val="single"/>
        </w:rPr>
        <w:t xml:space="preserve">                    </w:t>
      </w:r>
      <w:bookmarkEnd w:id="126"/>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 xml:space="preserve">  </w:t>
      </w:r>
    </w:p>
    <w:p w14:paraId="4DC406A9">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委托代理人：</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委托代理人：</w:t>
      </w:r>
      <w:bookmarkStart w:id="127" w:name="SOA_hhxys_wtdlr1"/>
      <w:r>
        <w:rPr>
          <w:rFonts w:hint="eastAsia" w:ascii="仿宋" w:hAnsi="仿宋" w:eastAsia="仿宋" w:cs="仿宋"/>
          <w:snapToGrid w:val="0"/>
          <w:kern w:val="0"/>
          <w:sz w:val="24"/>
          <w:highlight w:val="none"/>
          <w:u w:val="single"/>
        </w:rPr>
        <w:t xml:space="preserve">                   </w:t>
      </w:r>
      <w:bookmarkEnd w:id="127"/>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rPr>
        <w:t xml:space="preserve">  </w:t>
      </w:r>
    </w:p>
    <w:p w14:paraId="0C82F4F0">
      <w:pPr>
        <w:snapToGrid w:val="0"/>
        <w:spacing w:line="360" w:lineRule="auto"/>
        <w:ind w:firstLine="480" w:firstLineChars="200"/>
        <w:rPr>
          <w:rFonts w:hint="eastAsia" w:ascii="仿宋" w:hAnsi="仿宋" w:eastAsia="仿宋" w:cs="仿宋"/>
          <w:snapToGrid w:val="0"/>
          <w:kern w:val="0"/>
          <w:sz w:val="24"/>
          <w:highlight w:val="none"/>
          <w:u w:val="none"/>
        </w:rPr>
      </w:pPr>
      <w:r>
        <w:rPr>
          <w:rFonts w:hint="eastAsia" w:ascii="仿宋" w:hAnsi="仿宋" w:eastAsia="仿宋" w:cs="仿宋"/>
          <w:snapToGrid w:val="0"/>
          <w:kern w:val="0"/>
          <w:sz w:val="24"/>
          <w:highlight w:val="none"/>
        </w:rPr>
        <w:t>电  话：</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电  话：</w:t>
      </w:r>
      <w:bookmarkStart w:id="128" w:name="SOA_hhxys_cbrdh"/>
      <w:r>
        <w:rPr>
          <w:rFonts w:hint="eastAsia" w:ascii="仿宋" w:hAnsi="仿宋" w:eastAsia="仿宋" w:cs="仿宋"/>
          <w:snapToGrid w:val="0"/>
          <w:kern w:val="0"/>
          <w:sz w:val="24"/>
          <w:highlight w:val="none"/>
          <w:u w:val="single"/>
        </w:rPr>
        <w:t xml:space="preserve">            </w:t>
      </w:r>
      <w:bookmarkEnd w:id="128"/>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w:t>
      </w:r>
      <w:r>
        <w:rPr>
          <w:rFonts w:hint="eastAsia" w:ascii="仿宋" w:hAnsi="仿宋" w:eastAsia="仿宋" w:cs="仿宋"/>
          <w:snapToGrid w:val="0"/>
          <w:kern w:val="0"/>
          <w:sz w:val="24"/>
          <w:highlight w:val="none"/>
          <w:u w:val="none"/>
        </w:rPr>
        <w:t xml:space="preserve">      </w:t>
      </w:r>
    </w:p>
    <w:p w14:paraId="5F776EFD">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传  真：</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传  真：</w:t>
      </w:r>
      <w:bookmarkStart w:id="129" w:name="SOA_hhxys_cbrcz"/>
      <w:r>
        <w:rPr>
          <w:rFonts w:hint="eastAsia" w:ascii="仿宋" w:hAnsi="仿宋" w:eastAsia="仿宋" w:cs="仿宋"/>
          <w:snapToGrid w:val="0"/>
          <w:kern w:val="0"/>
          <w:sz w:val="24"/>
          <w:highlight w:val="none"/>
          <w:u w:val="single"/>
        </w:rPr>
        <w:t xml:space="preserve">              </w:t>
      </w:r>
      <w:bookmarkEnd w:id="129"/>
      <w:r>
        <w:rPr>
          <w:rFonts w:hint="eastAsia" w:ascii="仿宋" w:hAnsi="仿宋" w:eastAsia="仿宋" w:cs="仿宋"/>
          <w:snapToGrid w:val="0"/>
          <w:kern w:val="0"/>
          <w:sz w:val="24"/>
          <w:highlight w:val="none"/>
          <w:u w:val="single"/>
        </w:rPr>
        <w:t xml:space="preserve"> </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 xml:space="preserve">     </w:t>
      </w:r>
    </w:p>
    <w:p w14:paraId="303BBCAE">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电子信箱：</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电子信箱：</w:t>
      </w:r>
      <w:bookmarkStart w:id="130" w:name="SOA_hhxys_cbrdzxx"/>
      <w:r>
        <w:rPr>
          <w:rFonts w:hint="eastAsia" w:ascii="仿宋" w:hAnsi="仿宋" w:eastAsia="仿宋" w:cs="仿宋"/>
          <w:snapToGrid w:val="0"/>
          <w:kern w:val="0"/>
          <w:sz w:val="24"/>
          <w:highlight w:val="none"/>
          <w:u w:val="single"/>
        </w:rPr>
        <w:t xml:space="preserve">                     </w:t>
      </w:r>
      <w:bookmarkEnd w:id="130"/>
      <w:r>
        <w:rPr>
          <w:rFonts w:hint="eastAsia" w:ascii="仿宋" w:hAnsi="仿宋" w:eastAsia="仿宋" w:cs="仿宋"/>
          <w:snapToGrid w:val="0"/>
          <w:kern w:val="0"/>
          <w:sz w:val="24"/>
          <w:highlight w:val="none"/>
          <w:u w:val="single"/>
        </w:rPr>
        <w:t xml:space="preserve">  </w:t>
      </w:r>
    </w:p>
    <w:p w14:paraId="25F52DF7">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开户银行：</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开户银行：</w:t>
      </w:r>
      <w:r>
        <w:rPr>
          <w:rFonts w:hint="eastAsia" w:ascii="仿宋" w:hAnsi="仿宋" w:eastAsia="仿宋" w:cs="仿宋"/>
          <w:snapToGrid w:val="0"/>
          <w:kern w:val="0"/>
          <w:sz w:val="24"/>
          <w:highlight w:val="none"/>
          <w:u w:val="single"/>
        </w:rPr>
        <w:t xml:space="preserve">                         </w:t>
      </w:r>
    </w:p>
    <w:p w14:paraId="1FF70FBA">
      <w:pPr>
        <w:snapToGrid w:val="0"/>
        <w:spacing w:line="360" w:lineRule="auto"/>
        <w:ind w:firstLine="480" w:firstLineChars="200"/>
        <w:rPr>
          <w:rFonts w:hint="eastAsia" w:ascii="仿宋" w:hAnsi="仿宋" w:eastAsia="仿宋" w:cs="仿宋"/>
          <w:snapToGrid w:val="0"/>
          <w:kern w:val="0"/>
          <w:sz w:val="24"/>
          <w:highlight w:val="none"/>
          <w:u w:val="single"/>
        </w:rPr>
      </w:pPr>
      <w:r>
        <w:rPr>
          <w:rFonts w:hint="eastAsia" w:ascii="仿宋" w:hAnsi="仿宋" w:eastAsia="仿宋" w:cs="仿宋"/>
          <w:snapToGrid w:val="0"/>
          <w:kern w:val="0"/>
          <w:sz w:val="24"/>
          <w:highlight w:val="none"/>
        </w:rPr>
        <w:t>账  号：</w:t>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rPr>
        <w:tab/>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rPr>
        <w:t>账  号：</w:t>
      </w:r>
      <w:r>
        <w:rPr>
          <w:rFonts w:hint="eastAsia" w:ascii="仿宋" w:hAnsi="仿宋" w:eastAsia="仿宋" w:cs="仿宋"/>
          <w:snapToGrid w:val="0"/>
          <w:kern w:val="0"/>
          <w:sz w:val="24"/>
          <w:highlight w:val="none"/>
          <w:u w:val="single"/>
        </w:rPr>
        <w:t xml:space="preserve">                    </w:t>
      </w:r>
      <w:r>
        <w:rPr>
          <w:rFonts w:hint="eastAsia" w:ascii="仿宋" w:hAnsi="仿宋" w:eastAsia="仿宋" w:cs="仿宋"/>
          <w:snapToGrid w:val="0"/>
          <w:kern w:val="0"/>
          <w:sz w:val="24"/>
          <w:highlight w:val="none"/>
          <w:u w:val="single"/>
          <w:lang w:val="en-US" w:eastAsia="zh-CN"/>
        </w:rPr>
        <w:t xml:space="preserve">  </w:t>
      </w:r>
      <w:r>
        <w:rPr>
          <w:rFonts w:hint="eastAsia" w:ascii="仿宋" w:hAnsi="仿宋" w:eastAsia="仿宋" w:cs="仿宋"/>
          <w:snapToGrid w:val="0"/>
          <w:kern w:val="0"/>
          <w:sz w:val="24"/>
          <w:highlight w:val="none"/>
          <w:u w:val="single"/>
        </w:rPr>
        <w:t xml:space="preserve">  </w:t>
      </w:r>
    </w:p>
    <w:p w14:paraId="5AFAD4DA">
      <w:pPr>
        <w:keepNext/>
        <w:keepLines/>
        <w:numPr>
          <w:ilvl w:val="1"/>
          <w:numId w:val="0"/>
        </w:numPr>
        <w:spacing w:before="100" w:line="400" w:lineRule="exact"/>
        <w:jc w:val="center"/>
        <w:outlineLvl w:val="1"/>
        <w:rPr>
          <w:rFonts w:hint="eastAsia" w:ascii="仿宋" w:hAnsi="仿宋" w:eastAsia="仿宋" w:cs="仿宋"/>
          <w:snapToGrid w:val="0"/>
          <w:kern w:val="44"/>
          <w:sz w:val="28"/>
          <w:szCs w:val="20"/>
          <w:highlight w:val="none"/>
        </w:rPr>
      </w:pPr>
      <w:r>
        <w:rPr>
          <w:rFonts w:hint="eastAsia" w:ascii="仿宋" w:hAnsi="仿宋" w:eastAsia="仿宋" w:cs="仿宋"/>
          <w:snapToGrid w:val="0"/>
          <w:kern w:val="0"/>
          <w:sz w:val="24"/>
          <w:highlight w:val="none"/>
        </w:rPr>
        <w:br w:type="page"/>
      </w:r>
      <w:bookmarkStart w:id="131" w:name="_Toc31640"/>
      <w:bookmarkStart w:id="132" w:name="_Toc97299511"/>
      <w:bookmarkStart w:id="133" w:name="_Toc69485879"/>
      <w:r>
        <w:rPr>
          <w:rFonts w:hint="eastAsia" w:ascii="仿宋" w:hAnsi="仿宋" w:eastAsia="仿宋" w:cs="仿宋"/>
          <w:snapToGrid w:val="0"/>
          <w:kern w:val="44"/>
          <w:sz w:val="28"/>
          <w:szCs w:val="20"/>
          <w:highlight w:val="none"/>
        </w:rPr>
        <w:t>第二部分  通用条款（略）</w:t>
      </w:r>
      <w:bookmarkEnd w:id="131"/>
      <w:bookmarkEnd w:id="132"/>
      <w:bookmarkEnd w:id="133"/>
    </w:p>
    <w:p w14:paraId="08B759DE">
      <w:pPr>
        <w:keepNext/>
        <w:keepLines/>
        <w:numPr>
          <w:ilvl w:val="1"/>
          <w:numId w:val="0"/>
        </w:numPr>
        <w:spacing w:before="100" w:line="400" w:lineRule="exact"/>
        <w:jc w:val="center"/>
        <w:outlineLvl w:val="1"/>
        <w:rPr>
          <w:rFonts w:hint="eastAsia" w:ascii="仿宋" w:hAnsi="仿宋" w:eastAsia="仿宋" w:cs="仿宋"/>
          <w:snapToGrid w:val="0"/>
          <w:kern w:val="44"/>
          <w:sz w:val="28"/>
          <w:szCs w:val="20"/>
          <w:highlight w:val="none"/>
        </w:rPr>
      </w:pPr>
      <w:bookmarkStart w:id="134" w:name="_Toc97299512"/>
      <w:bookmarkStart w:id="135" w:name="_Toc69485880"/>
      <w:bookmarkStart w:id="136" w:name="_Toc8278"/>
      <w:r>
        <w:rPr>
          <w:rFonts w:hint="eastAsia" w:ascii="仿宋" w:hAnsi="仿宋" w:eastAsia="仿宋" w:cs="仿宋"/>
          <w:snapToGrid w:val="0"/>
          <w:kern w:val="44"/>
          <w:sz w:val="28"/>
          <w:szCs w:val="20"/>
          <w:highlight w:val="none"/>
        </w:rPr>
        <w:t>第三部分  专用条款</w:t>
      </w:r>
      <w:bookmarkEnd w:id="134"/>
      <w:bookmarkEnd w:id="135"/>
      <w:bookmarkEnd w:id="136"/>
    </w:p>
    <w:p w14:paraId="3ECD1870">
      <w:pPr>
        <w:keepNext/>
        <w:keepLines/>
        <w:spacing w:before="120" w:after="120" w:line="360" w:lineRule="auto"/>
        <w:outlineLvl w:val="3"/>
        <w:rPr>
          <w:rFonts w:hint="eastAsia" w:ascii="仿宋" w:hAnsi="仿宋" w:eastAsia="仿宋" w:cs="仿宋"/>
          <w:bCs/>
          <w:sz w:val="24"/>
          <w:highlight w:val="none"/>
        </w:rPr>
      </w:pPr>
      <w:bookmarkStart w:id="137" w:name="_Toc351203633"/>
      <w:r>
        <w:rPr>
          <w:rFonts w:hint="eastAsia" w:ascii="仿宋" w:hAnsi="仿宋" w:eastAsia="仿宋" w:cs="仿宋"/>
          <w:bCs/>
          <w:sz w:val="24"/>
          <w:highlight w:val="none"/>
        </w:rPr>
        <w:t>1</w:t>
      </w:r>
      <w:bookmarkStart w:id="138" w:name="_Toc297120456"/>
      <w:bookmarkStart w:id="139" w:name="_Toc296890984"/>
      <w:bookmarkStart w:id="140" w:name="_Toc296944495"/>
      <w:bookmarkStart w:id="141" w:name="_Toc297048342"/>
      <w:bookmarkStart w:id="142" w:name="_Toc296891196"/>
      <w:bookmarkStart w:id="143" w:name="_Toc292559361"/>
      <w:bookmarkStart w:id="144" w:name="_Toc296503156"/>
      <w:bookmarkStart w:id="145" w:name="_Toc296347155"/>
      <w:bookmarkStart w:id="146" w:name="_Toc292559866"/>
      <w:bookmarkStart w:id="147" w:name="_Toc296346657"/>
      <w:r>
        <w:rPr>
          <w:rFonts w:hint="eastAsia" w:ascii="仿宋" w:hAnsi="仿宋" w:eastAsia="仿宋" w:cs="仿宋"/>
          <w:bCs/>
          <w:sz w:val="24"/>
          <w:highlight w:val="none"/>
        </w:rPr>
        <w:t>. 一般约定</w:t>
      </w:r>
    </w:p>
    <w:bookmarkEnd w:id="138"/>
    <w:bookmarkEnd w:id="139"/>
    <w:bookmarkEnd w:id="140"/>
    <w:bookmarkEnd w:id="141"/>
    <w:bookmarkEnd w:id="142"/>
    <w:bookmarkEnd w:id="143"/>
    <w:bookmarkEnd w:id="144"/>
    <w:bookmarkEnd w:id="145"/>
    <w:bookmarkEnd w:id="146"/>
    <w:bookmarkEnd w:id="147"/>
    <w:p w14:paraId="0772B1E3">
      <w:pPr>
        <w:spacing w:line="360" w:lineRule="auto"/>
        <w:ind w:firstLine="420" w:firstLineChars="175"/>
        <w:rPr>
          <w:rFonts w:hint="eastAsia" w:ascii="仿宋" w:hAnsi="仿宋" w:eastAsia="仿宋" w:cs="仿宋"/>
          <w:sz w:val="24"/>
          <w:highlight w:val="none"/>
        </w:rPr>
      </w:pPr>
      <w:r>
        <w:rPr>
          <w:rFonts w:hint="eastAsia" w:ascii="仿宋" w:hAnsi="仿宋" w:eastAsia="仿宋" w:cs="仿宋"/>
          <w:sz w:val="24"/>
          <w:highlight w:val="none"/>
        </w:rPr>
        <w:t>1.1 词语定义</w:t>
      </w:r>
    </w:p>
    <w:p w14:paraId="3A5C98FE">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1.1.1合同</w:t>
      </w:r>
    </w:p>
    <w:p w14:paraId="7F93CA5F">
      <w:pPr>
        <w:spacing w:line="360" w:lineRule="auto"/>
        <w:ind w:firstLine="420" w:firstLineChars="175"/>
        <w:rPr>
          <w:rFonts w:hint="eastAsia" w:ascii="仿宋" w:hAnsi="仿宋" w:eastAsia="仿宋" w:cs="仿宋"/>
          <w:kern w:val="0"/>
          <w:sz w:val="24"/>
          <w:highlight w:val="none"/>
        </w:rPr>
      </w:pPr>
      <w:r>
        <w:rPr>
          <w:rFonts w:hint="eastAsia" w:ascii="仿宋" w:hAnsi="仿宋" w:eastAsia="仿宋" w:cs="仿宋"/>
          <w:kern w:val="0"/>
          <w:sz w:val="24"/>
          <w:highlight w:val="none"/>
        </w:rPr>
        <w:t>1.1.1.10其他合同文件包括：</w:t>
      </w:r>
    </w:p>
    <w:p w14:paraId="712EA3D8">
      <w:pPr>
        <w:shd w:val="clear" w:color="auto" w:fill="FAFAFA"/>
        <w:spacing w:line="360" w:lineRule="auto"/>
        <w:ind w:left="443" w:leftChars="211" w:firstLine="118" w:firstLineChars="49"/>
        <w:rPr>
          <w:rFonts w:hint="eastAsia" w:ascii="仿宋" w:hAnsi="仿宋" w:eastAsia="仿宋" w:cs="仿宋"/>
          <w:b/>
          <w:sz w:val="24"/>
          <w:highlight w:val="none"/>
          <w:u w:val="single"/>
        </w:rPr>
      </w:pPr>
      <w:r>
        <w:rPr>
          <w:rFonts w:hint="eastAsia" w:ascii="仿宋" w:hAnsi="仿宋" w:eastAsia="仿宋" w:cs="仿宋"/>
          <w:b/>
          <w:kern w:val="0"/>
          <w:sz w:val="24"/>
          <w:highlight w:val="none"/>
          <w:u w:val="single"/>
        </w:rPr>
        <w:t>施工组织设计：</w:t>
      </w:r>
      <w:r>
        <w:rPr>
          <w:rFonts w:hint="eastAsia" w:ascii="仿宋" w:hAnsi="仿宋" w:eastAsia="仿宋" w:cs="仿宋"/>
          <w:b/>
          <w:sz w:val="24"/>
          <w:highlight w:val="none"/>
          <w:u w:val="single"/>
        </w:rPr>
        <w:t>施工组织</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"http://baike.baidu.com/view/14417.htm" \t "_blank" </w:instrText>
      </w:r>
      <w:r>
        <w:rPr>
          <w:rFonts w:hint="eastAsia" w:ascii="仿宋" w:hAnsi="仿宋" w:eastAsia="仿宋" w:cs="仿宋"/>
          <w:highlight w:val="none"/>
        </w:rPr>
        <w:fldChar w:fldCharType="separate"/>
      </w:r>
      <w:r>
        <w:rPr>
          <w:rStyle w:val="68"/>
          <w:rFonts w:hint="eastAsia" w:ascii="仿宋" w:hAnsi="仿宋" w:eastAsia="仿宋" w:cs="仿宋"/>
          <w:b/>
          <w:color w:val="auto"/>
          <w:sz w:val="24"/>
          <w:highlight w:val="none"/>
          <w:u w:val="single"/>
        </w:rPr>
        <w:t>设计</w:t>
      </w:r>
      <w:r>
        <w:rPr>
          <w:rStyle w:val="68"/>
          <w:rFonts w:hint="eastAsia" w:ascii="仿宋" w:hAnsi="仿宋" w:eastAsia="仿宋" w:cs="仿宋"/>
          <w:b/>
          <w:color w:val="auto"/>
          <w:sz w:val="24"/>
          <w:highlight w:val="none"/>
          <w:u w:val="single"/>
        </w:rPr>
        <w:fldChar w:fldCharType="end"/>
      </w:r>
      <w:r>
        <w:rPr>
          <w:rFonts w:hint="eastAsia" w:ascii="仿宋" w:hAnsi="仿宋" w:eastAsia="仿宋" w:cs="仿宋"/>
          <w:b/>
          <w:sz w:val="24"/>
          <w:highlight w:val="none"/>
          <w:u w:val="single"/>
        </w:rPr>
        <w:t>是用来指导</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"http://baike.baidu.com/view/1094820.htm" \t "_blank" </w:instrText>
      </w:r>
      <w:r>
        <w:rPr>
          <w:rFonts w:hint="eastAsia" w:ascii="仿宋" w:hAnsi="仿宋" w:eastAsia="仿宋" w:cs="仿宋"/>
          <w:highlight w:val="none"/>
        </w:rPr>
        <w:fldChar w:fldCharType="separate"/>
      </w:r>
      <w:r>
        <w:rPr>
          <w:rStyle w:val="68"/>
          <w:rFonts w:hint="eastAsia" w:ascii="仿宋" w:hAnsi="仿宋" w:eastAsia="仿宋" w:cs="仿宋"/>
          <w:b/>
          <w:color w:val="auto"/>
          <w:sz w:val="24"/>
          <w:highlight w:val="none"/>
          <w:u w:val="single"/>
        </w:rPr>
        <w:t>施工项目</w:t>
      </w:r>
      <w:r>
        <w:rPr>
          <w:rStyle w:val="68"/>
          <w:rFonts w:hint="eastAsia" w:ascii="仿宋" w:hAnsi="仿宋" w:eastAsia="仿宋" w:cs="仿宋"/>
          <w:b/>
          <w:color w:val="auto"/>
          <w:sz w:val="24"/>
          <w:highlight w:val="none"/>
          <w:u w:val="single"/>
        </w:rPr>
        <w:fldChar w:fldCharType="end"/>
      </w:r>
      <w:r>
        <w:rPr>
          <w:rFonts w:hint="eastAsia" w:ascii="仿宋" w:hAnsi="仿宋" w:eastAsia="仿宋" w:cs="仿宋"/>
          <w:b/>
          <w:sz w:val="24"/>
          <w:highlight w:val="none"/>
          <w:u w:val="single"/>
        </w:rPr>
        <w:t>全过程各项活动的技术、经济和组织的综合性文件。</w:t>
      </w:r>
    </w:p>
    <w:p w14:paraId="44DACE3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1.1.2 合同当事人及其他相关方</w:t>
      </w:r>
    </w:p>
    <w:p w14:paraId="0729881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1.1.2.4监理人：</w:t>
      </w:r>
    </w:p>
    <w:p w14:paraId="253B1DD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名    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5FD5ED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资质类别和等级：</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516B97F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515FC7D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319D7A9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67F8D20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1.1.2.5 设计人：</w:t>
      </w:r>
    </w:p>
    <w:p w14:paraId="5450D13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名    称：</w:t>
      </w:r>
      <w:r>
        <w:rPr>
          <w:rFonts w:hint="eastAsia" w:ascii="仿宋" w:hAnsi="仿宋" w:eastAsia="仿宋" w:cs="仿宋"/>
          <w:sz w:val="24"/>
          <w:highlight w:val="none"/>
          <w:u w:val="single"/>
        </w:rPr>
        <w:t xml:space="preserve">                                      </w:t>
      </w:r>
      <w:r>
        <w:rPr>
          <w:rFonts w:hint="eastAsia" w:ascii="仿宋" w:hAnsi="仿宋" w:eastAsia="仿宋" w:cs="仿宋"/>
          <w:sz w:val="24"/>
          <w:highlight w:val="none"/>
        </w:rPr>
        <w:t>；</w:t>
      </w:r>
    </w:p>
    <w:p w14:paraId="3341140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资质类别和等级：</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62AA214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4D0C596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xml:space="preserve">                    </w:t>
      </w:r>
      <w:r>
        <w:rPr>
          <w:rFonts w:hint="eastAsia" w:ascii="仿宋" w:hAnsi="仿宋" w:eastAsia="仿宋" w:cs="仿宋"/>
          <w:sz w:val="24"/>
          <w:highlight w:val="none"/>
        </w:rPr>
        <w:t>；</w:t>
      </w:r>
    </w:p>
    <w:p w14:paraId="4319F28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6D8FB96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 工程和设备</w:t>
      </w:r>
    </w:p>
    <w:p w14:paraId="63C0735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1.1.3.7 作为施工现场组成部分的其他场所包括：</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169EFC5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1.1.3.9 永久占地包括： 施工范围内为实施本合同工程需永久占用的土地。</w:t>
      </w:r>
    </w:p>
    <w:p w14:paraId="74AD55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1.1.3.10 临时占地包括：指永久占地之外为实施合同工程需临时占用的土地。</w:t>
      </w:r>
    </w:p>
    <w:p w14:paraId="443989EB">
      <w:pPr>
        <w:keepNext/>
        <w:keepLines/>
        <w:spacing w:before="120" w:after="120" w:line="360" w:lineRule="auto"/>
        <w:ind w:firstLine="480" w:firstLineChars="200"/>
        <w:outlineLvl w:val="3"/>
        <w:rPr>
          <w:rFonts w:hint="eastAsia" w:ascii="仿宋" w:hAnsi="仿宋" w:eastAsia="仿宋" w:cs="仿宋"/>
          <w:bCs/>
          <w:sz w:val="24"/>
          <w:highlight w:val="none"/>
        </w:rPr>
      </w:pPr>
      <w:r>
        <w:rPr>
          <w:rFonts w:hint="eastAsia" w:ascii="仿宋" w:hAnsi="仿宋" w:eastAsia="仿宋" w:cs="仿宋"/>
          <w:bCs/>
          <w:sz w:val="24"/>
          <w:highlight w:val="none"/>
        </w:rPr>
        <w:t xml:space="preserve">1.3法律 </w:t>
      </w:r>
    </w:p>
    <w:p w14:paraId="39BFB129">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适用于合同的其他规范性文件：</w:t>
      </w:r>
    </w:p>
    <w:p w14:paraId="0296166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1.3.1  《杭州市建设工程工程量清单计价实施细则》(杭建市发〔2018〕578号)；</w:t>
      </w:r>
    </w:p>
    <w:p w14:paraId="22B5578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1.3.2  《关于进一步加强杭州市建设工程市场要素价格动态管理的指导意见》（杭建市发〔2018〕579号）；</w:t>
      </w:r>
    </w:p>
    <w:p w14:paraId="5B13F8D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1.3.3  省市建设行政部门颁发的其他现行有效文件(包括但不仅限于以下文件)：</w:t>
      </w:r>
    </w:p>
    <w:p w14:paraId="719AF04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（1）《关于转发省建设厅&lt;关于进一步加强建筑施工领域企业安全生产工作的实施意见&gt;的通知》（杭建工发〔2011〕130号）；</w:t>
      </w:r>
    </w:p>
    <w:p w14:paraId="518B9FD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（2）《关于进一步加强建设工程安全质量物联网管理应用平台建设的通知》（杭建工发〔2012〕426号）；</w:t>
      </w:r>
    </w:p>
    <w:p w14:paraId="220D264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（3）《关于开展建筑工程扬尘在线监测设施安装工作的通知》（杭建工〔2019〕103号）；</w:t>
      </w:r>
    </w:p>
    <w:p w14:paraId="65256B3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（4）《关于巩固G20杭州峰会成果进一步加强建设工程文明施工管理的若干意见》（杭建工发〔2017〕112号）；</w:t>
      </w:r>
    </w:p>
    <w:p w14:paraId="77AF2F6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（5）《杭州市建设领域农民工“无欠薪”管理实施细则（试行）》（杭建市〔2018〕161号）；</w:t>
      </w:r>
    </w:p>
    <w:p w14:paraId="550E17B5">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（6）其他：</w:t>
      </w:r>
      <w:r>
        <w:rPr>
          <w:rFonts w:hint="eastAsia" w:ascii="仿宋" w:hAnsi="仿宋" w:eastAsia="仿宋" w:cs="仿宋"/>
          <w:sz w:val="24"/>
          <w:highlight w:val="none"/>
          <w:u w:val="single"/>
        </w:rPr>
        <w:t>其它法律、行政法规、地方性法规等。</w:t>
      </w:r>
    </w:p>
    <w:p w14:paraId="48F44AE9">
      <w:pPr>
        <w:autoSpaceDE w:val="0"/>
        <w:autoSpaceDN w:val="0"/>
        <w:spacing w:line="360" w:lineRule="auto"/>
        <w:ind w:firstLine="475" w:firstLineChars="198"/>
        <w:rPr>
          <w:rFonts w:hint="eastAsia" w:ascii="仿宋" w:hAnsi="仿宋" w:eastAsia="仿宋" w:cs="仿宋"/>
          <w:sz w:val="24"/>
          <w:highlight w:val="none"/>
          <w:u w:val="single"/>
        </w:rPr>
      </w:pPr>
      <w:r>
        <w:rPr>
          <w:rFonts w:hint="eastAsia" w:ascii="仿宋" w:hAnsi="仿宋" w:eastAsia="仿宋" w:cs="仿宋"/>
          <w:sz w:val="24"/>
          <w:highlight w:val="none"/>
          <w:u w:val="single"/>
        </w:rPr>
        <w:t>各规定若有冲突可约定以最新颁布或要求最严者为依据。</w:t>
      </w:r>
    </w:p>
    <w:p w14:paraId="32C1F722">
      <w:pPr>
        <w:autoSpaceDE w:val="0"/>
        <w:autoSpaceDN w:val="0"/>
        <w:spacing w:line="360" w:lineRule="auto"/>
        <w:ind w:left="596" w:leftChars="284"/>
        <w:jc w:val="left"/>
        <w:rPr>
          <w:rFonts w:hint="eastAsia" w:ascii="仿宋" w:hAnsi="仿宋" w:eastAsia="仿宋" w:cs="仿宋"/>
          <w:sz w:val="24"/>
          <w:highlight w:val="none"/>
        </w:rPr>
      </w:pPr>
      <w:r>
        <w:rPr>
          <w:rFonts w:hint="eastAsia" w:ascii="仿宋" w:hAnsi="仿宋" w:eastAsia="仿宋" w:cs="仿宋"/>
          <w:sz w:val="24"/>
          <w:highlight w:val="none"/>
        </w:rPr>
        <w:t>1.4 标准和规范</w:t>
      </w:r>
    </w:p>
    <w:p w14:paraId="609B4B27">
      <w:pPr>
        <w:spacing w:line="360" w:lineRule="auto"/>
        <w:ind w:left="596" w:leftChars="284"/>
        <w:rPr>
          <w:rFonts w:hint="eastAsia" w:ascii="仿宋" w:hAnsi="仿宋" w:eastAsia="仿宋" w:cs="仿宋"/>
          <w:b/>
          <w:sz w:val="24"/>
          <w:highlight w:val="none"/>
          <w:u w:val="single"/>
        </w:rPr>
      </w:pPr>
      <w:r>
        <w:rPr>
          <w:rFonts w:hint="eastAsia" w:ascii="仿宋" w:hAnsi="仿宋" w:eastAsia="仿宋" w:cs="仿宋"/>
          <w:sz w:val="24"/>
          <w:highlight w:val="none"/>
        </w:rPr>
        <w:t>1.4.1适用于工程的标准规范包括：</w:t>
      </w:r>
      <w:r>
        <w:rPr>
          <w:rFonts w:hint="eastAsia" w:ascii="仿宋" w:hAnsi="仿宋" w:eastAsia="仿宋" w:cs="仿宋"/>
          <w:b/>
          <w:sz w:val="24"/>
          <w:highlight w:val="none"/>
          <w:u w:val="single"/>
        </w:rPr>
        <w:t xml:space="preserve">（1）按通用条款约定；     </w:t>
      </w:r>
    </w:p>
    <w:p w14:paraId="24310B2F">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rPr>
        <w:t>1.4.2 发包人提供国外标准、规范的名称：</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603D93A8">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发包人提供国外标准、规范的份数：</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20EE2CA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发包人提供国外标准、规范的名称：</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3FAB1B75">
      <w:pPr>
        <w:spacing w:line="360" w:lineRule="auto"/>
        <w:ind w:left="596" w:leftChars="284"/>
        <w:rPr>
          <w:rFonts w:hint="eastAsia" w:ascii="仿宋" w:hAnsi="仿宋" w:eastAsia="仿宋" w:cs="仿宋"/>
          <w:sz w:val="24"/>
          <w:highlight w:val="none"/>
        </w:rPr>
      </w:pPr>
      <w:r>
        <w:rPr>
          <w:rFonts w:hint="eastAsia" w:ascii="仿宋" w:hAnsi="仿宋" w:eastAsia="仿宋" w:cs="仿宋"/>
          <w:sz w:val="24"/>
          <w:highlight w:val="none"/>
        </w:rPr>
        <w:t>1.4.3发包人对工程的技术标准和功能要求的特殊要求：</w:t>
      </w:r>
      <w:r>
        <w:rPr>
          <w:rFonts w:hint="eastAsia" w:ascii="仿宋" w:hAnsi="仿宋" w:eastAsia="仿宋" w:cs="仿宋"/>
          <w:sz w:val="24"/>
          <w:highlight w:val="none"/>
          <w:u w:val="single"/>
        </w:rPr>
        <w:t>详见设计文件和招标技术要求 ；国家或行业如有新的技术标准和功能要求，则要从新</w:t>
      </w:r>
      <w:r>
        <w:rPr>
          <w:rFonts w:hint="eastAsia" w:ascii="仿宋" w:hAnsi="仿宋" w:eastAsia="仿宋" w:cs="仿宋"/>
          <w:sz w:val="24"/>
          <w:highlight w:val="none"/>
        </w:rPr>
        <w:t>。</w:t>
      </w:r>
    </w:p>
    <w:p w14:paraId="3B120889">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 合同文件的优先顺序</w:t>
      </w:r>
    </w:p>
    <w:p w14:paraId="7DA2FE51">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合同文件组成及优先顺序为：</w:t>
      </w:r>
    </w:p>
    <w:p w14:paraId="222BCE32">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（1）合同协议书</w:t>
      </w:r>
      <w:r>
        <w:rPr>
          <w:rFonts w:hint="eastAsia" w:ascii="仿宋" w:hAnsi="仿宋" w:eastAsia="仿宋" w:cs="仿宋"/>
          <w:b/>
          <w:kern w:val="0"/>
          <w:sz w:val="24"/>
          <w:highlight w:val="none"/>
        </w:rPr>
        <w:t>；</w:t>
      </w:r>
    </w:p>
    <w:p w14:paraId="34CB0A0B">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（2）中标通知书（或项目发承包基本情况表）</w:t>
      </w:r>
      <w:r>
        <w:rPr>
          <w:rFonts w:hint="eastAsia" w:ascii="仿宋" w:hAnsi="仿宋" w:eastAsia="仿宋" w:cs="仿宋"/>
          <w:b/>
          <w:kern w:val="0"/>
          <w:sz w:val="24"/>
          <w:highlight w:val="none"/>
        </w:rPr>
        <w:t>；</w:t>
      </w:r>
    </w:p>
    <w:p w14:paraId="706CF6D0">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（3）投标函及其附录（如果有）</w:t>
      </w:r>
      <w:r>
        <w:rPr>
          <w:rFonts w:hint="eastAsia" w:ascii="仿宋" w:hAnsi="仿宋" w:eastAsia="仿宋" w:cs="仿宋"/>
          <w:b/>
          <w:kern w:val="0"/>
          <w:sz w:val="24"/>
          <w:highlight w:val="none"/>
        </w:rPr>
        <w:t>；</w:t>
      </w:r>
    </w:p>
    <w:p w14:paraId="4A5AE6D0">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（4）专用合同条款及其附件</w:t>
      </w:r>
      <w:r>
        <w:rPr>
          <w:rFonts w:hint="eastAsia" w:ascii="仿宋" w:hAnsi="仿宋" w:eastAsia="仿宋" w:cs="仿宋"/>
          <w:b/>
          <w:kern w:val="0"/>
          <w:sz w:val="24"/>
          <w:highlight w:val="none"/>
        </w:rPr>
        <w:t>；</w:t>
      </w:r>
    </w:p>
    <w:p w14:paraId="7FEC5311">
      <w:pPr>
        <w:autoSpaceDE w:val="0"/>
        <w:autoSpaceDN w:val="0"/>
        <w:spacing w:line="360" w:lineRule="auto"/>
        <w:ind w:firstLine="477" w:firstLineChars="19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（5）通用合同条款</w:t>
      </w:r>
      <w:r>
        <w:rPr>
          <w:rFonts w:hint="eastAsia" w:ascii="仿宋" w:hAnsi="仿宋" w:eastAsia="仿宋" w:cs="仿宋"/>
          <w:b/>
          <w:kern w:val="0"/>
          <w:sz w:val="24"/>
          <w:highlight w:val="none"/>
        </w:rPr>
        <w:t>；</w:t>
      </w:r>
    </w:p>
    <w:p w14:paraId="430453AA">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（6）技术标准和要求</w:t>
      </w:r>
      <w:r>
        <w:rPr>
          <w:rFonts w:hint="eastAsia" w:ascii="仿宋" w:hAnsi="仿宋" w:eastAsia="仿宋" w:cs="仿宋"/>
          <w:b/>
          <w:kern w:val="0"/>
          <w:sz w:val="24"/>
          <w:highlight w:val="none"/>
        </w:rPr>
        <w:t>；</w:t>
      </w:r>
    </w:p>
    <w:p w14:paraId="391B59BE">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（7）已标价工程量清单或预算书</w:t>
      </w:r>
      <w:r>
        <w:rPr>
          <w:rFonts w:hint="eastAsia" w:ascii="仿宋" w:hAnsi="仿宋" w:eastAsia="仿宋" w:cs="仿宋"/>
          <w:b/>
          <w:kern w:val="0"/>
          <w:sz w:val="24"/>
          <w:highlight w:val="none"/>
        </w:rPr>
        <w:t>；</w:t>
      </w:r>
    </w:p>
    <w:p w14:paraId="6D3CF2D7">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（8）其他合同文件</w:t>
      </w:r>
      <w:r>
        <w:rPr>
          <w:rFonts w:hint="eastAsia" w:ascii="仿宋" w:hAnsi="仿宋" w:eastAsia="仿宋" w:cs="仿宋"/>
          <w:b/>
          <w:kern w:val="0"/>
          <w:sz w:val="24"/>
          <w:highlight w:val="none"/>
        </w:rPr>
        <w:t>：</w:t>
      </w:r>
    </w:p>
    <w:p w14:paraId="545752DB">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①施工组织设计</w:t>
      </w:r>
      <w:r>
        <w:rPr>
          <w:rFonts w:hint="eastAsia" w:ascii="仿宋" w:hAnsi="仿宋" w:eastAsia="仿宋" w:cs="仿宋"/>
          <w:b/>
          <w:kern w:val="0"/>
          <w:sz w:val="24"/>
          <w:highlight w:val="none"/>
        </w:rPr>
        <w:t>；</w:t>
      </w:r>
    </w:p>
    <w:p w14:paraId="3E4CAD1D">
      <w:pPr>
        <w:spacing w:line="360" w:lineRule="auto"/>
        <w:ind w:firstLine="477" w:firstLineChars="198"/>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 xml:space="preserve">②其他：  /     </w:t>
      </w:r>
      <w:r>
        <w:rPr>
          <w:rFonts w:hint="eastAsia" w:ascii="仿宋" w:hAnsi="仿宋" w:eastAsia="仿宋" w:cs="仿宋"/>
          <w:b/>
          <w:kern w:val="0"/>
          <w:sz w:val="24"/>
          <w:highlight w:val="none"/>
        </w:rPr>
        <w:t>。</w:t>
      </w:r>
    </w:p>
    <w:p w14:paraId="419313D2">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 图纸和承包人文件</w:t>
      </w:r>
      <w:r>
        <w:rPr>
          <w:rFonts w:hint="eastAsia" w:ascii="仿宋" w:hAnsi="仿宋" w:eastAsia="仿宋" w:cs="仿宋"/>
          <w:sz w:val="24"/>
          <w:highlight w:val="none"/>
        </w:rPr>
        <w:tab/>
      </w:r>
    </w:p>
    <w:p w14:paraId="5D01F7F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1.6.1 图纸的提供</w:t>
      </w:r>
    </w:p>
    <w:p w14:paraId="17A708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发包人向承包人提供图纸的期限：</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1D06EC6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发包人向承包人提供图纸的数量：</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586E502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发包人向承包人提供图纸的内容：</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779A548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1.6.4 承包人文件</w:t>
      </w:r>
    </w:p>
    <w:p w14:paraId="7F9ED769">
      <w:pPr>
        <w:spacing w:line="360" w:lineRule="auto"/>
        <w:ind w:left="596" w:leftChars="284"/>
        <w:jc w:val="left"/>
        <w:rPr>
          <w:rFonts w:hint="eastAsia" w:ascii="仿宋" w:hAnsi="仿宋" w:eastAsia="仿宋" w:cs="仿宋"/>
          <w:sz w:val="24"/>
          <w:highlight w:val="none"/>
          <w:u w:val="single"/>
        </w:rPr>
      </w:pPr>
      <w:r>
        <w:rPr>
          <w:rFonts w:hint="eastAsia" w:ascii="仿宋" w:hAnsi="仿宋" w:eastAsia="仿宋" w:cs="仿宋"/>
          <w:sz w:val="24"/>
          <w:highlight w:val="none"/>
        </w:rPr>
        <w:t>需要由承包人提供的文件，包括：</w:t>
      </w:r>
      <w:r>
        <w:rPr>
          <w:rFonts w:hint="eastAsia" w:ascii="仿宋" w:hAnsi="仿宋" w:eastAsia="仿宋" w:cs="仿宋"/>
          <w:kern w:val="0"/>
          <w:sz w:val="24"/>
          <w:highlight w:val="none"/>
          <w:u w:val="single"/>
        </w:rPr>
        <w:t>施工组织设计、进度计划、发包人和政府规定要求必须提供的其他文件</w:t>
      </w:r>
      <w:r>
        <w:rPr>
          <w:rFonts w:hint="eastAsia" w:ascii="仿宋" w:hAnsi="仿宋" w:eastAsia="仿宋" w:cs="仿宋"/>
          <w:sz w:val="24"/>
          <w:highlight w:val="none"/>
        </w:rPr>
        <w:t>；</w:t>
      </w:r>
    </w:p>
    <w:p w14:paraId="3A64AFD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承包人提供的文件的期限为：</w:t>
      </w:r>
      <w:r>
        <w:rPr>
          <w:rFonts w:hint="eastAsia" w:ascii="仿宋" w:hAnsi="仿宋" w:eastAsia="仿宋" w:cs="仿宋"/>
          <w:sz w:val="24"/>
          <w:highlight w:val="none"/>
          <w:u w:val="single"/>
        </w:rPr>
        <w:t>发包人提出要求后7天内</w:t>
      </w:r>
      <w:r>
        <w:rPr>
          <w:rFonts w:hint="eastAsia" w:ascii="仿宋" w:hAnsi="仿宋" w:eastAsia="仿宋" w:cs="仿宋"/>
          <w:sz w:val="24"/>
          <w:highlight w:val="none"/>
        </w:rPr>
        <w:t>；</w:t>
      </w:r>
    </w:p>
    <w:p w14:paraId="20DC289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承包人提供的文件的数量为：</w:t>
      </w:r>
      <w:r>
        <w:rPr>
          <w:rFonts w:hint="eastAsia" w:ascii="仿宋" w:hAnsi="仿宋" w:eastAsia="仿宋" w:cs="仿宋"/>
          <w:sz w:val="24"/>
          <w:highlight w:val="none"/>
          <w:u w:val="single"/>
        </w:rPr>
        <w:t>双方协商确定</w:t>
      </w:r>
      <w:r>
        <w:rPr>
          <w:rFonts w:hint="eastAsia" w:ascii="仿宋" w:hAnsi="仿宋" w:eastAsia="仿宋" w:cs="仿宋"/>
          <w:sz w:val="24"/>
          <w:highlight w:val="none"/>
        </w:rPr>
        <w:t>；</w:t>
      </w:r>
    </w:p>
    <w:p w14:paraId="1FF8D38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承包人提供的文件的形式为：</w:t>
      </w:r>
      <w:r>
        <w:rPr>
          <w:rFonts w:hint="eastAsia" w:ascii="仿宋" w:hAnsi="仿宋" w:eastAsia="仿宋" w:cs="仿宋"/>
          <w:sz w:val="24"/>
          <w:highlight w:val="none"/>
          <w:u w:val="single"/>
        </w:rPr>
        <w:t>按发包人要求</w:t>
      </w:r>
      <w:r>
        <w:rPr>
          <w:rFonts w:hint="eastAsia" w:ascii="仿宋" w:hAnsi="仿宋" w:eastAsia="仿宋" w:cs="仿宋"/>
          <w:sz w:val="24"/>
          <w:highlight w:val="none"/>
        </w:rPr>
        <w:t>；</w:t>
      </w:r>
    </w:p>
    <w:p w14:paraId="7C687C7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发包人审批承包人文件的期限：</w:t>
      </w:r>
      <w:r>
        <w:rPr>
          <w:rFonts w:hint="eastAsia" w:ascii="仿宋" w:hAnsi="仿宋" w:eastAsia="仿宋" w:cs="仿宋"/>
          <w:sz w:val="24"/>
          <w:highlight w:val="none"/>
          <w:u w:val="single"/>
        </w:rPr>
        <w:t>收到后7天内</w:t>
      </w:r>
      <w:r>
        <w:rPr>
          <w:rFonts w:hint="eastAsia" w:ascii="仿宋" w:hAnsi="仿宋" w:eastAsia="仿宋" w:cs="仿宋"/>
          <w:sz w:val="24"/>
          <w:highlight w:val="none"/>
        </w:rPr>
        <w:t>。</w:t>
      </w:r>
    </w:p>
    <w:p w14:paraId="39FBF56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1.6.5 现场图纸准备</w:t>
      </w:r>
    </w:p>
    <w:p w14:paraId="46C2A23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关于现场图纸准备的约定：</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0081C057">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1.7 联络</w:t>
      </w:r>
    </w:p>
    <w:p w14:paraId="07CAF1DA">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1.7.1发包人和承包人应当在</w:t>
      </w:r>
      <w:r>
        <w:rPr>
          <w:rFonts w:hint="eastAsia" w:ascii="仿宋" w:hAnsi="仿宋" w:eastAsia="仿宋" w:cs="仿宋"/>
          <w:sz w:val="24"/>
          <w:highlight w:val="none"/>
          <w:u w:val="single"/>
        </w:rPr>
        <w:t xml:space="preserve">叁  </w:t>
      </w:r>
      <w:r>
        <w:rPr>
          <w:rFonts w:hint="eastAsia" w:ascii="仿宋" w:hAnsi="仿宋" w:eastAsia="仿宋" w:cs="仿宋"/>
          <w:kern w:val="0"/>
          <w:sz w:val="24"/>
          <w:highlight w:val="none"/>
        </w:rPr>
        <w:t>天内将与合同有关的通知、批准、证明、证书、指示、指令、要求、请求、同意、意见、确定和决定等书面函件送达对方当事人。</w:t>
      </w:r>
    </w:p>
    <w:p w14:paraId="28855C03">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1.7.2 发包人接收文件的地点：</w:t>
      </w:r>
      <w:r>
        <w:rPr>
          <w:rFonts w:hint="eastAsia" w:ascii="仿宋" w:hAnsi="仿宋" w:eastAsia="仿宋" w:cs="仿宋"/>
          <w:sz w:val="24"/>
          <w:highlight w:val="none"/>
          <w:u w:val="single"/>
        </w:rPr>
        <w:t>发</w:t>
      </w:r>
      <w:r>
        <w:rPr>
          <w:rFonts w:hint="eastAsia" w:ascii="仿宋" w:hAnsi="仿宋" w:eastAsia="仿宋" w:cs="仿宋"/>
          <w:kern w:val="0"/>
          <w:sz w:val="24"/>
          <w:highlight w:val="none"/>
          <w:u w:val="single"/>
        </w:rPr>
        <w:t>包人现场办公室</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rPr>
        <w:t>；</w:t>
      </w:r>
    </w:p>
    <w:p w14:paraId="6EEA1DE2">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发包人指定的接收人为：</w:t>
      </w:r>
      <w:r>
        <w:rPr>
          <w:rFonts w:hint="eastAsia" w:ascii="仿宋" w:hAnsi="仿宋" w:eastAsia="仿宋" w:cs="仿宋"/>
          <w:sz w:val="24"/>
          <w:highlight w:val="none"/>
          <w:u w:val="single"/>
        </w:rPr>
        <w:t>发包人</w:t>
      </w:r>
      <w:r>
        <w:rPr>
          <w:rFonts w:hint="eastAsia" w:ascii="仿宋" w:hAnsi="仿宋" w:eastAsia="仿宋" w:cs="仿宋"/>
          <w:sz w:val="24"/>
          <w:highlight w:val="none"/>
          <w:u w:val="single"/>
          <w:lang w:val="en-US" w:eastAsia="zh-CN"/>
        </w:rPr>
        <w:t>现场</w:t>
      </w:r>
      <w:r>
        <w:rPr>
          <w:rFonts w:hint="eastAsia" w:ascii="仿宋" w:hAnsi="仿宋" w:eastAsia="仿宋" w:cs="仿宋"/>
          <w:sz w:val="24"/>
          <w:highlight w:val="none"/>
          <w:u w:val="single"/>
        </w:rPr>
        <w:t xml:space="preserve">代表                          </w:t>
      </w:r>
      <w:r>
        <w:rPr>
          <w:rFonts w:hint="eastAsia" w:ascii="仿宋" w:hAnsi="仿宋" w:eastAsia="仿宋" w:cs="仿宋"/>
          <w:kern w:val="0"/>
          <w:sz w:val="24"/>
          <w:highlight w:val="none"/>
        </w:rPr>
        <w:t>。</w:t>
      </w:r>
    </w:p>
    <w:p w14:paraId="53B922E0">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承包人接收文件的地点：</w:t>
      </w:r>
      <w:r>
        <w:rPr>
          <w:rFonts w:hint="eastAsia" w:ascii="仿宋" w:hAnsi="仿宋" w:eastAsia="仿宋" w:cs="仿宋"/>
          <w:kern w:val="0"/>
          <w:sz w:val="24"/>
          <w:highlight w:val="none"/>
          <w:u w:val="single"/>
        </w:rPr>
        <w:t xml:space="preserve">承包人现场办公室              </w:t>
      </w:r>
      <w:r>
        <w:rPr>
          <w:rFonts w:hint="eastAsia" w:ascii="仿宋" w:hAnsi="仿宋" w:eastAsia="仿宋" w:cs="仿宋"/>
          <w:kern w:val="0"/>
          <w:sz w:val="24"/>
          <w:highlight w:val="none"/>
        </w:rPr>
        <w:t>；</w:t>
      </w:r>
    </w:p>
    <w:p w14:paraId="282E5FE0">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承包人指定的接收人为：</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rPr>
        <w:t>。</w:t>
      </w:r>
    </w:p>
    <w:p w14:paraId="78ADD172">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监理人接收文件的地点：</w:t>
      </w:r>
      <w:r>
        <w:rPr>
          <w:rFonts w:hint="eastAsia" w:ascii="仿宋" w:hAnsi="仿宋" w:eastAsia="仿宋" w:cs="仿宋"/>
          <w:sz w:val="24"/>
          <w:highlight w:val="none"/>
          <w:u w:val="single"/>
        </w:rPr>
        <w:t xml:space="preserve">监理人现场办公室             </w:t>
      </w:r>
      <w:r>
        <w:rPr>
          <w:rFonts w:hint="eastAsia" w:ascii="仿宋" w:hAnsi="仿宋" w:eastAsia="仿宋" w:cs="仿宋"/>
          <w:kern w:val="0"/>
          <w:sz w:val="24"/>
          <w:highlight w:val="none"/>
        </w:rPr>
        <w:t>；</w:t>
      </w:r>
    </w:p>
    <w:p w14:paraId="3A904DB2">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监理人指定的接收人为：</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rPr>
        <w:t>。</w:t>
      </w:r>
    </w:p>
    <w:p w14:paraId="637F277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1.10 交通运输</w:t>
      </w:r>
    </w:p>
    <w:p w14:paraId="1908341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148" w:name="_Toc312677986"/>
      <w:bookmarkStart w:id="149" w:name="_Toc303539100"/>
      <w:bookmarkStart w:id="150" w:name="_Toc318581155"/>
      <w:bookmarkStart w:id="151" w:name="_Toc300934943"/>
      <w:bookmarkStart w:id="152" w:name="_Toc304295521"/>
      <w:r>
        <w:rPr>
          <w:rFonts w:hint="eastAsia" w:ascii="仿宋" w:hAnsi="仿宋" w:eastAsia="仿宋" w:cs="仿宋"/>
          <w:sz w:val="24"/>
          <w:highlight w:val="none"/>
        </w:rPr>
        <w:t>.10.1 出入现场的权利</w:t>
      </w:r>
    </w:p>
    <w:p w14:paraId="2C1CF1A8">
      <w:pPr>
        <w:spacing w:line="360" w:lineRule="auto"/>
        <w:ind w:left="596" w:leftChars="284"/>
        <w:rPr>
          <w:rFonts w:hint="eastAsia" w:ascii="仿宋" w:hAnsi="仿宋" w:eastAsia="仿宋" w:cs="仿宋"/>
          <w:sz w:val="24"/>
          <w:highlight w:val="none"/>
          <w:u w:val="single"/>
        </w:rPr>
      </w:pPr>
      <w:r>
        <w:rPr>
          <w:rFonts w:hint="eastAsia" w:ascii="仿宋" w:hAnsi="仿宋" w:eastAsia="仿宋" w:cs="仿宋"/>
          <w:sz w:val="24"/>
          <w:highlight w:val="none"/>
        </w:rPr>
        <w:t>关于出入现场的权利的约定：</w:t>
      </w:r>
      <w:r>
        <w:rPr>
          <w:rFonts w:hint="eastAsia" w:ascii="仿宋" w:hAnsi="仿宋" w:eastAsia="仿宋" w:cs="仿宋"/>
          <w:sz w:val="24"/>
          <w:highlight w:val="none"/>
          <w:u w:val="single"/>
        </w:rPr>
        <w:t>按通用条款执行     </w:t>
      </w:r>
      <w:r>
        <w:rPr>
          <w:rFonts w:hint="eastAsia" w:ascii="仿宋" w:hAnsi="仿宋" w:eastAsia="仿宋" w:cs="仿宋"/>
          <w:sz w:val="24"/>
          <w:highlight w:val="none"/>
        </w:rPr>
        <w:t>。</w:t>
      </w:r>
    </w:p>
    <w:bookmarkEnd w:id="148"/>
    <w:bookmarkEnd w:id="149"/>
    <w:bookmarkEnd w:id="150"/>
    <w:bookmarkEnd w:id="151"/>
    <w:bookmarkEnd w:id="152"/>
    <w:p w14:paraId="666242C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bookmarkStart w:id="153" w:name="_Toc312677987"/>
      <w:bookmarkStart w:id="154" w:name="_Toc303539101"/>
      <w:bookmarkStart w:id="155" w:name="_Toc318581156"/>
      <w:bookmarkStart w:id="156" w:name="_Toc300934944"/>
      <w:bookmarkStart w:id="157" w:name="_Toc304295522"/>
      <w:r>
        <w:rPr>
          <w:rFonts w:hint="eastAsia" w:ascii="仿宋" w:hAnsi="仿宋" w:eastAsia="仿宋" w:cs="仿宋"/>
          <w:sz w:val="24"/>
          <w:highlight w:val="none"/>
        </w:rPr>
        <w:t>.10.3 场内交通</w:t>
      </w:r>
    </w:p>
    <w:p w14:paraId="312534C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关于场外交通和场内交通的边界的约定：</w:t>
      </w:r>
      <w:r>
        <w:rPr>
          <w:rFonts w:hint="eastAsia" w:ascii="仿宋" w:hAnsi="仿宋" w:eastAsia="仿宋" w:cs="仿宋"/>
          <w:kern w:val="0"/>
          <w:sz w:val="24"/>
          <w:highlight w:val="none"/>
          <w:u w:val="single"/>
          <w:lang w:val="en-US" w:eastAsia="zh-CN"/>
        </w:rPr>
        <w:t xml:space="preserve">   /  </w:t>
      </w:r>
      <w:r>
        <w:rPr>
          <w:rFonts w:hint="eastAsia" w:ascii="仿宋" w:hAnsi="仿宋" w:eastAsia="仿宋" w:cs="仿宋"/>
          <w:sz w:val="24"/>
          <w:highlight w:val="none"/>
        </w:rPr>
        <w:t>。</w:t>
      </w:r>
    </w:p>
    <w:p w14:paraId="3CE8F0E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关于发包人向承包人免费提供满足工程施工需要的场内道路和交通设施的约定：</w:t>
      </w:r>
      <w:r>
        <w:rPr>
          <w:rFonts w:hint="eastAsia" w:ascii="仿宋" w:hAnsi="仿宋" w:eastAsia="仿宋" w:cs="仿宋"/>
          <w:sz w:val="24"/>
          <w:highlight w:val="none"/>
          <w:u w:val="single"/>
        </w:rPr>
        <w:t>利用现有的场内道路和交通设施，如需新建，承包人自行建设，并承担费用</w:t>
      </w:r>
      <w:r>
        <w:rPr>
          <w:rFonts w:hint="eastAsia" w:ascii="仿宋" w:hAnsi="仿宋" w:eastAsia="仿宋" w:cs="仿宋"/>
          <w:sz w:val="24"/>
          <w:highlight w:val="none"/>
        </w:rPr>
        <w:t>。</w:t>
      </w:r>
      <w:bookmarkEnd w:id="153"/>
      <w:bookmarkEnd w:id="154"/>
      <w:bookmarkEnd w:id="155"/>
      <w:bookmarkEnd w:id="156"/>
      <w:bookmarkEnd w:id="157"/>
      <w:bookmarkStart w:id="158" w:name="_Toc318581157"/>
    </w:p>
    <w:p w14:paraId="0766325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1.10.4超大件和超重件的运输</w:t>
      </w:r>
    </w:p>
    <w:p w14:paraId="3F7A180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运输超大件或超重件所需的道路和桥梁临时加固改造费用和其他有关费用由</w:t>
      </w:r>
      <w:r>
        <w:rPr>
          <w:rFonts w:hint="eastAsia" w:ascii="仿宋" w:hAnsi="仿宋" w:eastAsia="仿宋" w:cs="仿宋"/>
          <w:sz w:val="24"/>
          <w:highlight w:val="none"/>
          <w:u w:val="single"/>
        </w:rPr>
        <w:t xml:space="preserve">  承包人   </w:t>
      </w:r>
      <w:r>
        <w:rPr>
          <w:rFonts w:hint="eastAsia" w:ascii="仿宋" w:hAnsi="仿宋" w:eastAsia="仿宋" w:cs="仿宋"/>
          <w:sz w:val="24"/>
          <w:highlight w:val="none"/>
        </w:rPr>
        <w:t>承担。</w:t>
      </w:r>
    </w:p>
    <w:p w14:paraId="3EA1F6F3">
      <w:pPr>
        <w:spacing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本工程的超大件：</w:t>
      </w:r>
      <w:r>
        <w:rPr>
          <w:rFonts w:hint="eastAsia" w:ascii="仿宋" w:hAnsi="仿宋" w:eastAsia="仿宋" w:cs="仿宋"/>
          <w:b/>
          <w:sz w:val="24"/>
          <w:highlight w:val="none"/>
          <w:u w:val="single"/>
        </w:rPr>
        <w:t xml:space="preserve"> 见工程量清单</w:t>
      </w:r>
      <w:r>
        <w:rPr>
          <w:rFonts w:hint="eastAsia" w:ascii="仿宋" w:hAnsi="仿宋" w:eastAsia="仿宋" w:cs="仿宋"/>
          <w:b/>
          <w:sz w:val="24"/>
          <w:highlight w:val="none"/>
        </w:rPr>
        <w:t>。</w:t>
      </w:r>
    </w:p>
    <w:p w14:paraId="27835180">
      <w:pPr>
        <w:spacing w:line="360" w:lineRule="auto"/>
        <w:ind w:firstLine="482" w:firstLineChars="200"/>
        <w:jc w:val="left"/>
        <w:rPr>
          <w:rFonts w:hint="eastAsia" w:ascii="仿宋" w:hAnsi="仿宋" w:eastAsia="仿宋" w:cs="仿宋"/>
          <w:sz w:val="24"/>
          <w:highlight w:val="none"/>
        </w:rPr>
      </w:pPr>
      <w:r>
        <w:rPr>
          <w:rFonts w:hint="eastAsia" w:ascii="仿宋" w:hAnsi="仿宋" w:eastAsia="仿宋" w:cs="仿宋"/>
          <w:b/>
          <w:sz w:val="24"/>
          <w:highlight w:val="none"/>
        </w:rPr>
        <w:t>本工程的超重件：</w:t>
      </w:r>
      <w:r>
        <w:rPr>
          <w:rFonts w:hint="eastAsia" w:ascii="仿宋" w:hAnsi="仿宋" w:eastAsia="仿宋" w:cs="仿宋"/>
          <w:b/>
          <w:sz w:val="24"/>
          <w:highlight w:val="none"/>
          <w:u w:val="single"/>
        </w:rPr>
        <w:t xml:space="preserve"> 见工程量清单</w:t>
      </w:r>
      <w:r>
        <w:rPr>
          <w:rFonts w:hint="eastAsia" w:ascii="仿宋" w:hAnsi="仿宋" w:eastAsia="仿宋" w:cs="仿宋"/>
          <w:sz w:val="24"/>
          <w:highlight w:val="none"/>
        </w:rPr>
        <w:t>。</w:t>
      </w:r>
    </w:p>
    <w:bookmarkEnd w:id="158"/>
    <w:p w14:paraId="49646A3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1.11 知识产权</w:t>
      </w:r>
    </w:p>
    <w:p w14:paraId="5E341729">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 xml:space="preserve"> 。</w:t>
      </w:r>
    </w:p>
    <w:p w14:paraId="58670548">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关于发包人提供的上述文件的使用限制的要求：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 xml:space="preserve">。 </w:t>
      </w:r>
    </w:p>
    <w:p w14:paraId="515CC10E">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1.11.2 关于承包人为实施工程所编制文件的著作权的归属：</w:t>
      </w:r>
      <w:r>
        <w:rPr>
          <w:rFonts w:hint="eastAsia" w:ascii="仿宋" w:hAnsi="仿宋" w:eastAsia="仿宋" w:cs="仿宋"/>
          <w:sz w:val="24"/>
          <w:highlight w:val="none"/>
          <w:u w:val="single"/>
        </w:rPr>
        <w:t xml:space="preserve"> 按通用条款执行 </w:t>
      </w:r>
      <w:r>
        <w:rPr>
          <w:rFonts w:hint="eastAsia" w:ascii="仿宋" w:hAnsi="仿宋" w:eastAsia="仿宋" w:cs="仿宋"/>
          <w:sz w:val="24"/>
          <w:highlight w:val="none"/>
        </w:rPr>
        <w:t>。</w:t>
      </w:r>
    </w:p>
    <w:p w14:paraId="2E6F77FD">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关于承包人提供的上述文件的使用限制的要求：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6917386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1.11.4 承包人在施工过程中所采用的专利、专有技术、技术秘密的使用费的承担方式：</w:t>
      </w:r>
      <w:r>
        <w:rPr>
          <w:rFonts w:hint="eastAsia" w:ascii="仿宋" w:hAnsi="仿宋" w:eastAsia="仿宋" w:cs="仿宋"/>
          <w:b/>
          <w:sz w:val="24"/>
          <w:highlight w:val="none"/>
          <w:u w:val="single"/>
        </w:rPr>
        <w:t xml:space="preserve">（除发包人指明外）承包人在施工过程中所采用的专利、专有技术、技术秘密的使用费包含在合同价款内   </w:t>
      </w:r>
      <w:r>
        <w:rPr>
          <w:rFonts w:hint="eastAsia" w:ascii="仿宋" w:hAnsi="仿宋" w:eastAsia="仿宋" w:cs="仿宋"/>
          <w:b/>
          <w:sz w:val="24"/>
          <w:highlight w:val="none"/>
        </w:rPr>
        <w:t>。</w:t>
      </w:r>
    </w:p>
    <w:p w14:paraId="7C64DFD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1.13工程量清单错误的修正</w:t>
      </w:r>
    </w:p>
    <w:p w14:paraId="0B6796EE">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sz w:val="24"/>
          <w:highlight w:val="none"/>
        </w:rPr>
        <w:t>出现工程量清单错误时，是否调整合同价格：</w:t>
      </w:r>
      <w:r>
        <w:rPr>
          <w:rFonts w:hint="eastAsia" w:ascii="仿宋" w:hAnsi="仿宋" w:eastAsia="仿宋" w:cs="仿宋"/>
          <w:b/>
          <w:sz w:val="24"/>
          <w:highlight w:val="none"/>
          <w:u w:val="single"/>
        </w:rPr>
        <w:t xml:space="preserve">   是     </w:t>
      </w:r>
      <w:r>
        <w:rPr>
          <w:rFonts w:hint="eastAsia" w:ascii="仿宋" w:hAnsi="仿宋" w:eastAsia="仿宋" w:cs="仿宋"/>
          <w:b/>
          <w:sz w:val="24"/>
          <w:highlight w:val="none"/>
        </w:rPr>
        <w:t>；</w:t>
      </w:r>
    </w:p>
    <w:p w14:paraId="20033B49">
      <w:pPr>
        <w:spacing w:line="360" w:lineRule="auto"/>
        <w:ind w:left="447" w:leftChars="213" w:firstLine="120" w:firstLineChars="50"/>
        <w:rPr>
          <w:rFonts w:hint="eastAsia" w:ascii="仿宋" w:hAnsi="仿宋" w:eastAsia="仿宋" w:cs="仿宋"/>
          <w:b/>
          <w:sz w:val="24"/>
          <w:highlight w:val="none"/>
        </w:rPr>
      </w:pPr>
      <w:r>
        <w:rPr>
          <w:rFonts w:hint="eastAsia" w:ascii="仿宋" w:hAnsi="仿宋" w:eastAsia="仿宋" w:cs="仿宋"/>
          <w:sz w:val="24"/>
          <w:highlight w:val="none"/>
        </w:rPr>
        <w:t>允许调整合同价格的工程量偏差范围：</w:t>
      </w:r>
      <w:r>
        <w:rPr>
          <w:rFonts w:hint="eastAsia" w:ascii="仿宋" w:hAnsi="仿宋" w:eastAsia="仿宋" w:cs="仿宋"/>
          <w:sz w:val="24"/>
          <w:highlight w:val="none"/>
          <w:u w:val="single"/>
        </w:rPr>
        <w:t xml:space="preserve"> 按10.4条执行</w:t>
      </w:r>
      <w:r>
        <w:rPr>
          <w:rFonts w:hint="eastAsia" w:ascii="仿宋" w:hAnsi="仿宋" w:eastAsia="仿宋" w:cs="仿宋"/>
          <w:sz w:val="24"/>
          <w:highlight w:val="none"/>
        </w:rPr>
        <w:t>；</w:t>
      </w:r>
      <w:bookmarkStart w:id="159" w:name="_Toc351203634"/>
    </w:p>
    <w:p w14:paraId="472CF00E">
      <w:pPr>
        <w:spacing w:line="360" w:lineRule="auto"/>
        <w:ind w:left="447" w:leftChars="213" w:firstLine="120" w:firstLineChars="50"/>
        <w:rPr>
          <w:rFonts w:hint="eastAsia" w:ascii="仿宋" w:hAnsi="仿宋" w:eastAsia="仿宋" w:cs="仿宋"/>
          <w:b/>
          <w:sz w:val="24"/>
          <w:highlight w:val="none"/>
        </w:rPr>
      </w:pPr>
      <w:r>
        <w:rPr>
          <w:rFonts w:hint="eastAsia" w:ascii="仿宋" w:hAnsi="仿宋" w:eastAsia="仿宋" w:cs="仿宋"/>
          <w:b/>
          <w:bCs/>
          <w:sz w:val="24"/>
          <w:highlight w:val="none"/>
        </w:rPr>
        <w:t>调整合同价格的</w:t>
      </w:r>
      <w:r>
        <w:rPr>
          <w:rFonts w:hint="eastAsia" w:ascii="仿宋" w:hAnsi="仿宋" w:eastAsia="仿宋" w:cs="仿宋"/>
          <w:b/>
          <w:bCs/>
          <w:kern w:val="0"/>
          <w:sz w:val="24"/>
          <w:highlight w:val="none"/>
        </w:rPr>
        <w:t>修正时间：</w:t>
      </w:r>
      <w:r>
        <w:rPr>
          <w:rFonts w:hint="eastAsia" w:ascii="仿宋" w:hAnsi="仿宋" w:eastAsia="仿宋" w:cs="仿宋"/>
          <w:sz w:val="24"/>
          <w:highlight w:val="none"/>
          <w:u w:val="single"/>
        </w:rPr>
        <w:t>发生时双方协商确定</w:t>
      </w:r>
      <w:r>
        <w:rPr>
          <w:rFonts w:hint="eastAsia" w:ascii="仿宋" w:hAnsi="仿宋" w:eastAsia="仿宋" w:cs="仿宋"/>
          <w:bCs/>
          <w:sz w:val="24"/>
          <w:highlight w:val="none"/>
        </w:rPr>
        <w:t xml:space="preserve">。 </w:t>
      </w:r>
    </w:p>
    <w:p w14:paraId="69BE7BE2">
      <w:pPr>
        <w:spacing w:line="360" w:lineRule="auto"/>
        <w:ind w:left="447" w:leftChars="213" w:firstLine="120" w:firstLineChars="50"/>
        <w:rPr>
          <w:rFonts w:hint="eastAsia" w:ascii="仿宋" w:hAnsi="仿宋" w:eastAsia="仿宋" w:cs="仿宋"/>
          <w:b/>
          <w:sz w:val="24"/>
          <w:highlight w:val="none"/>
        </w:rPr>
      </w:pPr>
      <w:r>
        <w:rPr>
          <w:rFonts w:hint="eastAsia" w:ascii="仿宋" w:hAnsi="仿宋" w:eastAsia="仿宋" w:cs="仿宋"/>
          <w:bCs/>
          <w:sz w:val="24"/>
          <w:highlight w:val="none"/>
        </w:rPr>
        <w:t>2</w:t>
      </w:r>
      <w:bookmarkStart w:id="160" w:name="_Toc296890985"/>
      <w:bookmarkStart w:id="161" w:name="_Toc297120457"/>
      <w:bookmarkStart w:id="162" w:name="_Toc296891197"/>
      <w:bookmarkStart w:id="163" w:name="_Toc297048343"/>
      <w:bookmarkStart w:id="164" w:name="_Toc296347156"/>
      <w:bookmarkStart w:id="165" w:name="_Toc296944496"/>
      <w:bookmarkStart w:id="166" w:name="_Toc292559362"/>
      <w:bookmarkStart w:id="167" w:name="_Toc292559867"/>
      <w:bookmarkStart w:id="168" w:name="_Toc296346658"/>
      <w:bookmarkStart w:id="169" w:name="_Toc296503157"/>
      <w:r>
        <w:rPr>
          <w:rFonts w:hint="eastAsia" w:ascii="仿宋" w:hAnsi="仿宋" w:eastAsia="仿宋" w:cs="仿宋"/>
          <w:bCs/>
          <w:sz w:val="24"/>
          <w:highlight w:val="none"/>
        </w:rPr>
        <w:t>. 发包人</w:t>
      </w:r>
      <w:bookmarkEnd w:id="159"/>
    </w:p>
    <w:bookmarkEnd w:id="160"/>
    <w:bookmarkEnd w:id="161"/>
    <w:bookmarkEnd w:id="162"/>
    <w:bookmarkEnd w:id="163"/>
    <w:bookmarkEnd w:id="164"/>
    <w:bookmarkEnd w:id="165"/>
    <w:bookmarkEnd w:id="166"/>
    <w:bookmarkEnd w:id="167"/>
    <w:bookmarkEnd w:id="168"/>
    <w:bookmarkEnd w:id="169"/>
    <w:p w14:paraId="419F274A">
      <w:pPr>
        <w:spacing w:line="360" w:lineRule="auto"/>
        <w:ind w:left="149" w:leftChars="71" w:firstLine="354" w:firstLineChars="147"/>
        <w:rPr>
          <w:rFonts w:hint="eastAsia" w:ascii="仿宋" w:hAnsi="仿宋" w:eastAsia="仿宋" w:cs="仿宋"/>
          <w:b/>
          <w:sz w:val="24"/>
          <w:highlight w:val="none"/>
        </w:rPr>
      </w:pPr>
      <w:r>
        <w:rPr>
          <w:rFonts w:hint="eastAsia" w:ascii="仿宋" w:hAnsi="仿宋" w:eastAsia="仿宋" w:cs="仿宋"/>
          <w:b/>
          <w:sz w:val="24"/>
          <w:highlight w:val="none"/>
        </w:rPr>
        <w:t>发包人应根据工程所需配备发包人代表，同时配备1-2名相关人员到岗履职。</w:t>
      </w:r>
    </w:p>
    <w:p w14:paraId="5876435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2.2 发包人代表</w:t>
      </w:r>
    </w:p>
    <w:p w14:paraId="213394B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发包人代表：</w:t>
      </w:r>
    </w:p>
    <w:p w14:paraId="10A6CE9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68A4DD3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身份证号：</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598553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职    务：</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62817E2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  </w:t>
      </w:r>
      <w:r>
        <w:rPr>
          <w:rFonts w:hint="eastAsia" w:ascii="仿宋" w:hAnsi="仿宋" w:eastAsia="仿宋" w:cs="仿宋"/>
          <w:sz w:val="24"/>
          <w:highlight w:val="none"/>
        </w:rPr>
        <w:t>；</w:t>
      </w:r>
    </w:p>
    <w:p w14:paraId="39A01A2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   </w:t>
      </w:r>
      <w:r>
        <w:rPr>
          <w:rFonts w:hint="eastAsia" w:ascii="仿宋" w:hAnsi="仿宋" w:eastAsia="仿宋" w:cs="仿宋"/>
          <w:sz w:val="24"/>
          <w:highlight w:val="none"/>
        </w:rPr>
        <w:t>；</w:t>
      </w:r>
    </w:p>
    <w:p w14:paraId="290C5C0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706506F9">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发包人对发包人代表的授权范围如下：</w:t>
      </w:r>
      <w:r>
        <w:rPr>
          <w:rFonts w:hint="eastAsia" w:ascii="仿宋" w:hAnsi="仿宋" w:eastAsia="仿宋" w:cs="仿宋"/>
          <w:sz w:val="24"/>
          <w:highlight w:val="none"/>
          <w:u w:val="single"/>
        </w:rPr>
        <w:t>对质量、成本、安全、进度进行全面管理</w:t>
      </w:r>
      <w:r>
        <w:rPr>
          <w:rFonts w:hint="eastAsia" w:ascii="仿宋" w:hAnsi="仿宋" w:eastAsia="仿宋" w:cs="仿宋"/>
          <w:sz w:val="24"/>
          <w:highlight w:val="none"/>
        </w:rPr>
        <w:t>。</w:t>
      </w:r>
    </w:p>
    <w:p w14:paraId="16751E7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 施工现场、施工条件和基础资料的提供</w:t>
      </w:r>
    </w:p>
    <w:p w14:paraId="4458B03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2.4.1 提供施工现场</w:t>
      </w:r>
    </w:p>
    <w:p w14:paraId="3ACF963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关于发包人移交施工现场的期限要求：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1B3C18B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2.4.2 提供施工条件</w:t>
      </w:r>
    </w:p>
    <w:p w14:paraId="7EF46784">
      <w:pPr>
        <w:autoSpaceDE w:val="0"/>
        <w:autoSpaceDN w:val="0"/>
        <w:spacing w:line="360" w:lineRule="auto"/>
        <w:ind w:firstLine="480" w:firstLineChars="200"/>
        <w:jc w:val="left"/>
        <w:rPr>
          <w:rFonts w:hint="eastAsia" w:ascii="仿宋" w:hAnsi="仿宋" w:eastAsia="仿宋" w:cs="仿宋"/>
          <w:b/>
          <w:kern w:val="0"/>
          <w:sz w:val="24"/>
          <w:highlight w:val="none"/>
        </w:rPr>
      </w:pPr>
      <w:r>
        <w:rPr>
          <w:rFonts w:hint="eastAsia" w:ascii="仿宋" w:hAnsi="仿宋" w:eastAsia="仿宋" w:cs="仿宋"/>
          <w:sz w:val="24"/>
          <w:highlight w:val="none"/>
        </w:rPr>
        <w:t>关于发包人应负责提供施工所需要的条件，包括：</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u w:val="single"/>
        </w:rPr>
        <w:t>/</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w:t>
      </w:r>
    </w:p>
    <w:p w14:paraId="661F93A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2.5 资金来源证明及支付担保</w:t>
      </w:r>
    </w:p>
    <w:p w14:paraId="3A75EBD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发包人提供资金来源证明的期限要求：</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rPr>
        <w:t>。</w:t>
      </w:r>
    </w:p>
    <w:p w14:paraId="6A9A7F3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发包人是否提供支付担保：</w:t>
      </w:r>
      <w:r>
        <w:rPr>
          <w:rFonts w:hint="eastAsia" w:ascii="仿宋" w:hAnsi="仿宋" w:eastAsia="仿宋" w:cs="仿宋"/>
          <w:sz w:val="24"/>
          <w:highlight w:val="none"/>
          <w:u w:val="single"/>
        </w:rPr>
        <w:t xml:space="preserve">否  </w:t>
      </w:r>
      <w:r>
        <w:rPr>
          <w:rFonts w:hint="eastAsia" w:ascii="仿宋" w:hAnsi="仿宋" w:eastAsia="仿宋" w:cs="仿宋"/>
          <w:sz w:val="24"/>
          <w:highlight w:val="none"/>
        </w:rPr>
        <w:t>。</w:t>
      </w:r>
    </w:p>
    <w:p w14:paraId="6662EB8F">
      <w:pPr>
        <w:keepNext/>
        <w:keepLines/>
        <w:spacing w:before="120" w:after="120" w:line="360" w:lineRule="auto"/>
        <w:ind w:firstLine="470" w:firstLineChars="196"/>
        <w:outlineLvl w:val="3"/>
        <w:rPr>
          <w:rFonts w:hint="eastAsia" w:ascii="仿宋" w:hAnsi="仿宋" w:eastAsia="仿宋" w:cs="仿宋"/>
          <w:bCs/>
          <w:sz w:val="24"/>
          <w:highlight w:val="none"/>
        </w:rPr>
      </w:pPr>
      <w:r>
        <w:rPr>
          <w:rFonts w:hint="eastAsia" w:ascii="仿宋" w:hAnsi="仿宋" w:eastAsia="仿宋" w:cs="仿宋"/>
          <w:sz w:val="24"/>
          <w:highlight w:val="none"/>
        </w:rPr>
        <w:t>发包人提供支付担保的形式：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bookmarkStart w:id="170" w:name="_Toc296890986"/>
      <w:bookmarkStart w:id="171" w:name="_Toc292559363"/>
      <w:bookmarkStart w:id="172" w:name="_Toc296347157"/>
      <w:bookmarkStart w:id="173" w:name="_Toc296891198"/>
      <w:bookmarkStart w:id="174" w:name="_Toc297048344"/>
      <w:bookmarkStart w:id="175" w:name="_Toc296944497"/>
      <w:bookmarkStart w:id="176" w:name="_Toc296503158"/>
      <w:bookmarkStart w:id="177" w:name="_Toc296346659"/>
      <w:bookmarkStart w:id="178" w:name="_Toc297120458"/>
      <w:bookmarkStart w:id="179" w:name="_Toc292559868"/>
    </w:p>
    <w:bookmarkEnd w:id="170"/>
    <w:bookmarkEnd w:id="171"/>
    <w:bookmarkEnd w:id="172"/>
    <w:bookmarkEnd w:id="173"/>
    <w:bookmarkEnd w:id="174"/>
    <w:bookmarkEnd w:id="175"/>
    <w:bookmarkEnd w:id="176"/>
    <w:bookmarkEnd w:id="177"/>
    <w:bookmarkEnd w:id="178"/>
    <w:bookmarkEnd w:id="179"/>
    <w:p w14:paraId="612E36B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 承包人的一般义务</w:t>
      </w:r>
    </w:p>
    <w:p w14:paraId="5AE721D6">
      <w:pPr>
        <w:spacing w:line="360" w:lineRule="auto"/>
        <w:ind w:firstLine="480" w:firstLineChars="200"/>
        <w:jc w:val="left"/>
        <w:rPr>
          <w:rFonts w:hint="eastAsia" w:ascii="仿宋" w:hAnsi="仿宋" w:eastAsia="仿宋" w:cs="仿宋"/>
          <w:sz w:val="24"/>
          <w:highlight w:val="none"/>
          <w:u w:val="single"/>
          <w:lang w:val="en-US" w:eastAsia="zh-CN"/>
        </w:rPr>
      </w:pPr>
      <w:r>
        <w:rPr>
          <w:rFonts w:hint="eastAsia" w:ascii="仿宋" w:hAnsi="仿宋" w:eastAsia="仿宋" w:cs="仿宋"/>
          <w:kern w:val="0"/>
          <w:sz w:val="24"/>
          <w:highlight w:val="none"/>
        </w:rPr>
        <w:t>（5）</w:t>
      </w:r>
      <w:r>
        <w:rPr>
          <w:rFonts w:hint="eastAsia" w:ascii="仿宋" w:hAnsi="仿宋" w:eastAsia="仿宋" w:cs="仿宋"/>
          <w:sz w:val="24"/>
          <w:highlight w:val="none"/>
        </w:rPr>
        <w:t>承包人提交的竣工资料的内容：</w:t>
      </w:r>
      <w:r>
        <w:rPr>
          <w:rFonts w:hint="eastAsia" w:ascii="仿宋" w:hAnsi="仿宋" w:eastAsia="仿宋" w:cs="仿宋"/>
          <w:sz w:val="24"/>
          <w:highlight w:val="none"/>
          <w:u w:val="single"/>
        </w:rPr>
        <w:t>向发包方提供竣工图</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纸质版2套、CAD电子版1套</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、竣工资料及竣工验收报告</w:t>
      </w:r>
      <w:r>
        <w:rPr>
          <w:rFonts w:hint="eastAsia" w:ascii="仿宋" w:hAnsi="仿宋" w:eastAsia="仿宋" w:cs="仿宋"/>
          <w:sz w:val="24"/>
          <w:highlight w:val="none"/>
          <w:u w:val="single"/>
          <w:lang w:eastAsia="zh-CN"/>
        </w:rPr>
        <w:t>。</w:t>
      </w:r>
    </w:p>
    <w:p w14:paraId="5AFE5D1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承包人需要提交的竣工资料套数：</w:t>
      </w:r>
      <w:r>
        <w:rPr>
          <w:rFonts w:hint="eastAsia" w:ascii="仿宋" w:hAnsi="仿宋" w:eastAsia="仿宋" w:cs="仿宋"/>
          <w:sz w:val="24"/>
          <w:highlight w:val="none"/>
          <w:u w:val="single"/>
        </w:rPr>
        <w:t>一式</w:t>
      </w:r>
      <w:r>
        <w:rPr>
          <w:rFonts w:hint="eastAsia" w:ascii="仿宋" w:hAnsi="仿宋" w:eastAsia="仿宋" w:cs="仿宋"/>
          <w:sz w:val="24"/>
          <w:highlight w:val="none"/>
          <w:u w:val="single"/>
          <w:lang w:val="en-US" w:eastAsia="zh-CN"/>
        </w:rPr>
        <w:t>贰</w:t>
      </w:r>
      <w:r>
        <w:rPr>
          <w:rFonts w:hint="eastAsia" w:ascii="仿宋" w:hAnsi="仿宋" w:eastAsia="仿宋" w:cs="仿宋"/>
          <w:sz w:val="24"/>
          <w:highlight w:val="none"/>
          <w:u w:val="single"/>
        </w:rPr>
        <w:t>份，同时提供电子文档</w:t>
      </w:r>
      <w:r>
        <w:rPr>
          <w:rFonts w:hint="eastAsia" w:ascii="仿宋" w:hAnsi="仿宋" w:eastAsia="仿宋" w:cs="仿宋"/>
          <w:sz w:val="24"/>
          <w:highlight w:val="none"/>
          <w:u w:val="single"/>
          <w:lang w:val="en-US" w:eastAsia="zh-CN"/>
        </w:rPr>
        <w:t>。</w:t>
      </w:r>
    </w:p>
    <w:p w14:paraId="1C61BA0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承包人提交的竣工资料的费用承担：</w:t>
      </w:r>
      <w:r>
        <w:rPr>
          <w:rFonts w:hint="eastAsia" w:ascii="仿宋" w:hAnsi="仿宋" w:eastAsia="仿宋" w:cs="仿宋"/>
          <w:sz w:val="24"/>
          <w:highlight w:val="none"/>
          <w:u w:val="single"/>
        </w:rPr>
        <w:t>承包人承担</w:t>
      </w:r>
      <w:r>
        <w:rPr>
          <w:rFonts w:hint="eastAsia" w:ascii="仿宋" w:hAnsi="仿宋" w:eastAsia="仿宋" w:cs="仿宋"/>
          <w:sz w:val="24"/>
          <w:highlight w:val="none"/>
        </w:rPr>
        <w:t>。</w:t>
      </w:r>
    </w:p>
    <w:p w14:paraId="30CFF98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承包人提交的竣工资料移交时间：</w:t>
      </w:r>
      <w:r>
        <w:rPr>
          <w:rFonts w:hint="eastAsia" w:ascii="仿宋" w:hAnsi="仿宋" w:eastAsia="仿宋" w:cs="仿宋"/>
          <w:sz w:val="24"/>
          <w:highlight w:val="none"/>
          <w:u w:val="single"/>
        </w:rPr>
        <w:t>合同规定的工程竣工</w:t>
      </w:r>
      <w:r>
        <w:rPr>
          <w:rFonts w:hint="eastAsia" w:ascii="仿宋" w:hAnsi="仿宋" w:eastAsia="仿宋" w:cs="仿宋"/>
          <w:sz w:val="24"/>
          <w:highlight w:val="none"/>
          <w:u w:val="single"/>
          <w:lang w:val="en-US" w:eastAsia="zh-CN"/>
        </w:rPr>
        <w:t>验收</w:t>
      </w:r>
      <w:r>
        <w:rPr>
          <w:rFonts w:hint="eastAsia" w:ascii="仿宋" w:hAnsi="仿宋" w:eastAsia="仿宋" w:cs="仿宋"/>
          <w:sz w:val="24"/>
          <w:highlight w:val="none"/>
          <w:u w:val="single"/>
        </w:rPr>
        <w:t xml:space="preserve">前7天 </w:t>
      </w:r>
      <w:r>
        <w:rPr>
          <w:rFonts w:hint="eastAsia" w:ascii="仿宋" w:hAnsi="仿宋" w:eastAsia="仿宋" w:cs="仿宋"/>
          <w:sz w:val="24"/>
          <w:highlight w:val="none"/>
        </w:rPr>
        <w:t>。</w:t>
      </w:r>
    </w:p>
    <w:p w14:paraId="32789C7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承包人提交的竣工资料形式要求：</w:t>
      </w:r>
      <w:r>
        <w:rPr>
          <w:rFonts w:hint="eastAsia" w:ascii="仿宋" w:hAnsi="仿宋" w:eastAsia="仿宋" w:cs="仿宋"/>
          <w:sz w:val="24"/>
          <w:highlight w:val="none"/>
          <w:u w:val="single"/>
        </w:rPr>
        <w:t>发包人收到承包人提交的竣工验收报告及竣工验收资料后，认为工程尚不具备竣工验收条件或承包人提交人竣工验收资料不完整的，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归档资料应符合工程所在地建设行政主管部门和城市建设档案管理机构有关施工资料的要求</w:t>
      </w:r>
      <w:r>
        <w:rPr>
          <w:rFonts w:hint="eastAsia" w:ascii="仿宋" w:hAnsi="仿宋" w:eastAsia="仿宋" w:cs="仿宋"/>
          <w:sz w:val="24"/>
          <w:highlight w:val="none"/>
        </w:rPr>
        <w:t>。</w:t>
      </w:r>
    </w:p>
    <w:p w14:paraId="7BBA3D7D">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（6）承包人应履行的其他义务：</w:t>
      </w:r>
    </w:p>
    <w:p w14:paraId="342534E4">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①</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根据工程需要，提供和维修非夜间施工使用的照明、围栏设施，并负责安全保卫。</w:t>
      </w:r>
    </w:p>
    <w:p w14:paraId="6DD38062">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②</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将施工所需的水、电、电讯线路接至施工场地，费用已包含在投标报价中。</w:t>
      </w:r>
    </w:p>
    <w:p w14:paraId="62805F24">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③</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3DD9C13B">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④</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施工场地清洁卫生要求：按浙江省、杭州市标化工地管理的有关要求、规定执行。所发生的各项清理费用、临时性收费、临时性占用场地费、临时性设施费及不可预见的费用，均已包括在合同总价内。</w:t>
      </w:r>
    </w:p>
    <w:p w14:paraId="431301E9">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⑤</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所有施工车辆必须按发包人指定的行车路线进出施工场地，承包人必须随时对施工车辆散落在公共道路上的杂物进行清扫，保持道路整洁，避免扬尘。施工场地做到“工完、料净、场地清”，承担因自身原因违反有关规定造成的损失和罚款。</w:t>
      </w:r>
    </w:p>
    <w:p w14:paraId="400665F6">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⑥</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参加发包人召开的与本工程相关的会议，并作好会前有关资料的准备。在保修期内要及时做好回访工作，属保修责任范围的事项应及时按质检标准修好。</w:t>
      </w:r>
    </w:p>
    <w:p w14:paraId="4A689E72">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⑦</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在工程实施过程中，要自始至终将安全和质量管理放在首位；除按发包人要求做好安全质量管理外，应采取应急预警措施以确保本项目工程的安全和质量以及周边建筑物、构筑物及市政设施的安全。</w:t>
      </w:r>
    </w:p>
    <w:p w14:paraId="19C92CF0">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⑧</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由于承包人施工原因，引起第三方与发包人或承包人的纠纷或第三方向发包人或承包人提出的索赔等，由承包人全权负责解决并承担全部责任，由此引起的一切后果与发包人无关。</w:t>
      </w:r>
    </w:p>
    <w:p w14:paraId="4F5E3831">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⑨</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在工程实施过程中，严格执行省、市颁发的相关规定，切实加强外来务工人员管理，保障农民工的合法权益。按主管部门要求，如必要设立民工学校应按规定设立，费用自理。若在施工期间，由于承包人的责任发生违法、违规事件，后果由承包人自负。</w:t>
      </w:r>
    </w:p>
    <w:p w14:paraId="7A78268C">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⑩</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文明施工按市政府有关部门颁发的文明施工要求及采购文件中技术条款执行，施工时不影响经交管部门审批确认的道路交通的正常运行和保证排水畅通。施工区域范围内必须采取全封闭措施，搞好市容环境卫生，并接受有关主管部门和发包人、监理人的检查；环境控制按采购文件的要求执行。因承包人原因造成工程损失或人身伤害，由承包人承担全部责任及费用。</w:t>
      </w:r>
    </w:p>
    <w:p w14:paraId="069B74B9">
      <w:pPr>
        <w:spacing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⑪</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上述（包括但不限于）各条款涉及的各类费用均已包括在合同价款内，发包人不再向承包人另行支付。且如果因此类原因导致工期延误，工期不予顺延，并由承包人承担相应的责任及费用。</w:t>
      </w:r>
    </w:p>
    <w:p w14:paraId="50433B0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u w:val="single"/>
        </w:rPr>
        <w:t>⑫</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承包人对其递交的变更、签证、结算资料的合法性、真实性、完整性负责，并不由于发包人和监理人的签认免除承包人的责任</w:t>
      </w:r>
      <w:r>
        <w:rPr>
          <w:rFonts w:hint="eastAsia" w:ascii="仿宋" w:hAnsi="仿宋" w:eastAsia="仿宋" w:cs="仿宋"/>
          <w:sz w:val="24"/>
          <w:highlight w:val="none"/>
        </w:rPr>
        <w:t>。</w:t>
      </w:r>
    </w:p>
    <w:p w14:paraId="436BB24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3.2 项目经理</w:t>
      </w:r>
    </w:p>
    <w:p w14:paraId="0FFF522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 xml:space="preserve">3.2.1 </w:t>
      </w:r>
      <w:r>
        <w:rPr>
          <w:rFonts w:hint="eastAsia" w:ascii="仿宋" w:hAnsi="仿宋" w:eastAsia="仿宋" w:cs="仿宋"/>
          <w:sz w:val="24"/>
          <w:highlight w:val="none"/>
        </w:rPr>
        <w:t>项目经理：</w:t>
      </w:r>
    </w:p>
    <w:p w14:paraId="6C54474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56840CC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身份证号：</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62C8F64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建造师执业资格等级：</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02274AC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建造师注册证书号：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0A1EB17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建造师执业印章号：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7D290D3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安全生产考核合格证书号：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187DCD1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 </w:t>
      </w:r>
      <w:r>
        <w:rPr>
          <w:rFonts w:hint="eastAsia" w:ascii="仿宋" w:hAnsi="仿宋" w:eastAsia="仿宋" w:cs="仿宋"/>
          <w:sz w:val="24"/>
          <w:highlight w:val="none"/>
        </w:rPr>
        <w:t>；</w:t>
      </w:r>
    </w:p>
    <w:p w14:paraId="4E48300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5EF86BA7">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286A57BC">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3.2.3 承包人擅自更换项目经理的违约责任：</w:t>
      </w:r>
    </w:p>
    <w:p w14:paraId="573591FD">
      <w:pPr>
        <w:spacing w:line="360" w:lineRule="auto"/>
        <w:ind w:firstLine="482" w:firstLineChars="200"/>
        <w:rPr>
          <w:rFonts w:hint="eastAsia" w:ascii="仿宋" w:hAnsi="仿宋" w:eastAsia="仿宋" w:cs="仿宋"/>
          <w:b/>
          <w:sz w:val="24"/>
          <w:highlight w:val="none"/>
          <w:u w:val="single"/>
        </w:rPr>
      </w:pPr>
      <w:r>
        <w:rPr>
          <w:rFonts w:hint="eastAsia" w:ascii="仿宋" w:hAnsi="仿宋" w:eastAsia="仿宋" w:cs="仿宋"/>
          <w:b/>
          <w:sz w:val="24"/>
          <w:highlight w:val="none"/>
        </w:rPr>
        <w:t>（1）</w:t>
      </w:r>
      <w:r>
        <w:rPr>
          <w:rFonts w:hint="eastAsia" w:ascii="仿宋" w:hAnsi="仿宋" w:eastAsia="仿宋" w:cs="仿宋"/>
          <w:b/>
          <w:kern w:val="0"/>
          <w:sz w:val="24"/>
          <w:highlight w:val="none"/>
        </w:rPr>
        <w:t>承包人确需更换项目经理的，继任项目经理注册执业资格、管理经验的约定：</w:t>
      </w:r>
      <w:r>
        <w:rPr>
          <w:rFonts w:hint="eastAsia" w:ascii="仿宋" w:hAnsi="仿宋" w:eastAsia="仿宋" w:cs="仿宋"/>
          <w:b/>
          <w:kern w:val="0"/>
          <w:sz w:val="24"/>
          <w:highlight w:val="none"/>
          <w:u w:val="single"/>
        </w:rPr>
        <w:t>不得低于原项目经理的注册执业资格、管理经验，且需经得建设行政主管部门批准和发包人的书面同意 。</w:t>
      </w:r>
    </w:p>
    <w:p w14:paraId="1931DF2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（2）</w:t>
      </w:r>
      <w:r>
        <w:rPr>
          <w:rFonts w:hint="eastAsia" w:ascii="仿宋" w:hAnsi="仿宋" w:eastAsia="仿宋" w:cs="仿宋"/>
          <w:sz w:val="24"/>
          <w:highlight w:val="none"/>
        </w:rPr>
        <w:t>承包人擅自更换项目经理的违约责任：</w:t>
      </w:r>
      <w:r>
        <w:rPr>
          <w:rFonts w:hint="eastAsia" w:ascii="仿宋" w:hAnsi="仿宋" w:eastAsia="仿宋" w:cs="仿宋"/>
          <w:sz w:val="24"/>
          <w:highlight w:val="none"/>
          <w:u w:val="single"/>
        </w:rPr>
        <w:t>在施工期间不准更换，特殊情况要求更换的项目经理的，须经发包人</w:t>
      </w:r>
      <w:r>
        <w:rPr>
          <w:rFonts w:hint="eastAsia" w:ascii="仿宋" w:hAnsi="仿宋" w:eastAsia="仿宋" w:cs="仿宋"/>
          <w:sz w:val="24"/>
          <w:highlight w:val="none"/>
          <w:u w:val="single"/>
          <w:lang w:val="en-US" w:eastAsia="zh-CN"/>
        </w:rPr>
        <w:t>书面</w:t>
      </w:r>
      <w:r>
        <w:rPr>
          <w:rFonts w:hint="eastAsia" w:ascii="仿宋" w:hAnsi="仿宋" w:eastAsia="仿宋" w:cs="仿宋"/>
          <w:sz w:val="24"/>
          <w:highlight w:val="none"/>
          <w:u w:val="single"/>
        </w:rPr>
        <w:t>同意。未经发包人同意</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承包人</w:t>
      </w:r>
      <w:r>
        <w:rPr>
          <w:rFonts w:hint="eastAsia" w:ascii="仿宋" w:hAnsi="仿宋" w:eastAsia="仿宋" w:cs="仿宋"/>
          <w:sz w:val="24"/>
          <w:highlight w:val="none"/>
          <w:u w:val="single"/>
          <w:lang w:val="en-US" w:eastAsia="zh-CN"/>
        </w:rPr>
        <w:t>擅自</w:t>
      </w:r>
      <w:r>
        <w:rPr>
          <w:rFonts w:hint="eastAsia" w:ascii="仿宋" w:hAnsi="仿宋" w:eastAsia="仿宋" w:cs="仿宋"/>
          <w:sz w:val="24"/>
          <w:highlight w:val="none"/>
          <w:u w:val="single"/>
        </w:rPr>
        <w:t>更换项目经理的将被视为承包人违约，并按照</w:t>
      </w:r>
      <w:r>
        <w:rPr>
          <w:rFonts w:hint="eastAsia" w:ascii="仿宋" w:hAnsi="仿宋" w:eastAsia="仿宋" w:cs="仿宋"/>
          <w:sz w:val="24"/>
          <w:highlight w:val="none"/>
          <w:u w:val="single"/>
          <w:lang w:val="en-US" w:eastAsia="zh-CN"/>
        </w:rPr>
        <w:t>1</w:t>
      </w:r>
      <w:r>
        <w:rPr>
          <w:rFonts w:hint="eastAsia" w:ascii="仿宋" w:hAnsi="仿宋" w:eastAsia="仿宋" w:cs="仿宋"/>
          <w:sz w:val="24"/>
          <w:highlight w:val="none"/>
          <w:u w:val="single"/>
        </w:rPr>
        <w:t>000</w:t>
      </w:r>
      <w:r>
        <w:rPr>
          <w:rFonts w:hint="eastAsia" w:ascii="仿宋" w:hAnsi="仿宋" w:eastAsia="仿宋" w:cs="仿宋"/>
          <w:sz w:val="24"/>
          <w:highlight w:val="none"/>
          <w:u w:val="single"/>
          <w:lang w:val="en-US" w:eastAsia="zh-CN"/>
        </w:rPr>
        <w:t>0</w:t>
      </w:r>
      <w:r>
        <w:rPr>
          <w:rFonts w:hint="eastAsia" w:ascii="仿宋" w:hAnsi="仿宋" w:eastAsia="仿宋" w:cs="仿宋"/>
          <w:sz w:val="24"/>
          <w:highlight w:val="none"/>
          <w:u w:val="single"/>
        </w:rPr>
        <w:t>元/人次付给发包人违约金</w:t>
      </w:r>
      <w:r>
        <w:rPr>
          <w:rFonts w:hint="eastAsia" w:ascii="仿宋" w:hAnsi="仿宋" w:eastAsia="仿宋" w:cs="仿宋"/>
          <w:sz w:val="24"/>
          <w:highlight w:val="none"/>
        </w:rPr>
        <w:t>。</w:t>
      </w:r>
    </w:p>
    <w:p w14:paraId="4BCF2899">
      <w:pPr>
        <w:spacing w:line="360" w:lineRule="auto"/>
        <w:ind w:firstLine="600"/>
        <w:rPr>
          <w:rFonts w:hint="eastAsia" w:ascii="仿宋" w:hAnsi="仿宋" w:eastAsia="仿宋" w:cs="仿宋"/>
          <w:sz w:val="24"/>
          <w:highlight w:val="none"/>
          <w:u w:val="single"/>
        </w:rPr>
      </w:pPr>
      <w:r>
        <w:rPr>
          <w:rFonts w:hint="eastAsia" w:ascii="仿宋" w:hAnsi="仿宋" w:eastAsia="仿宋" w:cs="仿宋"/>
          <w:sz w:val="24"/>
          <w:highlight w:val="none"/>
        </w:rPr>
        <w:t>3.2.4 承包人无正当理由拒绝更换项目经理的违约责任：</w:t>
      </w:r>
      <w:r>
        <w:rPr>
          <w:rFonts w:hint="eastAsia" w:ascii="仿宋" w:hAnsi="仿宋" w:eastAsia="仿宋" w:cs="仿宋"/>
          <w:sz w:val="24"/>
          <w:highlight w:val="none"/>
          <w:u w:val="single"/>
        </w:rPr>
        <w:t>承包人在接到发包人更换项目经理的通知后14天内仍未更换的，发包人有权指示承包人暂停施工，承包人须支付违约金伍万元，并承担由此增加的费用和延误的工期；在暂停施工后14天内仍未更换项目经理的，发包人有权解除合同。</w:t>
      </w:r>
    </w:p>
    <w:p w14:paraId="70BEBFB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 承包人人员</w:t>
      </w:r>
    </w:p>
    <w:p w14:paraId="439AC7B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3.3.1 承包人提交项目管理机构及施工现场管理人员安排报告的期限：</w:t>
      </w:r>
      <w:r>
        <w:rPr>
          <w:rFonts w:hint="eastAsia" w:ascii="仿宋" w:hAnsi="仿宋" w:eastAsia="仿宋" w:cs="仿宋"/>
          <w:sz w:val="24"/>
          <w:highlight w:val="none"/>
          <w:u w:val="single"/>
        </w:rPr>
        <w:t>合同生效后</w:t>
      </w:r>
      <w:r>
        <w:rPr>
          <w:rFonts w:hint="eastAsia" w:ascii="仿宋" w:hAnsi="仿宋" w:eastAsia="仿宋" w:cs="仿宋"/>
          <w:sz w:val="24"/>
          <w:highlight w:val="none"/>
        </w:rPr>
        <w:t>。</w:t>
      </w:r>
    </w:p>
    <w:p w14:paraId="20079315">
      <w:pPr>
        <w:spacing w:line="360" w:lineRule="auto"/>
        <w:ind w:firstLine="482" w:firstLineChars="200"/>
        <w:jc w:val="left"/>
        <w:rPr>
          <w:rFonts w:hint="eastAsia" w:ascii="仿宋" w:hAnsi="仿宋" w:eastAsia="仿宋" w:cs="仿宋"/>
          <w:b/>
          <w:sz w:val="24"/>
          <w:highlight w:val="none"/>
        </w:rPr>
      </w:pPr>
      <w:r>
        <w:rPr>
          <w:rFonts w:hint="eastAsia" w:ascii="仿宋" w:hAnsi="仿宋" w:eastAsia="仿宋" w:cs="仿宋"/>
          <w:b/>
          <w:sz w:val="24"/>
          <w:highlight w:val="none"/>
        </w:rPr>
        <w:t>3.3.2 承包人需更换主要施工管理人员的，继任人员的数量、注册执业资格、管理经验的约定：</w:t>
      </w:r>
      <w:r>
        <w:rPr>
          <w:rFonts w:hint="eastAsia" w:ascii="仿宋" w:hAnsi="仿宋" w:eastAsia="仿宋" w:cs="仿宋"/>
          <w:b/>
          <w:sz w:val="24"/>
          <w:highlight w:val="none"/>
          <w:u w:val="single"/>
        </w:rPr>
        <w:t xml:space="preserve">不得低于原主要施工管理人员的数量、注册执业资格、管理经验，同时需经得发包人的书面同意 </w:t>
      </w:r>
      <w:r>
        <w:rPr>
          <w:rFonts w:hint="eastAsia" w:ascii="仿宋" w:hAnsi="仿宋" w:eastAsia="仿宋" w:cs="仿宋"/>
          <w:b/>
          <w:sz w:val="24"/>
          <w:highlight w:val="none"/>
        </w:rPr>
        <w:t>。</w:t>
      </w:r>
    </w:p>
    <w:p w14:paraId="3E72E039">
      <w:pPr>
        <w:spacing w:line="360" w:lineRule="auto"/>
        <w:ind w:firstLine="453" w:firstLineChars="189"/>
        <w:rPr>
          <w:rFonts w:hint="eastAsia" w:ascii="仿宋" w:hAnsi="仿宋" w:eastAsia="仿宋" w:cs="仿宋"/>
          <w:sz w:val="24"/>
          <w:highlight w:val="none"/>
        </w:rPr>
      </w:pPr>
      <w:r>
        <w:rPr>
          <w:rFonts w:hint="eastAsia" w:ascii="仿宋" w:hAnsi="仿宋" w:eastAsia="仿宋" w:cs="仿宋"/>
          <w:sz w:val="24"/>
          <w:highlight w:val="none"/>
        </w:rPr>
        <w:t>3.3.3 承包人无正当理由拒绝撤换主要施工管理人员的违约责任：</w:t>
      </w:r>
      <w:r>
        <w:rPr>
          <w:rFonts w:hint="eastAsia" w:ascii="仿宋" w:hAnsi="仿宋" w:eastAsia="仿宋" w:cs="仿宋"/>
          <w:sz w:val="24"/>
          <w:highlight w:val="none"/>
          <w:u w:val="single"/>
        </w:rPr>
        <w:t>技术负责人处以违约金</w:t>
      </w:r>
      <w:r>
        <w:rPr>
          <w:rFonts w:hint="eastAsia" w:ascii="仿宋" w:hAnsi="仿宋" w:eastAsia="仿宋" w:cs="仿宋"/>
          <w:sz w:val="24"/>
          <w:highlight w:val="none"/>
          <w:u w:val="single"/>
          <w:lang w:val="en-US" w:eastAsia="zh-CN"/>
        </w:rPr>
        <w:t>捌仟</w:t>
      </w:r>
      <w:r>
        <w:rPr>
          <w:rFonts w:hint="eastAsia" w:ascii="仿宋" w:hAnsi="仿宋" w:eastAsia="仿宋" w:cs="仿宋"/>
          <w:sz w:val="24"/>
          <w:highlight w:val="none"/>
          <w:u w:val="single"/>
        </w:rPr>
        <w:t>元人民币/次/人；施工员、安全员、质检员、材料员，处以违约金</w:t>
      </w:r>
      <w:r>
        <w:rPr>
          <w:rFonts w:hint="eastAsia" w:ascii="仿宋" w:hAnsi="仿宋" w:eastAsia="仿宋" w:cs="仿宋"/>
          <w:sz w:val="24"/>
          <w:highlight w:val="none"/>
          <w:u w:val="single"/>
          <w:lang w:eastAsia="zh-CN"/>
        </w:rPr>
        <w:t>伍仟</w:t>
      </w:r>
      <w:r>
        <w:rPr>
          <w:rFonts w:hint="eastAsia" w:ascii="仿宋" w:hAnsi="仿宋" w:eastAsia="仿宋" w:cs="仿宋"/>
          <w:sz w:val="24"/>
          <w:highlight w:val="none"/>
          <w:u w:val="single"/>
        </w:rPr>
        <w:t>元人民币/次/人。</w:t>
      </w:r>
    </w:p>
    <w:p w14:paraId="049A7C7D">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3.3.4 承包人主要施工管理人员离开施工现场的批准要求：</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0BEC839A">
      <w:pPr>
        <w:spacing w:line="360" w:lineRule="auto"/>
        <w:ind w:firstLine="480" w:firstLineChars="200"/>
        <w:rPr>
          <w:rFonts w:hint="eastAsia" w:ascii="仿宋" w:hAnsi="仿宋" w:eastAsia="仿宋" w:cs="仿宋"/>
          <w:sz w:val="24"/>
          <w:highlight w:val="none"/>
          <w:u w:val="single"/>
          <w:lang w:eastAsia="zh-CN"/>
        </w:rPr>
      </w:pPr>
      <w:r>
        <w:rPr>
          <w:rFonts w:hint="eastAsia" w:ascii="仿宋" w:hAnsi="仿宋" w:eastAsia="仿宋" w:cs="仿宋"/>
          <w:sz w:val="24"/>
          <w:highlight w:val="none"/>
        </w:rPr>
        <w:t>3.3.5承包人擅自更换主要施工管理人员的违约责任：</w:t>
      </w:r>
      <w:r>
        <w:rPr>
          <w:rFonts w:hint="eastAsia" w:ascii="仿宋" w:hAnsi="仿宋" w:eastAsia="仿宋" w:cs="仿宋"/>
          <w:sz w:val="24"/>
          <w:highlight w:val="none"/>
          <w:u w:val="single"/>
        </w:rPr>
        <w:t>在施工期间不准更换，特殊情况要求更换的，须经发包人</w:t>
      </w:r>
      <w:r>
        <w:rPr>
          <w:rFonts w:hint="eastAsia" w:ascii="仿宋" w:hAnsi="仿宋" w:eastAsia="仿宋" w:cs="仿宋"/>
          <w:sz w:val="24"/>
          <w:highlight w:val="none"/>
          <w:u w:val="single"/>
          <w:lang w:val="en-US" w:eastAsia="zh-CN"/>
        </w:rPr>
        <w:t>书面</w:t>
      </w:r>
      <w:r>
        <w:rPr>
          <w:rFonts w:hint="eastAsia" w:ascii="仿宋" w:hAnsi="仿宋" w:eastAsia="仿宋" w:cs="仿宋"/>
          <w:sz w:val="24"/>
          <w:highlight w:val="none"/>
          <w:u w:val="single"/>
        </w:rPr>
        <w:t>同意。未经发包人同意</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rPr>
        <w:t>承包人</w:t>
      </w:r>
      <w:r>
        <w:rPr>
          <w:rFonts w:hint="eastAsia" w:ascii="仿宋" w:hAnsi="仿宋" w:eastAsia="仿宋" w:cs="仿宋"/>
          <w:sz w:val="24"/>
          <w:highlight w:val="none"/>
          <w:u w:val="single"/>
          <w:lang w:val="en-US" w:eastAsia="zh-CN"/>
        </w:rPr>
        <w:t>擅自</w:t>
      </w:r>
      <w:r>
        <w:rPr>
          <w:rFonts w:hint="eastAsia" w:ascii="仿宋" w:hAnsi="仿宋" w:eastAsia="仿宋" w:cs="仿宋"/>
          <w:sz w:val="24"/>
          <w:highlight w:val="none"/>
          <w:u w:val="single"/>
        </w:rPr>
        <w:t>更换技术负责人，处以违约金</w:t>
      </w:r>
      <w:r>
        <w:rPr>
          <w:rFonts w:hint="eastAsia" w:ascii="仿宋" w:hAnsi="仿宋" w:eastAsia="仿宋" w:cs="仿宋"/>
          <w:sz w:val="24"/>
          <w:highlight w:val="none"/>
          <w:u w:val="single"/>
          <w:lang w:val="en-US" w:eastAsia="zh-CN"/>
        </w:rPr>
        <w:t>捌仟</w:t>
      </w:r>
      <w:r>
        <w:rPr>
          <w:rFonts w:hint="eastAsia" w:ascii="仿宋" w:hAnsi="仿宋" w:eastAsia="仿宋" w:cs="仿宋"/>
          <w:sz w:val="24"/>
          <w:highlight w:val="none"/>
          <w:u w:val="single"/>
        </w:rPr>
        <w:t>元人民币/次/人；</w:t>
      </w:r>
      <w:r>
        <w:rPr>
          <w:rFonts w:hint="eastAsia" w:ascii="仿宋" w:hAnsi="仿宋" w:eastAsia="仿宋" w:cs="仿宋"/>
          <w:sz w:val="24"/>
          <w:highlight w:val="none"/>
          <w:u w:val="single"/>
          <w:lang w:val="en-US" w:eastAsia="zh-CN"/>
        </w:rPr>
        <w:t>擅自</w:t>
      </w:r>
      <w:r>
        <w:rPr>
          <w:rFonts w:hint="eastAsia" w:ascii="仿宋" w:hAnsi="仿宋" w:eastAsia="仿宋" w:cs="仿宋"/>
          <w:sz w:val="24"/>
          <w:highlight w:val="none"/>
          <w:u w:val="single"/>
        </w:rPr>
        <w:t>若更换施工员、安全员、质检员、材料员</w:t>
      </w:r>
      <w:r>
        <w:rPr>
          <w:rFonts w:hint="eastAsia" w:ascii="仿宋" w:hAnsi="仿宋" w:eastAsia="仿宋" w:cs="仿宋"/>
          <w:sz w:val="24"/>
          <w:highlight w:val="none"/>
          <w:u w:val="single"/>
          <w:lang w:val="en-US" w:eastAsia="zh-CN"/>
        </w:rPr>
        <w:t>等主要</w:t>
      </w:r>
      <w:r>
        <w:rPr>
          <w:rFonts w:hint="eastAsia" w:ascii="仿宋" w:hAnsi="仿宋" w:eastAsia="仿宋" w:cs="仿宋"/>
          <w:sz w:val="24"/>
          <w:highlight w:val="none"/>
          <w:u w:val="single"/>
        </w:rPr>
        <w:t>施工管理人员</w:t>
      </w:r>
      <w:r>
        <w:rPr>
          <w:rFonts w:hint="eastAsia" w:ascii="仿宋" w:hAnsi="仿宋" w:eastAsia="仿宋" w:cs="仿宋"/>
          <w:sz w:val="24"/>
          <w:highlight w:val="none"/>
          <w:u w:val="single"/>
          <w:lang w:val="en-US" w:eastAsia="zh-CN"/>
        </w:rPr>
        <w:t>的</w:t>
      </w:r>
      <w:r>
        <w:rPr>
          <w:rFonts w:hint="eastAsia" w:ascii="仿宋" w:hAnsi="仿宋" w:eastAsia="仿宋" w:cs="仿宋"/>
          <w:sz w:val="24"/>
          <w:highlight w:val="none"/>
          <w:u w:val="single"/>
        </w:rPr>
        <w:t>，处以违约金</w:t>
      </w:r>
      <w:r>
        <w:rPr>
          <w:rFonts w:hint="eastAsia" w:ascii="仿宋" w:hAnsi="仿宋" w:eastAsia="仿宋" w:cs="仿宋"/>
          <w:sz w:val="24"/>
          <w:highlight w:val="none"/>
          <w:u w:val="single"/>
          <w:lang w:eastAsia="zh-CN"/>
        </w:rPr>
        <w:t>伍仟</w:t>
      </w:r>
      <w:r>
        <w:rPr>
          <w:rFonts w:hint="eastAsia" w:ascii="仿宋" w:hAnsi="仿宋" w:eastAsia="仿宋" w:cs="仿宋"/>
          <w:sz w:val="24"/>
          <w:highlight w:val="none"/>
          <w:u w:val="single"/>
        </w:rPr>
        <w:t>元人民币/次/人</w:t>
      </w:r>
      <w:r>
        <w:rPr>
          <w:rFonts w:hint="eastAsia" w:ascii="仿宋" w:hAnsi="仿宋" w:eastAsia="仿宋" w:cs="仿宋"/>
          <w:sz w:val="24"/>
          <w:highlight w:val="none"/>
          <w:u w:val="single"/>
          <w:lang w:eastAsia="zh-CN"/>
        </w:rPr>
        <w:t>。</w:t>
      </w:r>
    </w:p>
    <w:p w14:paraId="41825B7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承包人主要施工管理人员擅自离开施工现场的违约责任：</w:t>
      </w:r>
      <w:r>
        <w:rPr>
          <w:rFonts w:hint="eastAsia" w:ascii="仿宋" w:hAnsi="仿宋" w:eastAsia="仿宋" w:cs="仿宋"/>
          <w:sz w:val="24"/>
          <w:highlight w:val="none"/>
          <w:u w:val="single"/>
        </w:rPr>
        <w:t>若</w:t>
      </w:r>
      <w:r>
        <w:rPr>
          <w:rFonts w:hint="eastAsia" w:ascii="仿宋" w:hAnsi="仿宋" w:eastAsia="仿宋" w:cs="仿宋"/>
          <w:sz w:val="24"/>
          <w:highlight w:val="none"/>
          <w:u w:val="single"/>
          <w:lang w:val="en-US" w:eastAsia="zh-CN"/>
        </w:rPr>
        <w:t>项目经理</w:t>
      </w:r>
      <w:r>
        <w:rPr>
          <w:rFonts w:hint="eastAsia" w:ascii="仿宋" w:hAnsi="仿宋" w:eastAsia="仿宋" w:cs="仿宋"/>
          <w:sz w:val="24"/>
          <w:highlight w:val="none"/>
          <w:u w:val="single"/>
        </w:rPr>
        <w:t>、施工员</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安全员月</w:t>
      </w:r>
      <w:r>
        <w:rPr>
          <w:rFonts w:hint="eastAsia" w:ascii="仿宋" w:hAnsi="仿宋" w:eastAsia="仿宋" w:cs="仿宋"/>
          <w:sz w:val="24"/>
          <w:highlight w:val="none"/>
          <w:u w:val="single"/>
        </w:rPr>
        <w:t>出勤不足</w:t>
      </w:r>
      <w:r>
        <w:rPr>
          <w:rFonts w:hint="eastAsia" w:ascii="仿宋" w:hAnsi="仿宋" w:eastAsia="仿宋" w:cs="仿宋"/>
          <w:sz w:val="24"/>
          <w:highlight w:val="none"/>
          <w:u w:val="single"/>
          <w:lang w:val="en-US" w:eastAsia="zh-CN"/>
        </w:rPr>
        <w:t>24天</w:t>
      </w:r>
      <w:r>
        <w:rPr>
          <w:rFonts w:hint="eastAsia" w:ascii="仿宋" w:hAnsi="仿宋" w:eastAsia="仿宋" w:cs="仿宋"/>
          <w:sz w:val="24"/>
          <w:highlight w:val="none"/>
          <w:u w:val="single"/>
        </w:rPr>
        <w:t>，支付违约金1000元人民币/天/人</w:t>
      </w:r>
      <w:r>
        <w:rPr>
          <w:rFonts w:hint="eastAsia" w:ascii="仿宋" w:hAnsi="仿宋" w:eastAsia="仿宋" w:cs="仿宋"/>
          <w:sz w:val="24"/>
          <w:highlight w:val="none"/>
          <w:u w:val="single"/>
          <w:lang w:eastAsia="zh-CN"/>
        </w:rPr>
        <w:t>，</w:t>
      </w:r>
      <w:r>
        <w:rPr>
          <w:rFonts w:hint="eastAsia" w:ascii="仿宋" w:hAnsi="仿宋" w:eastAsia="仿宋" w:cs="仿宋"/>
          <w:sz w:val="24"/>
          <w:highlight w:val="none"/>
          <w:u w:val="single"/>
          <w:lang w:val="en-US" w:eastAsia="zh-CN"/>
        </w:rPr>
        <w:t>且发包人有权要求更换管理人员</w:t>
      </w:r>
      <w:r>
        <w:rPr>
          <w:rFonts w:hint="eastAsia" w:ascii="仿宋" w:hAnsi="仿宋" w:eastAsia="仿宋" w:cs="仿宋"/>
          <w:sz w:val="24"/>
          <w:highlight w:val="none"/>
        </w:rPr>
        <w:t>。</w:t>
      </w:r>
    </w:p>
    <w:p w14:paraId="4278B0A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bookmarkStart w:id="180" w:name="_Toc297216151"/>
      <w:bookmarkStart w:id="181" w:name="_Toc304295523"/>
      <w:bookmarkStart w:id="182" w:name="_Toc303539102"/>
      <w:bookmarkStart w:id="183" w:name="_Toc296944498"/>
      <w:bookmarkStart w:id="184" w:name="_Toc296890987"/>
      <w:bookmarkStart w:id="185" w:name="_Toc292559364"/>
      <w:bookmarkStart w:id="186" w:name="_Toc312677988"/>
      <w:bookmarkStart w:id="187" w:name="_Toc296347158"/>
      <w:bookmarkStart w:id="188" w:name="_Toc296346660"/>
      <w:bookmarkStart w:id="189" w:name="_Toc297123492"/>
      <w:bookmarkStart w:id="190" w:name="_Toc296891199"/>
      <w:bookmarkStart w:id="191" w:name="_Toc297120459"/>
      <w:bookmarkStart w:id="192" w:name="_Toc297048345"/>
      <w:bookmarkStart w:id="193" w:name="_Toc300934945"/>
      <w:bookmarkStart w:id="194" w:name="_Toc292559869"/>
      <w:bookmarkStart w:id="195" w:name="_Toc296503159"/>
      <w:r>
        <w:rPr>
          <w:rFonts w:hint="eastAsia" w:ascii="仿宋" w:hAnsi="仿宋" w:eastAsia="仿宋" w:cs="仿宋"/>
          <w:sz w:val="24"/>
          <w:highlight w:val="none"/>
        </w:rPr>
        <w:t>.5 分包</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5F353BB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w:t>
      </w:r>
      <w:bookmarkStart w:id="196" w:name="_Toc297120460"/>
      <w:bookmarkStart w:id="197" w:name="_Toc296890988"/>
      <w:bookmarkStart w:id="198" w:name="_Toc297123493"/>
      <w:bookmarkStart w:id="199" w:name="_Toc304295524"/>
      <w:bookmarkStart w:id="200" w:name="_Toc296347159"/>
      <w:bookmarkStart w:id="201" w:name="_Toc292559870"/>
      <w:bookmarkStart w:id="202" w:name="_Toc296891200"/>
      <w:bookmarkStart w:id="203" w:name="_Toc292559365"/>
      <w:bookmarkStart w:id="204" w:name="_Toc300934946"/>
      <w:bookmarkStart w:id="205" w:name="_Toc296944499"/>
      <w:bookmarkStart w:id="206" w:name="_Toc297216152"/>
      <w:bookmarkStart w:id="207" w:name="_Toc297048346"/>
      <w:bookmarkStart w:id="208" w:name="_Toc296346661"/>
      <w:bookmarkStart w:id="209" w:name="_Toc303539103"/>
      <w:bookmarkStart w:id="210" w:name="_Toc296503160"/>
      <w:bookmarkStart w:id="211" w:name="_Toc318581158"/>
      <w:bookmarkStart w:id="212" w:name="_Toc312677989"/>
      <w:r>
        <w:rPr>
          <w:rFonts w:hint="eastAsia" w:ascii="仿宋" w:hAnsi="仿宋" w:eastAsia="仿宋" w:cs="仿宋"/>
          <w:sz w:val="24"/>
          <w:highlight w:val="none"/>
        </w:rPr>
        <w:t>.5.1 分包的一般约定</w:t>
      </w:r>
    </w:p>
    <w:p w14:paraId="03CB4B6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禁止分包的工程包括：</w:t>
      </w:r>
      <w:r>
        <w:rPr>
          <w:rFonts w:hint="eastAsia" w:ascii="仿宋" w:hAnsi="仿宋" w:eastAsia="仿宋" w:cs="仿宋"/>
          <w:sz w:val="24"/>
          <w:highlight w:val="none"/>
          <w:u w:val="single"/>
        </w:rPr>
        <w:t>未经发包人同意一律不得分包</w:t>
      </w:r>
      <w:r>
        <w:rPr>
          <w:rFonts w:hint="eastAsia" w:ascii="仿宋" w:hAnsi="仿宋" w:eastAsia="仿宋" w:cs="仿宋"/>
          <w:sz w:val="24"/>
          <w:highlight w:val="none"/>
        </w:rPr>
        <w:t>。</w:t>
      </w:r>
    </w:p>
    <w:p w14:paraId="5215F14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主体结构、关键性工作的范围：</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rPr>
        <w: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Start w:id="213" w:name="_Toc296891201"/>
      <w:bookmarkStart w:id="214" w:name="_Toc297123494"/>
      <w:bookmarkStart w:id="215" w:name="_Toc303539104"/>
      <w:bookmarkStart w:id="216" w:name="_Toc297120461"/>
      <w:bookmarkStart w:id="217" w:name="_Toc300934947"/>
      <w:bookmarkStart w:id="218" w:name="_Toc296503161"/>
      <w:bookmarkStart w:id="219" w:name="_Toc297216153"/>
      <w:bookmarkStart w:id="220" w:name="_Toc296347160"/>
      <w:bookmarkStart w:id="221" w:name="_Toc296346662"/>
      <w:bookmarkStart w:id="222" w:name="_Toc296944500"/>
      <w:bookmarkStart w:id="223" w:name="_Toc297048347"/>
      <w:bookmarkStart w:id="224" w:name="_Toc304295525"/>
      <w:bookmarkStart w:id="225" w:name="_Toc296890989"/>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4F0AE006">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3</w:t>
      </w:r>
      <w:bookmarkStart w:id="226" w:name="_Toc318581159"/>
      <w:bookmarkStart w:id="227" w:name="_Toc312677990"/>
      <w:r>
        <w:rPr>
          <w:rFonts w:hint="eastAsia" w:ascii="仿宋" w:hAnsi="仿宋" w:eastAsia="仿宋" w:cs="仿宋"/>
          <w:sz w:val="24"/>
          <w:highlight w:val="none"/>
        </w:rPr>
        <w:t>.5.2分包的确定</w:t>
      </w:r>
    </w:p>
    <w:p w14:paraId="7C7F9705">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允许分包的专业工程包括：根据工程需要，如需要由专业厂家施工，则分包单位的资质必须满足相关管理规定、相关法律、法规要求且必须征得发包人同意。</w:t>
      </w:r>
      <w:r>
        <w:rPr>
          <w:rFonts w:hint="eastAsia" w:ascii="仿宋" w:hAnsi="仿宋" w:eastAsia="仿宋" w:cs="仿宋"/>
          <w:sz w:val="24"/>
          <w:highlight w:val="none"/>
          <w:u w:val="single"/>
        </w:rPr>
        <w:t>未经发包人同意，承包人不得将承包工程的任何部分分包，如发现擅自分包，除立即取消分包人的分包资格外，承包人还应按合同价的1%向发包人支付违约金</w:t>
      </w:r>
      <w:r>
        <w:rPr>
          <w:rFonts w:hint="eastAsia" w:ascii="仿宋" w:hAnsi="仿宋" w:eastAsia="仿宋" w:cs="仿宋"/>
          <w:sz w:val="24"/>
          <w:highlight w:val="none"/>
        </w:rPr>
        <w:t>。</w:t>
      </w:r>
    </w:p>
    <w:p w14:paraId="200CD90F">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其他关于分包的约定：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1A5B9B1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3.5.4 分包合同价款</w:t>
      </w:r>
    </w:p>
    <w:p w14:paraId="3B0EF514">
      <w:pPr>
        <w:spacing w:line="360" w:lineRule="auto"/>
        <w:ind w:firstLine="480" w:firstLineChars="200"/>
        <w:rPr>
          <w:rFonts w:hint="eastAsia" w:ascii="仿宋" w:hAnsi="仿宋" w:eastAsia="仿宋" w:cs="仿宋"/>
          <w:b/>
          <w:sz w:val="24"/>
          <w:highlight w:val="none"/>
          <w:u w:val="single"/>
        </w:rPr>
      </w:pPr>
      <w:r>
        <w:rPr>
          <w:rFonts w:hint="eastAsia" w:ascii="仿宋" w:hAnsi="仿宋" w:eastAsia="仿宋" w:cs="仿宋"/>
          <w:sz w:val="24"/>
          <w:highlight w:val="none"/>
        </w:rPr>
        <w:t>关于分包合同价款支付的约定：</w:t>
      </w:r>
      <w:r>
        <w:rPr>
          <w:rFonts w:hint="eastAsia" w:ascii="仿宋" w:hAnsi="仿宋" w:eastAsia="仿宋" w:cs="仿宋"/>
          <w:kern w:val="0"/>
          <w:sz w:val="24"/>
          <w:highlight w:val="none"/>
          <w:u w:val="single"/>
        </w:rPr>
        <w:t>按通用条款执行   。</w:t>
      </w:r>
    </w:p>
    <w:bookmarkEnd w:id="226"/>
    <w:bookmarkEnd w:id="227"/>
    <w:p w14:paraId="64C4E29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3.6 工程照管与成品、半成品保护</w:t>
      </w:r>
    </w:p>
    <w:p w14:paraId="54E119F5">
      <w:pPr>
        <w:spacing w:line="360" w:lineRule="auto"/>
        <w:ind w:firstLine="480" w:firstLineChars="200"/>
        <w:jc w:val="left"/>
        <w:rPr>
          <w:rFonts w:hint="eastAsia" w:ascii="仿宋" w:hAnsi="仿宋" w:eastAsia="仿宋" w:cs="仿宋"/>
          <w:b/>
          <w:kern w:val="0"/>
          <w:sz w:val="24"/>
          <w:highlight w:val="none"/>
          <w:u w:val="single"/>
        </w:rPr>
      </w:pPr>
      <w:r>
        <w:rPr>
          <w:rFonts w:hint="eastAsia" w:ascii="仿宋" w:hAnsi="仿宋" w:eastAsia="仿宋" w:cs="仿宋"/>
          <w:kern w:val="0"/>
          <w:sz w:val="24"/>
          <w:highlight w:val="none"/>
        </w:rPr>
        <w:t>承包人负责照管工程及工程相关的材料、工程设备的起始时间：</w:t>
      </w:r>
      <w:r>
        <w:rPr>
          <w:rFonts w:hint="eastAsia" w:ascii="仿宋" w:hAnsi="仿宋" w:eastAsia="仿宋" w:cs="仿宋"/>
          <w:kern w:val="0"/>
          <w:sz w:val="24"/>
          <w:highlight w:val="none"/>
          <w:u w:val="single"/>
        </w:rPr>
        <w:t>按通用条款执行</w:t>
      </w:r>
      <w:r>
        <w:rPr>
          <w:rFonts w:hint="eastAsia" w:ascii="仿宋" w:hAnsi="仿宋" w:eastAsia="仿宋" w:cs="仿宋"/>
          <w:b/>
          <w:kern w:val="0"/>
          <w:sz w:val="24"/>
          <w:highlight w:val="none"/>
          <w:u w:val="single"/>
        </w:rPr>
        <w:t>。</w:t>
      </w:r>
    </w:p>
    <w:p w14:paraId="1C8C1B59">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3.7 履约担保</w:t>
      </w:r>
    </w:p>
    <w:p w14:paraId="41D5ABC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承包人是否提供履约担保：</w:t>
      </w:r>
      <w:r>
        <w:rPr>
          <w:rFonts w:hint="eastAsia" w:ascii="仿宋" w:hAnsi="仿宋" w:eastAsia="仿宋" w:cs="仿宋"/>
          <w:sz w:val="24"/>
          <w:highlight w:val="none"/>
          <w:u w:val="single"/>
        </w:rPr>
        <w:t xml:space="preserve">  是   </w:t>
      </w:r>
      <w:r>
        <w:rPr>
          <w:rFonts w:hint="eastAsia" w:ascii="仿宋" w:hAnsi="仿宋" w:eastAsia="仿宋" w:cs="仿宋"/>
          <w:sz w:val="24"/>
          <w:highlight w:val="none"/>
        </w:rPr>
        <w:t>。</w:t>
      </w:r>
    </w:p>
    <w:p w14:paraId="2381565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承包人提供履约担保的形式、金额及期限的：</w:t>
      </w:r>
      <w:r>
        <w:rPr>
          <w:rFonts w:hint="eastAsia" w:ascii="仿宋" w:hAnsi="仿宋" w:eastAsia="仿宋" w:cs="仿宋"/>
          <w:sz w:val="24"/>
          <w:highlight w:val="none"/>
          <w:u w:val="single"/>
        </w:rPr>
        <w:t>履约担保的金额：合同金额的</w:t>
      </w:r>
      <w:r>
        <w:rPr>
          <w:rFonts w:hint="eastAsia" w:ascii="仿宋" w:hAnsi="仿宋" w:eastAsia="仿宋" w:cs="仿宋"/>
          <w:sz w:val="24"/>
          <w:highlight w:val="none"/>
          <w:u w:val="single"/>
          <w:lang w:val="en-US" w:eastAsia="zh-CN"/>
        </w:rPr>
        <w:t>2</w:t>
      </w:r>
      <w:r>
        <w:rPr>
          <w:rFonts w:hint="eastAsia" w:ascii="仿宋" w:hAnsi="仿宋" w:eastAsia="仿宋" w:cs="仿宋"/>
          <w:sz w:val="24"/>
          <w:highlight w:val="none"/>
          <w:u w:val="single"/>
        </w:rPr>
        <w:t>%。履约保证金缴纳的形式：可以以支票、汇票、本票或者金融机构、担保机构出具的保函等非现金提交形式。履约担保的最晚提交时间：申请支付预付款前。履约担保有效期自履约担保缴纳之日起至竣工验收合格前有效。竣工验收完成后，退还履约保证金（如有剩余），履约担保不计息。如承包人未能履行合同约定的任何义务，发包人有权扣除承包人部分直至全部履约保证金。执行本条各项要求所需的费用由承包人承担。但如果此时存在合同争端并且未能解决，那么履约保证金有效期应延长到上诉争端最终解决且索赔完毕后终止。</w:t>
      </w:r>
    </w:p>
    <w:p w14:paraId="7B356F4D">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28" w:name="_Toc351203636"/>
      <w:r>
        <w:rPr>
          <w:rFonts w:hint="eastAsia" w:ascii="仿宋" w:hAnsi="仿宋" w:eastAsia="仿宋" w:cs="仿宋"/>
          <w:bCs/>
          <w:sz w:val="24"/>
          <w:highlight w:val="none"/>
        </w:rPr>
        <w:t>4</w:t>
      </w:r>
      <w:bookmarkStart w:id="229" w:name="_Toc296503162"/>
      <w:bookmarkStart w:id="230" w:name="_Toc292559871"/>
      <w:bookmarkStart w:id="231" w:name="_Toc296890990"/>
      <w:bookmarkStart w:id="232" w:name="_Toc296944501"/>
      <w:bookmarkStart w:id="233" w:name="_Toc296891202"/>
      <w:bookmarkStart w:id="234" w:name="_Toc297120462"/>
      <w:bookmarkStart w:id="235" w:name="_Toc296346663"/>
      <w:bookmarkStart w:id="236" w:name="_Toc267251413"/>
      <w:bookmarkStart w:id="237" w:name="_Toc296347161"/>
      <w:bookmarkStart w:id="238" w:name="_Toc292559366"/>
      <w:bookmarkStart w:id="239" w:name="_Toc297048348"/>
      <w:r>
        <w:rPr>
          <w:rFonts w:hint="eastAsia" w:ascii="仿宋" w:hAnsi="仿宋" w:eastAsia="仿宋" w:cs="仿宋"/>
          <w:bCs/>
          <w:sz w:val="24"/>
          <w:highlight w:val="none"/>
        </w:rPr>
        <w:t>. 监</w:t>
      </w:r>
      <w:bookmarkEnd w:id="229"/>
      <w:bookmarkEnd w:id="230"/>
      <w:bookmarkEnd w:id="231"/>
      <w:bookmarkEnd w:id="232"/>
      <w:bookmarkEnd w:id="233"/>
      <w:bookmarkEnd w:id="234"/>
      <w:bookmarkEnd w:id="235"/>
      <w:bookmarkEnd w:id="236"/>
      <w:bookmarkEnd w:id="237"/>
      <w:bookmarkEnd w:id="238"/>
      <w:bookmarkEnd w:id="239"/>
      <w:r>
        <w:rPr>
          <w:rFonts w:hint="eastAsia" w:ascii="仿宋" w:hAnsi="仿宋" w:eastAsia="仿宋" w:cs="仿宋"/>
          <w:bCs/>
          <w:sz w:val="24"/>
          <w:highlight w:val="none"/>
        </w:rPr>
        <w:t>理人</w:t>
      </w:r>
      <w:bookmarkEnd w:id="228"/>
    </w:p>
    <w:p w14:paraId="56F9AB09">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4.1监理人的一般规定</w:t>
      </w:r>
    </w:p>
    <w:p w14:paraId="1467D84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关于监理人的监理内容：</w:t>
      </w:r>
      <w:r>
        <w:rPr>
          <w:rFonts w:hint="eastAsia" w:ascii="仿宋" w:hAnsi="仿宋" w:eastAsia="仿宋" w:cs="仿宋"/>
          <w:sz w:val="24"/>
          <w:highlight w:val="none"/>
          <w:u w:val="single"/>
        </w:rPr>
        <w:t>按监理合同约定实行</w:t>
      </w:r>
      <w:r>
        <w:rPr>
          <w:rFonts w:hint="eastAsia" w:ascii="仿宋" w:hAnsi="仿宋" w:eastAsia="仿宋" w:cs="仿宋"/>
          <w:sz w:val="24"/>
          <w:highlight w:val="none"/>
        </w:rPr>
        <w:t>。</w:t>
      </w:r>
    </w:p>
    <w:p w14:paraId="1441078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关于监理人的监理权限：</w:t>
      </w:r>
      <w:r>
        <w:rPr>
          <w:rFonts w:hint="eastAsia" w:ascii="仿宋" w:hAnsi="仿宋" w:eastAsia="仿宋" w:cs="仿宋"/>
          <w:sz w:val="24"/>
          <w:highlight w:val="none"/>
          <w:u w:val="single"/>
        </w:rPr>
        <w:t>按监理合同约定实行</w:t>
      </w:r>
      <w:r>
        <w:rPr>
          <w:rFonts w:hint="eastAsia" w:ascii="仿宋" w:hAnsi="仿宋" w:eastAsia="仿宋" w:cs="仿宋"/>
          <w:sz w:val="24"/>
          <w:highlight w:val="none"/>
        </w:rPr>
        <w:t xml:space="preserve">。 </w:t>
      </w:r>
    </w:p>
    <w:p w14:paraId="58F4E796">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关于监理人在施工现场的办公场所、生活场所的提供和费用承担的约定：</w:t>
      </w:r>
      <w:r>
        <w:rPr>
          <w:rFonts w:hint="eastAsia" w:ascii="仿宋" w:hAnsi="仿宋" w:eastAsia="仿宋" w:cs="仿宋"/>
          <w:sz w:val="24"/>
          <w:highlight w:val="none"/>
          <w:u w:val="single"/>
        </w:rPr>
        <w:t>无</w:t>
      </w:r>
      <w:r>
        <w:rPr>
          <w:rFonts w:hint="eastAsia" w:ascii="仿宋" w:hAnsi="仿宋" w:eastAsia="仿宋" w:cs="仿宋"/>
          <w:sz w:val="24"/>
          <w:highlight w:val="none"/>
        </w:rPr>
        <w:t>。</w:t>
      </w:r>
    </w:p>
    <w:p w14:paraId="1657887F">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4.2 监理人员</w:t>
      </w:r>
    </w:p>
    <w:p w14:paraId="53B76DC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总监理工程师：</w:t>
      </w:r>
    </w:p>
    <w:p w14:paraId="31A323C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    名：</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6DB998B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职    务：</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7A0ACA8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监理工程师执业资格证书号：</w:t>
      </w:r>
      <w:r>
        <w:rPr>
          <w:rFonts w:hint="eastAsia" w:ascii="仿宋" w:hAnsi="仿宋" w:eastAsia="仿宋" w:cs="仿宋"/>
          <w:sz w:val="24"/>
          <w:highlight w:val="none"/>
          <w:u w:val="single"/>
        </w:rPr>
        <w:t> </w:t>
      </w:r>
      <w:r>
        <w:rPr>
          <w:rFonts w:hint="eastAsia" w:ascii="仿宋" w:hAnsi="仿宋" w:eastAsia="仿宋" w:cs="仿宋"/>
          <w:sz w:val="24"/>
          <w:highlight w:val="none"/>
        </w:rPr>
        <w:t>；</w:t>
      </w:r>
    </w:p>
    <w:p w14:paraId="4E164E3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联系电话：</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7DF4105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电子信箱：</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5502085C">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通信地址：</w:t>
      </w:r>
      <w:r>
        <w:rPr>
          <w:rFonts w:hint="eastAsia" w:ascii="仿宋" w:hAnsi="仿宋" w:eastAsia="仿宋" w:cs="仿宋"/>
          <w:sz w:val="24"/>
          <w:highlight w:val="none"/>
          <w:u w:val="single"/>
        </w:rPr>
        <w:t>   </w:t>
      </w:r>
      <w:r>
        <w:rPr>
          <w:rFonts w:hint="eastAsia" w:ascii="仿宋" w:hAnsi="仿宋" w:eastAsia="仿宋" w:cs="仿宋"/>
          <w:sz w:val="24"/>
          <w:highlight w:val="none"/>
        </w:rPr>
        <w:t>；</w:t>
      </w:r>
    </w:p>
    <w:p w14:paraId="4ABDFCC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关于监理人的其他约定：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8939ED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4.4 商定或确定</w:t>
      </w:r>
    </w:p>
    <w:p w14:paraId="08BC4A36">
      <w:pPr>
        <w:spacing w:line="360" w:lineRule="auto"/>
        <w:ind w:firstLine="480" w:firstLineChars="200"/>
        <w:rPr>
          <w:rFonts w:hint="eastAsia" w:ascii="仿宋" w:hAnsi="仿宋" w:eastAsia="仿宋" w:cs="仿宋"/>
          <w:sz w:val="24"/>
          <w:highlight w:val="none"/>
        </w:rPr>
      </w:pPr>
      <w:bookmarkStart w:id="240" w:name="_Toc267251418"/>
      <w:r>
        <w:rPr>
          <w:rFonts w:hint="eastAsia" w:ascii="仿宋" w:hAnsi="仿宋" w:eastAsia="仿宋" w:cs="仿宋"/>
          <w:sz w:val="24"/>
          <w:highlight w:val="none"/>
        </w:rPr>
        <w:t>在发包人和承包人不能通过协商达成一致意见时，发包人授权监理人对以下事项进行确定：</w:t>
      </w:r>
    </w:p>
    <w:p w14:paraId="709A3D10">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（1）</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63ECFD3">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41" w:name="_Toc351203637"/>
      <w:r>
        <w:rPr>
          <w:rFonts w:hint="eastAsia" w:ascii="仿宋" w:hAnsi="仿宋" w:eastAsia="仿宋" w:cs="仿宋"/>
          <w:bCs/>
          <w:sz w:val="24"/>
          <w:highlight w:val="none"/>
        </w:rPr>
        <w:t>5</w:t>
      </w:r>
      <w:bookmarkEnd w:id="240"/>
      <w:bookmarkStart w:id="242" w:name="_Toc296944502"/>
      <w:bookmarkStart w:id="243" w:name="_Toc296503163"/>
      <w:bookmarkStart w:id="244" w:name="_Toc297048349"/>
      <w:bookmarkStart w:id="245" w:name="_Toc296347162"/>
      <w:bookmarkStart w:id="246" w:name="_Toc292559872"/>
      <w:bookmarkStart w:id="247" w:name="_Toc296346664"/>
      <w:bookmarkStart w:id="248" w:name="_Toc297120463"/>
      <w:bookmarkStart w:id="249" w:name="_Toc296891203"/>
      <w:bookmarkStart w:id="250" w:name="_Toc296890991"/>
      <w:bookmarkStart w:id="251" w:name="_Toc292559367"/>
      <w:r>
        <w:rPr>
          <w:rFonts w:hint="eastAsia" w:ascii="仿宋" w:hAnsi="仿宋" w:eastAsia="仿宋" w:cs="仿宋"/>
          <w:bCs/>
          <w:sz w:val="24"/>
          <w:highlight w:val="none"/>
        </w:rPr>
        <w:t>. 工程质量</w:t>
      </w:r>
      <w:bookmarkEnd w:id="241"/>
    </w:p>
    <w:p w14:paraId="63076E2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5.1 质量要求</w:t>
      </w:r>
    </w:p>
    <w:p w14:paraId="2BBD1C20">
      <w:pPr>
        <w:pStyle w:val="19"/>
        <w:spacing w:line="360" w:lineRule="auto"/>
        <w:ind w:firstLine="480" w:firstLineChars="200"/>
        <w:rPr>
          <w:rFonts w:hint="eastAsia" w:ascii="仿宋" w:hAnsi="仿宋" w:eastAsia="仿宋" w:cs="仿宋"/>
          <w:bCs w:val="0"/>
          <w:sz w:val="24"/>
          <w:highlight w:val="none"/>
        </w:rPr>
      </w:pPr>
      <w:r>
        <w:rPr>
          <w:rFonts w:hint="eastAsia" w:ascii="仿宋" w:hAnsi="仿宋" w:eastAsia="仿宋" w:cs="仿宋"/>
          <w:bCs w:val="0"/>
          <w:sz w:val="24"/>
          <w:highlight w:val="none"/>
        </w:rPr>
        <w:t>5</w:t>
      </w:r>
      <w:bookmarkStart w:id="252" w:name="_Toc297216155"/>
      <w:bookmarkStart w:id="253" w:name="_Toc300934949"/>
      <w:bookmarkStart w:id="254" w:name="_Toc304295527"/>
      <w:bookmarkStart w:id="255" w:name="_Toc297123496"/>
      <w:bookmarkStart w:id="256" w:name="_Toc303539106"/>
      <w:bookmarkStart w:id="257" w:name="_Toc312677997"/>
      <w:bookmarkStart w:id="258" w:name="_Toc318581164"/>
      <w:r>
        <w:rPr>
          <w:rFonts w:hint="eastAsia" w:ascii="仿宋" w:hAnsi="仿宋" w:eastAsia="仿宋" w:cs="仿宋"/>
          <w:bCs w:val="0"/>
          <w:sz w:val="24"/>
          <w:highlight w:val="none"/>
        </w:rPr>
        <w:t>.1.1 特殊质量标准和要求</w:t>
      </w:r>
      <w:r>
        <w:rPr>
          <w:rFonts w:hint="eastAsia" w:ascii="仿宋" w:hAnsi="仿宋" w:eastAsia="仿宋" w:cs="仿宋"/>
          <w:bCs w:val="0"/>
          <w:sz w:val="24"/>
          <w:highlight w:val="none"/>
          <w:u w:val="single"/>
        </w:rPr>
        <w:t>：</w:t>
      </w:r>
      <w:r>
        <w:rPr>
          <w:rFonts w:hint="eastAsia" w:ascii="仿宋" w:hAnsi="仿宋" w:eastAsia="仿宋" w:cs="仿宋"/>
          <w:bCs w:val="0"/>
          <w:sz w:val="24"/>
          <w:highlight w:val="none"/>
          <w:u w:val="single"/>
          <w:lang w:val="en-US" w:eastAsia="zh-CN"/>
        </w:rPr>
        <w:t>/</w:t>
      </w:r>
      <w:r>
        <w:rPr>
          <w:rFonts w:hint="eastAsia" w:ascii="仿宋" w:hAnsi="仿宋" w:eastAsia="仿宋" w:cs="仿宋"/>
          <w:bCs w:val="0"/>
          <w:sz w:val="24"/>
          <w:highlight w:val="none"/>
          <w:u w:val="single"/>
        </w:rPr>
        <w:t>。</w:t>
      </w:r>
    </w:p>
    <w:p w14:paraId="57B361F3">
      <w:pPr>
        <w:spacing w:line="360" w:lineRule="auto"/>
        <w:ind w:firstLine="480" w:firstLineChars="200"/>
        <w:jc w:val="left"/>
        <w:rPr>
          <w:rFonts w:hint="eastAsia" w:ascii="仿宋" w:hAnsi="仿宋" w:eastAsia="仿宋" w:cs="仿宋"/>
          <w:bCs w:val="0"/>
          <w:sz w:val="24"/>
          <w:highlight w:val="none"/>
          <w:u w:val="none"/>
        </w:rPr>
      </w:pPr>
      <w:r>
        <w:rPr>
          <w:rFonts w:hint="eastAsia" w:ascii="仿宋" w:hAnsi="仿宋" w:eastAsia="仿宋" w:cs="仿宋"/>
          <w:bCs w:val="0"/>
          <w:sz w:val="24"/>
          <w:highlight w:val="none"/>
        </w:rPr>
        <w:t>关于工程奖项的约定：</w:t>
      </w:r>
      <w:r>
        <w:rPr>
          <w:rFonts w:hint="eastAsia" w:ascii="仿宋" w:hAnsi="仿宋" w:eastAsia="仿宋" w:cs="仿宋"/>
          <w:bCs w:val="0"/>
          <w:sz w:val="24"/>
          <w:highlight w:val="none"/>
          <w:u w:val="single"/>
        </w:rPr>
        <w:t xml:space="preserve">  /  。</w:t>
      </w:r>
    </w:p>
    <w:p w14:paraId="1E62BBF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5.3 隐蔽工程检查</w:t>
      </w:r>
    </w:p>
    <w:p w14:paraId="6A9D8D7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5.3.2承包人提前通知监理人隐蔽工程检查的期限的约定：</w:t>
      </w:r>
      <w:r>
        <w:rPr>
          <w:rFonts w:hint="eastAsia" w:ascii="仿宋" w:hAnsi="仿宋" w:eastAsia="仿宋" w:cs="仿宋"/>
          <w:sz w:val="24"/>
          <w:highlight w:val="none"/>
          <w:u w:val="single"/>
        </w:rPr>
        <w:t>承包人应在共同检查前48小时书面通知监理人检查，通知中应载明隐蔽检查的内容、时间和地点，并应附有自检记录和必要的检查资料。隐蔽工程必须做好影像资料收集、整理</w:t>
      </w:r>
      <w:r>
        <w:rPr>
          <w:rFonts w:hint="eastAsia" w:ascii="仿宋" w:hAnsi="仿宋" w:eastAsia="仿宋" w:cs="仿宋"/>
          <w:sz w:val="24"/>
          <w:highlight w:val="none"/>
        </w:rPr>
        <w:t>。</w:t>
      </w:r>
    </w:p>
    <w:p w14:paraId="7A9B43E6">
      <w:pPr>
        <w:spacing w:line="360" w:lineRule="auto"/>
        <w:ind w:firstLine="504" w:firstLineChars="210"/>
        <w:jc w:val="left"/>
        <w:rPr>
          <w:rFonts w:hint="eastAsia" w:ascii="仿宋" w:hAnsi="仿宋" w:eastAsia="仿宋" w:cs="仿宋"/>
          <w:sz w:val="24"/>
          <w:highlight w:val="none"/>
        </w:rPr>
      </w:pPr>
      <w:r>
        <w:rPr>
          <w:rFonts w:hint="eastAsia" w:ascii="仿宋" w:hAnsi="仿宋" w:eastAsia="仿宋" w:cs="仿宋"/>
          <w:sz w:val="24"/>
          <w:highlight w:val="none"/>
        </w:rPr>
        <w:t>监理人不能按时进行检查时，应提前</w:t>
      </w:r>
      <w:r>
        <w:rPr>
          <w:rFonts w:hint="eastAsia" w:ascii="仿宋" w:hAnsi="仿宋" w:eastAsia="仿宋" w:cs="仿宋"/>
          <w:sz w:val="24"/>
          <w:highlight w:val="none"/>
          <w:u w:val="single"/>
        </w:rPr>
        <w:t xml:space="preserve"> 24 </w:t>
      </w:r>
      <w:r>
        <w:rPr>
          <w:rFonts w:hint="eastAsia" w:ascii="仿宋" w:hAnsi="仿宋" w:eastAsia="仿宋" w:cs="仿宋"/>
          <w:sz w:val="24"/>
          <w:highlight w:val="none"/>
        </w:rPr>
        <w:t>小时提交书面延期要求。</w:t>
      </w:r>
    </w:p>
    <w:p w14:paraId="5D046FA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关于延期最长不得超过：</w:t>
      </w:r>
      <w:r>
        <w:rPr>
          <w:rFonts w:hint="eastAsia" w:ascii="仿宋" w:hAnsi="仿宋" w:eastAsia="仿宋" w:cs="仿宋"/>
          <w:sz w:val="24"/>
          <w:highlight w:val="none"/>
          <w:u w:val="single"/>
        </w:rPr>
        <w:t xml:space="preserve">  48  </w:t>
      </w:r>
      <w:r>
        <w:rPr>
          <w:rFonts w:hint="eastAsia" w:ascii="仿宋" w:hAnsi="仿宋" w:eastAsia="仿宋" w:cs="仿宋"/>
          <w:sz w:val="24"/>
          <w:highlight w:val="none"/>
        </w:rPr>
        <w:t>小时。</w:t>
      </w:r>
    </w:p>
    <w:p w14:paraId="137B3F76">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59" w:name="_Toc351203638"/>
      <w:r>
        <w:rPr>
          <w:rFonts w:hint="eastAsia" w:ascii="仿宋" w:hAnsi="仿宋" w:eastAsia="仿宋" w:cs="仿宋"/>
          <w:bCs/>
          <w:sz w:val="24"/>
          <w:highlight w:val="none"/>
        </w:rPr>
        <w:t>6. 安全文明施工与环境保护</w:t>
      </w:r>
      <w:bookmarkEnd w:id="259"/>
    </w:p>
    <w:p w14:paraId="77FF203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6.1安全文明施工</w:t>
      </w:r>
    </w:p>
    <w:p w14:paraId="422A1D1E">
      <w:pPr>
        <w:spacing w:line="360" w:lineRule="auto"/>
        <w:ind w:firstLine="480" w:firstLineChars="200"/>
        <w:jc w:val="left"/>
        <w:rPr>
          <w:rFonts w:hint="eastAsia" w:ascii="仿宋" w:hAnsi="仿宋" w:eastAsia="仿宋" w:cs="仿宋"/>
          <w:b/>
          <w:sz w:val="24"/>
          <w:highlight w:val="none"/>
          <w:u w:val="single"/>
        </w:rPr>
      </w:pPr>
      <w:r>
        <w:rPr>
          <w:rFonts w:hint="eastAsia" w:ascii="仿宋" w:hAnsi="仿宋" w:eastAsia="仿宋" w:cs="仿宋"/>
          <w:sz w:val="24"/>
          <w:highlight w:val="none"/>
        </w:rPr>
        <w:t>6.1.1 项目安全生产的达标目标及相应事项的约定：</w:t>
      </w:r>
      <w:r>
        <w:rPr>
          <w:rFonts w:hint="eastAsia" w:ascii="仿宋" w:hAnsi="仿宋" w:eastAsia="仿宋" w:cs="仿宋"/>
          <w:b/>
          <w:sz w:val="24"/>
          <w:highlight w:val="none"/>
          <w:u w:val="single"/>
        </w:rPr>
        <w:t>施工现场按照《建筑施工安全检查标准》（JGJ59-2011）评定达到“合格”标准。《建设工程质量安全文明施工责任书》、《工程廉政责任书》作为施工合同附件，由施工合同的发包人、承包人双方共同签署。</w:t>
      </w:r>
    </w:p>
    <w:p w14:paraId="020ACA2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6.1.4 关于治安保卫的特别约定：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2FD2FA5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关于编制施工场地治安管理计划的约定：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690B130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6.1.5 文明施工</w:t>
      </w:r>
    </w:p>
    <w:p w14:paraId="3D5CA0F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合同当事人对文明施工的要求：</w:t>
      </w:r>
    </w:p>
    <w:p w14:paraId="18857ADF">
      <w:pPr>
        <w:spacing w:line="360" w:lineRule="auto"/>
        <w:ind w:firstLine="477" w:firstLineChars="198"/>
        <w:jc w:val="left"/>
        <w:rPr>
          <w:rFonts w:hint="eastAsia" w:ascii="仿宋" w:hAnsi="仿宋" w:eastAsia="仿宋" w:cs="仿宋"/>
          <w:b/>
          <w:sz w:val="24"/>
          <w:highlight w:val="none"/>
          <w:u w:val="single"/>
          <w:lang w:val="zh-CN"/>
        </w:rPr>
      </w:pPr>
      <w:r>
        <w:rPr>
          <w:rFonts w:hint="eastAsia" w:ascii="仿宋" w:hAnsi="仿宋" w:eastAsia="仿宋" w:cs="仿宋"/>
          <w:b/>
          <w:sz w:val="24"/>
          <w:highlight w:val="none"/>
          <w:u w:val="single"/>
        </w:rPr>
        <w:t>（1）</w:t>
      </w:r>
      <w:r>
        <w:rPr>
          <w:rFonts w:hint="eastAsia" w:ascii="仿宋" w:hAnsi="仿宋" w:eastAsia="仿宋" w:cs="仿宋"/>
          <w:b/>
          <w:sz w:val="24"/>
          <w:highlight w:val="none"/>
          <w:u w:val="single"/>
          <w:lang w:val="zh-CN"/>
        </w:rPr>
        <w:t>遵守地方政府、</w:t>
      </w:r>
      <w:r>
        <w:rPr>
          <w:rFonts w:hint="eastAsia" w:ascii="仿宋" w:hAnsi="仿宋" w:eastAsia="仿宋" w:cs="仿宋"/>
          <w:b/>
          <w:sz w:val="24"/>
          <w:highlight w:val="none"/>
          <w:u w:val="single"/>
        </w:rPr>
        <w:t>园区管理部门</w:t>
      </w:r>
      <w:r>
        <w:rPr>
          <w:rFonts w:hint="eastAsia" w:ascii="仿宋" w:hAnsi="仿宋" w:eastAsia="仿宋" w:cs="仿宋"/>
          <w:b/>
          <w:sz w:val="24"/>
          <w:highlight w:val="none"/>
          <w:u w:val="single"/>
          <w:lang w:val="zh-CN"/>
        </w:rPr>
        <w:t>和</w:t>
      </w:r>
      <w:r>
        <w:rPr>
          <w:rFonts w:hint="eastAsia" w:ascii="仿宋" w:hAnsi="仿宋" w:eastAsia="仿宋" w:cs="仿宋"/>
          <w:b/>
          <w:sz w:val="24"/>
          <w:highlight w:val="none"/>
          <w:u w:val="single"/>
        </w:rPr>
        <w:t>其它</w:t>
      </w:r>
      <w:r>
        <w:rPr>
          <w:rFonts w:hint="eastAsia" w:ascii="仿宋" w:hAnsi="仿宋" w:eastAsia="仿宋" w:cs="仿宋"/>
          <w:b/>
          <w:sz w:val="24"/>
          <w:highlight w:val="none"/>
          <w:u w:val="single"/>
          <w:lang w:val="zh-CN"/>
        </w:rPr>
        <w:t>有关部门对施工场地交通、环卫、安全和施工噪音等管理规定，并办理相关审批手续</w:t>
      </w:r>
      <w:r>
        <w:rPr>
          <w:rFonts w:hint="eastAsia" w:ascii="仿宋" w:hAnsi="仿宋" w:eastAsia="仿宋" w:cs="仿宋"/>
          <w:b/>
          <w:sz w:val="24"/>
          <w:highlight w:val="none"/>
          <w:lang w:val="zh-CN"/>
        </w:rPr>
        <w:t>。</w:t>
      </w:r>
    </w:p>
    <w:p w14:paraId="0AE80680">
      <w:pPr>
        <w:spacing w:line="360" w:lineRule="auto"/>
        <w:ind w:firstLine="477" w:firstLineChars="198"/>
        <w:jc w:val="left"/>
        <w:rPr>
          <w:rFonts w:hint="eastAsia" w:ascii="仿宋" w:hAnsi="仿宋" w:eastAsia="仿宋" w:cs="仿宋"/>
          <w:b/>
          <w:sz w:val="24"/>
          <w:highlight w:val="none"/>
          <w:lang w:val="zh-CN"/>
        </w:rPr>
      </w:pPr>
      <w:r>
        <w:rPr>
          <w:rFonts w:hint="eastAsia" w:ascii="仿宋" w:hAnsi="仿宋" w:eastAsia="仿宋" w:cs="仿宋"/>
          <w:b/>
          <w:sz w:val="24"/>
          <w:highlight w:val="none"/>
          <w:u w:val="single"/>
          <w:lang w:val="zh-CN"/>
        </w:rPr>
        <w:t>（2）承包人应采取有效措施尽量减小尘土和噪音污染，需要进行夜间作业时应经有关部门批准</w:t>
      </w:r>
      <w:r>
        <w:rPr>
          <w:rFonts w:hint="eastAsia" w:ascii="仿宋" w:hAnsi="仿宋" w:eastAsia="仿宋" w:cs="仿宋"/>
          <w:b/>
          <w:sz w:val="24"/>
          <w:highlight w:val="none"/>
          <w:lang w:val="zh-CN"/>
        </w:rPr>
        <w:t>。</w:t>
      </w:r>
    </w:p>
    <w:p w14:paraId="5B682159">
      <w:pPr>
        <w:spacing w:line="360" w:lineRule="auto"/>
        <w:ind w:firstLine="477" w:firstLineChars="198"/>
        <w:jc w:val="left"/>
        <w:rPr>
          <w:rFonts w:hint="eastAsia" w:ascii="仿宋" w:hAnsi="仿宋" w:eastAsia="仿宋" w:cs="仿宋"/>
          <w:b/>
          <w:sz w:val="24"/>
          <w:highlight w:val="none"/>
          <w:u w:val="single"/>
          <w:lang w:val="zh-CN"/>
        </w:rPr>
      </w:pPr>
      <w:r>
        <w:rPr>
          <w:rFonts w:hint="eastAsia" w:ascii="仿宋" w:hAnsi="仿宋" w:eastAsia="仿宋" w:cs="仿宋"/>
          <w:b/>
          <w:sz w:val="24"/>
          <w:highlight w:val="none"/>
          <w:u w:val="single"/>
          <w:lang w:val="zh-CN"/>
        </w:rPr>
        <w:t>（3）其他：承包人应严格遵守工程建设安全文明的有关规定，认真落实各项安全保护措施，并随时接受发包人、监理工程师及有关部门的监督检查；承包人应对进入施工现场的施工人员进行安全文明教育，配备必要的劳动保护用具，保证工程的施工安全和人身安全</w:t>
      </w:r>
      <w:r>
        <w:rPr>
          <w:rFonts w:hint="eastAsia" w:ascii="仿宋" w:hAnsi="仿宋" w:eastAsia="仿宋" w:cs="仿宋"/>
          <w:b/>
          <w:sz w:val="24"/>
          <w:highlight w:val="none"/>
          <w:lang w:val="zh-CN"/>
        </w:rPr>
        <w:t xml:space="preserve">。 </w:t>
      </w:r>
    </w:p>
    <w:p w14:paraId="4C9F8F30">
      <w:pPr>
        <w:spacing w:line="360" w:lineRule="auto"/>
        <w:ind w:firstLine="477" w:firstLineChars="198"/>
        <w:jc w:val="left"/>
        <w:rPr>
          <w:rFonts w:hint="eastAsia" w:ascii="仿宋" w:hAnsi="仿宋" w:eastAsia="仿宋" w:cs="仿宋"/>
          <w:b/>
          <w:sz w:val="24"/>
          <w:highlight w:val="none"/>
          <w:u w:val="single"/>
          <w:lang w:val="zh-CN"/>
        </w:rPr>
      </w:pPr>
      <w:r>
        <w:rPr>
          <w:rFonts w:hint="eastAsia" w:ascii="仿宋" w:hAnsi="仿宋" w:eastAsia="仿宋" w:cs="仿宋"/>
          <w:b/>
          <w:sz w:val="24"/>
          <w:highlight w:val="none"/>
          <w:u w:val="single"/>
          <w:lang w:val="zh-CN"/>
        </w:rPr>
        <w:t>（4）上述手续办理费用约定如下： 由承包人支付。</w:t>
      </w:r>
    </w:p>
    <w:p w14:paraId="3D78C1F7">
      <w:pPr>
        <w:spacing w:line="360" w:lineRule="auto"/>
        <w:ind w:left="149" w:leftChars="71" w:firstLine="360" w:firstLineChars="150"/>
        <w:jc w:val="left"/>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6.1.6 关于安全文明施工费支付比例和支付期限的约定：</w:t>
      </w:r>
      <w:r>
        <w:rPr>
          <w:rFonts w:hint="eastAsia" w:ascii="仿宋" w:hAnsi="仿宋" w:eastAsia="仿宋" w:cs="仿宋"/>
          <w:sz w:val="24"/>
          <w:highlight w:val="none"/>
          <w:u w:val="single"/>
          <w:lang w:val="en-US" w:eastAsia="zh-CN"/>
        </w:rPr>
        <w:t xml:space="preserve">   /   </w:t>
      </w:r>
    </w:p>
    <w:bookmarkEnd w:id="252"/>
    <w:bookmarkEnd w:id="253"/>
    <w:bookmarkEnd w:id="254"/>
    <w:bookmarkEnd w:id="255"/>
    <w:bookmarkEnd w:id="256"/>
    <w:bookmarkEnd w:id="257"/>
    <w:bookmarkEnd w:id="258"/>
    <w:p w14:paraId="50A62793">
      <w:pPr>
        <w:keepNext/>
        <w:keepLines/>
        <w:spacing w:before="120" w:after="120" w:line="360" w:lineRule="auto"/>
        <w:ind w:firstLine="480" w:firstLineChars="200"/>
        <w:outlineLvl w:val="3"/>
        <w:rPr>
          <w:rFonts w:hint="eastAsia" w:ascii="仿宋" w:hAnsi="仿宋" w:eastAsia="仿宋" w:cs="仿宋"/>
          <w:bCs/>
          <w:sz w:val="24"/>
          <w:highlight w:val="none"/>
        </w:rPr>
      </w:pPr>
      <w:bookmarkStart w:id="260" w:name="_Toc351203639"/>
      <w:r>
        <w:rPr>
          <w:rFonts w:hint="eastAsia" w:ascii="仿宋" w:hAnsi="仿宋" w:eastAsia="仿宋" w:cs="仿宋"/>
          <w:bCs/>
          <w:sz w:val="24"/>
          <w:highlight w:val="none"/>
        </w:rPr>
        <w:t>7. 工期和进度</w:t>
      </w:r>
      <w:bookmarkEnd w:id="260"/>
    </w:p>
    <w:p w14:paraId="7732F7A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7.1 施工组织设计</w:t>
      </w:r>
    </w:p>
    <w:p w14:paraId="178A8DD0">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7.1.1 合</w:t>
      </w:r>
      <w:r>
        <w:rPr>
          <w:rFonts w:hint="eastAsia" w:ascii="仿宋" w:hAnsi="仿宋" w:eastAsia="仿宋" w:cs="仿宋"/>
          <w:kern w:val="0"/>
          <w:sz w:val="24"/>
          <w:highlight w:val="none"/>
        </w:rPr>
        <w:t>同当事人约定的施工组织设计应包括的其他内容：</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287807BC">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 xml:space="preserve">7.1.2 </w:t>
      </w:r>
      <w:r>
        <w:rPr>
          <w:rFonts w:hint="eastAsia" w:ascii="仿宋" w:hAnsi="仿宋" w:eastAsia="仿宋" w:cs="仿宋"/>
          <w:kern w:val="0"/>
          <w:sz w:val="24"/>
          <w:highlight w:val="none"/>
        </w:rPr>
        <w:t>施工组织设计的提交和修改</w:t>
      </w:r>
    </w:p>
    <w:p w14:paraId="3AC73AA9">
      <w:pPr>
        <w:autoSpaceDE w:val="0"/>
        <w:autoSpaceDN w:val="0"/>
        <w:spacing w:line="360" w:lineRule="auto"/>
        <w:ind w:firstLine="504" w:firstLineChars="21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承包人提交详细施工组织设计的期限的约定：</w:t>
      </w:r>
      <w:r>
        <w:rPr>
          <w:rFonts w:hint="eastAsia" w:ascii="仿宋" w:hAnsi="仿宋" w:eastAsia="仿宋" w:cs="仿宋"/>
          <w:b/>
          <w:sz w:val="24"/>
          <w:highlight w:val="none"/>
          <w:u w:val="single"/>
        </w:rPr>
        <w:t xml:space="preserve">合同签订后提供施工组织设计（施工方案）和进度计划   </w:t>
      </w:r>
      <w:r>
        <w:rPr>
          <w:rFonts w:hint="eastAsia" w:ascii="仿宋" w:hAnsi="仿宋" w:eastAsia="仿宋" w:cs="仿宋"/>
          <w:b/>
          <w:sz w:val="24"/>
          <w:highlight w:val="none"/>
        </w:rPr>
        <w:t>。</w:t>
      </w:r>
    </w:p>
    <w:p w14:paraId="3D7C94B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发包人和监理人在收到详细的施工组织设计后确认或提出修改意见的期限：</w:t>
      </w:r>
      <w:r>
        <w:rPr>
          <w:rFonts w:hint="eastAsia" w:ascii="仿宋" w:hAnsi="仿宋" w:eastAsia="仿宋" w:cs="仿宋"/>
          <w:sz w:val="24"/>
          <w:highlight w:val="none"/>
          <w:u w:val="single"/>
        </w:rPr>
        <w:t>收到施工组织设计后 7天内</w:t>
      </w:r>
      <w:r>
        <w:rPr>
          <w:rFonts w:hint="eastAsia" w:ascii="仿宋" w:hAnsi="仿宋" w:eastAsia="仿宋" w:cs="仿宋"/>
          <w:sz w:val="24"/>
          <w:highlight w:val="none"/>
        </w:rPr>
        <w:t>。</w:t>
      </w:r>
    </w:p>
    <w:p w14:paraId="427B25B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61" w:name="_Toc297123514"/>
      <w:bookmarkStart w:id="262" w:name="_Toc312677479"/>
      <w:bookmarkStart w:id="263" w:name="_Toc312678005"/>
      <w:bookmarkStart w:id="264" w:name="_Toc300934966"/>
      <w:bookmarkStart w:id="265" w:name="_Toc297216173"/>
      <w:bookmarkStart w:id="266" w:name="_Toc303539123"/>
      <w:bookmarkStart w:id="267" w:name="_Toc304295541"/>
      <w:r>
        <w:rPr>
          <w:rFonts w:hint="eastAsia" w:ascii="仿宋" w:hAnsi="仿宋" w:eastAsia="仿宋" w:cs="仿宋"/>
          <w:sz w:val="24"/>
          <w:highlight w:val="none"/>
        </w:rPr>
        <w:t>.2 施工进度计划</w:t>
      </w:r>
    </w:p>
    <w:p w14:paraId="2D9D9EB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7.2.2 施工进度计划的修订</w:t>
      </w:r>
    </w:p>
    <w:p w14:paraId="4A73812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发包人和监理人在收到修订的施工进度计划后确认或提出修改意见的期限：</w:t>
      </w:r>
      <w:r>
        <w:rPr>
          <w:rFonts w:hint="eastAsia" w:ascii="仿宋" w:hAnsi="仿宋" w:eastAsia="仿宋" w:cs="仿宋"/>
          <w:sz w:val="24"/>
          <w:highlight w:val="none"/>
          <w:u w:val="single"/>
        </w:rPr>
        <w:t>收到修订的施工进度计划后7 天内</w:t>
      </w:r>
      <w:r>
        <w:rPr>
          <w:rFonts w:hint="eastAsia" w:ascii="仿宋" w:hAnsi="仿宋" w:eastAsia="仿宋" w:cs="仿宋"/>
          <w:sz w:val="24"/>
          <w:highlight w:val="none"/>
        </w:rPr>
        <w:t>。</w:t>
      </w:r>
    </w:p>
    <w:p w14:paraId="6CBF1C0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7.3 开工</w:t>
      </w:r>
    </w:p>
    <w:p w14:paraId="22F87E4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7.3.1 开工准备</w:t>
      </w:r>
    </w:p>
    <w:p w14:paraId="6855B897">
      <w:pPr>
        <w:spacing w:line="360" w:lineRule="auto"/>
        <w:ind w:firstLine="645"/>
        <w:jc w:val="left"/>
        <w:rPr>
          <w:rFonts w:hint="eastAsia" w:ascii="仿宋" w:hAnsi="仿宋" w:eastAsia="仿宋" w:cs="仿宋"/>
          <w:sz w:val="24"/>
          <w:highlight w:val="none"/>
          <w:u w:val="single"/>
        </w:rPr>
      </w:pPr>
      <w:r>
        <w:rPr>
          <w:rFonts w:hint="eastAsia" w:ascii="仿宋" w:hAnsi="仿宋" w:eastAsia="仿宋" w:cs="仿宋"/>
          <w:sz w:val="24"/>
          <w:highlight w:val="none"/>
        </w:rPr>
        <w:t>关于承包人提交</w:t>
      </w:r>
      <w:r>
        <w:rPr>
          <w:rFonts w:hint="eastAsia" w:ascii="仿宋" w:hAnsi="仿宋" w:eastAsia="仿宋" w:cs="仿宋"/>
          <w:kern w:val="0"/>
          <w:sz w:val="24"/>
          <w:highlight w:val="none"/>
        </w:rPr>
        <w:t>工程开工报审表的期限：</w:t>
      </w:r>
      <w:r>
        <w:rPr>
          <w:rFonts w:hint="eastAsia" w:ascii="仿宋" w:hAnsi="仿宋" w:eastAsia="仿宋" w:cs="仿宋"/>
          <w:sz w:val="24"/>
          <w:highlight w:val="none"/>
          <w:u w:val="single"/>
        </w:rPr>
        <w:t xml:space="preserve">开工前 </w:t>
      </w:r>
      <w:r>
        <w:rPr>
          <w:rFonts w:hint="eastAsia" w:ascii="仿宋" w:hAnsi="仿宋" w:eastAsia="仿宋" w:cs="仿宋"/>
          <w:sz w:val="24"/>
          <w:highlight w:val="none"/>
        </w:rPr>
        <w:t>。</w:t>
      </w:r>
    </w:p>
    <w:p w14:paraId="1FA9C924">
      <w:pPr>
        <w:spacing w:line="360" w:lineRule="auto"/>
        <w:ind w:firstLine="645"/>
        <w:jc w:val="left"/>
        <w:rPr>
          <w:rFonts w:hint="eastAsia" w:ascii="仿宋" w:hAnsi="仿宋" w:eastAsia="仿宋" w:cs="仿宋"/>
          <w:sz w:val="24"/>
          <w:highlight w:val="none"/>
          <w:u w:val="single"/>
        </w:rPr>
      </w:pPr>
      <w:r>
        <w:rPr>
          <w:rFonts w:hint="eastAsia" w:ascii="仿宋" w:hAnsi="仿宋" w:eastAsia="仿宋" w:cs="仿宋"/>
          <w:sz w:val="24"/>
          <w:highlight w:val="none"/>
        </w:rPr>
        <w:t>关于发包人应完成的其他开工准备工作及期限：</w:t>
      </w:r>
      <w:r>
        <w:rPr>
          <w:rFonts w:hint="eastAsia" w:ascii="仿宋" w:hAnsi="仿宋" w:eastAsia="仿宋" w:cs="仿宋"/>
          <w:sz w:val="24"/>
          <w:highlight w:val="none"/>
          <w:u w:val="single"/>
        </w:rPr>
        <w:t xml:space="preserve">开工前 </w:t>
      </w:r>
      <w:r>
        <w:rPr>
          <w:rFonts w:hint="eastAsia" w:ascii="仿宋" w:hAnsi="仿宋" w:eastAsia="仿宋" w:cs="仿宋"/>
          <w:sz w:val="24"/>
          <w:highlight w:val="none"/>
        </w:rPr>
        <w:t>。</w:t>
      </w:r>
    </w:p>
    <w:p w14:paraId="2E285AB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关于承包人应完成的其他开工准备工作及期限：</w:t>
      </w:r>
      <w:r>
        <w:rPr>
          <w:rFonts w:hint="eastAsia" w:ascii="仿宋" w:hAnsi="仿宋" w:eastAsia="仿宋" w:cs="仿宋"/>
          <w:sz w:val="24"/>
          <w:highlight w:val="none"/>
          <w:u w:val="single"/>
        </w:rPr>
        <w:t>开工前</w:t>
      </w:r>
      <w:r>
        <w:rPr>
          <w:rFonts w:hint="eastAsia" w:ascii="仿宋" w:hAnsi="仿宋" w:eastAsia="仿宋" w:cs="仿宋"/>
          <w:sz w:val="24"/>
          <w:highlight w:val="none"/>
        </w:rPr>
        <w:t>。</w:t>
      </w:r>
    </w:p>
    <w:p w14:paraId="5E8C81D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7.3.2开工通知</w:t>
      </w:r>
    </w:p>
    <w:p w14:paraId="792BAFB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因发包人原因造成监理人未能在计划开工日期之日起</w:t>
      </w:r>
      <w:r>
        <w:rPr>
          <w:rFonts w:hint="eastAsia" w:ascii="仿宋" w:hAnsi="仿宋" w:eastAsia="仿宋" w:cs="仿宋"/>
          <w:sz w:val="24"/>
          <w:highlight w:val="none"/>
          <w:u w:val="single"/>
        </w:rPr>
        <w:t xml:space="preserve"> 90 </w:t>
      </w:r>
      <w:r>
        <w:rPr>
          <w:rFonts w:hint="eastAsia" w:ascii="仿宋" w:hAnsi="仿宋" w:eastAsia="仿宋" w:cs="仿宋"/>
          <w:sz w:val="24"/>
          <w:highlight w:val="none"/>
        </w:rPr>
        <w:t>天内发出开工通知的，承包人有权提出价格调整要求，或者解除合同。</w:t>
      </w:r>
    </w:p>
    <w:bookmarkEnd w:id="261"/>
    <w:bookmarkEnd w:id="262"/>
    <w:bookmarkEnd w:id="263"/>
    <w:bookmarkEnd w:id="264"/>
    <w:bookmarkEnd w:id="265"/>
    <w:bookmarkEnd w:id="266"/>
    <w:bookmarkEnd w:id="267"/>
    <w:p w14:paraId="53AD789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7.4 测量放线</w:t>
      </w:r>
    </w:p>
    <w:p w14:paraId="283EAE6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7.4.1发包人通过监理人向承包人提供测量基准点、基准线和水准点及其书面资料的期限：</w:t>
      </w:r>
      <w:r>
        <w:rPr>
          <w:rFonts w:hint="eastAsia" w:ascii="仿宋" w:hAnsi="仿宋" w:eastAsia="仿宋" w:cs="仿宋"/>
          <w:sz w:val="24"/>
          <w:highlight w:val="none"/>
          <w:u w:val="single"/>
          <w:lang w:val="en-US" w:eastAsia="zh-CN"/>
        </w:rPr>
        <w:t>按通用合同条款执行</w:t>
      </w:r>
      <w:r>
        <w:rPr>
          <w:rFonts w:hint="eastAsia" w:ascii="仿宋" w:hAnsi="仿宋" w:eastAsia="仿宋" w:cs="仿宋"/>
          <w:sz w:val="24"/>
          <w:highlight w:val="none"/>
        </w:rPr>
        <w:t>。</w:t>
      </w:r>
    </w:p>
    <w:p w14:paraId="664A875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68" w:name="_Toc304295546"/>
      <w:bookmarkStart w:id="269" w:name="_Toc312677484"/>
      <w:bookmarkStart w:id="270" w:name="_Toc300934968"/>
      <w:bookmarkStart w:id="271" w:name="_Toc297216175"/>
      <w:bookmarkStart w:id="272" w:name="_Toc297123516"/>
      <w:bookmarkStart w:id="273" w:name="_Toc303539125"/>
      <w:bookmarkStart w:id="274" w:name="_Toc312678010"/>
      <w:r>
        <w:rPr>
          <w:rFonts w:hint="eastAsia" w:ascii="仿宋" w:hAnsi="仿宋" w:eastAsia="仿宋" w:cs="仿宋"/>
          <w:sz w:val="24"/>
          <w:highlight w:val="none"/>
        </w:rPr>
        <w:t>.5 工期延误</w:t>
      </w:r>
    </w:p>
    <w:bookmarkEnd w:id="268"/>
    <w:bookmarkEnd w:id="269"/>
    <w:bookmarkEnd w:id="270"/>
    <w:bookmarkEnd w:id="271"/>
    <w:bookmarkEnd w:id="272"/>
    <w:bookmarkEnd w:id="273"/>
    <w:bookmarkEnd w:id="274"/>
    <w:p w14:paraId="2843E61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7.5.1 因发包人原因导致工期延误</w:t>
      </w:r>
    </w:p>
    <w:p w14:paraId="597C589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（7）因发包人原因导致工期延误的其他情形：</w:t>
      </w:r>
    </w:p>
    <w:p w14:paraId="7B5B4145">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①重大设计变更引起的工期延误  </w:t>
      </w:r>
      <w:r>
        <w:rPr>
          <w:rFonts w:hint="eastAsia" w:ascii="仿宋" w:hAnsi="仿宋" w:eastAsia="仿宋" w:cs="仿宋"/>
          <w:b/>
          <w:sz w:val="24"/>
          <w:highlight w:val="none"/>
        </w:rPr>
        <w:t>；</w:t>
      </w:r>
    </w:p>
    <w:p w14:paraId="071453DA">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②其他： /       </w:t>
      </w:r>
      <w:r>
        <w:rPr>
          <w:rFonts w:hint="eastAsia" w:ascii="仿宋" w:hAnsi="仿宋" w:eastAsia="仿宋" w:cs="仿宋"/>
          <w:b/>
          <w:sz w:val="24"/>
          <w:highlight w:val="none"/>
        </w:rPr>
        <w:t>。</w:t>
      </w:r>
    </w:p>
    <w:p w14:paraId="45443A0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w:t>
      </w:r>
      <w:bookmarkStart w:id="275" w:name="_Toc318581169"/>
      <w:bookmarkStart w:id="276" w:name="_Toc312677486"/>
      <w:bookmarkStart w:id="277" w:name="_Toc312678012"/>
      <w:bookmarkStart w:id="278" w:name="_Toc297123518"/>
      <w:bookmarkStart w:id="279" w:name="_Toc304295548"/>
      <w:bookmarkStart w:id="280" w:name="_Toc297216177"/>
      <w:bookmarkStart w:id="281" w:name="_Toc303539127"/>
      <w:bookmarkStart w:id="282" w:name="_Toc300934970"/>
      <w:r>
        <w:rPr>
          <w:rFonts w:hint="eastAsia" w:ascii="仿宋" w:hAnsi="仿宋" w:eastAsia="仿宋" w:cs="仿宋"/>
          <w:sz w:val="24"/>
          <w:highlight w:val="none"/>
        </w:rPr>
        <w:t>.5.2 因承包人原因导致工期延误</w:t>
      </w:r>
    </w:p>
    <w:bookmarkEnd w:id="275"/>
    <w:bookmarkEnd w:id="276"/>
    <w:bookmarkEnd w:id="277"/>
    <w:p w14:paraId="3ED4179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因</w:t>
      </w:r>
      <w:bookmarkStart w:id="283" w:name="_Toc318581170"/>
      <w:bookmarkStart w:id="284" w:name="_Toc312677487"/>
      <w:bookmarkStart w:id="285" w:name="_Toc312678013"/>
      <w:r>
        <w:rPr>
          <w:rFonts w:hint="eastAsia" w:ascii="仿宋" w:hAnsi="仿宋" w:eastAsia="仿宋" w:cs="仿宋"/>
          <w:sz w:val="24"/>
          <w:highlight w:val="none"/>
        </w:rPr>
        <w:t>承包人原因造成工期延误，逾期竣工违约金的计算方法为：</w:t>
      </w:r>
    </w:p>
    <w:p w14:paraId="634C4C61">
      <w:pPr>
        <w:spacing w:line="360" w:lineRule="auto"/>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①因承包人原因工程不能按合同约定工期竣工，每延误一天，承包人应按人民币贰仟元向发包人支付违约金。该违约金发包人有权在承包人的履约保证金中扣除，不足部分在工程结算价款中扣除。</w:t>
      </w:r>
    </w:p>
    <w:p w14:paraId="018D1326">
      <w:pPr>
        <w:spacing w:line="360" w:lineRule="auto"/>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②因承包人原因，承包人在施工过程中不能按施工总进度计划完成各项施工任务，实际施工进度比施工进度计划滞后超过30天（含30天）的，发包人有权解除合同，也有权仍选择由承包人继续履行合同，如发包人选择由承包人继续履行合同的，竣工工期每延误一天，承包人应按人民币贰仟元向发包人支付违约金。</w:t>
      </w:r>
    </w:p>
    <w:bookmarkEnd w:id="278"/>
    <w:bookmarkEnd w:id="279"/>
    <w:bookmarkEnd w:id="280"/>
    <w:bookmarkEnd w:id="281"/>
    <w:bookmarkEnd w:id="282"/>
    <w:bookmarkEnd w:id="283"/>
    <w:bookmarkEnd w:id="284"/>
    <w:bookmarkEnd w:id="285"/>
    <w:p w14:paraId="0C7161E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因承包人原因造成工期延误，逾</w:t>
      </w:r>
      <w:bookmarkStart w:id="286" w:name="_Toc318581171"/>
      <w:bookmarkStart w:id="287" w:name="_Toc312678014"/>
      <w:r>
        <w:rPr>
          <w:rFonts w:hint="eastAsia" w:ascii="仿宋" w:hAnsi="仿宋" w:eastAsia="仿宋" w:cs="仿宋"/>
          <w:sz w:val="24"/>
          <w:highlight w:val="none"/>
        </w:rPr>
        <w:t>期竣工违约金的上限：</w:t>
      </w:r>
      <w:r>
        <w:rPr>
          <w:rFonts w:hint="eastAsia" w:ascii="仿宋" w:hAnsi="仿宋" w:eastAsia="仿宋" w:cs="仿宋"/>
          <w:sz w:val="24"/>
          <w:highlight w:val="none"/>
          <w:u w:val="single"/>
        </w:rPr>
        <w:t>累计最高不超过合同总价的百分之二十。</w:t>
      </w:r>
    </w:p>
    <w:bookmarkEnd w:id="286"/>
    <w:bookmarkEnd w:id="287"/>
    <w:p w14:paraId="084C7852">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288" w:name="_Toc303539128"/>
      <w:bookmarkStart w:id="289" w:name="_Toc304295549"/>
      <w:bookmarkStart w:id="290" w:name="_Toc312678015"/>
      <w:bookmarkStart w:id="291" w:name="_Toc297216178"/>
      <w:bookmarkStart w:id="292" w:name="_Toc300934971"/>
      <w:bookmarkStart w:id="293" w:name="_Toc297123519"/>
      <w:r>
        <w:rPr>
          <w:rFonts w:hint="eastAsia" w:ascii="仿宋" w:hAnsi="仿宋" w:eastAsia="仿宋" w:cs="仿宋"/>
          <w:sz w:val="24"/>
          <w:highlight w:val="none"/>
        </w:rPr>
        <w:t>.6 不</w:t>
      </w:r>
      <w:bookmarkEnd w:id="288"/>
      <w:bookmarkEnd w:id="289"/>
      <w:bookmarkEnd w:id="290"/>
      <w:bookmarkEnd w:id="291"/>
      <w:bookmarkEnd w:id="292"/>
      <w:bookmarkEnd w:id="293"/>
      <w:r>
        <w:rPr>
          <w:rFonts w:hint="eastAsia" w:ascii="仿宋" w:hAnsi="仿宋" w:eastAsia="仿宋" w:cs="仿宋"/>
          <w:sz w:val="24"/>
          <w:highlight w:val="none"/>
        </w:rPr>
        <w:t>利物质条件</w:t>
      </w:r>
    </w:p>
    <w:p w14:paraId="5F2F5B0C">
      <w:pPr>
        <w:spacing w:line="360" w:lineRule="auto"/>
        <w:ind w:firstLine="480" w:firstLineChars="200"/>
        <w:jc w:val="left"/>
        <w:rPr>
          <w:rFonts w:hint="eastAsia" w:ascii="仿宋" w:hAnsi="仿宋" w:eastAsia="仿宋" w:cs="仿宋"/>
          <w:sz w:val="24"/>
          <w:highlight w:val="none"/>
        </w:rPr>
      </w:pPr>
      <w:bookmarkStart w:id="294" w:name="_Toc312678016"/>
      <w:bookmarkStart w:id="295" w:name="_Toc318581172"/>
      <w:bookmarkStart w:id="296" w:name="_Toc297123520"/>
      <w:bookmarkStart w:id="297" w:name="_Toc300934972"/>
      <w:bookmarkStart w:id="298" w:name="_Toc297216179"/>
      <w:bookmarkStart w:id="299" w:name="_Toc304295550"/>
      <w:bookmarkStart w:id="300" w:name="_Toc303539129"/>
      <w:r>
        <w:rPr>
          <w:rFonts w:hint="eastAsia" w:ascii="仿宋" w:hAnsi="仿宋" w:eastAsia="仿宋" w:cs="仿宋"/>
          <w:sz w:val="24"/>
          <w:highlight w:val="none"/>
        </w:rPr>
        <w:t>不利物质条件的其他情形和有关约定：</w:t>
      </w:r>
    </w:p>
    <w:p w14:paraId="1B29C2FF">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（1）施工场地周围地下管线     </w:t>
      </w:r>
      <w:r>
        <w:rPr>
          <w:rFonts w:hint="eastAsia" w:ascii="仿宋" w:hAnsi="仿宋" w:eastAsia="仿宋" w:cs="仿宋"/>
          <w:b/>
          <w:sz w:val="24"/>
          <w:highlight w:val="none"/>
        </w:rPr>
        <w:t>；</w:t>
      </w:r>
    </w:p>
    <w:p w14:paraId="03328276">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（2）地下障碍物和污染物       </w:t>
      </w:r>
      <w:r>
        <w:rPr>
          <w:rFonts w:hint="eastAsia" w:ascii="仿宋" w:hAnsi="仿宋" w:eastAsia="仿宋" w:cs="仿宋"/>
          <w:b/>
          <w:sz w:val="24"/>
          <w:highlight w:val="none"/>
        </w:rPr>
        <w:t>；</w:t>
      </w:r>
    </w:p>
    <w:p w14:paraId="6B5BCC43">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（3）邻近建筑物、构筑物的保护要求   </w:t>
      </w:r>
      <w:r>
        <w:rPr>
          <w:rFonts w:hint="eastAsia" w:ascii="仿宋" w:hAnsi="仿宋" w:eastAsia="仿宋" w:cs="仿宋"/>
          <w:b/>
          <w:sz w:val="24"/>
          <w:highlight w:val="none"/>
        </w:rPr>
        <w:t>；</w:t>
      </w:r>
    </w:p>
    <w:p w14:paraId="4A4ABD56">
      <w:pPr>
        <w:spacing w:line="360" w:lineRule="auto"/>
        <w:ind w:firstLine="477" w:firstLineChars="198"/>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（4）其他：/     </w:t>
      </w:r>
      <w:r>
        <w:rPr>
          <w:rFonts w:hint="eastAsia" w:ascii="仿宋" w:hAnsi="仿宋" w:eastAsia="仿宋" w:cs="仿宋"/>
          <w:b/>
          <w:sz w:val="24"/>
          <w:highlight w:val="none"/>
        </w:rPr>
        <w:t>。</w:t>
      </w:r>
    </w:p>
    <w:bookmarkEnd w:id="294"/>
    <w:bookmarkEnd w:id="295"/>
    <w:bookmarkEnd w:id="296"/>
    <w:bookmarkEnd w:id="297"/>
    <w:bookmarkEnd w:id="298"/>
    <w:bookmarkEnd w:id="299"/>
    <w:bookmarkEnd w:id="300"/>
    <w:p w14:paraId="39347DA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w:t>
      </w:r>
      <w:bookmarkStart w:id="301" w:name="_Toc300934973"/>
      <w:bookmarkStart w:id="302" w:name="_Toc303539130"/>
      <w:bookmarkStart w:id="303" w:name="_Toc297216180"/>
      <w:bookmarkStart w:id="304" w:name="_Toc304295551"/>
      <w:bookmarkStart w:id="305" w:name="_Toc312678017"/>
      <w:bookmarkStart w:id="306" w:name="_Toc297123521"/>
      <w:r>
        <w:rPr>
          <w:rFonts w:hint="eastAsia" w:ascii="仿宋" w:hAnsi="仿宋" w:eastAsia="仿宋" w:cs="仿宋"/>
          <w:sz w:val="24"/>
          <w:highlight w:val="none"/>
        </w:rPr>
        <w:t>.7异常恶劣的气候条件</w:t>
      </w:r>
    </w:p>
    <w:bookmarkEnd w:id="301"/>
    <w:bookmarkEnd w:id="302"/>
    <w:bookmarkEnd w:id="303"/>
    <w:bookmarkEnd w:id="304"/>
    <w:bookmarkEnd w:id="305"/>
    <w:bookmarkEnd w:id="306"/>
    <w:p w14:paraId="5807E06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发包人和承包人同意以下情形视为异常恶劣的气候条件：</w:t>
      </w:r>
      <w:r>
        <w:rPr>
          <w:rFonts w:hint="eastAsia" w:ascii="仿宋" w:hAnsi="仿宋" w:eastAsia="仿宋" w:cs="仿宋"/>
          <w:b/>
          <w:kern w:val="0"/>
          <w:sz w:val="24"/>
          <w:highlight w:val="none"/>
          <w:u w:val="single"/>
          <w:lang w:val="en-US" w:eastAsia="zh-CN"/>
        </w:rPr>
        <w:t xml:space="preserve">   /   </w:t>
      </w:r>
      <w:r>
        <w:rPr>
          <w:rFonts w:hint="eastAsia" w:ascii="仿宋" w:hAnsi="仿宋" w:eastAsia="仿宋" w:cs="仿宋"/>
          <w:sz w:val="24"/>
          <w:highlight w:val="none"/>
        </w:rPr>
        <w:t>。</w:t>
      </w:r>
    </w:p>
    <w:p w14:paraId="5D63FEA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7.9 提前竣工的奖励</w:t>
      </w:r>
    </w:p>
    <w:p w14:paraId="5D44304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7.9.2提前竣工的奖励：</w:t>
      </w:r>
      <w:r>
        <w:rPr>
          <w:rFonts w:hint="eastAsia" w:ascii="仿宋" w:hAnsi="仿宋" w:eastAsia="仿宋" w:cs="仿宋"/>
          <w:sz w:val="24"/>
          <w:highlight w:val="none"/>
          <w:u w:val="single"/>
        </w:rPr>
        <w:t>/</w:t>
      </w:r>
      <w:r>
        <w:rPr>
          <w:rFonts w:hint="eastAsia" w:ascii="仿宋" w:hAnsi="仿宋" w:eastAsia="仿宋" w:cs="仿宋"/>
          <w:sz w:val="24"/>
          <w:highlight w:val="none"/>
        </w:rPr>
        <w:t>。</w:t>
      </w:r>
    </w:p>
    <w:p w14:paraId="107C6351">
      <w:pPr>
        <w:keepNext/>
        <w:keepLines/>
        <w:spacing w:before="120" w:after="120" w:line="360" w:lineRule="auto"/>
        <w:ind w:firstLine="470" w:firstLineChars="196"/>
        <w:outlineLvl w:val="3"/>
        <w:rPr>
          <w:rFonts w:hint="eastAsia" w:ascii="仿宋" w:hAnsi="仿宋" w:eastAsia="仿宋" w:cs="仿宋"/>
          <w:bCs/>
          <w:sz w:val="24"/>
          <w:highlight w:val="none"/>
        </w:rPr>
      </w:pPr>
      <w:bookmarkStart w:id="307" w:name="_Toc351203640"/>
      <w:r>
        <w:rPr>
          <w:rFonts w:hint="eastAsia" w:ascii="仿宋" w:hAnsi="仿宋" w:eastAsia="仿宋" w:cs="仿宋"/>
          <w:bCs/>
          <w:sz w:val="24"/>
          <w:highlight w:val="none"/>
        </w:rPr>
        <w:t>8. 材料与设备</w:t>
      </w:r>
      <w:bookmarkEnd w:id="307"/>
    </w:p>
    <w:bookmarkEnd w:id="242"/>
    <w:bookmarkEnd w:id="243"/>
    <w:bookmarkEnd w:id="244"/>
    <w:bookmarkEnd w:id="245"/>
    <w:bookmarkEnd w:id="246"/>
    <w:bookmarkEnd w:id="247"/>
    <w:bookmarkEnd w:id="248"/>
    <w:bookmarkEnd w:id="249"/>
    <w:bookmarkEnd w:id="250"/>
    <w:bookmarkEnd w:id="251"/>
    <w:p w14:paraId="302B371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w:t>
      </w:r>
      <w:bookmarkStart w:id="308" w:name="_Toc292559877"/>
      <w:bookmarkStart w:id="309" w:name="_Toc297216186"/>
      <w:bookmarkStart w:id="310" w:name="_Toc292559372"/>
      <w:bookmarkStart w:id="311" w:name="_Toc296346668"/>
      <w:bookmarkStart w:id="312" w:name="_Toc296891207"/>
      <w:bookmarkStart w:id="313" w:name="_Toc304295556"/>
      <w:bookmarkStart w:id="314" w:name="_Toc296944506"/>
      <w:bookmarkStart w:id="315" w:name="_Toc312678019"/>
      <w:bookmarkStart w:id="316" w:name="_Toc297048353"/>
      <w:bookmarkStart w:id="317" w:name="_Toc297123527"/>
      <w:bookmarkStart w:id="318" w:name="_Toc296347166"/>
      <w:bookmarkStart w:id="319" w:name="_Toc297120467"/>
      <w:bookmarkStart w:id="320" w:name="_Toc296890995"/>
      <w:bookmarkStart w:id="321" w:name="_Toc312677493"/>
      <w:bookmarkStart w:id="322" w:name="_Toc300934979"/>
      <w:bookmarkStart w:id="323" w:name="_Toc280868654"/>
      <w:bookmarkStart w:id="324" w:name="_Toc303539136"/>
      <w:bookmarkStart w:id="325" w:name="_Toc296503167"/>
      <w:bookmarkStart w:id="326" w:name="_Toc280868655"/>
      <w:bookmarkStart w:id="327" w:name="_Toc267251424"/>
      <w:bookmarkStart w:id="328" w:name="_Toc280868656"/>
      <w:r>
        <w:rPr>
          <w:rFonts w:hint="eastAsia" w:ascii="仿宋" w:hAnsi="仿宋" w:eastAsia="仿宋" w:cs="仿宋"/>
          <w:sz w:val="24"/>
          <w:highlight w:val="none"/>
        </w:rPr>
        <w:t>.4材料与工程设备的保管与使用</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14:paraId="5C5BBFD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8</w:t>
      </w:r>
      <w:bookmarkStart w:id="329" w:name="_Toc292559373"/>
      <w:bookmarkStart w:id="330" w:name="_Toc292559878"/>
      <w:bookmarkStart w:id="331" w:name="_Toc303539137"/>
      <w:bookmarkStart w:id="332" w:name="_Toc318581173"/>
      <w:bookmarkStart w:id="333" w:name="_Toc296503168"/>
      <w:bookmarkStart w:id="334" w:name="_Toc300934980"/>
      <w:bookmarkStart w:id="335" w:name="_Toc297123528"/>
      <w:bookmarkStart w:id="336" w:name="_Toc296944507"/>
      <w:bookmarkStart w:id="337" w:name="_Toc297120468"/>
      <w:bookmarkStart w:id="338" w:name="_Toc296347167"/>
      <w:bookmarkStart w:id="339" w:name="_Toc297216187"/>
      <w:bookmarkStart w:id="340" w:name="_Toc304295557"/>
      <w:bookmarkStart w:id="341" w:name="_Toc296890996"/>
      <w:bookmarkStart w:id="342" w:name="_Toc312678020"/>
      <w:bookmarkStart w:id="343" w:name="_Toc296891208"/>
      <w:bookmarkStart w:id="344" w:name="_Toc297048354"/>
      <w:bookmarkStart w:id="345" w:name="_Toc296346669"/>
      <w:bookmarkStart w:id="346" w:name="_Toc312677494"/>
      <w:r>
        <w:rPr>
          <w:rFonts w:hint="eastAsia" w:ascii="仿宋" w:hAnsi="仿宋" w:eastAsia="仿宋" w:cs="仿宋"/>
          <w:sz w:val="24"/>
          <w:highlight w:val="none"/>
        </w:rPr>
        <w:t>.4.1发包人供应的材料设备的保管费用的承担：</w:t>
      </w:r>
      <w:r>
        <w:rPr>
          <w:rFonts w:hint="eastAsia" w:ascii="仿宋" w:hAnsi="仿宋" w:eastAsia="仿宋" w:cs="仿宋"/>
          <w:sz w:val="24"/>
          <w:highlight w:val="none"/>
          <w:u w:val="single"/>
        </w:rPr>
        <w:t>（1）招标时已明确由发包人供应的材料设备</w:t>
      </w:r>
      <w:r>
        <w:rPr>
          <w:rFonts w:hint="eastAsia" w:ascii="仿宋" w:hAnsi="仿宋" w:eastAsia="仿宋" w:cs="仿宋"/>
          <w:sz w:val="24"/>
          <w:highlight w:val="none"/>
          <w:u w:val="single"/>
          <w:lang w:val="en-US" w:eastAsia="zh-CN"/>
        </w:rPr>
        <w:t>的</w:t>
      </w:r>
      <w:r>
        <w:rPr>
          <w:rFonts w:hint="eastAsia" w:ascii="仿宋" w:hAnsi="仿宋" w:eastAsia="仿宋" w:cs="仿宋"/>
          <w:sz w:val="24"/>
          <w:highlight w:val="none"/>
          <w:u w:val="single"/>
        </w:rPr>
        <w:t>保管费用、安装过程中的二次搬运和设备就位费、检验试验费由承包人投标时报价包干；（2）在本工程实施过程中新增的由发包人供应，并由承包人施工的材料设备，计取材料设备价的1%的费用（该费用已包含材料设备的保管费用、安装过程中的二次搬运和设备就位费、检验试验费等费用）；（3）因承包人原因发生材料丢失损坏，由承包人负责赔偿</w:t>
      </w:r>
      <w:r>
        <w:rPr>
          <w:rFonts w:hint="eastAsia" w:ascii="仿宋" w:hAnsi="仿宋" w:eastAsia="仿宋" w:cs="仿宋"/>
          <w:sz w:val="24"/>
          <w:highlight w:val="none"/>
        </w:rPr>
        <w:t>。</w:t>
      </w:r>
      <w:bookmarkEnd w:id="329"/>
      <w:bookmarkEnd w:id="330"/>
    </w:p>
    <w:p w14:paraId="53C65864">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8.6 样品</w:t>
      </w:r>
    </w:p>
    <w:p w14:paraId="1453C1CD">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8.6.1</w:t>
      </w:r>
      <w:r>
        <w:rPr>
          <w:rFonts w:hint="eastAsia" w:ascii="仿宋" w:hAnsi="仿宋" w:eastAsia="仿宋" w:cs="仿宋"/>
          <w:kern w:val="0"/>
          <w:sz w:val="24"/>
          <w:highlight w:val="none"/>
        </w:rPr>
        <w:tab/>
      </w:r>
      <w:r>
        <w:rPr>
          <w:rFonts w:hint="eastAsia" w:ascii="仿宋" w:hAnsi="仿宋" w:eastAsia="仿宋" w:cs="仿宋"/>
          <w:kern w:val="0"/>
          <w:sz w:val="24"/>
          <w:highlight w:val="none"/>
        </w:rPr>
        <w:t>样品的报送与封存</w:t>
      </w:r>
    </w:p>
    <w:p w14:paraId="5297D702">
      <w:pPr>
        <w:autoSpaceDE w:val="0"/>
        <w:autoSpaceDN w:val="0"/>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需要承包人报送样品的材料或工程设备，样品的种类、名称、规格、数量要求：</w:t>
      </w:r>
      <w:r>
        <w:rPr>
          <w:rFonts w:hint="eastAsia" w:ascii="仿宋" w:hAnsi="仿宋" w:eastAsia="仿宋" w:cs="仿宋"/>
          <w:sz w:val="24"/>
          <w:highlight w:val="none"/>
          <w:u w:val="single"/>
        </w:rPr>
        <w:t xml:space="preserve">按有关规定和监理人要求执行            </w:t>
      </w:r>
      <w:r>
        <w:rPr>
          <w:rFonts w:hint="eastAsia" w:ascii="仿宋" w:hAnsi="仿宋" w:eastAsia="仿宋" w:cs="仿宋"/>
          <w:sz w:val="24"/>
          <w:highlight w:val="none"/>
        </w:rPr>
        <w:t>。</w:t>
      </w:r>
    </w:p>
    <w:p w14:paraId="40CCF04A">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8.8 施工设备和临时设施</w:t>
      </w:r>
    </w:p>
    <w:p w14:paraId="6503290B">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8.8.1 承包人提供的施工设备和临时设施</w:t>
      </w:r>
    </w:p>
    <w:p w14:paraId="212535C6">
      <w:pPr>
        <w:autoSpaceDE w:val="0"/>
        <w:autoSpaceDN w:val="0"/>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关于修建临时设施费用承担的约定：</w:t>
      </w:r>
      <w:r>
        <w:rPr>
          <w:rFonts w:hint="eastAsia" w:ascii="仿宋" w:hAnsi="仿宋" w:eastAsia="仿宋" w:cs="仿宋"/>
          <w:sz w:val="24"/>
          <w:highlight w:val="none"/>
          <w:u w:val="single"/>
        </w:rPr>
        <w:t>按通用合同条款约定</w:t>
      </w:r>
      <w:r>
        <w:rPr>
          <w:rFonts w:hint="eastAsia" w:ascii="仿宋" w:hAnsi="仿宋" w:eastAsia="仿宋" w:cs="仿宋"/>
          <w:sz w:val="24"/>
          <w:highlight w:val="none"/>
        </w:rPr>
        <w:t>。</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0DFE90CA">
      <w:pPr>
        <w:keepNext/>
        <w:keepLines/>
        <w:spacing w:before="120" w:after="120" w:line="360" w:lineRule="auto"/>
        <w:ind w:firstLine="480" w:firstLineChars="200"/>
        <w:outlineLvl w:val="3"/>
        <w:rPr>
          <w:rFonts w:hint="eastAsia" w:ascii="仿宋" w:hAnsi="仿宋" w:eastAsia="仿宋" w:cs="仿宋"/>
          <w:bCs/>
          <w:sz w:val="24"/>
          <w:highlight w:val="none"/>
        </w:rPr>
      </w:pPr>
      <w:bookmarkStart w:id="347" w:name="_Toc351203641"/>
      <w:r>
        <w:rPr>
          <w:rFonts w:hint="eastAsia" w:ascii="仿宋" w:hAnsi="仿宋" w:eastAsia="仿宋" w:cs="仿宋"/>
          <w:bCs/>
          <w:sz w:val="24"/>
          <w:highlight w:val="none"/>
        </w:rPr>
        <w:t>9</w:t>
      </w:r>
      <w:bookmarkEnd w:id="326"/>
      <w:bookmarkEnd w:id="327"/>
      <w:bookmarkEnd w:id="328"/>
      <w:bookmarkStart w:id="348" w:name="_Toc304295559"/>
      <w:bookmarkStart w:id="349" w:name="_Toc312678021"/>
      <w:bookmarkStart w:id="350" w:name="_Toc297216192"/>
      <w:bookmarkStart w:id="351" w:name="_Toc303539139"/>
      <w:bookmarkStart w:id="352" w:name="_Toc300934982"/>
      <w:bookmarkStart w:id="353" w:name="_Toc297123533"/>
      <w:bookmarkStart w:id="354" w:name="_Toc312677495"/>
      <w:bookmarkStart w:id="355" w:name="_Toc296503173"/>
      <w:bookmarkStart w:id="356" w:name="_Toc296347172"/>
      <w:bookmarkStart w:id="357" w:name="_Toc297048359"/>
      <w:bookmarkStart w:id="358" w:name="_Toc296944512"/>
      <w:bookmarkStart w:id="359" w:name="_Toc296891001"/>
      <w:bookmarkStart w:id="360" w:name="_Toc296346674"/>
      <w:bookmarkStart w:id="361" w:name="_Toc267251427"/>
      <w:bookmarkStart w:id="362" w:name="_Toc296891213"/>
      <w:bookmarkStart w:id="363" w:name="_Toc292559378"/>
      <w:bookmarkStart w:id="364" w:name="_Toc297120473"/>
      <w:bookmarkStart w:id="365" w:name="_Toc267251428"/>
      <w:bookmarkStart w:id="366" w:name="_Toc292559883"/>
      <w:r>
        <w:rPr>
          <w:rFonts w:hint="eastAsia" w:ascii="仿宋" w:hAnsi="仿宋" w:eastAsia="仿宋" w:cs="仿宋"/>
          <w:bCs/>
          <w:sz w:val="24"/>
          <w:highlight w:val="none"/>
        </w:rPr>
        <w:t>. 试验与检验</w:t>
      </w:r>
      <w:bookmarkEnd w:id="347"/>
    </w:p>
    <w:bookmarkEnd w:id="348"/>
    <w:bookmarkEnd w:id="349"/>
    <w:bookmarkEnd w:id="350"/>
    <w:bookmarkEnd w:id="351"/>
    <w:bookmarkEnd w:id="352"/>
    <w:bookmarkEnd w:id="353"/>
    <w:bookmarkEnd w:id="354"/>
    <w:p w14:paraId="17D937CE">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w:t>
      </w:r>
      <w:bookmarkStart w:id="367" w:name="_Toc297216193"/>
      <w:bookmarkStart w:id="368" w:name="_Toc312678022"/>
      <w:bookmarkStart w:id="369" w:name="_Toc300934983"/>
      <w:bookmarkStart w:id="370" w:name="_Toc304295560"/>
      <w:bookmarkStart w:id="371" w:name="_Toc312677496"/>
      <w:bookmarkStart w:id="372" w:name="_Toc303539140"/>
      <w:bookmarkStart w:id="373" w:name="_Toc297123534"/>
      <w:r>
        <w:rPr>
          <w:rFonts w:hint="eastAsia" w:ascii="仿宋" w:hAnsi="仿宋" w:eastAsia="仿宋" w:cs="仿宋"/>
          <w:sz w:val="24"/>
          <w:highlight w:val="none"/>
        </w:rPr>
        <w:t>.1试验设备与试验人员</w:t>
      </w:r>
    </w:p>
    <w:bookmarkEnd w:id="367"/>
    <w:bookmarkEnd w:id="368"/>
    <w:bookmarkEnd w:id="369"/>
    <w:bookmarkEnd w:id="370"/>
    <w:bookmarkEnd w:id="371"/>
    <w:bookmarkEnd w:id="372"/>
    <w:bookmarkEnd w:id="373"/>
    <w:p w14:paraId="3D41742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9</w:t>
      </w:r>
      <w:bookmarkStart w:id="374" w:name="_Toc312678023"/>
      <w:bookmarkStart w:id="375" w:name="_Toc300934984"/>
      <w:bookmarkStart w:id="376" w:name="_Toc303539141"/>
      <w:bookmarkStart w:id="377" w:name="_Toc297216194"/>
      <w:bookmarkStart w:id="378" w:name="_Toc312677497"/>
      <w:bookmarkStart w:id="379" w:name="_Toc304295561"/>
      <w:bookmarkStart w:id="380" w:name="_Toc297123535"/>
      <w:bookmarkStart w:id="381" w:name="_Toc318581174"/>
      <w:r>
        <w:rPr>
          <w:rFonts w:hint="eastAsia" w:ascii="仿宋" w:hAnsi="仿宋" w:eastAsia="仿宋" w:cs="仿宋"/>
          <w:sz w:val="24"/>
          <w:highlight w:val="none"/>
        </w:rPr>
        <w:t>.1.2 试验设备</w:t>
      </w:r>
    </w:p>
    <w:p w14:paraId="2DCC060F">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施工现场需要配置的试验场所：</w:t>
      </w:r>
      <w:bookmarkEnd w:id="374"/>
      <w:bookmarkEnd w:id="375"/>
      <w:bookmarkEnd w:id="376"/>
      <w:bookmarkEnd w:id="377"/>
      <w:bookmarkEnd w:id="378"/>
      <w:bookmarkEnd w:id="379"/>
      <w:bookmarkEnd w:id="380"/>
      <w:bookmarkStart w:id="382" w:name="_Toc297123536"/>
      <w:bookmarkStart w:id="383" w:name="_Toc300934985"/>
      <w:bookmarkStart w:id="384" w:name="_Toc312678024"/>
      <w:bookmarkStart w:id="385" w:name="_Toc297216195"/>
      <w:bookmarkStart w:id="386" w:name="_Toc304295562"/>
      <w:bookmarkStart w:id="387" w:name="_Toc312677498"/>
      <w:bookmarkStart w:id="388" w:name="_Toc303539142"/>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 xml:space="preserve">。 </w:t>
      </w:r>
    </w:p>
    <w:p w14:paraId="5A074F5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施工现场需要配备的试验设备：</w:t>
      </w:r>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w:t>
      </w:r>
    </w:p>
    <w:p w14:paraId="0944E61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施工现场需要具备的其他试验条件：</w:t>
      </w:r>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w:t>
      </w:r>
    </w:p>
    <w:p w14:paraId="08C4E2E1">
      <w:pPr>
        <w:spacing w:line="360" w:lineRule="auto"/>
        <w:ind w:firstLine="480" w:firstLineChars="200"/>
        <w:jc w:val="left"/>
        <w:rPr>
          <w:rFonts w:hint="eastAsia" w:ascii="仿宋" w:hAnsi="仿宋" w:eastAsia="仿宋" w:cs="仿宋"/>
          <w:b/>
          <w:kern w:val="0"/>
          <w:sz w:val="24"/>
          <w:highlight w:val="none"/>
        </w:rPr>
      </w:pPr>
      <w:r>
        <w:rPr>
          <w:rFonts w:hint="eastAsia" w:ascii="仿宋" w:hAnsi="仿宋" w:eastAsia="仿宋" w:cs="仿宋"/>
          <w:sz w:val="24"/>
          <w:highlight w:val="none"/>
        </w:rPr>
        <w:t>9.3</w:t>
      </w:r>
      <w:r>
        <w:rPr>
          <w:rFonts w:hint="eastAsia" w:ascii="仿宋" w:hAnsi="仿宋" w:eastAsia="仿宋" w:cs="仿宋"/>
          <w:bCs/>
          <w:kern w:val="0"/>
          <w:sz w:val="24"/>
          <w:highlight w:val="none"/>
        </w:rPr>
        <w:t>材</w:t>
      </w:r>
      <w:r>
        <w:rPr>
          <w:rFonts w:hint="eastAsia" w:ascii="仿宋" w:hAnsi="仿宋" w:eastAsia="仿宋" w:cs="仿宋"/>
          <w:kern w:val="0"/>
          <w:sz w:val="24"/>
          <w:highlight w:val="none"/>
        </w:rPr>
        <w:t>料、工程设备和工程的试验和检验</w:t>
      </w:r>
    </w:p>
    <w:p w14:paraId="0FBFB99C">
      <w:pPr>
        <w:spacing w:line="360" w:lineRule="auto"/>
        <w:ind w:firstLine="455" w:firstLineChars="189"/>
        <w:jc w:val="left"/>
        <w:rPr>
          <w:rFonts w:hint="eastAsia" w:ascii="仿宋" w:hAnsi="仿宋" w:eastAsia="仿宋" w:cs="仿宋"/>
          <w:b/>
          <w:sz w:val="24"/>
          <w:highlight w:val="none"/>
          <w:u w:val="single"/>
        </w:rPr>
      </w:pPr>
      <w:r>
        <w:rPr>
          <w:rFonts w:hint="eastAsia" w:ascii="仿宋" w:hAnsi="仿宋" w:eastAsia="仿宋" w:cs="仿宋"/>
          <w:b/>
          <w:kern w:val="0"/>
          <w:sz w:val="24"/>
          <w:highlight w:val="none"/>
        </w:rPr>
        <w:t>试验、检测单位资质条件约定：</w:t>
      </w:r>
      <w:r>
        <w:rPr>
          <w:rFonts w:hint="eastAsia" w:ascii="仿宋" w:hAnsi="仿宋" w:eastAsia="仿宋" w:cs="仿宋"/>
          <w:b/>
          <w:sz w:val="24"/>
          <w:highlight w:val="none"/>
          <w:u w:val="single"/>
        </w:rPr>
        <w:t>具备国家相关部门颁布的资质条件</w:t>
      </w:r>
      <w:r>
        <w:rPr>
          <w:rFonts w:hint="eastAsia" w:ascii="仿宋" w:hAnsi="仿宋" w:eastAsia="仿宋" w:cs="仿宋"/>
          <w:b/>
          <w:sz w:val="24"/>
          <w:highlight w:val="none"/>
        </w:rPr>
        <w:t>；</w:t>
      </w:r>
    </w:p>
    <w:p w14:paraId="5F316AE9">
      <w:pPr>
        <w:spacing w:line="360" w:lineRule="auto"/>
        <w:ind w:firstLine="455" w:firstLineChars="189"/>
        <w:jc w:val="left"/>
        <w:rPr>
          <w:rFonts w:hint="eastAsia" w:ascii="仿宋" w:hAnsi="仿宋" w:eastAsia="仿宋" w:cs="仿宋"/>
          <w:b/>
          <w:sz w:val="24"/>
          <w:highlight w:val="none"/>
          <w:u w:val="single"/>
        </w:rPr>
      </w:pPr>
      <w:r>
        <w:rPr>
          <w:rFonts w:hint="eastAsia" w:ascii="仿宋" w:hAnsi="仿宋" w:eastAsia="仿宋" w:cs="仿宋"/>
          <w:b/>
          <w:kern w:val="0"/>
          <w:sz w:val="24"/>
          <w:highlight w:val="none"/>
        </w:rPr>
        <w:t>试验、检测单位选择约定：</w:t>
      </w:r>
      <w:r>
        <w:rPr>
          <w:rFonts w:hint="eastAsia" w:ascii="仿宋" w:hAnsi="仿宋" w:eastAsia="仿宋" w:cs="仿宋"/>
          <w:b/>
          <w:kern w:val="0"/>
          <w:sz w:val="24"/>
          <w:highlight w:val="none"/>
          <w:u w:val="single"/>
        </w:rPr>
        <w:t xml:space="preserve">承包人选择单位后报监理人、发包人审核，审核通过后方可确定试验、检测单位  </w:t>
      </w:r>
      <w:r>
        <w:rPr>
          <w:rFonts w:hint="eastAsia" w:ascii="仿宋" w:hAnsi="仿宋" w:eastAsia="仿宋" w:cs="仿宋"/>
          <w:b/>
          <w:sz w:val="24"/>
          <w:highlight w:val="none"/>
        </w:rPr>
        <w:t>；</w:t>
      </w:r>
    </w:p>
    <w:p w14:paraId="09E50762">
      <w:pPr>
        <w:spacing w:line="360" w:lineRule="auto"/>
        <w:ind w:firstLine="455" w:firstLineChars="189"/>
        <w:jc w:val="left"/>
        <w:rPr>
          <w:rFonts w:hint="eastAsia" w:ascii="仿宋" w:hAnsi="仿宋" w:eastAsia="仿宋" w:cs="仿宋"/>
          <w:b/>
          <w:sz w:val="24"/>
          <w:highlight w:val="none"/>
        </w:rPr>
      </w:pPr>
      <w:r>
        <w:rPr>
          <w:rFonts w:hint="eastAsia" w:ascii="仿宋" w:hAnsi="仿宋" w:eastAsia="仿宋" w:cs="仿宋"/>
          <w:b/>
          <w:sz w:val="24"/>
          <w:highlight w:val="none"/>
        </w:rPr>
        <w:t>试验、检测费用约定：</w:t>
      </w:r>
      <w:r>
        <w:rPr>
          <w:rFonts w:hint="eastAsia" w:ascii="仿宋" w:hAnsi="仿宋" w:eastAsia="仿宋" w:cs="仿宋"/>
          <w:b/>
          <w:sz w:val="24"/>
          <w:highlight w:val="none"/>
          <w:u w:val="single"/>
        </w:rPr>
        <w:t>工程有关试验、检测费用由承包人承担，并已包含在合同价款中，不再另行计算</w:t>
      </w:r>
      <w:r>
        <w:rPr>
          <w:rFonts w:hint="eastAsia" w:ascii="仿宋" w:hAnsi="仿宋" w:eastAsia="仿宋" w:cs="仿宋"/>
          <w:b/>
          <w:sz w:val="24"/>
          <w:highlight w:val="none"/>
        </w:rPr>
        <w:t>。</w:t>
      </w:r>
    </w:p>
    <w:p w14:paraId="015329C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9.4 现场工艺试验 </w:t>
      </w:r>
    </w:p>
    <w:p w14:paraId="3A0E32DF">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现场工艺试验的有关约定：</w:t>
      </w:r>
      <w:r>
        <w:rPr>
          <w:rFonts w:hint="eastAsia" w:ascii="仿宋" w:hAnsi="仿宋" w:eastAsia="仿宋" w:cs="仿宋"/>
          <w:sz w:val="24"/>
          <w:highlight w:val="none"/>
          <w:u w:val="single"/>
        </w:rPr>
        <w:t>按有关规定和监理人要求执行</w:t>
      </w:r>
      <w:r>
        <w:rPr>
          <w:rFonts w:hint="eastAsia" w:ascii="仿宋" w:hAnsi="仿宋" w:eastAsia="仿宋" w:cs="仿宋"/>
          <w:sz w:val="24"/>
          <w:highlight w:val="none"/>
        </w:rPr>
        <w:t>。</w:t>
      </w:r>
    </w:p>
    <w:bookmarkEnd w:id="381"/>
    <w:bookmarkEnd w:id="382"/>
    <w:bookmarkEnd w:id="383"/>
    <w:bookmarkEnd w:id="384"/>
    <w:bookmarkEnd w:id="385"/>
    <w:bookmarkEnd w:id="386"/>
    <w:bookmarkEnd w:id="387"/>
    <w:bookmarkEnd w:id="388"/>
    <w:p w14:paraId="47AB0726">
      <w:pPr>
        <w:keepNext/>
        <w:keepLines/>
        <w:spacing w:before="120" w:after="120" w:line="360" w:lineRule="auto"/>
        <w:ind w:firstLine="480" w:firstLineChars="200"/>
        <w:outlineLvl w:val="3"/>
        <w:rPr>
          <w:rFonts w:hint="eastAsia" w:ascii="仿宋" w:hAnsi="仿宋" w:eastAsia="仿宋" w:cs="仿宋"/>
          <w:bCs/>
          <w:sz w:val="24"/>
          <w:highlight w:val="none"/>
        </w:rPr>
      </w:pPr>
      <w:bookmarkStart w:id="389" w:name="_Toc351203642"/>
      <w:r>
        <w:rPr>
          <w:rFonts w:hint="eastAsia" w:ascii="仿宋" w:hAnsi="仿宋" w:eastAsia="仿宋" w:cs="仿宋"/>
          <w:bCs/>
          <w:sz w:val="24"/>
          <w:highlight w:val="none"/>
        </w:rPr>
        <w:t>1</w:t>
      </w:r>
      <w:bookmarkEnd w:id="355"/>
      <w:bookmarkEnd w:id="356"/>
      <w:bookmarkEnd w:id="357"/>
      <w:bookmarkEnd w:id="358"/>
      <w:bookmarkEnd w:id="359"/>
      <w:bookmarkEnd w:id="360"/>
      <w:bookmarkEnd w:id="361"/>
      <w:bookmarkEnd w:id="362"/>
      <w:bookmarkEnd w:id="363"/>
      <w:bookmarkEnd w:id="364"/>
      <w:bookmarkEnd w:id="365"/>
      <w:bookmarkEnd w:id="366"/>
      <w:bookmarkStart w:id="390" w:name="_Toc303539146"/>
      <w:bookmarkStart w:id="391" w:name="_Toc292559398"/>
      <w:bookmarkStart w:id="392" w:name="_Toc297123540"/>
      <w:bookmarkStart w:id="393" w:name="_Toc292559903"/>
      <w:bookmarkStart w:id="394" w:name="_Toc296347192"/>
      <w:bookmarkStart w:id="395" w:name="_Toc296944532"/>
      <w:bookmarkStart w:id="396" w:name="_Toc296891021"/>
      <w:bookmarkStart w:id="397" w:name="_Toc300934989"/>
      <w:bookmarkStart w:id="398" w:name="_Toc296503193"/>
      <w:bookmarkStart w:id="399" w:name="_Toc296346694"/>
      <w:bookmarkStart w:id="400" w:name="_Toc296891233"/>
      <w:bookmarkStart w:id="401" w:name="_Toc304295566"/>
      <w:bookmarkStart w:id="402" w:name="_Toc297216199"/>
      <w:bookmarkStart w:id="403" w:name="_Toc297120493"/>
      <w:bookmarkStart w:id="404" w:name="_Toc297048379"/>
      <w:bookmarkStart w:id="405" w:name="_Toc312678025"/>
      <w:bookmarkStart w:id="406" w:name="_Toc312677499"/>
      <w:bookmarkStart w:id="407" w:name="_Toc267251437"/>
      <w:bookmarkStart w:id="408" w:name="_Toc267251441"/>
      <w:bookmarkStart w:id="409" w:name="_Toc267251440"/>
      <w:bookmarkStart w:id="410" w:name="_Toc267251435"/>
      <w:bookmarkStart w:id="411" w:name="_Toc267251439"/>
      <w:bookmarkStart w:id="412" w:name="_Toc267251433"/>
      <w:bookmarkStart w:id="413" w:name="_Toc267251442"/>
      <w:r>
        <w:rPr>
          <w:rFonts w:hint="eastAsia" w:ascii="仿宋" w:hAnsi="仿宋" w:eastAsia="仿宋" w:cs="仿宋"/>
          <w:bCs/>
          <w:sz w:val="24"/>
          <w:highlight w:val="none"/>
        </w:rPr>
        <w:t>0. 变更</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bookmarkEnd w:id="405"/>
    <w:bookmarkEnd w:id="406"/>
    <w:p w14:paraId="7EC210C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414" w:name="_Toc297123541"/>
      <w:bookmarkStart w:id="415" w:name="_Toc304295567"/>
      <w:bookmarkStart w:id="416" w:name="_Toc296503194"/>
      <w:bookmarkStart w:id="417" w:name="_Toc296891022"/>
      <w:bookmarkStart w:id="418" w:name="_Toc303539147"/>
      <w:bookmarkStart w:id="419" w:name="_Toc292559904"/>
      <w:bookmarkStart w:id="420" w:name="_Toc312677500"/>
      <w:bookmarkStart w:id="421" w:name="_Toc297120494"/>
      <w:bookmarkStart w:id="422" w:name="_Toc297048380"/>
      <w:bookmarkStart w:id="423" w:name="_Toc297216200"/>
      <w:bookmarkStart w:id="424" w:name="_Toc312678026"/>
      <w:bookmarkStart w:id="425" w:name="_Toc300934990"/>
      <w:bookmarkStart w:id="426" w:name="_Toc296346695"/>
      <w:bookmarkStart w:id="427" w:name="_Toc292559399"/>
      <w:bookmarkStart w:id="428" w:name="_Toc296944533"/>
      <w:bookmarkStart w:id="429" w:name="_Toc296891234"/>
      <w:bookmarkStart w:id="430" w:name="_Toc296347193"/>
      <w:r>
        <w:rPr>
          <w:rFonts w:hint="eastAsia" w:ascii="仿宋" w:hAnsi="仿宋" w:eastAsia="仿宋" w:cs="仿宋"/>
          <w:sz w:val="24"/>
          <w:highlight w:val="none"/>
        </w:rPr>
        <w:t>0.1变更的范围</w:t>
      </w:r>
    </w:p>
    <w:p w14:paraId="0DB7616B">
      <w:pPr>
        <w:spacing w:line="360" w:lineRule="auto"/>
        <w:ind w:firstLine="600"/>
        <w:jc w:val="left"/>
        <w:rPr>
          <w:rFonts w:hint="eastAsia" w:ascii="仿宋" w:hAnsi="仿宋" w:eastAsia="仿宋" w:cs="仿宋"/>
          <w:b/>
          <w:sz w:val="24"/>
          <w:highlight w:val="none"/>
        </w:rPr>
      </w:pPr>
      <w:r>
        <w:rPr>
          <w:rFonts w:hint="eastAsia" w:ascii="仿宋" w:hAnsi="仿宋" w:eastAsia="仿宋" w:cs="仿宋"/>
          <w:sz w:val="24"/>
          <w:highlight w:val="none"/>
        </w:rPr>
        <w:t>关于变更的范围的约定：</w:t>
      </w:r>
      <w:r>
        <w:rPr>
          <w:rFonts w:hint="eastAsia" w:ascii="仿宋" w:hAnsi="仿宋" w:eastAsia="仿宋" w:cs="仿宋"/>
          <w:b/>
          <w:sz w:val="24"/>
          <w:highlight w:val="none"/>
          <w:u w:val="single"/>
        </w:rPr>
        <w:t xml:space="preserve">按通用合同条款约定             </w:t>
      </w:r>
      <w:r>
        <w:rPr>
          <w:rFonts w:hint="eastAsia" w:ascii="仿宋" w:hAnsi="仿宋" w:eastAsia="仿宋" w:cs="仿宋"/>
          <w:b/>
          <w:sz w:val="24"/>
          <w:highlight w:val="none"/>
        </w:rPr>
        <w:t>。</w:t>
      </w:r>
    </w:p>
    <w:p w14:paraId="6B003A19">
      <w:pPr>
        <w:spacing w:line="360" w:lineRule="auto"/>
        <w:ind w:firstLine="600"/>
        <w:jc w:val="left"/>
        <w:rPr>
          <w:rFonts w:hint="eastAsia" w:ascii="仿宋" w:hAnsi="仿宋" w:eastAsia="仿宋" w:cs="仿宋"/>
          <w:sz w:val="24"/>
          <w:highlight w:val="none"/>
          <w:u w:val="single"/>
        </w:rPr>
      </w:pPr>
      <w:r>
        <w:rPr>
          <w:rFonts w:hint="eastAsia" w:ascii="仿宋" w:hAnsi="仿宋" w:eastAsia="仿宋" w:cs="仿宋"/>
          <w:b/>
          <w:sz w:val="24"/>
          <w:highlight w:val="none"/>
        </w:rPr>
        <w:t>设计变更必须经设计单位确认；因工程变更而产生的新增减工程量，经发包人工程联系单盖章签复意见后，方可作为</w:t>
      </w:r>
      <w:r>
        <w:rPr>
          <w:rFonts w:hint="eastAsia" w:ascii="仿宋" w:hAnsi="仿宋" w:eastAsia="仿宋" w:cs="仿宋"/>
          <w:b/>
          <w:sz w:val="24"/>
          <w:highlight w:val="none"/>
          <w:lang w:val="en-US" w:eastAsia="zh-CN"/>
        </w:rPr>
        <w:t>结算</w:t>
      </w:r>
      <w:r>
        <w:rPr>
          <w:rFonts w:hint="eastAsia" w:ascii="仿宋" w:hAnsi="仿宋" w:eastAsia="仿宋" w:cs="仿宋"/>
          <w:b/>
          <w:sz w:val="24"/>
          <w:highlight w:val="none"/>
        </w:rPr>
        <w:t>依据。</w:t>
      </w:r>
    </w:p>
    <w:p w14:paraId="5656ED6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10.4 变更估价</w:t>
      </w:r>
    </w:p>
    <w:p w14:paraId="0306B4B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10.4.1 变更估价原则</w:t>
      </w:r>
    </w:p>
    <w:p w14:paraId="3106E0E9">
      <w:pPr>
        <w:autoSpaceDE w:val="0"/>
        <w:autoSpaceDN w:val="0"/>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关于变更估价的约定: </w:t>
      </w:r>
    </w:p>
    <w:p w14:paraId="0D246DAF">
      <w:pPr>
        <w:autoSpaceDE w:val="0"/>
        <w:autoSpaceDN w:val="0"/>
        <w:spacing w:line="360" w:lineRule="auto"/>
        <w:ind w:firstLine="357" w:firstLineChars="14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（1）已标价工程量清单或投标报价文件有相同项目的，按照相同项目单价确定</w:t>
      </w:r>
      <w:r>
        <w:rPr>
          <w:rFonts w:hint="eastAsia" w:ascii="仿宋" w:hAnsi="仿宋" w:eastAsia="仿宋" w:cs="仿宋"/>
          <w:b/>
          <w:kern w:val="0"/>
          <w:sz w:val="24"/>
          <w:highlight w:val="none"/>
        </w:rPr>
        <w:t>。</w:t>
      </w:r>
    </w:p>
    <w:p w14:paraId="406B5F64">
      <w:pPr>
        <w:autoSpaceDE w:val="0"/>
        <w:autoSpaceDN w:val="0"/>
        <w:spacing w:line="360" w:lineRule="auto"/>
        <w:ind w:firstLine="357" w:firstLineChars="14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（2）已标价工程量清单或投标报价文件中无相同项目，但有类似项目的，参照类似项目的单价确定</w:t>
      </w:r>
      <w:r>
        <w:rPr>
          <w:rFonts w:hint="eastAsia" w:ascii="仿宋" w:hAnsi="仿宋" w:eastAsia="仿宋" w:cs="仿宋"/>
          <w:b/>
          <w:kern w:val="0"/>
          <w:sz w:val="24"/>
          <w:highlight w:val="none"/>
        </w:rPr>
        <w:t>。</w:t>
      </w:r>
    </w:p>
    <w:p w14:paraId="3AE721FB">
      <w:pPr>
        <w:autoSpaceDE w:val="0"/>
        <w:autoSpaceDN w:val="0"/>
        <w:spacing w:line="360" w:lineRule="auto"/>
        <w:ind w:firstLine="357" w:firstLineChars="148"/>
        <w:jc w:val="left"/>
        <w:rPr>
          <w:rFonts w:hint="eastAsia" w:ascii="仿宋" w:hAnsi="仿宋" w:eastAsia="仿宋" w:cs="仿宋"/>
          <w:b/>
          <w:kern w:val="0"/>
          <w:sz w:val="24"/>
          <w:highlight w:val="none"/>
          <w:u w:val="single"/>
        </w:rPr>
      </w:pPr>
      <w:r>
        <w:rPr>
          <w:rFonts w:hint="eastAsia" w:ascii="仿宋" w:hAnsi="仿宋" w:eastAsia="仿宋" w:cs="仿宋"/>
          <w:b/>
          <w:kern w:val="0"/>
          <w:sz w:val="24"/>
          <w:highlight w:val="none"/>
          <w:u w:val="single"/>
        </w:rPr>
        <w:t>（3）已标价工程量清单或投标报价文件中无相同项目及类似项目单价的，其单价的确定，按以下约定：</w:t>
      </w:r>
      <w:r>
        <w:rPr>
          <w:rFonts w:hint="eastAsia" w:ascii="仿宋" w:hAnsi="仿宋" w:eastAsia="仿宋" w:cs="仿宋"/>
          <w:kern w:val="0"/>
          <w:sz w:val="24"/>
          <w:highlight w:val="none"/>
          <w:u w:val="single"/>
        </w:rPr>
        <w:t>直接费按浙江省建筑安装预算定额2018版计（若上述定额中缺项的，其他省份有相同或相似子目，定额含量可参照执行），人工费按原投标单价，材料、设备价格原投标书中有相同材料的其价格按原投标报价，无相同材料的价格按施工当期杭州市（杭州市无的，按浙江省）信息价补差，管理费和利润按浙江省建设工程计价规则2018版按相应类别工程费率取下值计算，由承包人提出经发包人审核确认后进入结算。</w:t>
      </w:r>
      <w:r>
        <w:rPr>
          <w:rFonts w:hint="eastAsia" w:ascii="仿宋" w:hAnsi="仿宋" w:eastAsia="仿宋" w:cs="仿宋"/>
          <w:b/>
          <w:bCs/>
          <w:kern w:val="0"/>
          <w:sz w:val="24"/>
          <w:highlight w:val="none"/>
          <w:u w:val="single"/>
        </w:rPr>
        <w:t>无价材料发包人签证确认后不下浮</w:t>
      </w:r>
      <w:r>
        <w:rPr>
          <w:rFonts w:hint="eastAsia" w:ascii="仿宋" w:hAnsi="仿宋" w:eastAsia="仿宋" w:cs="仿宋"/>
          <w:b/>
          <w:bCs/>
          <w:kern w:val="0"/>
          <w:sz w:val="24"/>
          <w:highlight w:val="none"/>
        </w:rPr>
        <w:t>。</w:t>
      </w:r>
    </w:p>
    <w:p w14:paraId="4ACA71D0">
      <w:pPr>
        <w:spacing w:line="360" w:lineRule="auto"/>
        <w:ind w:firstLine="357" w:firstLineChars="148"/>
        <w:jc w:val="left"/>
        <w:rPr>
          <w:rFonts w:hint="eastAsia" w:ascii="仿宋" w:hAnsi="仿宋" w:eastAsia="仿宋" w:cs="仿宋"/>
          <w:b/>
          <w:kern w:val="0"/>
          <w:sz w:val="24"/>
          <w:highlight w:val="none"/>
        </w:rPr>
      </w:pPr>
      <w:r>
        <w:rPr>
          <w:rFonts w:hint="eastAsia" w:ascii="仿宋" w:hAnsi="仿宋" w:eastAsia="仿宋" w:cs="仿宋"/>
          <w:b/>
          <w:sz w:val="24"/>
          <w:highlight w:val="none"/>
          <w:u w:val="single"/>
        </w:rPr>
        <w:t>（4）工程量清单错误和（或）设计</w:t>
      </w:r>
      <w:r>
        <w:rPr>
          <w:rFonts w:hint="eastAsia" w:ascii="仿宋" w:hAnsi="仿宋" w:eastAsia="仿宋" w:cs="仿宋"/>
          <w:b/>
          <w:kern w:val="0"/>
          <w:sz w:val="24"/>
          <w:highlight w:val="none"/>
          <w:u w:val="single"/>
        </w:rPr>
        <w:t>变更导致实际完成的工程量与已标价工程量清单或预算书中列明的该项目工程量的变化幅度超过以下情况的，其单价允许调整：</w:t>
      </w:r>
      <w:r>
        <w:rPr>
          <w:rFonts w:hint="eastAsia" w:ascii="仿宋" w:hAnsi="仿宋" w:eastAsia="仿宋" w:cs="仿宋"/>
          <w:b/>
          <w:sz w:val="24"/>
          <w:highlight w:val="none"/>
          <w:u w:val="single"/>
        </w:rPr>
        <w:t>凡合价金额占合同总价2%及以上的分部分项清单项目，其工程量增加或减少超过本项目工程数量15%及以上时，或者合价金额占合同总价不到2%的分部分项清单项目，但其工程量增加或减少超过本项目工程数量25%以上时。</w:t>
      </w:r>
      <w:r>
        <w:rPr>
          <w:rFonts w:hint="eastAsia" w:ascii="仿宋" w:hAnsi="仿宋" w:eastAsia="仿宋" w:cs="仿宋"/>
          <w:b/>
          <w:kern w:val="0"/>
          <w:sz w:val="24"/>
          <w:highlight w:val="none"/>
          <w:u w:val="single"/>
        </w:rPr>
        <w:t>工程量偏差</w:t>
      </w:r>
      <w:r>
        <w:rPr>
          <w:rFonts w:hint="eastAsia" w:ascii="仿宋" w:hAnsi="仿宋" w:eastAsia="仿宋" w:cs="仿宋"/>
          <w:b/>
          <w:sz w:val="24"/>
          <w:highlight w:val="none"/>
          <w:u w:val="single"/>
        </w:rPr>
        <w:t>超过上述变化幅度之外</w:t>
      </w:r>
      <w:r>
        <w:rPr>
          <w:rFonts w:hint="eastAsia" w:ascii="仿宋" w:hAnsi="仿宋" w:eastAsia="仿宋" w:cs="仿宋"/>
          <w:b/>
          <w:kern w:val="0"/>
          <w:sz w:val="24"/>
          <w:highlight w:val="none"/>
          <w:u w:val="single"/>
        </w:rPr>
        <w:t>变动部分的相应单价调整方法按以下方式约定：</w:t>
      </w:r>
      <w:r>
        <w:rPr>
          <w:rFonts w:hint="eastAsia" w:ascii="仿宋" w:hAnsi="仿宋" w:eastAsia="仿宋" w:cs="仿宋"/>
          <w:kern w:val="0"/>
          <w:sz w:val="24"/>
          <w:highlight w:val="none"/>
          <w:u w:val="single"/>
        </w:rPr>
        <w:t>直接费按浙江省建筑安装预算定额2018版计（若上述定额中缺项的，其他省份有相同或相似子目，定额含量可参照执行），主材按施工当期杭州市（杭州市无的，按浙江省）信息价，综合费用按浙江省建设工程计价规则2018版按相应类别工程费率取下值计算，由承包人提出经发包人审核确认后进入结算</w:t>
      </w:r>
      <w:r>
        <w:rPr>
          <w:rFonts w:hint="eastAsia" w:ascii="仿宋" w:hAnsi="仿宋" w:eastAsia="仿宋" w:cs="仿宋"/>
          <w:b/>
          <w:kern w:val="0"/>
          <w:sz w:val="24"/>
          <w:highlight w:val="none"/>
        </w:rPr>
        <w:t>。</w:t>
      </w:r>
    </w:p>
    <w:p w14:paraId="53EFA038">
      <w:pPr>
        <w:autoSpaceDE w:val="0"/>
        <w:autoSpaceDN w:val="0"/>
        <w:spacing w:line="360" w:lineRule="auto"/>
        <w:ind w:firstLine="357" w:firstLineChars="148"/>
        <w:jc w:val="left"/>
        <w:rPr>
          <w:rFonts w:hint="eastAsia" w:ascii="仿宋" w:hAnsi="仿宋" w:eastAsia="仿宋" w:cs="仿宋"/>
          <w:kern w:val="0"/>
          <w:sz w:val="24"/>
          <w:highlight w:val="none"/>
          <w:u w:val="single"/>
        </w:rPr>
      </w:pPr>
      <w:r>
        <w:rPr>
          <w:rFonts w:hint="eastAsia" w:ascii="仿宋" w:hAnsi="仿宋" w:eastAsia="仿宋" w:cs="仿宋"/>
          <w:b/>
          <w:kern w:val="0"/>
          <w:sz w:val="24"/>
          <w:highlight w:val="none"/>
          <w:u w:val="single"/>
        </w:rPr>
        <w:t>（5）其他</w:t>
      </w:r>
      <w:r>
        <w:rPr>
          <w:rFonts w:hint="eastAsia" w:ascii="仿宋" w:hAnsi="仿宋" w:eastAsia="仿宋" w:cs="仿宋"/>
          <w:kern w:val="0"/>
          <w:sz w:val="24"/>
          <w:highlight w:val="none"/>
          <w:u w:val="single"/>
        </w:rPr>
        <w:t>：施工组织措施费、施工技术措施费在招标范围未发生变化情况下，按投标报价包干。</w:t>
      </w:r>
    </w:p>
    <w:p w14:paraId="2459152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Start w:id="431" w:name="_Toc296891237"/>
      <w:bookmarkStart w:id="432" w:name="_Toc296503197"/>
      <w:bookmarkStart w:id="433" w:name="_Toc297123544"/>
      <w:bookmarkStart w:id="434" w:name="_Toc292559402"/>
      <w:bookmarkStart w:id="435" w:name="_Toc300934993"/>
      <w:bookmarkStart w:id="436" w:name="_Toc297048383"/>
      <w:bookmarkStart w:id="437" w:name="_Toc296346698"/>
      <w:bookmarkStart w:id="438" w:name="_Toc296944536"/>
      <w:bookmarkStart w:id="439" w:name="_Toc297216203"/>
      <w:bookmarkStart w:id="440" w:name="_Toc296347196"/>
      <w:bookmarkStart w:id="441" w:name="_Toc292559907"/>
      <w:bookmarkStart w:id="442" w:name="_Toc297120497"/>
      <w:bookmarkStart w:id="443" w:name="_Toc303539150"/>
      <w:bookmarkStart w:id="444" w:name="_Toc296891025"/>
      <w:bookmarkStart w:id="445" w:name="_Toc312678029"/>
      <w:bookmarkStart w:id="446" w:name="_Toc304295570"/>
      <w:bookmarkStart w:id="447" w:name="_Toc312677503"/>
      <w:r>
        <w:rPr>
          <w:rFonts w:hint="eastAsia" w:ascii="仿宋" w:hAnsi="仿宋" w:eastAsia="仿宋" w:cs="仿宋"/>
          <w:sz w:val="24"/>
          <w:highlight w:val="none"/>
        </w:rPr>
        <w:t>0.5承</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Start w:id="448" w:name="_Toc292559913"/>
      <w:bookmarkStart w:id="449" w:name="_Toc296944542"/>
      <w:bookmarkStart w:id="450" w:name="_Toc292559408"/>
      <w:bookmarkStart w:id="451" w:name="_Toc297123545"/>
      <w:bookmarkStart w:id="452" w:name="_Toc297120503"/>
      <w:bookmarkStart w:id="453" w:name="_Toc297216204"/>
      <w:bookmarkStart w:id="454" w:name="_Toc300934994"/>
      <w:bookmarkStart w:id="455" w:name="_Toc296503203"/>
      <w:bookmarkStart w:id="456" w:name="_Toc296347202"/>
      <w:bookmarkStart w:id="457" w:name="_Toc296891243"/>
      <w:bookmarkStart w:id="458" w:name="_Toc296891031"/>
      <w:bookmarkStart w:id="459" w:name="_Toc297048389"/>
      <w:bookmarkStart w:id="460" w:name="_Toc296346704"/>
      <w:bookmarkStart w:id="461" w:name="_Toc303539151"/>
      <w:r>
        <w:rPr>
          <w:rFonts w:hint="eastAsia" w:ascii="仿宋" w:hAnsi="仿宋" w:eastAsia="仿宋" w:cs="仿宋"/>
          <w:sz w:val="24"/>
          <w:highlight w:val="none"/>
        </w:rPr>
        <w:t>包人的合理化建议</w:t>
      </w:r>
    </w:p>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1CD944E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监理人审查承包人合理化建议的期限：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6DCFDF4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发包人审批承包人合理化建议的期限：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6B0DBC6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承</w:t>
      </w:r>
      <w:bookmarkStart w:id="462" w:name="_Toc312677504"/>
      <w:bookmarkStart w:id="463" w:name="_Toc297216205"/>
      <w:bookmarkStart w:id="464" w:name="_Toc292559409"/>
      <w:bookmarkStart w:id="465" w:name="_Toc297123546"/>
      <w:bookmarkStart w:id="466" w:name="_Toc318581175"/>
      <w:bookmarkStart w:id="467" w:name="_Toc297048390"/>
      <w:bookmarkStart w:id="468" w:name="_Toc296944543"/>
      <w:bookmarkStart w:id="469" w:name="_Toc297120504"/>
      <w:bookmarkStart w:id="470" w:name="_Toc292559914"/>
      <w:bookmarkStart w:id="471" w:name="_Toc304295571"/>
      <w:bookmarkStart w:id="472" w:name="_Toc296503204"/>
      <w:bookmarkStart w:id="473" w:name="_Toc300934995"/>
      <w:bookmarkStart w:id="474" w:name="_Toc296347203"/>
      <w:bookmarkStart w:id="475" w:name="_Toc303539152"/>
      <w:bookmarkStart w:id="476" w:name="_Toc312678030"/>
      <w:bookmarkStart w:id="477" w:name="_Toc296891032"/>
      <w:bookmarkStart w:id="478" w:name="_Toc296891244"/>
      <w:bookmarkStart w:id="479" w:name="_Toc296346705"/>
      <w:r>
        <w:rPr>
          <w:rFonts w:hint="eastAsia" w:ascii="仿宋" w:hAnsi="仿宋" w:eastAsia="仿宋" w:cs="仿宋"/>
          <w:sz w:val="24"/>
          <w:highlight w:val="none"/>
        </w:rPr>
        <w:t>包人提出的合理化建议降低了合同价格或者提高了工程经济效益的奖励的方法和金额为：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15A9CE8A">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480" w:name="_Toc312677507"/>
      <w:bookmarkStart w:id="481" w:name="_Toc297216207"/>
      <w:bookmarkStart w:id="482" w:name="_Toc300934997"/>
      <w:bookmarkStart w:id="483" w:name="_Toc296891239"/>
      <w:bookmarkStart w:id="484" w:name="_Toc296891027"/>
      <w:bookmarkStart w:id="485" w:name="_Toc303539154"/>
      <w:bookmarkStart w:id="486" w:name="_Toc297120499"/>
      <w:bookmarkStart w:id="487" w:name="_Toc297048385"/>
      <w:bookmarkStart w:id="488" w:name="_Toc297123548"/>
      <w:bookmarkStart w:id="489" w:name="_Toc304295574"/>
      <w:bookmarkStart w:id="490" w:name="_Toc296347198"/>
      <w:bookmarkStart w:id="491" w:name="_Toc296503199"/>
      <w:bookmarkStart w:id="492" w:name="_Toc312678033"/>
      <w:bookmarkStart w:id="493" w:name="_Toc292559909"/>
      <w:bookmarkStart w:id="494" w:name="_Toc296346700"/>
      <w:bookmarkStart w:id="495" w:name="_Toc296944538"/>
      <w:bookmarkStart w:id="496" w:name="_Toc292559404"/>
      <w:r>
        <w:rPr>
          <w:rFonts w:hint="eastAsia" w:ascii="仿宋" w:hAnsi="仿宋" w:eastAsia="仿宋" w:cs="仿宋"/>
          <w:sz w:val="24"/>
          <w:highlight w:val="none"/>
        </w:rPr>
        <w:t>0.7 暂估价</w:t>
      </w:r>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14:paraId="0D753F5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暂</w:t>
      </w:r>
      <w:bookmarkStart w:id="497" w:name="_Toc312677508"/>
      <w:bookmarkStart w:id="498" w:name="_Toc318581176"/>
      <w:bookmarkStart w:id="499" w:name="_Toc312678034"/>
      <w:r>
        <w:rPr>
          <w:rFonts w:hint="eastAsia" w:ascii="仿宋" w:hAnsi="仿宋" w:eastAsia="仿宋" w:cs="仿宋"/>
          <w:kern w:val="0"/>
          <w:sz w:val="24"/>
          <w:highlight w:val="none"/>
        </w:rPr>
        <w:t>估价材料和工程设备的明细详见附件11：《</w:t>
      </w:r>
      <w:r>
        <w:rPr>
          <w:rFonts w:hint="eastAsia" w:ascii="仿宋" w:hAnsi="仿宋" w:eastAsia="仿宋" w:cs="仿宋"/>
          <w:sz w:val="24"/>
          <w:highlight w:val="none"/>
        </w:rPr>
        <w:t>暂估价一览表》</w:t>
      </w:r>
      <w:r>
        <w:rPr>
          <w:rFonts w:hint="eastAsia" w:ascii="仿宋" w:hAnsi="仿宋" w:eastAsia="仿宋" w:cs="仿宋"/>
          <w:kern w:val="0"/>
          <w:sz w:val="24"/>
          <w:highlight w:val="none"/>
        </w:rPr>
        <w:t>。</w:t>
      </w:r>
    </w:p>
    <w:bookmarkEnd w:id="497"/>
    <w:bookmarkEnd w:id="498"/>
    <w:bookmarkEnd w:id="499"/>
    <w:p w14:paraId="2204647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bookmarkStart w:id="500" w:name="_Toc318581177"/>
      <w:bookmarkStart w:id="501" w:name="_Toc312678035"/>
      <w:bookmarkStart w:id="502" w:name="_Toc312677509"/>
      <w:r>
        <w:rPr>
          <w:rFonts w:hint="eastAsia" w:ascii="仿宋" w:hAnsi="仿宋" w:eastAsia="仿宋" w:cs="仿宋"/>
          <w:sz w:val="24"/>
          <w:highlight w:val="none"/>
        </w:rPr>
        <w:t>0.7.1 依法必须招标的暂估价项目</w:t>
      </w:r>
    </w:p>
    <w:bookmarkEnd w:id="500"/>
    <w:bookmarkEnd w:id="501"/>
    <w:bookmarkEnd w:id="502"/>
    <w:p w14:paraId="15B8146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对于依法必须招标的暂估价项目的确认和批准采取第</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种方式确定。</w:t>
      </w:r>
    </w:p>
    <w:p w14:paraId="428D9AF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10.7.2 不属于依法必须招标的暂估价项目</w:t>
      </w:r>
    </w:p>
    <w:p w14:paraId="39A1B2BF">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对于不属于依法必须招标的暂估价项目的确认和批准采取第</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种方式确定。</w:t>
      </w:r>
    </w:p>
    <w:p w14:paraId="58975C8B">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第3种方式：</w:t>
      </w:r>
      <w:r>
        <w:rPr>
          <w:rFonts w:hint="eastAsia" w:ascii="仿宋" w:hAnsi="仿宋" w:eastAsia="仿宋" w:cs="仿宋"/>
          <w:kern w:val="0"/>
          <w:sz w:val="24"/>
          <w:highlight w:val="none"/>
        </w:rPr>
        <w:t>承包人直接实施的暂估价项目</w:t>
      </w:r>
    </w:p>
    <w:p w14:paraId="5865DB4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承包人直接实施的暂估价项目的约定：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5D7094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10.8 暂列金额</w:t>
      </w:r>
    </w:p>
    <w:p w14:paraId="59D5AC95">
      <w:pPr>
        <w:autoSpaceDE w:val="0"/>
        <w:autoSpaceDN w:val="0"/>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合同当事人关于暂列金额使用的约定：</w:t>
      </w:r>
      <w:r>
        <w:rPr>
          <w:rFonts w:hint="eastAsia" w:ascii="仿宋" w:hAnsi="仿宋" w:eastAsia="仿宋" w:cs="仿宋"/>
          <w:sz w:val="24"/>
          <w:highlight w:val="none"/>
          <w:u w:val="single"/>
        </w:rPr>
        <w:t>按照发包人的要求使用</w:t>
      </w:r>
      <w:r>
        <w:rPr>
          <w:rFonts w:hint="eastAsia" w:ascii="仿宋" w:hAnsi="仿宋" w:eastAsia="仿宋" w:cs="仿宋"/>
          <w:kern w:val="0"/>
          <w:sz w:val="24"/>
          <w:highlight w:val="none"/>
        </w:rPr>
        <w:t>。</w:t>
      </w:r>
    </w:p>
    <w:p w14:paraId="163A7721">
      <w:pPr>
        <w:keepNext/>
        <w:keepLines/>
        <w:spacing w:before="120" w:after="120" w:line="360" w:lineRule="auto"/>
        <w:ind w:firstLine="480" w:firstLineChars="200"/>
        <w:outlineLvl w:val="3"/>
        <w:rPr>
          <w:rFonts w:hint="eastAsia" w:ascii="仿宋" w:hAnsi="仿宋" w:eastAsia="仿宋" w:cs="仿宋"/>
          <w:bCs/>
          <w:sz w:val="24"/>
          <w:highlight w:val="none"/>
        </w:rPr>
      </w:pPr>
      <w:bookmarkStart w:id="503" w:name="_Toc351203643"/>
      <w:r>
        <w:rPr>
          <w:rFonts w:hint="eastAsia" w:ascii="仿宋" w:hAnsi="仿宋" w:eastAsia="仿宋" w:cs="仿宋"/>
          <w:bCs/>
          <w:sz w:val="24"/>
          <w:highlight w:val="none"/>
        </w:rPr>
        <w:t>11. 价格调整</w:t>
      </w:r>
      <w:bookmarkEnd w:id="503"/>
    </w:p>
    <w:p w14:paraId="0E66B1ED">
      <w:pPr>
        <w:spacing w:after="120" w:line="360" w:lineRule="auto"/>
        <w:ind w:firstLine="480" w:firstLineChars="200"/>
        <w:rPr>
          <w:rFonts w:hint="eastAsia" w:ascii="仿宋" w:hAnsi="仿宋" w:eastAsia="仿宋" w:cs="仿宋"/>
          <w:sz w:val="24"/>
          <w:highlight w:val="none"/>
        </w:rPr>
      </w:pPr>
      <w:bookmarkStart w:id="504" w:name="_Toc297123550"/>
      <w:bookmarkStart w:id="505" w:name="_Toc296346702"/>
      <w:bookmarkStart w:id="506" w:name="_Toc303539157"/>
      <w:bookmarkStart w:id="507" w:name="_Toc300935000"/>
      <w:bookmarkStart w:id="508" w:name="_Toc296503201"/>
      <w:bookmarkStart w:id="509" w:name="_Toc292559406"/>
      <w:bookmarkStart w:id="510" w:name="_Toc296891241"/>
      <w:bookmarkStart w:id="511" w:name="_Toc297120501"/>
      <w:bookmarkStart w:id="512" w:name="_Toc296944540"/>
      <w:bookmarkStart w:id="513" w:name="_Toc292559911"/>
      <w:bookmarkStart w:id="514" w:name="_Toc297048387"/>
      <w:bookmarkStart w:id="515" w:name="_Toc296347200"/>
      <w:bookmarkStart w:id="516" w:name="_Toc312678039"/>
      <w:bookmarkStart w:id="517" w:name="_Toc297216209"/>
      <w:bookmarkStart w:id="518" w:name="_Toc304295577"/>
      <w:bookmarkStart w:id="519" w:name="_Toc296891029"/>
      <w:r>
        <w:rPr>
          <w:rFonts w:hint="eastAsia" w:ascii="仿宋" w:hAnsi="仿宋" w:eastAsia="仿宋" w:cs="仿宋"/>
          <w:sz w:val="24"/>
          <w:highlight w:val="none"/>
        </w:rPr>
        <w:t>11.1 市场价格波动引起的调整</w:t>
      </w: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43A071E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市场价格波动是否调整合同价格的约定：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
        </w:rPr>
        <w:t>不调整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A6AA10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因市场价格波动调整合同价格，采用以下第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eastAsia="zh"/>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种方式对合同价格进行调整：</w:t>
      </w:r>
    </w:p>
    <w:p w14:paraId="437584A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第1种方式：采用价格指数进行价格调整。</w:t>
      </w:r>
    </w:p>
    <w:p w14:paraId="2095FF0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关于各可调因子、定值和变值权重，以及基本价格指数及其来源的约定：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 xml:space="preserve">；  </w:t>
      </w:r>
    </w:p>
    <w:p w14:paraId="5D352F5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第2种方式：采用造价信息进行价格调整。</w:t>
      </w:r>
    </w:p>
    <w:p w14:paraId="43C3E77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（2）关于基准价格的约定：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3D6C0B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%时，或材料单价跌幅以已标价工程量清单或预算书中载明材料单价为基础超过</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%时，其超过部分据实调整。</w:t>
      </w:r>
    </w:p>
    <w:p w14:paraId="5291B86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%时，材料单价涨幅以已标价工程量清单或预算书中载明材料单价为基础超过</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%时，其超过部分据实调整。</w:t>
      </w:r>
    </w:p>
    <w:p w14:paraId="28EEC4F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%时，其超过部分据实调整。</w:t>
      </w:r>
    </w:p>
    <w:p w14:paraId="70E87211">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第3种方式：采用政策性文件进行价格调整。</w:t>
      </w:r>
    </w:p>
    <w:p w14:paraId="597CA84E">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政府投资工程因市场价格波动引起的调整按以下</w:t>
      </w:r>
      <w:r>
        <w:rPr>
          <w:rFonts w:hint="eastAsia" w:ascii="仿宋" w:hAnsi="仿宋" w:eastAsia="仿宋" w:cs="仿宋"/>
          <w:b/>
          <w:sz w:val="24"/>
          <w:highlight w:val="none"/>
          <w:u w:val="single"/>
        </w:rPr>
        <w:t>第（一）种方式</w:t>
      </w:r>
      <w:r>
        <w:rPr>
          <w:rFonts w:hint="eastAsia" w:ascii="仿宋" w:hAnsi="仿宋" w:eastAsia="仿宋" w:cs="仿宋"/>
          <w:b/>
          <w:sz w:val="24"/>
          <w:highlight w:val="none"/>
        </w:rPr>
        <w:t>约定执行：</w:t>
      </w:r>
    </w:p>
    <w:p w14:paraId="0C94F4B1">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（一）按住建局和区财政局联合发文相关文件执行</w:t>
      </w:r>
      <w:r>
        <w:rPr>
          <w:rFonts w:hint="eastAsia" w:ascii="仿宋" w:hAnsi="仿宋" w:eastAsia="仿宋" w:cs="仿宋"/>
          <w:b/>
          <w:sz w:val="24"/>
          <w:highlight w:val="none"/>
        </w:rPr>
        <w:t>；</w:t>
      </w:r>
    </w:p>
    <w:p w14:paraId="5EC890B9">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（二）其他：   /     </w:t>
      </w:r>
      <w:r>
        <w:rPr>
          <w:rFonts w:hint="eastAsia" w:ascii="仿宋" w:hAnsi="仿宋" w:eastAsia="仿宋" w:cs="仿宋"/>
          <w:b/>
          <w:sz w:val="24"/>
          <w:highlight w:val="none"/>
        </w:rPr>
        <w:t>。</w:t>
      </w:r>
    </w:p>
    <w:p w14:paraId="33FB1E2E">
      <w:pPr>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其中：</w:t>
      </w:r>
    </w:p>
    <w:p w14:paraId="0348164D">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1、风险范围及幅度的约定：</w:t>
      </w:r>
    </w:p>
    <w:p w14:paraId="37E9A1DB">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（1）人工费的风险幅度（  5  %）</w:t>
      </w:r>
    </w:p>
    <w:p w14:paraId="2FC37D6E">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（2）材料价格的风险幅度（  5  %）</w:t>
      </w:r>
    </w:p>
    <w:p w14:paraId="4F59E637">
      <w:pPr>
        <w:spacing w:line="360" w:lineRule="auto"/>
        <w:ind w:firstLine="645"/>
        <w:jc w:val="left"/>
        <w:rPr>
          <w:rFonts w:hint="eastAsia" w:ascii="仿宋" w:hAnsi="仿宋" w:eastAsia="仿宋" w:cs="仿宋"/>
          <w:b/>
          <w:sz w:val="24"/>
          <w:highlight w:val="none"/>
        </w:rPr>
      </w:pPr>
      <w:r>
        <w:rPr>
          <w:rFonts w:hint="eastAsia" w:ascii="仿宋" w:hAnsi="仿宋" w:eastAsia="仿宋" w:cs="仿宋"/>
          <w:b/>
          <w:sz w:val="24"/>
          <w:highlight w:val="none"/>
        </w:rPr>
        <w:t>2、材料价款动态调整结算方式采用以下</w:t>
      </w:r>
      <w:r>
        <w:rPr>
          <w:rFonts w:hint="eastAsia" w:ascii="仿宋" w:hAnsi="仿宋" w:eastAsia="仿宋" w:cs="仿宋"/>
          <w:b/>
          <w:sz w:val="24"/>
          <w:highlight w:val="none"/>
          <w:u w:val="single"/>
        </w:rPr>
        <w:t>第（3）种方式</w:t>
      </w:r>
      <w:r>
        <w:rPr>
          <w:rFonts w:hint="eastAsia" w:ascii="仿宋" w:hAnsi="仿宋" w:eastAsia="仿宋" w:cs="仿宋"/>
          <w:b/>
          <w:sz w:val="24"/>
          <w:highlight w:val="none"/>
        </w:rPr>
        <w:t>约定：</w:t>
      </w:r>
    </w:p>
    <w:p w14:paraId="13CCA14C">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（1）按时间进度分段结算：  /                        </w:t>
      </w:r>
      <w:r>
        <w:rPr>
          <w:rFonts w:hint="eastAsia" w:ascii="仿宋" w:hAnsi="仿宋" w:eastAsia="仿宋" w:cs="仿宋"/>
          <w:b/>
          <w:sz w:val="24"/>
          <w:highlight w:val="none"/>
        </w:rPr>
        <w:t>。</w:t>
      </w:r>
    </w:p>
    <w:p w14:paraId="6C4B8148">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（2）按工程形象部位(目标)分段结算：/               </w:t>
      </w:r>
      <w:r>
        <w:rPr>
          <w:rFonts w:hint="eastAsia" w:ascii="仿宋" w:hAnsi="仿宋" w:eastAsia="仿宋" w:cs="仿宋"/>
          <w:b/>
          <w:sz w:val="24"/>
          <w:highlight w:val="none"/>
        </w:rPr>
        <w:t xml:space="preserve"> 。</w:t>
      </w:r>
    </w:p>
    <w:p w14:paraId="05DCA9DE">
      <w:pPr>
        <w:spacing w:line="360" w:lineRule="auto"/>
        <w:ind w:firstLine="645"/>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 xml:space="preserve">（3）竣工后一次性结算                              </w:t>
      </w:r>
      <w:r>
        <w:rPr>
          <w:rFonts w:hint="eastAsia" w:ascii="仿宋" w:hAnsi="仿宋" w:eastAsia="仿宋" w:cs="仿宋"/>
          <w:b/>
          <w:sz w:val="24"/>
          <w:highlight w:val="none"/>
        </w:rPr>
        <w:t xml:space="preserve"> 。</w:t>
      </w:r>
    </w:p>
    <w:bookmarkEnd w:id="407"/>
    <w:bookmarkEnd w:id="408"/>
    <w:bookmarkEnd w:id="409"/>
    <w:bookmarkEnd w:id="410"/>
    <w:bookmarkEnd w:id="411"/>
    <w:bookmarkEnd w:id="412"/>
    <w:p w14:paraId="7573F436">
      <w:pPr>
        <w:keepNext/>
        <w:keepLines/>
        <w:spacing w:before="120" w:after="120" w:line="360" w:lineRule="auto"/>
        <w:outlineLvl w:val="3"/>
        <w:rPr>
          <w:rFonts w:hint="eastAsia" w:ascii="仿宋" w:hAnsi="仿宋" w:eastAsia="仿宋" w:cs="仿宋"/>
          <w:b/>
          <w:bCs/>
          <w:sz w:val="24"/>
          <w:highlight w:val="none"/>
        </w:rPr>
      </w:pPr>
      <w:bookmarkStart w:id="520" w:name="_Toc296346706"/>
      <w:bookmarkStart w:id="521" w:name="_Toc296347204"/>
      <w:bookmarkStart w:id="522" w:name="_Toc296891033"/>
      <w:bookmarkStart w:id="523" w:name="_Toc297120505"/>
      <w:bookmarkStart w:id="524" w:name="_Toc292559915"/>
      <w:bookmarkStart w:id="525" w:name="_Toc296944544"/>
      <w:bookmarkStart w:id="526" w:name="_Toc292559410"/>
      <w:bookmarkStart w:id="527" w:name="_Toc296503205"/>
      <w:bookmarkStart w:id="528" w:name="_Toc297048391"/>
      <w:bookmarkStart w:id="529" w:name="_Toc296891245"/>
      <w:bookmarkStart w:id="530" w:name="_Toc312678040"/>
      <w:bookmarkStart w:id="531" w:name="_Toc297123552"/>
      <w:bookmarkStart w:id="532" w:name="_Toc304295579"/>
      <w:bookmarkStart w:id="533" w:name="_Toc300935002"/>
      <w:bookmarkStart w:id="534" w:name="_Toc351203644"/>
      <w:bookmarkStart w:id="535" w:name="_Toc303539159"/>
      <w:bookmarkStart w:id="536" w:name="_Toc297216211"/>
      <w:r>
        <w:rPr>
          <w:rFonts w:hint="eastAsia" w:ascii="仿宋" w:hAnsi="仿宋" w:eastAsia="仿宋" w:cs="仿宋"/>
          <w:b/>
          <w:bCs/>
          <w:sz w:val="24"/>
          <w:highlight w:val="none"/>
        </w:rPr>
        <w:t xml:space="preserve">12. </w:t>
      </w:r>
      <w:bookmarkEnd w:id="520"/>
      <w:bookmarkEnd w:id="521"/>
      <w:bookmarkEnd w:id="522"/>
      <w:bookmarkEnd w:id="523"/>
      <w:bookmarkEnd w:id="524"/>
      <w:bookmarkEnd w:id="525"/>
      <w:bookmarkEnd w:id="526"/>
      <w:bookmarkEnd w:id="527"/>
      <w:bookmarkEnd w:id="528"/>
      <w:bookmarkEnd w:id="529"/>
      <w:r>
        <w:rPr>
          <w:rFonts w:hint="eastAsia" w:ascii="仿宋" w:hAnsi="仿宋" w:eastAsia="仿宋" w:cs="仿宋"/>
          <w:b/>
          <w:bCs/>
          <w:sz w:val="24"/>
          <w:highlight w:val="none"/>
        </w:rPr>
        <w:t>合同价格、计量与支付</w:t>
      </w:r>
      <w:bookmarkEnd w:id="530"/>
      <w:bookmarkEnd w:id="531"/>
      <w:bookmarkEnd w:id="532"/>
      <w:bookmarkEnd w:id="533"/>
      <w:bookmarkEnd w:id="534"/>
      <w:bookmarkEnd w:id="535"/>
      <w:bookmarkEnd w:id="536"/>
      <w:bookmarkStart w:id="537" w:name="_Toc292559411"/>
      <w:bookmarkStart w:id="538" w:name="_Toc292559916"/>
      <w:bookmarkStart w:id="539" w:name="_Toc267251461"/>
      <w:bookmarkStart w:id="540" w:name="_Toc297120506"/>
      <w:bookmarkStart w:id="541" w:name="_Toc296346707"/>
      <w:bookmarkStart w:id="542" w:name="_Toc296347205"/>
      <w:bookmarkStart w:id="543" w:name="_Toc296503206"/>
      <w:bookmarkStart w:id="544" w:name="_Toc296891246"/>
      <w:bookmarkStart w:id="545" w:name="_Toc296944545"/>
      <w:bookmarkStart w:id="546" w:name="_Toc297048392"/>
      <w:bookmarkStart w:id="547" w:name="_Toc296891034"/>
      <w:bookmarkStart w:id="548" w:name="_Toc297123553"/>
      <w:bookmarkStart w:id="549" w:name="_Toc297216212"/>
      <w:bookmarkStart w:id="550" w:name="_Toc304295580"/>
      <w:bookmarkStart w:id="551" w:name="_Toc303539160"/>
      <w:bookmarkStart w:id="552" w:name="_Toc312678041"/>
      <w:bookmarkStart w:id="553" w:name="_Toc300935003"/>
    </w:p>
    <w:p w14:paraId="340268E2">
      <w:pPr>
        <w:keepNext/>
        <w:keepLines/>
        <w:spacing w:before="120" w:after="120" w:line="360" w:lineRule="auto"/>
        <w:ind w:firstLine="482" w:firstLineChars="200"/>
        <w:outlineLvl w:val="3"/>
        <w:rPr>
          <w:rFonts w:hint="eastAsia" w:ascii="仿宋" w:hAnsi="仿宋" w:eastAsia="仿宋" w:cs="仿宋"/>
          <w:bCs/>
          <w:sz w:val="24"/>
          <w:highlight w:val="none"/>
        </w:rPr>
      </w:pPr>
      <w:r>
        <w:rPr>
          <w:rFonts w:hint="eastAsia" w:ascii="仿宋" w:hAnsi="仿宋" w:eastAsia="仿宋" w:cs="仿宋"/>
          <w:b/>
          <w:bCs/>
          <w:sz w:val="24"/>
          <w:highlight w:val="none"/>
        </w:rPr>
        <w:t>12.1 合</w:t>
      </w:r>
      <w:bookmarkEnd w:id="537"/>
      <w:bookmarkEnd w:id="538"/>
      <w:bookmarkEnd w:id="539"/>
      <w:r>
        <w:rPr>
          <w:rFonts w:hint="eastAsia" w:ascii="仿宋" w:hAnsi="仿宋" w:eastAsia="仿宋" w:cs="仿宋"/>
          <w:b/>
          <w:bCs/>
          <w:sz w:val="24"/>
          <w:highlight w:val="none"/>
        </w:rPr>
        <w:t>同价</w:t>
      </w:r>
      <w:bookmarkEnd w:id="540"/>
      <w:bookmarkEnd w:id="541"/>
      <w:bookmarkEnd w:id="542"/>
      <w:bookmarkEnd w:id="543"/>
      <w:bookmarkEnd w:id="544"/>
      <w:bookmarkEnd w:id="545"/>
      <w:bookmarkEnd w:id="546"/>
      <w:bookmarkEnd w:id="547"/>
      <w:r>
        <w:rPr>
          <w:rFonts w:hint="eastAsia" w:ascii="仿宋" w:hAnsi="仿宋" w:eastAsia="仿宋" w:cs="仿宋"/>
          <w:b/>
          <w:bCs/>
          <w:sz w:val="24"/>
          <w:highlight w:val="none"/>
        </w:rPr>
        <w:t>格形式</w:t>
      </w:r>
    </w:p>
    <w:bookmarkEnd w:id="548"/>
    <w:bookmarkEnd w:id="549"/>
    <w:bookmarkEnd w:id="550"/>
    <w:bookmarkEnd w:id="551"/>
    <w:bookmarkEnd w:id="552"/>
    <w:bookmarkEnd w:id="553"/>
    <w:p w14:paraId="7DF2546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1、单价合同。</w:t>
      </w:r>
    </w:p>
    <w:p w14:paraId="7AB78EC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综合单价包含的风险范围：</w:t>
      </w:r>
    </w:p>
    <w:p w14:paraId="7CAA1BB5">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rPr>
        <w:t>（1）</w:t>
      </w:r>
      <w:r>
        <w:rPr>
          <w:rFonts w:hint="eastAsia" w:ascii="仿宋" w:hAnsi="仿宋" w:eastAsia="仿宋" w:cs="仿宋"/>
          <w:b/>
          <w:sz w:val="24"/>
          <w:highlight w:val="none"/>
          <w:u w:val="single"/>
        </w:rPr>
        <w:t>应由承包人承担的工、料、机在投标编制期或预算书编制期与合同实施期间所发生的市场价格波动。①除合同专用条款第11条外，因法律、行政法规和国家有关政策变化，影响合同价款的风险费用不在合同价款外另行计列及调整；②造价部门发布的价格、计价依据及规范的调整（合同专用条款第11条的主要材料及人工费除外）；③招标文件、施工合同、清单编制说明中约定不予调整的条款和承包人承担的费用。</w:t>
      </w:r>
    </w:p>
    <w:p w14:paraId="28331A7A">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rPr>
        <w:t>（2）</w:t>
      </w:r>
      <w:r>
        <w:rPr>
          <w:rFonts w:hint="eastAsia" w:ascii="仿宋" w:hAnsi="仿宋" w:eastAsia="仿宋" w:cs="仿宋"/>
          <w:b/>
          <w:sz w:val="24"/>
          <w:highlight w:val="none"/>
          <w:u w:val="single"/>
        </w:rPr>
        <w:t>其他：</w:t>
      </w:r>
    </w:p>
    <w:p w14:paraId="1B9FAFFC">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a、除不可抗力外的各种自然灾害；</w:t>
      </w:r>
    </w:p>
    <w:p w14:paraId="3EBB05E2">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b、安全生产文明施工不当引起的责任；</w:t>
      </w:r>
    </w:p>
    <w:p w14:paraId="7218C42E">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c、所有磋商文件或工程量清单明示要求报价的内容而承包人未予报价的，将被认为包含在合同总价中，结算时合同价款不再增加；</w:t>
      </w:r>
    </w:p>
    <w:p w14:paraId="2BB05EB8">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d、工程要素（含人工、材料（设备）、机械台班）价格的涨跌风险；</w:t>
      </w:r>
    </w:p>
    <w:p w14:paraId="6A546DFD">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e、承包人对工程现场环境以及发包人提供的磋商文件、图纸等资料作出错误的推论、理解而导致的报价失误；</w:t>
      </w:r>
    </w:p>
    <w:p w14:paraId="71A955EA">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f、施工技术措施费在采购范围未发生变化情况下，原则上包干，不另增加；</w:t>
      </w:r>
    </w:p>
    <w:p w14:paraId="36A2EB4E">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施工组织措施费原则上包干，不另增加。但若有甩项或实际施工时安全文明施工措施费未按磋商承诺的内容投入，结算时根据实际情况酌情扣减。磋商报价必须与施工组织设计相一致，对施工组织设计的内容未在磋商报价中体现的均视同承包人优惠，费用在磋商报价中包干；</w:t>
      </w:r>
    </w:p>
    <w:p w14:paraId="1169D75F">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g、施工期间停水、停电引起的费用增加；</w:t>
      </w:r>
    </w:p>
    <w:p w14:paraId="13993590">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h、清单描述中有按图集或规范施工的，综合单价必须满足规范和图集要求，综合单价不作调整；</w:t>
      </w:r>
    </w:p>
    <w:p w14:paraId="46D78341">
      <w:pPr>
        <w:adjustRightInd/>
        <w:snapToGrid/>
        <w:spacing w:line="360" w:lineRule="auto"/>
        <w:ind w:firstLine="480" w:firstLineChars="200"/>
        <w:jc w:val="left"/>
        <w:rPr>
          <w:rFonts w:hint="eastAsia" w:ascii="仿宋" w:hAnsi="仿宋" w:eastAsia="仿宋" w:cs="仿宋"/>
          <w:b w:val="0"/>
          <w:kern w:val="2"/>
          <w:sz w:val="24"/>
          <w:highlight w:val="none"/>
          <w:u w:val="none"/>
        </w:rPr>
      </w:pPr>
      <w:r>
        <w:rPr>
          <w:rFonts w:hint="eastAsia" w:ascii="仿宋" w:hAnsi="仿宋" w:eastAsia="仿宋" w:cs="仿宋"/>
          <w:b w:val="0"/>
          <w:bCs w:val="0"/>
          <w:sz w:val="24"/>
          <w:szCs w:val="24"/>
          <w:highlight w:val="none"/>
          <w:u w:val="none"/>
        </w:rPr>
        <w:t>i、垃圾清理、搬运、外运与消纳所产生的费用；</w:t>
      </w:r>
    </w:p>
    <w:p w14:paraId="020E09D5">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rPr>
        <w:t>j、所有磋商文件或工程量清单明示要求报价包干或费率包干的内容；</w:t>
      </w:r>
    </w:p>
    <w:p w14:paraId="6A6C09B9">
      <w:pPr>
        <w:adjustRightInd/>
        <w:snapToGrid/>
        <w:spacing w:line="360" w:lineRule="auto"/>
        <w:ind w:firstLine="480" w:firstLineChars="200"/>
        <w:jc w:val="left"/>
        <w:rPr>
          <w:rFonts w:hint="eastAsia" w:ascii="仿宋" w:hAnsi="仿宋" w:eastAsia="仿宋" w:cs="仿宋"/>
          <w:b w:val="0"/>
          <w:bCs w:val="0"/>
          <w:sz w:val="24"/>
          <w:szCs w:val="24"/>
          <w:highlight w:val="none"/>
          <w:u w:val="none"/>
        </w:rPr>
      </w:pPr>
      <w:r>
        <w:rPr>
          <w:rFonts w:hint="eastAsia" w:ascii="仿宋" w:hAnsi="仿宋" w:eastAsia="仿宋" w:cs="仿宋"/>
          <w:b w:val="0"/>
          <w:bCs w:val="0"/>
          <w:sz w:val="24"/>
          <w:szCs w:val="24"/>
          <w:highlight w:val="none"/>
          <w:u w:val="none"/>
          <w:lang w:val="en-US" w:eastAsia="zh-CN"/>
        </w:rPr>
        <w:t>k</w:t>
      </w:r>
      <w:r>
        <w:rPr>
          <w:rFonts w:hint="eastAsia" w:ascii="仿宋" w:hAnsi="仿宋" w:eastAsia="仿宋" w:cs="仿宋"/>
          <w:b w:val="0"/>
          <w:bCs w:val="0"/>
          <w:sz w:val="24"/>
          <w:szCs w:val="24"/>
          <w:highlight w:val="none"/>
          <w:u w:val="none"/>
        </w:rPr>
        <w:t>、若同一工程中出现清单项目相同而报价或取费不一致者，按最低者执行。</w:t>
      </w:r>
    </w:p>
    <w:p w14:paraId="703CFF95">
      <w:pPr>
        <w:spacing w:line="360" w:lineRule="auto"/>
        <w:ind w:firstLine="480" w:firstLineChars="200"/>
        <w:jc w:val="left"/>
        <w:rPr>
          <w:rFonts w:hint="eastAsia" w:ascii="仿宋" w:hAnsi="仿宋" w:eastAsia="仿宋" w:cs="仿宋"/>
          <w:b/>
          <w:sz w:val="24"/>
          <w:highlight w:val="none"/>
          <w:u w:val="single"/>
        </w:rPr>
      </w:pPr>
      <w:r>
        <w:rPr>
          <w:rFonts w:hint="eastAsia" w:ascii="仿宋" w:hAnsi="仿宋" w:eastAsia="仿宋" w:cs="仿宋"/>
          <w:b w:val="0"/>
          <w:bCs w:val="0"/>
          <w:sz w:val="24"/>
          <w:szCs w:val="24"/>
          <w:highlight w:val="none"/>
          <w:u w:val="none"/>
          <w:lang w:val="en-US" w:eastAsia="zh-CN"/>
        </w:rPr>
        <w:t>l</w:t>
      </w:r>
      <w:r>
        <w:rPr>
          <w:rFonts w:hint="eastAsia" w:ascii="仿宋" w:hAnsi="仿宋" w:eastAsia="仿宋" w:cs="仿宋"/>
          <w:b w:val="0"/>
          <w:bCs w:val="0"/>
          <w:sz w:val="24"/>
          <w:szCs w:val="24"/>
          <w:highlight w:val="none"/>
          <w:u w:val="none"/>
        </w:rPr>
        <w:t>、其他内容：①定额、标准、费率及相关政策规范（非强制性文件）调整；②实际施工时，材料设备在发包人提供的参考品牌之间发生的品牌变更，则原响应材料、设备单价不予调整；</w:t>
      </w:r>
    </w:p>
    <w:p w14:paraId="3D488C1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风险费用的计算方法：</w:t>
      </w:r>
      <w:r>
        <w:rPr>
          <w:rFonts w:hint="eastAsia" w:ascii="仿宋" w:hAnsi="仿宋" w:eastAsia="仿宋" w:cs="仿宋"/>
          <w:sz w:val="24"/>
          <w:highlight w:val="none"/>
          <w:u w:val="single"/>
        </w:rPr>
        <w:t>以上风险范围之内费用已由承包人自行预测并计入投标总价中</w:t>
      </w:r>
      <w:r>
        <w:rPr>
          <w:rFonts w:hint="eastAsia" w:ascii="仿宋" w:hAnsi="仿宋" w:eastAsia="仿宋" w:cs="仿宋"/>
          <w:sz w:val="24"/>
          <w:highlight w:val="none"/>
        </w:rPr>
        <w:t>。</w:t>
      </w:r>
    </w:p>
    <w:p w14:paraId="396189B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风险范围以外合同价格的调整方法：</w:t>
      </w:r>
    </w:p>
    <w:p w14:paraId="61282B4F">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（1）实物工程量数量按实调整；</w:t>
      </w:r>
    </w:p>
    <w:p w14:paraId="6A0FD818">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2</w:t>
      </w:r>
      <w:r>
        <w:rPr>
          <w:rFonts w:hint="eastAsia" w:ascii="仿宋" w:hAnsi="仿宋" w:eastAsia="仿宋" w:cs="仿宋"/>
          <w:b/>
          <w:sz w:val="24"/>
          <w:highlight w:val="none"/>
          <w:u w:val="single"/>
        </w:rPr>
        <w:t>）重大设计变更引起的技术措施变更，如发包人批准其相应费用调整，竣工结算原则上可参照本合同10.4.1条款精神执行；</w:t>
      </w:r>
    </w:p>
    <w:p w14:paraId="296E5191">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3</w:t>
      </w:r>
      <w:r>
        <w:rPr>
          <w:rFonts w:hint="eastAsia" w:ascii="仿宋" w:hAnsi="仿宋" w:eastAsia="仿宋" w:cs="仿宋"/>
          <w:b/>
          <w:sz w:val="24"/>
          <w:highlight w:val="none"/>
          <w:u w:val="single"/>
        </w:rPr>
        <w:t>）其他：变更估价按本合同10.4.1的约定计算。</w:t>
      </w:r>
    </w:p>
    <w:p w14:paraId="29AEB3D5">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4</w:t>
      </w:r>
      <w:r>
        <w:rPr>
          <w:rFonts w:hint="eastAsia" w:ascii="仿宋" w:hAnsi="仿宋" w:eastAsia="仿宋" w:cs="仿宋"/>
          <w:b/>
          <w:sz w:val="24"/>
          <w:highlight w:val="none"/>
          <w:u w:val="single"/>
        </w:rPr>
        <w:t>）现有管线、邻近建筑物、构筑物（含文物保护建筑）、古树名木等的保护费计算。招标时已明确的，其保护费用投标人应根据招标人提供的交底资料，结合现场探勘，充分考虑施工难度，计入报价，包干使用。实施过程中新发现的，其保护费用按实计算，可参照本合同10.4.1条款精神执行。</w:t>
      </w:r>
    </w:p>
    <w:p w14:paraId="30298981">
      <w:pPr>
        <w:spacing w:line="360" w:lineRule="auto"/>
        <w:ind w:firstLine="504" w:firstLineChars="209"/>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w:t>
      </w:r>
      <w:r>
        <w:rPr>
          <w:rFonts w:hint="eastAsia" w:ascii="仿宋" w:hAnsi="仿宋" w:eastAsia="仿宋" w:cs="仿宋"/>
          <w:b/>
          <w:sz w:val="24"/>
          <w:highlight w:val="none"/>
          <w:u w:val="single"/>
          <w:lang w:eastAsia="zh"/>
        </w:rPr>
        <w:t>5</w:t>
      </w:r>
      <w:r>
        <w:rPr>
          <w:rFonts w:hint="eastAsia" w:ascii="仿宋" w:hAnsi="仿宋" w:eastAsia="仿宋" w:cs="仿宋"/>
          <w:b/>
          <w:sz w:val="24"/>
          <w:highlight w:val="none"/>
          <w:u w:val="single"/>
        </w:rPr>
        <w:t>）本工程结算以甲方委托的第三方工程结算审计单位的审核为准。</w:t>
      </w:r>
    </w:p>
    <w:p w14:paraId="51FA15FE">
      <w:pPr>
        <w:spacing w:line="360" w:lineRule="auto"/>
        <w:ind w:firstLine="504" w:firstLineChars="210"/>
        <w:jc w:val="left"/>
        <w:rPr>
          <w:rFonts w:hint="eastAsia" w:ascii="仿宋" w:hAnsi="仿宋" w:eastAsia="仿宋" w:cs="仿宋"/>
          <w:sz w:val="24"/>
          <w:highlight w:val="none"/>
        </w:rPr>
      </w:pPr>
      <w:r>
        <w:rPr>
          <w:rFonts w:hint="eastAsia" w:ascii="仿宋" w:hAnsi="仿宋" w:eastAsia="仿宋" w:cs="仿宋"/>
          <w:sz w:val="24"/>
          <w:highlight w:val="none"/>
        </w:rPr>
        <w:t>2、总价合同。</w:t>
      </w:r>
    </w:p>
    <w:p w14:paraId="458977E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总价包含的风险范围：</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4677294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风险费用的计算方法：</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B56601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风险范围以外合同价格的调整方法：</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0989E2B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3、其他价格方式：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A2BD827">
      <w:pPr>
        <w:spacing w:after="120" w:line="360" w:lineRule="auto"/>
        <w:ind w:firstLine="480" w:firstLineChars="200"/>
        <w:rPr>
          <w:rFonts w:hint="eastAsia" w:ascii="仿宋" w:hAnsi="仿宋" w:eastAsia="仿宋" w:cs="仿宋"/>
          <w:sz w:val="24"/>
          <w:highlight w:val="none"/>
        </w:rPr>
      </w:pPr>
      <w:bookmarkStart w:id="554" w:name="_Toc304295581"/>
      <w:bookmarkStart w:id="555" w:name="_Toc303539161"/>
      <w:bookmarkStart w:id="556" w:name="_Toc300935004"/>
      <w:bookmarkStart w:id="557" w:name="_Toc297216213"/>
      <w:bookmarkStart w:id="558" w:name="_Toc297123554"/>
      <w:bookmarkStart w:id="559" w:name="_Toc312678042"/>
      <w:bookmarkStart w:id="560" w:name="_Toc296891035"/>
      <w:bookmarkStart w:id="561" w:name="_Toc292559412"/>
      <w:bookmarkStart w:id="562" w:name="_Toc296503207"/>
      <w:bookmarkStart w:id="563" w:name="_Toc296891247"/>
      <w:bookmarkStart w:id="564" w:name="_Toc296944546"/>
      <w:bookmarkStart w:id="565" w:name="_Toc292559917"/>
      <w:bookmarkStart w:id="566" w:name="_Toc297048393"/>
      <w:bookmarkStart w:id="567" w:name="_Toc296347206"/>
      <w:bookmarkStart w:id="568" w:name="_Toc296346708"/>
      <w:bookmarkStart w:id="569" w:name="_Toc297120507"/>
      <w:r>
        <w:rPr>
          <w:rFonts w:hint="eastAsia" w:ascii="仿宋" w:hAnsi="仿宋" w:eastAsia="仿宋" w:cs="仿宋"/>
          <w:sz w:val="24"/>
          <w:highlight w:val="none"/>
        </w:rPr>
        <w:t>12.2 预付款</w:t>
      </w:r>
    </w:p>
    <w:bookmarkEnd w:id="554"/>
    <w:bookmarkEnd w:id="555"/>
    <w:bookmarkEnd w:id="556"/>
    <w:bookmarkEnd w:id="557"/>
    <w:bookmarkEnd w:id="558"/>
    <w:bookmarkEnd w:id="559"/>
    <w:p w14:paraId="1AFCCF1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12.2.1 预付款的支付</w:t>
      </w:r>
    </w:p>
    <w:p w14:paraId="0A2A57E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预付款支付比例或金额：</w:t>
      </w:r>
      <w:r>
        <w:rPr>
          <w:rFonts w:hint="eastAsia" w:ascii="仿宋" w:hAnsi="仿宋" w:eastAsia="仿宋" w:cs="仿宋"/>
          <w:sz w:val="24"/>
          <w:highlight w:val="none"/>
          <w:u w:val="single"/>
        </w:rPr>
        <w:t>40%</w:t>
      </w:r>
      <w:r>
        <w:rPr>
          <w:rFonts w:hint="eastAsia" w:ascii="仿宋" w:hAnsi="仿宋" w:eastAsia="仿宋" w:cs="仿宋"/>
          <w:sz w:val="24"/>
          <w:highlight w:val="none"/>
        </w:rPr>
        <w:t>。</w:t>
      </w:r>
    </w:p>
    <w:p w14:paraId="333AB2B4">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预付款支付期限：</w:t>
      </w:r>
      <w:r>
        <w:rPr>
          <w:rFonts w:hint="eastAsia" w:ascii="仿宋" w:hAnsi="仿宋" w:eastAsia="仿宋" w:cs="仿宋"/>
          <w:sz w:val="24"/>
          <w:highlight w:val="none"/>
          <w:u w:val="single"/>
        </w:rPr>
        <w:t>合同签订、承包人递交履约保证金后，发包人向承包人预付签约合同价的40%的工程预付款。</w:t>
      </w:r>
    </w:p>
    <w:p w14:paraId="0253139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预付款扣回的方式：</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rPr>
        <w:t>。</w:t>
      </w:r>
    </w:p>
    <w:p w14:paraId="70AC7AE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12.2.2 预付款担保</w:t>
      </w:r>
    </w:p>
    <w:p w14:paraId="0405AA7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承包人提交预付款担保的期限：</w:t>
      </w:r>
      <w:r>
        <w:rPr>
          <w:rFonts w:hint="eastAsia" w:ascii="仿宋" w:hAnsi="仿宋" w:eastAsia="仿宋" w:cs="仿宋"/>
          <w:sz w:val="24"/>
          <w:highlight w:val="none"/>
          <w:u w:val="single"/>
        </w:rPr>
        <w:t xml:space="preserve"> 预付款支付前</w:t>
      </w:r>
      <w:r>
        <w:rPr>
          <w:rFonts w:hint="eastAsia" w:ascii="仿宋" w:hAnsi="仿宋" w:eastAsia="仿宋" w:cs="仿宋"/>
          <w:sz w:val="24"/>
          <w:highlight w:val="none"/>
          <w:u w:val="single"/>
          <w:lang w:val="en-US" w:eastAsia="zh-CN"/>
        </w:rPr>
        <w:t>7</w:t>
      </w:r>
      <w:r>
        <w:rPr>
          <w:rFonts w:hint="eastAsia" w:ascii="仿宋" w:hAnsi="仿宋" w:eastAsia="仿宋" w:cs="仿宋"/>
          <w:sz w:val="24"/>
          <w:highlight w:val="none"/>
          <w:u w:val="single"/>
        </w:rPr>
        <w:t xml:space="preserve">个工作日 </w:t>
      </w:r>
      <w:r>
        <w:rPr>
          <w:rFonts w:hint="eastAsia" w:ascii="仿宋" w:hAnsi="仿宋" w:eastAsia="仿宋" w:cs="仿宋"/>
          <w:sz w:val="24"/>
          <w:highlight w:val="none"/>
        </w:rPr>
        <w:t>。</w:t>
      </w:r>
    </w:p>
    <w:p w14:paraId="29C6954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预付款担保的形式为：</w:t>
      </w:r>
      <w:r>
        <w:rPr>
          <w:rFonts w:hint="eastAsia" w:ascii="仿宋" w:hAnsi="仿宋" w:eastAsia="仿宋" w:cs="仿宋"/>
          <w:sz w:val="24"/>
          <w:highlight w:val="none"/>
          <w:u w:val="single"/>
        </w:rPr>
        <w:t xml:space="preserve"> 等额保函（如主动要求降低预付款或者无需预付款的，保函金额随预付款金额降低。保函有效期至本项目竣工验收合格之日）</w:t>
      </w:r>
      <w:r>
        <w:rPr>
          <w:rFonts w:hint="eastAsia" w:ascii="仿宋" w:hAnsi="仿宋" w:eastAsia="仿宋" w:cs="仿宋"/>
          <w:sz w:val="24"/>
          <w:highlight w:val="none"/>
        </w:rPr>
        <w:t>。</w:t>
      </w:r>
    </w:p>
    <w:bookmarkEnd w:id="560"/>
    <w:bookmarkEnd w:id="561"/>
    <w:bookmarkEnd w:id="562"/>
    <w:bookmarkEnd w:id="563"/>
    <w:bookmarkEnd w:id="564"/>
    <w:bookmarkEnd w:id="565"/>
    <w:bookmarkEnd w:id="566"/>
    <w:bookmarkEnd w:id="567"/>
    <w:bookmarkEnd w:id="568"/>
    <w:bookmarkEnd w:id="569"/>
    <w:p w14:paraId="4D1190C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12.3 计量</w:t>
      </w:r>
    </w:p>
    <w:p w14:paraId="32E999D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12.3.1 计量原则</w:t>
      </w:r>
    </w:p>
    <w:p w14:paraId="46FC3E1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工程量计算规则：</w:t>
      </w:r>
    </w:p>
    <w:p w14:paraId="38C2FF1B">
      <w:pPr>
        <w:spacing w:line="360" w:lineRule="auto"/>
        <w:ind w:firstLine="480" w:firstLineChars="200"/>
        <w:jc w:val="left"/>
        <w:rPr>
          <w:rFonts w:hint="eastAsia" w:ascii="仿宋" w:hAnsi="仿宋" w:eastAsia="仿宋" w:cs="仿宋"/>
          <w:b/>
          <w:sz w:val="24"/>
          <w:highlight w:val="none"/>
          <w:u w:val="single"/>
        </w:rPr>
      </w:pPr>
      <w:r>
        <w:rPr>
          <w:rFonts w:hint="eastAsia" w:ascii="仿宋" w:hAnsi="仿宋" w:eastAsia="仿宋" w:cs="仿宋"/>
          <w:b w:val="0"/>
          <w:sz w:val="24"/>
          <w:szCs w:val="24"/>
          <w:highlight w:val="none"/>
          <w:u w:val="single"/>
        </w:rPr>
        <w:t>按图纸纸及变更联系单按实际计算，并按《建设工程工程量清单计价规范》（GB 50500-2013）、《房屋建筑与装饰工程工程量计算规范》（GB 50854-2013）、《通用安装工程工程量计算规范》（GB50856—2013）、《浙江省建设工程计价规则》（2018版）</w:t>
      </w:r>
      <w:r>
        <w:rPr>
          <w:rFonts w:hint="eastAsia" w:ascii="仿宋" w:hAnsi="仿宋" w:eastAsia="仿宋" w:cs="仿宋"/>
          <w:b w:val="0"/>
          <w:bCs w:val="0"/>
          <w:sz w:val="24"/>
          <w:szCs w:val="24"/>
          <w:highlight w:val="none"/>
          <w:u w:val="single"/>
        </w:rPr>
        <w:t>及浙江省、杭州市现行相关规定中规定的工程量计算规则计算</w:t>
      </w:r>
      <w:r>
        <w:rPr>
          <w:rFonts w:hint="eastAsia" w:ascii="仿宋" w:hAnsi="仿宋" w:eastAsia="仿宋" w:cs="仿宋"/>
          <w:sz w:val="24"/>
          <w:szCs w:val="24"/>
          <w:highlight w:val="none"/>
          <w:u w:val="single"/>
        </w:rPr>
        <w:t>。</w:t>
      </w:r>
    </w:p>
    <w:p w14:paraId="583D9D5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12.3.2 计量周期</w:t>
      </w:r>
    </w:p>
    <w:p w14:paraId="4718C68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关于计量周期的约定：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69514E8E">
      <w:pPr>
        <w:spacing w:line="360" w:lineRule="auto"/>
        <w:ind w:firstLine="420" w:firstLineChars="175"/>
        <w:jc w:val="left"/>
        <w:rPr>
          <w:rFonts w:hint="eastAsia" w:ascii="仿宋" w:hAnsi="仿宋" w:eastAsia="仿宋" w:cs="仿宋"/>
          <w:sz w:val="24"/>
          <w:highlight w:val="none"/>
        </w:rPr>
      </w:pPr>
      <w:r>
        <w:rPr>
          <w:rFonts w:hint="eastAsia" w:ascii="仿宋" w:hAnsi="仿宋" w:eastAsia="仿宋" w:cs="仿宋"/>
          <w:sz w:val="24"/>
          <w:highlight w:val="none"/>
        </w:rPr>
        <w:t>12.3.3 单价合同的计量</w:t>
      </w:r>
    </w:p>
    <w:p w14:paraId="3D0D18B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关于单价合同计量的约定：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20A3D21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12.3.4 总价合同的计量</w:t>
      </w:r>
    </w:p>
    <w:p w14:paraId="76AF182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关于总价合同计量的约定：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65FE88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12.3.5总价合同采用支付分解表计量支付的，是否适用第</w:t>
      </w:r>
      <w:r>
        <w:rPr>
          <w:rFonts w:hint="eastAsia" w:ascii="仿宋" w:hAnsi="仿宋" w:eastAsia="仿宋" w:cs="仿宋"/>
          <w:kern w:val="0"/>
          <w:sz w:val="24"/>
          <w:highlight w:val="none"/>
        </w:rPr>
        <w:t xml:space="preserve">12.3.4 </w:t>
      </w:r>
      <w:r>
        <w:rPr>
          <w:rFonts w:hint="eastAsia" w:ascii="仿宋" w:hAnsi="仿宋" w:eastAsia="仿宋" w:cs="仿宋"/>
          <w:sz w:val="24"/>
          <w:highlight w:val="none"/>
        </w:rPr>
        <w:t>项</w:t>
      </w:r>
      <w:r>
        <w:rPr>
          <w:rFonts w:hint="eastAsia" w:ascii="仿宋" w:hAnsi="仿宋" w:eastAsia="仿宋" w:cs="仿宋"/>
          <w:kern w:val="0"/>
          <w:sz w:val="24"/>
          <w:highlight w:val="none"/>
        </w:rPr>
        <w:t>〔总价合同的计量〕</w:t>
      </w:r>
      <w:r>
        <w:rPr>
          <w:rFonts w:hint="eastAsia" w:ascii="仿宋" w:hAnsi="仿宋" w:eastAsia="仿宋" w:cs="仿宋"/>
          <w:sz w:val="24"/>
          <w:highlight w:val="none"/>
        </w:rPr>
        <w:t>约定进行计量：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7D782D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12.3.6 其他价格形式合同的计量</w:t>
      </w:r>
    </w:p>
    <w:p w14:paraId="25CEE65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其他价格形式的计量方式和程序：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3ED74C3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12.4 工程进度款支付</w:t>
      </w:r>
    </w:p>
    <w:p w14:paraId="19BEE086">
      <w:pPr>
        <w:spacing w:line="360" w:lineRule="auto"/>
        <w:ind w:firstLine="480" w:firstLineChars="200"/>
        <w:jc w:val="left"/>
        <w:rPr>
          <w:rFonts w:hint="eastAsia" w:ascii="仿宋" w:hAnsi="仿宋" w:eastAsia="仿宋" w:cs="仿宋"/>
          <w:sz w:val="24"/>
          <w:highlight w:val="none"/>
        </w:rPr>
      </w:pPr>
      <w:bookmarkStart w:id="570" w:name="_Toc296503211"/>
      <w:bookmarkStart w:id="571" w:name="_Toc296944550"/>
      <w:bookmarkStart w:id="572" w:name="_Toc297216215"/>
      <w:bookmarkStart w:id="573" w:name="_Toc296891251"/>
      <w:bookmarkStart w:id="574" w:name="_Toc303539163"/>
      <w:bookmarkStart w:id="575" w:name="_Toc297123556"/>
      <w:bookmarkStart w:id="576" w:name="_Toc300935006"/>
      <w:bookmarkStart w:id="577" w:name="_Toc296891039"/>
      <w:bookmarkStart w:id="578" w:name="_Toc292559416"/>
      <w:bookmarkStart w:id="579" w:name="_Toc297120511"/>
      <w:bookmarkStart w:id="580" w:name="_Toc296346712"/>
      <w:bookmarkStart w:id="581" w:name="_Toc292559921"/>
      <w:bookmarkStart w:id="582" w:name="_Toc296347210"/>
      <w:bookmarkStart w:id="583" w:name="_Toc297048397"/>
      <w:r>
        <w:rPr>
          <w:rFonts w:hint="eastAsia" w:ascii="仿宋" w:hAnsi="仿宋" w:eastAsia="仿宋" w:cs="仿宋"/>
          <w:sz w:val="24"/>
          <w:highlight w:val="none"/>
        </w:rPr>
        <w:t>12.4.1 付款周期</w:t>
      </w:r>
    </w:p>
    <w:p w14:paraId="70B3331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关于付款周期的约定：</w:t>
      </w:r>
    </w:p>
    <w:p w14:paraId="284A9D39">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bCs/>
          <w:sz w:val="24"/>
          <w:highlight w:val="none"/>
          <w:u w:val="single"/>
        </w:rPr>
        <w:t>合同</w:t>
      </w:r>
      <w:r>
        <w:rPr>
          <w:rFonts w:hint="eastAsia" w:ascii="仿宋" w:hAnsi="仿宋" w:eastAsia="仿宋" w:cs="仿宋"/>
          <w:b/>
          <w:bCs/>
          <w:sz w:val="24"/>
          <w:highlight w:val="none"/>
          <w:u w:val="single"/>
          <w:lang w:eastAsia="zh-CN"/>
        </w:rPr>
        <w:t>签订</w:t>
      </w:r>
      <w:r>
        <w:rPr>
          <w:rFonts w:hint="eastAsia" w:ascii="仿宋" w:hAnsi="仿宋" w:eastAsia="仿宋" w:cs="仿宋"/>
          <w:b/>
          <w:bCs/>
          <w:sz w:val="24"/>
          <w:highlight w:val="none"/>
          <w:u w:val="single"/>
        </w:rPr>
        <w:t>生效</w:t>
      </w:r>
      <w:r>
        <w:rPr>
          <w:rFonts w:hint="eastAsia" w:ascii="仿宋" w:hAnsi="仿宋" w:eastAsia="仿宋" w:cs="仿宋"/>
          <w:b/>
          <w:bCs/>
          <w:sz w:val="24"/>
          <w:highlight w:val="none"/>
          <w:u w:val="single"/>
          <w:lang w:eastAsia="zh-CN"/>
        </w:rPr>
        <w:t>并</w:t>
      </w:r>
      <w:r>
        <w:rPr>
          <w:rFonts w:hint="eastAsia" w:ascii="仿宋" w:hAnsi="仿宋" w:eastAsia="仿宋" w:cs="仿宋"/>
          <w:b/>
          <w:bCs/>
          <w:sz w:val="24"/>
          <w:highlight w:val="none"/>
          <w:u w:val="single"/>
        </w:rPr>
        <w:t>提交履约保证金后，</w:t>
      </w:r>
      <w:r>
        <w:rPr>
          <w:rFonts w:hint="eastAsia" w:ascii="仿宋" w:hAnsi="仿宋" w:eastAsia="仿宋" w:cs="仿宋"/>
          <w:b/>
          <w:sz w:val="24"/>
          <w:highlight w:val="none"/>
          <w:u w:val="single"/>
        </w:rPr>
        <w:t>支付合同价的40%工程款为预付款；</w:t>
      </w:r>
    </w:p>
    <w:p w14:paraId="04384839">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竣工验收合格后支付至合同价的85%；</w:t>
      </w:r>
    </w:p>
    <w:p w14:paraId="798E95BE">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工程结算审计完成，缴纳结算价1.5%的质保金后，支付至结算价的100%。</w:t>
      </w:r>
    </w:p>
    <w:p w14:paraId="0A39619A">
      <w:pPr>
        <w:spacing w:line="360" w:lineRule="auto"/>
        <w:ind w:firstLine="482" w:firstLineChars="200"/>
        <w:jc w:val="left"/>
        <w:rPr>
          <w:rFonts w:hint="eastAsia" w:ascii="仿宋" w:hAnsi="仿宋" w:eastAsia="仿宋" w:cs="仿宋"/>
          <w:b/>
          <w:sz w:val="24"/>
          <w:highlight w:val="none"/>
          <w:u w:val="single"/>
        </w:rPr>
      </w:pPr>
      <w:r>
        <w:rPr>
          <w:rFonts w:hint="eastAsia" w:ascii="仿宋" w:hAnsi="仿宋" w:eastAsia="仿宋" w:cs="仿宋"/>
          <w:b/>
          <w:sz w:val="24"/>
          <w:highlight w:val="none"/>
          <w:u w:val="single"/>
        </w:rPr>
        <w:t>履约保证金、质保金缴纳形式：可以以支票、汇票、本票或者金融机构、担保机构出具的保函等非现金形式提交。履约保证金的数额：政府采购合同金额的</w:t>
      </w:r>
      <w:r>
        <w:rPr>
          <w:rFonts w:hint="eastAsia" w:ascii="仿宋" w:hAnsi="仿宋" w:eastAsia="仿宋" w:cs="仿宋"/>
          <w:b/>
          <w:sz w:val="24"/>
          <w:highlight w:val="none"/>
          <w:u w:val="single"/>
          <w:lang w:val="en-US" w:eastAsia="zh-CN"/>
        </w:rPr>
        <w:t>2</w:t>
      </w:r>
      <w:r>
        <w:rPr>
          <w:rFonts w:hint="eastAsia" w:ascii="仿宋" w:hAnsi="仿宋" w:eastAsia="仿宋" w:cs="仿宋"/>
          <w:b/>
          <w:sz w:val="24"/>
          <w:highlight w:val="none"/>
          <w:u w:val="single"/>
        </w:rPr>
        <w:t>%，鼓励和支持供应商以银行、保险公司出具的保函形式提供履约保证金。竣工验收合格后可退还履约保证金。缺陷责任期满并扣除相应的违约金</w:t>
      </w:r>
      <w:r>
        <w:rPr>
          <w:rFonts w:hint="eastAsia" w:ascii="仿宋" w:hAnsi="仿宋" w:eastAsia="仿宋" w:cs="仿宋"/>
          <w:b/>
          <w:sz w:val="24"/>
          <w:highlight w:val="none"/>
          <w:u w:val="single"/>
          <w:lang w:val="en-US" w:eastAsia="zh-CN"/>
        </w:rPr>
        <w:t>后</w:t>
      </w:r>
      <w:r>
        <w:rPr>
          <w:rFonts w:hint="eastAsia" w:ascii="仿宋" w:hAnsi="仿宋" w:eastAsia="仿宋" w:cs="仿宋"/>
          <w:b/>
          <w:sz w:val="24"/>
          <w:highlight w:val="none"/>
          <w:u w:val="single"/>
        </w:rPr>
        <w:t>无息退还质保金。</w:t>
      </w:r>
    </w:p>
    <w:p w14:paraId="6AFED0D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12.4.2 进度付款申请单的编制</w:t>
      </w:r>
    </w:p>
    <w:p w14:paraId="6FA621D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关于进度付款申请单编制的约定：</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32D12272">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Pr>
          <w:rFonts w:hint="eastAsia" w:ascii="仿宋" w:hAnsi="仿宋" w:eastAsia="仿宋" w:cs="仿宋"/>
          <w:sz w:val="24"/>
          <w:highlight w:val="none"/>
        </w:rPr>
        <w:t>2.4.3 进度付款申请单的提交</w:t>
      </w:r>
    </w:p>
    <w:p w14:paraId="4F921DD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（1）单价合同进度付款申请单提交的约定：</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3273A58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（2）总价合同进度付款申请单提交的约定：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76BD128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（3）其他价格形式合同进度付款申请单提交的约定：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07B4CC1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12.4.4 进度款审核和支付</w:t>
      </w:r>
    </w:p>
    <w:p w14:paraId="0724B53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（1）监理人审查并报送发包人的期限：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029B6D9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发包人完成审批并签发进度款支付证书的期限：</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158B443B">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（2）发包人支付进度款的期限：</w:t>
      </w:r>
      <w:r>
        <w:rPr>
          <w:rFonts w:hint="eastAsia" w:ascii="仿宋" w:hAnsi="仿宋" w:eastAsia="仿宋" w:cs="仿宋"/>
          <w:sz w:val="24"/>
          <w:highlight w:val="none"/>
          <w:u w:val="single"/>
        </w:rPr>
        <w:t>在进度款支付证书或临时进度款支付证书签发后15天内完成支付</w:t>
      </w:r>
      <w:r>
        <w:rPr>
          <w:rFonts w:hint="eastAsia" w:ascii="仿宋" w:hAnsi="仿宋" w:eastAsia="仿宋" w:cs="仿宋"/>
          <w:sz w:val="24"/>
          <w:highlight w:val="none"/>
        </w:rPr>
        <w:t>。</w:t>
      </w:r>
    </w:p>
    <w:p w14:paraId="35542BF4">
      <w:pPr>
        <w:spacing w:line="360" w:lineRule="auto"/>
        <w:ind w:firstLine="600" w:firstLineChars="250"/>
        <w:jc w:val="left"/>
        <w:rPr>
          <w:rFonts w:hint="eastAsia" w:ascii="仿宋" w:hAnsi="仿宋" w:eastAsia="仿宋" w:cs="仿宋"/>
          <w:sz w:val="24"/>
          <w:highlight w:val="none"/>
          <w:u w:val="single"/>
        </w:rPr>
      </w:pPr>
      <w:r>
        <w:rPr>
          <w:rFonts w:hint="eastAsia" w:ascii="仿宋" w:hAnsi="仿宋" w:eastAsia="仿宋" w:cs="仿宋"/>
          <w:sz w:val="24"/>
          <w:highlight w:val="none"/>
        </w:rPr>
        <w:t>发包人逾期支付进度款的违约金的计算方式：</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420E1848">
      <w:pPr>
        <w:spacing w:line="360" w:lineRule="auto"/>
        <w:ind w:firstLine="600" w:firstLineChars="250"/>
        <w:jc w:val="left"/>
        <w:rPr>
          <w:rFonts w:hint="eastAsia" w:ascii="仿宋" w:hAnsi="仿宋" w:eastAsia="仿宋" w:cs="仿宋"/>
          <w:sz w:val="24"/>
          <w:highlight w:val="none"/>
        </w:rPr>
      </w:pPr>
      <w:r>
        <w:rPr>
          <w:rFonts w:hint="eastAsia" w:ascii="仿宋" w:hAnsi="仿宋" w:eastAsia="仿宋" w:cs="仿宋"/>
          <w:sz w:val="24"/>
          <w:highlight w:val="none"/>
        </w:rPr>
        <w:t>12.4.6 支付分解表的编制</w:t>
      </w:r>
    </w:p>
    <w:p w14:paraId="0FF67E5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2、总价合同支付分解表的编制与审批：</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18AB3FE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3、单价合同的总价项目支付分解表的编制与审批：</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bookmarkEnd w:id="413"/>
    <w:p w14:paraId="6165EF1F">
      <w:pPr>
        <w:keepNext/>
        <w:keepLines/>
        <w:spacing w:before="120" w:after="120" w:line="360" w:lineRule="auto"/>
        <w:ind w:firstLine="480" w:firstLineChars="200"/>
        <w:outlineLvl w:val="3"/>
        <w:rPr>
          <w:rFonts w:hint="eastAsia" w:ascii="仿宋" w:hAnsi="仿宋" w:eastAsia="仿宋" w:cs="仿宋"/>
          <w:bCs/>
          <w:sz w:val="24"/>
          <w:highlight w:val="none"/>
        </w:rPr>
      </w:pPr>
      <w:bookmarkStart w:id="584" w:name="_Toc351203645"/>
      <w:bookmarkStart w:id="585" w:name="_Toc296346720"/>
      <w:bookmarkStart w:id="586" w:name="_Toc297048405"/>
      <w:bookmarkStart w:id="587" w:name="_Toc296347218"/>
      <w:bookmarkStart w:id="588" w:name="_Toc292559424"/>
      <w:bookmarkStart w:id="589" w:name="_Toc296944558"/>
      <w:bookmarkStart w:id="590" w:name="_Toc312678053"/>
      <w:bookmarkStart w:id="591" w:name="_Toc297120519"/>
      <w:bookmarkStart w:id="592" w:name="_Toc297123564"/>
      <w:bookmarkStart w:id="593" w:name="_Toc297216223"/>
      <w:bookmarkStart w:id="594" w:name="_Toc296891259"/>
      <w:bookmarkStart w:id="595" w:name="_Toc296891047"/>
      <w:bookmarkStart w:id="596" w:name="_Toc300935015"/>
      <w:bookmarkStart w:id="597" w:name="_Toc304295593"/>
      <w:bookmarkStart w:id="598" w:name="_Toc292559929"/>
      <w:bookmarkStart w:id="599" w:name="_Toc303539172"/>
      <w:bookmarkStart w:id="600" w:name="_Toc296503219"/>
      <w:r>
        <w:rPr>
          <w:rFonts w:hint="eastAsia" w:ascii="仿宋" w:hAnsi="仿宋" w:eastAsia="仿宋" w:cs="仿宋"/>
          <w:bCs/>
          <w:sz w:val="24"/>
          <w:highlight w:val="none"/>
        </w:rPr>
        <w:t>13. 验收和工程试车</w:t>
      </w:r>
      <w:bookmarkEnd w:id="584"/>
    </w:p>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14:paraId="11DD24E0">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13.1 分部分项工程验收</w:t>
      </w:r>
    </w:p>
    <w:p w14:paraId="2FCBBF9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13.1.2监理人不能按时进行验收时，应提前</w:t>
      </w:r>
      <w:r>
        <w:rPr>
          <w:rFonts w:hint="eastAsia" w:ascii="仿宋" w:hAnsi="仿宋" w:eastAsia="仿宋" w:cs="仿宋"/>
          <w:sz w:val="24"/>
          <w:highlight w:val="none"/>
          <w:u w:val="single"/>
        </w:rPr>
        <w:t xml:space="preserve"> 24 </w:t>
      </w:r>
      <w:r>
        <w:rPr>
          <w:rFonts w:hint="eastAsia" w:ascii="仿宋" w:hAnsi="仿宋" w:eastAsia="仿宋" w:cs="仿宋"/>
          <w:sz w:val="24"/>
          <w:highlight w:val="none"/>
        </w:rPr>
        <w:t>小时提交书面延期要求。</w:t>
      </w:r>
    </w:p>
    <w:p w14:paraId="6B028742">
      <w:pPr>
        <w:spacing w:line="360" w:lineRule="auto"/>
        <w:ind w:firstLine="480" w:firstLineChars="200"/>
        <w:jc w:val="left"/>
        <w:rPr>
          <w:rFonts w:hint="eastAsia" w:ascii="仿宋" w:hAnsi="仿宋" w:eastAsia="仿宋" w:cs="仿宋"/>
          <w:b/>
          <w:sz w:val="24"/>
          <w:highlight w:val="none"/>
        </w:rPr>
      </w:pPr>
      <w:r>
        <w:rPr>
          <w:rFonts w:hint="eastAsia" w:ascii="仿宋" w:hAnsi="仿宋" w:eastAsia="仿宋" w:cs="仿宋"/>
          <w:sz w:val="24"/>
          <w:highlight w:val="none"/>
        </w:rPr>
        <w:t>关于延期最长不得超过：</w:t>
      </w:r>
      <w:r>
        <w:rPr>
          <w:rFonts w:hint="eastAsia" w:ascii="仿宋" w:hAnsi="仿宋" w:eastAsia="仿宋" w:cs="仿宋"/>
          <w:sz w:val="24"/>
          <w:highlight w:val="none"/>
          <w:u w:val="single"/>
        </w:rPr>
        <w:t xml:space="preserve"> 48 </w:t>
      </w:r>
      <w:r>
        <w:rPr>
          <w:rFonts w:hint="eastAsia" w:ascii="仿宋" w:hAnsi="仿宋" w:eastAsia="仿宋" w:cs="仿宋"/>
          <w:sz w:val="24"/>
          <w:highlight w:val="none"/>
        </w:rPr>
        <w:t>小时。</w:t>
      </w:r>
    </w:p>
    <w:p w14:paraId="3852E4C3">
      <w:pPr>
        <w:spacing w:after="120" w:line="360" w:lineRule="auto"/>
        <w:ind w:firstLine="480" w:firstLineChars="200"/>
        <w:rPr>
          <w:rFonts w:hint="eastAsia" w:ascii="仿宋" w:hAnsi="仿宋" w:eastAsia="仿宋" w:cs="仿宋"/>
          <w:sz w:val="24"/>
          <w:highlight w:val="none"/>
        </w:rPr>
      </w:pPr>
      <w:bookmarkStart w:id="601" w:name="_Toc296503223"/>
      <w:bookmarkStart w:id="602" w:name="_Toc297048409"/>
      <w:bookmarkStart w:id="603" w:name="_Toc312678056"/>
      <w:bookmarkStart w:id="604" w:name="_Toc292559428"/>
      <w:bookmarkStart w:id="605" w:name="_Toc296346724"/>
      <w:bookmarkStart w:id="606" w:name="_Toc296891051"/>
      <w:bookmarkStart w:id="607" w:name="_Toc297120523"/>
      <w:bookmarkStart w:id="608" w:name="_Toc303539173"/>
      <w:bookmarkStart w:id="609" w:name="_Toc296891263"/>
      <w:bookmarkStart w:id="610" w:name="_Toc304295596"/>
      <w:bookmarkStart w:id="611" w:name="_Toc297123565"/>
      <w:bookmarkStart w:id="612" w:name="_Toc292559933"/>
      <w:bookmarkStart w:id="613" w:name="_Toc296944562"/>
      <w:bookmarkStart w:id="614" w:name="_Toc300935016"/>
      <w:bookmarkStart w:id="615" w:name="_Toc297216224"/>
      <w:bookmarkStart w:id="616" w:name="_Toc296347222"/>
      <w:bookmarkStart w:id="617" w:name="_Toc267251473"/>
      <w:bookmarkStart w:id="618" w:name="_Toc267251471"/>
      <w:bookmarkStart w:id="619" w:name="_Toc267251474"/>
      <w:bookmarkStart w:id="620" w:name="_Toc267251476"/>
      <w:bookmarkStart w:id="621" w:name="_Toc267251472"/>
      <w:bookmarkStart w:id="622" w:name="_Toc267251475"/>
      <w:bookmarkStart w:id="623" w:name="_Toc267251470"/>
      <w:r>
        <w:rPr>
          <w:rFonts w:hint="eastAsia" w:ascii="仿宋" w:hAnsi="仿宋" w:eastAsia="仿宋" w:cs="仿宋"/>
          <w:sz w:val="24"/>
          <w:highlight w:val="none"/>
        </w:rPr>
        <w:t>13.2 竣工验收</w:t>
      </w:r>
    </w:p>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14:paraId="43B43FD9">
      <w:pPr>
        <w:spacing w:line="360" w:lineRule="auto"/>
        <w:ind w:firstLine="480" w:firstLineChars="200"/>
        <w:jc w:val="left"/>
        <w:rPr>
          <w:rFonts w:hint="eastAsia" w:ascii="仿宋" w:hAnsi="仿宋" w:eastAsia="仿宋" w:cs="仿宋"/>
          <w:sz w:val="24"/>
          <w:highlight w:val="none"/>
        </w:rPr>
      </w:pPr>
      <w:bookmarkStart w:id="624" w:name="_Toc280868704"/>
      <w:bookmarkStart w:id="625" w:name="_Toc280868705"/>
      <w:bookmarkStart w:id="626" w:name="_Toc280868706"/>
      <w:bookmarkStart w:id="627" w:name="_Toc280868707"/>
      <w:bookmarkStart w:id="628" w:name="_Toc280868708"/>
      <w:bookmarkStart w:id="629" w:name="_Toc280868709"/>
      <w:r>
        <w:rPr>
          <w:rFonts w:hint="eastAsia" w:ascii="仿宋" w:hAnsi="仿宋" w:eastAsia="仿宋" w:cs="仿宋"/>
          <w:sz w:val="24"/>
          <w:highlight w:val="none"/>
        </w:rPr>
        <w:t>13.2.2竣工验收程序</w:t>
      </w:r>
    </w:p>
    <w:bookmarkEnd w:id="624"/>
    <w:p w14:paraId="51561B5E">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关于竣工验收程序的约定：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740A1AB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发包人不按照本项约定组织竣工验收、颁发工程接收证书的违约金的计算方法：</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bookmarkEnd w:id="625"/>
    <w:p w14:paraId="70A818D0">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13.2.5移交、接收全部与部分工程</w:t>
      </w:r>
    </w:p>
    <w:bookmarkEnd w:id="626"/>
    <w:p w14:paraId="788B468E">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承包人向发包人移交工程的期限：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4F07EE2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发包人未按本合同约定接收全部或部分工程的，违约金的计算方法为：</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bookmarkEnd w:id="627"/>
    <w:p w14:paraId="253FD8B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承包人未按时移交工程的，违约金的计算方法为：</w:t>
      </w:r>
      <w:r>
        <w:rPr>
          <w:rFonts w:hint="eastAsia" w:ascii="仿宋" w:hAnsi="仿宋" w:eastAsia="仿宋" w:cs="仿宋"/>
          <w:sz w:val="24"/>
          <w:highlight w:val="none"/>
          <w:u w:val="single"/>
        </w:rPr>
        <w:t>工程竣工验收通过后 3日内，承包人须向发包人移交全部工程，逾期移交的，每逾期一日，按人民币5000元/天向发包人支付违约金，因逾期交付工程给发包人造成经济损失的，赔偿损失。同时，承包人移交所有工程之前，发包人有权拒绝结算、支付工程款</w:t>
      </w:r>
      <w:r>
        <w:rPr>
          <w:rFonts w:hint="eastAsia" w:ascii="仿宋" w:hAnsi="仿宋" w:eastAsia="仿宋" w:cs="仿宋"/>
          <w:sz w:val="24"/>
          <w:highlight w:val="none"/>
        </w:rPr>
        <w:t>。</w:t>
      </w:r>
    </w:p>
    <w:p w14:paraId="59D4FD0C">
      <w:pPr>
        <w:pStyle w:val="98"/>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其他：工程具备竣工验收条件，承包人按国家工程验收有关规定，向发包人提供完整竣工资料及竣工验收报告；工程价款结算最终以审计部门审定结果为支付依据。</w:t>
      </w:r>
    </w:p>
    <w:p w14:paraId="0FE94F32">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13.3 工程试车</w:t>
      </w:r>
    </w:p>
    <w:bookmarkEnd w:id="628"/>
    <w:p w14:paraId="63356EF8">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13.3.1 试车程序</w:t>
      </w:r>
    </w:p>
    <w:p w14:paraId="7455F6D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工程试车内容：</w:t>
      </w:r>
      <w:r>
        <w:rPr>
          <w:rFonts w:hint="eastAsia" w:ascii="仿宋" w:hAnsi="仿宋" w:eastAsia="仿宋" w:cs="仿宋"/>
          <w:sz w:val="24"/>
          <w:highlight w:val="none"/>
          <w:u w:val="single"/>
        </w:rPr>
        <w:t>试车内容应与承包人承包范围相一致，试车费用由承包人承担</w:t>
      </w:r>
      <w:r>
        <w:rPr>
          <w:rFonts w:hint="eastAsia" w:ascii="仿宋" w:hAnsi="仿宋" w:eastAsia="仿宋" w:cs="仿宋"/>
          <w:sz w:val="24"/>
          <w:highlight w:val="none"/>
        </w:rPr>
        <w:t>。</w:t>
      </w:r>
    </w:p>
    <w:p w14:paraId="151A3664">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（1）单机无负荷试车费用由</w:t>
      </w:r>
      <w:r>
        <w:rPr>
          <w:rFonts w:hint="eastAsia" w:ascii="仿宋" w:hAnsi="仿宋" w:eastAsia="仿宋" w:cs="仿宋"/>
          <w:sz w:val="24"/>
          <w:highlight w:val="none"/>
          <w:u w:val="single"/>
        </w:rPr>
        <w:t xml:space="preserve">  承包人    </w:t>
      </w:r>
      <w:r>
        <w:rPr>
          <w:rFonts w:hint="eastAsia" w:ascii="仿宋" w:hAnsi="仿宋" w:eastAsia="仿宋" w:cs="仿宋"/>
          <w:kern w:val="0"/>
          <w:sz w:val="24"/>
          <w:highlight w:val="none"/>
        </w:rPr>
        <w:t>承担；</w:t>
      </w:r>
    </w:p>
    <w:p w14:paraId="4A3F2E58">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（2）无负荷联动试车费用由</w:t>
      </w:r>
      <w:r>
        <w:rPr>
          <w:rFonts w:hint="eastAsia" w:ascii="仿宋" w:hAnsi="仿宋" w:eastAsia="仿宋" w:cs="仿宋"/>
          <w:sz w:val="24"/>
          <w:highlight w:val="none"/>
          <w:u w:val="single"/>
        </w:rPr>
        <w:t xml:space="preserve">  承包人    </w:t>
      </w:r>
      <w:r>
        <w:rPr>
          <w:rFonts w:hint="eastAsia" w:ascii="仿宋" w:hAnsi="仿宋" w:eastAsia="仿宋" w:cs="仿宋"/>
          <w:kern w:val="0"/>
          <w:sz w:val="24"/>
          <w:highlight w:val="none"/>
        </w:rPr>
        <w:t>承担。</w:t>
      </w:r>
    </w:p>
    <w:p w14:paraId="61030058">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13.3.3 投料试车</w:t>
      </w:r>
    </w:p>
    <w:p w14:paraId="0D0EB46F">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关于投料试车相关事项的约定：</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1820D9E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13.6 竣工退场</w:t>
      </w:r>
    </w:p>
    <w:p w14:paraId="22BE3EFB">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13.6.1 竣工退场</w:t>
      </w:r>
    </w:p>
    <w:p w14:paraId="575EB5CE">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承包人完成竣工退场的期限：</w:t>
      </w:r>
      <w:r>
        <w:rPr>
          <w:rFonts w:hint="eastAsia" w:ascii="仿宋" w:hAnsi="仿宋" w:eastAsia="仿宋" w:cs="仿宋"/>
          <w:sz w:val="24"/>
          <w:highlight w:val="none"/>
          <w:u w:val="single"/>
        </w:rPr>
        <w:t xml:space="preserve">颁发工程接收证书后7天   </w:t>
      </w:r>
      <w:r>
        <w:rPr>
          <w:rFonts w:hint="eastAsia" w:ascii="仿宋" w:hAnsi="仿宋" w:eastAsia="仿宋" w:cs="仿宋"/>
          <w:kern w:val="0"/>
          <w:sz w:val="24"/>
          <w:highlight w:val="none"/>
        </w:rPr>
        <w:t>。</w:t>
      </w:r>
    </w:p>
    <w:p w14:paraId="26A1D96B">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30" w:name="_Toc351203646"/>
      <w:r>
        <w:rPr>
          <w:rFonts w:hint="eastAsia" w:ascii="仿宋" w:hAnsi="仿宋" w:eastAsia="仿宋" w:cs="仿宋"/>
          <w:bCs/>
          <w:sz w:val="24"/>
          <w:highlight w:val="none"/>
        </w:rPr>
        <w:t>14. 竣工结算</w:t>
      </w:r>
      <w:bookmarkEnd w:id="630"/>
    </w:p>
    <w:p w14:paraId="290B6576">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14.1 竣工结算申请</w:t>
      </w:r>
    </w:p>
    <w:p w14:paraId="22EFAE7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承包人提交竣工结算申请单的期限：</w:t>
      </w:r>
      <w:r>
        <w:rPr>
          <w:rFonts w:hint="eastAsia" w:ascii="仿宋" w:hAnsi="仿宋" w:eastAsia="仿宋" w:cs="仿宋"/>
          <w:sz w:val="24"/>
          <w:szCs w:val="24"/>
          <w:highlight w:val="none"/>
        </w:rPr>
        <w:t>承包人应在工程竣工验收合格后 60 天内向发包人和监理人提交竣工结算申请单（含送审结算电子版），并提交完整的结算资料。无正当理由延期或经发包人催促14日内仍未提供的，发包人有权根据已有资料进行结算审核，责任由承包人自负。</w:t>
      </w:r>
    </w:p>
    <w:p w14:paraId="345FCFCD">
      <w:pPr>
        <w:numPr>
          <w:ilvl w:val="255"/>
          <w:numId w:val="0"/>
        </w:num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程结算由发包人按相关规定委托第三方或上级财政部门进行审计，承包人承担相应的审计费用，工程结算审核如核减金额超出送审金额的5%，超出部分按5%计取追加审核费用，核增部分以核增金额为基数，按5%计取追加费用，以上费用由承包人承担。审计费计算公式：（核减金额-送审金额*0.05）*0.05，核增金额*0.05。</w:t>
      </w:r>
    </w:p>
    <w:p w14:paraId="37AE6A0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竣工结算申请单应包括的内容：</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0B5268A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14.2 竣工结算审核</w:t>
      </w:r>
    </w:p>
    <w:p w14:paraId="6E456E9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发包人审批竣工付款申请单的期限：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w:t>
      </w:r>
    </w:p>
    <w:p w14:paraId="79156CF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发包人完成竣工付款的期限：</w:t>
      </w:r>
      <w:r>
        <w:rPr>
          <w:rFonts w:hint="eastAsia" w:ascii="仿宋" w:hAnsi="仿宋" w:eastAsia="仿宋" w:cs="仿宋"/>
          <w:sz w:val="24"/>
          <w:highlight w:val="none"/>
          <w:u w:val="single"/>
        </w:rPr>
        <w:t xml:space="preserve">  按通用条款执行        </w:t>
      </w:r>
      <w:r>
        <w:rPr>
          <w:rFonts w:hint="eastAsia" w:ascii="仿宋" w:hAnsi="仿宋" w:eastAsia="仿宋" w:cs="仿宋"/>
          <w:sz w:val="24"/>
          <w:highlight w:val="none"/>
        </w:rPr>
        <w:t>。</w:t>
      </w:r>
    </w:p>
    <w:p w14:paraId="1C8059A5">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关于竣工付款证书异议部分复核的方式和程序：</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p w14:paraId="2152FC11">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14.4 最终结清</w:t>
      </w:r>
    </w:p>
    <w:p w14:paraId="4D22C3C3">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14.4.1 最终结清申请单</w:t>
      </w:r>
    </w:p>
    <w:p w14:paraId="59C9ECFA">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承包人提交最终结清申请单的份数：</w:t>
      </w:r>
      <w:r>
        <w:rPr>
          <w:rFonts w:hint="eastAsia" w:ascii="仿宋" w:hAnsi="仿宋" w:eastAsia="仿宋" w:cs="仿宋"/>
          <w:sz w:val="24"/>
          <w:highlight w:val="none"/>
          <w:u w:val="single"/>
        </w:rPr>
        <w:t xml:space="preserve">  肆份              </w:t>
      </w:r>
      <w:r>
        <w:rPr>
          <w:rFonts w:hint="eastAsia" w:ascii="仿宋" w:hAnsi="仿宋" w:eastAsia="仿宋" w:cs="仿宋"/>
          <w:sz w:val="24"/>
          <w:highlight w:val="none"/>
        </w:rPr>
        <w:t>。</w:t>
      </w:r>
    </w:p>
    <w:p w14:paraId="42DD742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kern w:val="0"/>
          <w:sz w:val="24"/>
          <w:highlight w:val="none"/>
        </w:rPr>
        <w:t>承包人提交最终结算申请单的期限：</w:t>
      </w:r>
      <w:r>
        <w:rPr>
          <w:rFonts w:hint="eastAsia" w:ascii="仿宋" w:hAnsi="仿宋" w:eastAsia="仿宋" w:cs="仿宋"/>
          <w:sz w:val="24"/>
          <w:highlight w:val="none"/>
          <w:u w:val="single"/>
        </w:rPr>
        <w:t xml:space="preserve">按通用条款执行      </w:t>
      </w:r>
      <w:r>
        <w:rPr>
          <w:rFonts w:hint="eastAsia" w:ascii="仿宋" w:hAnsi="仿宋" w:eastAsia="仿宋" w:cs="仿宋"/>
          <w:sz w:val="24"/>
          <w:highlight w:val="none"/>
        </w:rPr>
        <w:t xml:space="preserve">。 </w:t>
      </w:r>
    </w:p>
    <w:p w14:paraId="7E6DC83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14.4.2 最终结清证书和支付</w:t>
      </w:r>
    </w:p>
    <w:p w14:paraId="417330D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（1）发包人完成最终结清申请单的审批并颁发最终结清证书的期限：</w:t>
      </w:r>
      <w:r>
        <w:rPr>
          <w:rFonts w:hint="eastAsia" w:ascii="仿宋" w:hAnsi="仿宋" w:eastAsia="仿宋" w:cs="仿宋"/>
          <w:sz w:val="24"/>
          <w:highlight w:val="none"/>
          <w:u w:val="single"/>
        </w:rPr>
        <w:t xml:space="preserve"> 按通用条款执行    </w:t>
      </w:r>
      <w:r>
        <w:rPr>
          <w:rFonts w:hint="eastAsia" w:ascii="仿宋" w:hAnsi="仿宋" w:eastAsia="仿宋" w:cs="仿宋"/>
          <w:sz w:val="24"/>
          <w:highlight w:val="none"/>
        </w:rPr>
        <w:t>。</w:t>
      </w:r>
    </w:p>
    <w:p w14:paraId="58AB95A8">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（2）发包人完成支付的期限：</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rPr>
        <w:tab/>
      </w:r>
    </w:p>
    <w:bookmarkEnd w:id="617"/>
    <w:bookmarkEnd w:id="618"/>
    <w:bookmarkEnd w:id="619"/>
    <w:bookmarkEnd w:id="620"/>
    <w:bookmarkEnd w:id="621"/>
    <w:bookmarkEnd w:id="622"/>
    <w:bookmarkEnd w:id="623"/>
    <w:bookmarkEnd w:id="629"/>
    <w:p w14:paraId="6CEE2F40">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31" w:name="_Toc351203647"/>
      <w:bookmarkStart w:id="632" w:name="_Toc267251483"/>
      <w:bookmarkStart w:id="633" w:name="_Toc267251482"/>
      <w:bookmarkStart w:id="634" w:name="_Toc267251484"/>
      <w:bookmarkStart w:id="635" w:name="_Toc267251485"/>
      <w:bookmarkStart w:id="636" w:name="_Toc267251490"/>
      <w:bookmarkStart w:id="637" w:name="_Toc267251486"/>
      <w:bookmarkStart w:id="638" w:name="_Toc267251488"/>
      <w:bookmarkStart w:id="639" w:name="_Toc267251489"/>
      <w:bookmarkStart w:id="640" w:name="_Toc267251498"/>
      <w:bookmarkStart w:id="641" w:name="_Toc267251501"/>
      <w:bookmarkStart w:id="642" w:name="_Toc267251491"/>
      <w:bookmarkStart w:id="643" w:name="_Toc267251503"/>
      <w:bookmarkStart w:id="644" w:name="_Toc267251493"/>
      <w:bookmarkStart w:id="645" w:name="_Toc267251492"/>
      <w:bookmarkStart w:id="646" w:name="_Toc267251502"/>
      <w:bookmarkStart w:id="647" w:name="_Toc267251496"/>
      <w:bookmarkStart w:id="648" w:name="_Toc267251497"/>
      <w:bookmarkStart w:id="649" w:name="_Toc267251494"/>
      <w:bookmarkStart w:id="650" w:name="_Toc267251499"/>
      <w:bookmarkStart w:id="651" w:name="_Toc267251495"/>
      <w:bookmarkStart w:id="652" w:name="_Toc267251506"/>
      <w:bookmarkStart w:id="653" w:name="_Toc267251504"/>
      <w:bookmarkStart w:id="654" w:name="_Toc267251507"/>
      <w:bookmarkStart w:id="655" w:name="_Toc267251508"/>
      <w:bookmarkStart w:id="656" w:name="_Toc267251513"/>
      <w:bookmarkStart w:id="657" w:name="_Toc267251510"/>
      <w:bookmarkStart w:id="658" w:name="_Toc267251514"/>
      <w:bookmarkStart w:id="659" w:name="_Toc267251511"/>
      <w:bookmarkStart w:id="660" w:name="_Toc267251509"/>
      <w:bookmarkStart w:id="661" w:name="_Toc267251515"/>
      <w:r>
        <w:rPr>
          <w:rFonts w:hint="eastAsia" w:ascii="仿宋" w:hAnsi="仿宋" w:eastAsia="仿宋" w:cs="仿宋"/>
          <w:bCs/>
          <w:sz w:val="24"/>
          <w:highlight w:val="none"/>
        </w:rPr>
        <w:t>15. 缺陷责任期与保修</w:t>
      </w:r>
      <w:bookmarkEnd w:id="631"/>
    </w:p>
    <w:p w14:paraId="438FFC8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15.2缺陷责任期</w:t>
      </w:r>
      <w:bookmarkEnd w:id="632"/>
    </w:p>
    <w:p w14:paraId="474145B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缺陷责任期的具体期限：</w:t>
      </w:r>
      <w:r>
        <w:rPr>
          <w:rFonts w:hint="eastAsia" w:ascii="仿宋" w:hAnsi="仿宋" w:eastAsia="仿宋" w:cs="仿宋"/>
          <w:sz w:val="24"/>
          <w:highlight w:val="none"/>
          <w:u w:val="single"/>
        </w:rPr>
        <w:t xml:space="preserve"> 2年   </w:t>
      </w:r>
      <w:r>
        <w:rPr>
          <w:rFonts w:hint="eastAsia" w:ascii="仿宋" w:hAnsi="仿宋" w:eastAsia="仿宋" w:cs="仿宋"/>
          <w:sz w:val="24"/>
          <w:highlight w:val="none"/>
        </w:rPr>
        <w:t>。</w:t>
      </w:r>
    </w:p>
    <w:p w14:paraId="1FE4E38F">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15.3 质量保证金</w:t>
      </w:r>
    </w:p>
    <w:p w14:paraId="2D47EE1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关于是否扣留质量保证金的约定：</w:t>
      </w:r>
      <w:r>
        <w:rPr>
          <w:rFonts w:hint="eastAsia" w:ascii="仿宋" w:hAnsi="仿宋" w:eastAsia="仿宋" w:cs="仿宋"/>
          <w:sz w:val="24"/>
          <w:highlight w:val="none"/>
          <w:u w:val="single"/>
        </w:rPr>
        <w:t>是</w:t>
      </w:r>
      <w:r>
        <w:rPr>
          <w:rFonts w:hint="eastAsia" w:ascii="仿宋" w:hAnsi="仿宋" w:eastAsia="仿宋" w:cs="仿宋"/>
          <w:sz w:val="24"/>
          <w:highlight w:val="none"/>
        </w:rPr>
        <w:t>。</w:t>
      </w:r>
    </w:p>
    <w:p w14:paraId="69EC103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15.3.1 承包人提供质量保证金的方式</w:t>
      </w:r>
    </w:p>
    <w:p w14:paraId="2B8BB52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质量保证金采用以下第</w:t>
      </w:r>
      <w:r>
        <w:rPr>
          <w:rFonts w:hint="eastAsia" w:ascii="仿宋" w:hAnsi="仿宋" w:eastAsia="仿宋" w:cs="仿宋"/>
          <w:sz w:val="24"/>
          <w:highlight w:val="none"/>
          <w:u w:val="single"/>
        </w:rPr>
        <w:t xml:space="preserve"> （3） </w:t>
      </w:r>
      <w:r>
        <w:rPr>
          <w:rFonts w:hint="eastAsia" w:ascii="仿宋" w:hAnsi="仿宋" w:eastAsia="仿宋" w:cs="仿宋"/>
          <w:sz w:val="24"/>
          <w:highlight w:val="none"/>
        </w:rPr>
        <w:t>种方式：</w:t>
      </w:r>
    </w:p>
    <w:p w14:paraId="623A2D88">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（1）质量保证金保函，保证金额为：</w:t>
      </w:r>
      <w:r>
        <w:rPr>
          <w:rFonts w:hint="eastAsia" w:ascii="仿宋" w:hAnsi="仿宋" w:eastAsia="仿宋" w:cs="仿宋"/>
          <w:kern w:val="0"/>
          <w:sz w:val="24"/>
          <w:highlight w:val="none"/>
          <w:u w:val="single"/>
          <w:lang w:val="en-US" w:eastAsia="zh-CN"/>
        </w:rPr>
        <w:t>/</w:t>
      </w:r>
      <w:r>
        <w:rPr>
          <w:rFonts w:hint="eastAsia" w:ascii="仿宋" w:hAnsi="仿宋" w:eastAsia="仿宋" w:cs="仿宋"/>
          <w:kern w:val="0"/>
          <w:sz w:val="24"/>
          <w:highlight w:val="none"/>
          <w:u w:val="single"/>
        </w:rPr>
        <w:t>；</w:t>
      </w:r>
      <w:r>
        <w:rPr>
          <w:rFonts w:hint="eastAsia" w:ascii="仿宋" w:hAnsi="仿宋" w:eastAsia="仿宋" w:cs="仿宋"/>
          <w:kern w:val="0"/>
          <w:sz w:val="24"/>
          <w:highlight w:val="none"/>
        </w:rPr>
        <w:t xml:space="preserve"> </w:t>
      </w:r>
    </w:p>
    <w:p w14:paraId="74707701">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%的工程款；</w:t>
      </w:r>
    </w:p>
    <w:p w14:paraId="585181F5">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（3）其他方式:</w:t>
      </w:r>
      <w:r>
        <w:rPr>
          <w:rFonts w:hint="eastAsia" w:ascii="仿宋" w:hAnsi="仿宋" w:eastAsia="仿宋" w:cs="仿宋"/>
          <w:kern w:val="0"/>
          <w:sz w:val="24"/>
          <w:highlight w:val="none"/>
          <w:lang w:val="en-US" w:eastAsia="zh-CN"/>
        </w:rPr>
        <w:t>缴纳</w:t>
      </w:r>
      <w:r>
        <w:rPr>
          <w:rFonts w:hint="eastAsia" w:ascii="仿宋" w:hAnsi="仿宋" w:eastAsia="仿宋" w:cs="仿宋"/>
          <w:kern w:val="0"/>
          <w:sz w:val="24"/>
          <w:highlight w:val="none"/>
          <w:u w:val="single"/>
        </w:rPr>
        <w:t>结算价款1.5%</w:t>
      </w:r>
      <w:r>
        <w:rPr>
          <w:rFonts w:hint="eastAsia" w:ascii="仿宋" w:hAnsi="仿宋" w:eastAsia="仿宋" w:cs="仿宋"/>
          <w:kern w:val="0"/>
          <w:sz w:val="24"/>
          <w:highlight w:val="none"/>
        </w:rPr>
        <w:t>。</w:t>
      </w:r>
    </w:p>
    <w:p w14:paraId="217AA89C">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 xml:space="preserve">15.3.2 质量保证金的扣留 </w:t>
      </w:r>
    </w:p>
    <w:p w14:paraId="23311641">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质量保证金的扣留采取以下第</w:t>
      </w:r>
      <w:r>
        <w:rPr>
          <w:rFonts w:hint="eastAsia" w:ascii="仿宋" w:hAnsi="仿宋" w:eastAsia="仿宋" w:cs="仿宋"/>
          <w:sz w:val="24"/>
          <w:highlight w:val="none"/>
          <w:u w:val="single"/>
        </w:rPr>
        <w:t>（3）</w:t>
      </w:r>
      <w:r>
        <w:rPr>
          <w:rFonts w:hint="eastAsia" w:ascii="仿宋" w:hAnsi="仿宋" w:eastAsia="仿宋" w:cs="仿宋"/>
          <w:sz w:val="24"/>
          <w:highlight w:val="none"/>
        </w:rPr>
        <w:t>种方式：</w:t>
      </w:r>
    </w:p>
    <w:p w14:paraId="414E7E25">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（1）在支付工程进度款时逐次扣留，在此情形下，质量保证金的计算基数不包括预付款的支付、扣回以及价格调整的金额；</w:t>
      </w:r>
    </w:p>
    <w:p w14:paraId="10CAA61D">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（2）工程竣工结算时一次性扣留质量保证金；</w:t>
      </w:r>
    </w:p>
    <w:p w14:paraId="518A5E2D">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（3）其他扣留方式:</w:t>
      </w:r>
      <w:r>
        <w:rPr>
          <w:rFonts w:hint="eastAsia" w:ascii="仿宋" w:hAnsi="仿宋" w:eastAsia="仿宋" w:cs="仿宋"/>
          <w:kern w:val="0"/>
          <w:sz w:val="24"/>
          <w:highlight w:val="none"/>
          <w:u w:val="single"/>
        </w:rPr>
        <w:t>工程竣工结算后，承包人提供结算总价款的1.5%作为工程质量保证金</w:t>
      </w:r>
      <w:r>
        <w:rPr>
          <w:rFonts w:hint="eastAsia" w:ascii="仿宋" w:hAnsi="仿宋" w:eastAsia="仿宋" w:cs="仿宋"/>
          <w:kern w:val="0"/>
          <w:sz w:val="24"/>
          <w:highlight w:val="none"/>
        </w:rPr>
        <w:t>。</w:t>
      </w:r>
    </w:p>
    <w:p w14:paraId="205EEC8D">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sz w:val="24"/>
          <w:highlight w:val="none"/>
        </w:rPr>
        <w:t>关于质量保证金的补充约定：</w:t>
      </w:r>
    </w:p>
    <w:p w14:paraId="0A8A211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（1）如在工程保修期内未发生按约定的须从保修金中代扣维修费及维修管理费情况的，则工程质量保修金按以下方式支付给承包人，不计利息：保修期达到合同要求且无质量问题后，退还剩余保修金的100%</w:t>
      </w:r>
    </w:p>
    <w:p w14:paraId="41603D59">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2）工程移交后，如发包人或者本工程有关的接收人发现存在质量问题的，有权要求承包人及时维修，并赔偿给发包人带来的各种直接、间接经济损失。承包人不及时维修的，发包人有权代为扣除该保修金用于维修以及支付发包人的维修管理费用（按维修费用的15%计算），并在事后要求承包人补足缺额。</w:t>
      </w:r>
    </w:p>
    <w:p w14:paraId="645C055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（3）工程移交后，如发包人或者本工程有关的接收人发现存在重大质量问题的，有权扣除承包人的全部保修金，要求承包人及时维修，并赔偿给发包人带来的各种直接、间接经济损失。</w:t>
      </w:r>
    </w:p>
    <w:p w14:paraId="130DDCBC">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w:t>
      </w:r>
      <w:r>
        <w:rPr>
          <w:rFonts w:hint="eastAsia" w:ascii="仿宋" w:hAnsi="仿宋" w:eastAsia="仿宋" w:cs="仿宋"/>
          <w:kern w:val="0"/>
          <w:sz w:val="24"/>
          <w:highlight w:val="none"/>
          <w:u w:val="single"/>
          <w:lang w:val="en-US" w:eastAsia="zh-CN"/>
        </w:rPr>
        <w:t>4</w:t>
      </w:r>
      <w:r>
        <w:rPr>
          <w:rFonts w:hint="eastAsia" w:ascii="仿宋" w:hAnsi="仿宋" w:eastAsia="仿宋" w:cs="仿宋"/>
          <w:kern w:val="0"/>
          <w:sz w:val="24"/>
          <w:highlight w:val="none"/>
          <w:u w:val="single"/>
        </w:rPr>
        <w:t>）在国家规定的保修期外，如本工程出现质量问题系由承包人偷工减料或使用不合格原材料、成品、半成品（不包括甲供材料）引起的，发包人有权无限期追索，承包人应承担由此造成的一切损失</w:t>
      </w:r>
      <w:r>
        <w:rPr>
          <w:rFonts w:hint="eastAsia" w:ascii="仿宋" w:hAnsi="仿宋" w:eastAsia="仿宋" w:cs="仿宋"/>
          <w:kern w:val="0"/>
          <w:sz w:val="24"/>
          <w:highlight w:val="none"/>
        </w:rPr>
        <w:t>。</w:t>
      </w:r>
    </w:p>
    <w:bookmarkEnd w:id="633"/>
    <w:bookmarkEnd w:id="634"/>
    <w:p w14:paraId="636B6AA8">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15.4保修</w:t>
      </w:r>
    </w:p>
    <w:bookmarkEnd w:id="635"/>
    <w:p w14:paraId="2E1D0AC4">
      <w:pPr>
        <w:spacing w:line="360" w:lineRule="auto"/>
        <w:ind w:firstLine="468" w:firstLineChars="195"/>
        <w:jc w:val="left"/>
        <w:rPr>
          <w:rFonts w:hint="eastAsia" w:ascii="仿宋" w:hAnsi="仿宋" w:eastAsia="仿宋" w:cs="仿宋"/>
          <w:sz w:val="24"/>
          <w:highlight w:val="none"/>
        </w:rPr>
      </w:pPr>
      <w:r>
        <w:rPr>
          <w:rFonts w:hint="eastAsia" w:ascii="仿宋" w:hAnsi="仿宋" w:eastAsia="仿宋" w:cs="仿宋"/>
          <w:sz w:val="24"/>
          <w:highlight w:val="none"/>
        </w:rPr>
        <w:t>15.4.1 保修责任</w:t>
      </w:r>
    </w:p>
    <w:p w14:paraId="0C13766B">
      <w:pPr>
        <w:spacing w:line="360" w:lineRule="auto"/>
        <w:ind w:firstLine="468" w:firstLineChars="195"/>
        <w:jc w:val="left"/>
        <w:rPr>
          <w:rFonts w:hint="eastAsia" w:ascii="仿宋" w:hAnsi="仿宋" w:eastAsia="仿宋" w:cs="仿宋"/>
          <w:kern w:val="0"/>
          <w:sz w:val="24"/>
          <w:highlight w:val="none"/>
          <w:u w:val="single"/>
        </w:rPr>
      </w:pPr>
      <w:r>
        <w:rPr>
          <w:rFonts w:hint="eastAsia" w:ascii="仿宋" w:hAnsi="仿宋" w:eastAsia="仿宋" w:cs="仿宋"/>
          <w:sz w:val="24"/>
          <w:highlight w:val="none"/>
        </w:rPr>
        <w:t>工程保修期为：</w:t>
      </w:r>
      <w:r>
        <w:rPr>
          <w:rFonts w:hint="eastAsia" w:ascii="仿宋" w:hAnsi="仿宋" w:eastAsia="仿宋" w:cs="仿宋"/>
          <w:kern w:val="0"/>
          <w:sz w:val="24"/>
          <w:highlight w:val="none"/>
          <w:u w:val="single"/>
        </w:rPr>
        <w:t xml:space="preserve">按工程质量保修书规定执行    </w:t>
      </w:r>
      <w:r>
        <w:rPr>
          <w:rFonts w:hint="eastAsia" w:ascii="仿宋" w:hAnsi="仿宋" w:eastAsia="仿宋" w:cs="仿宋"/>
          <w:kern w:val="0"/>
          <w:sz w:val="24"/>
          <w:highlight w:val="none"/>
        </w:rPr>
        <w:t>。</w:t>
      </w:r>
    </w:p>
    <w:p w14:paraId="5B7188D5">
      <w:pPr>
        <w:spacing w:line="360" w:lineRule="auto"/>
        <w:ind w:firstLine="468" w:firstLineChars="195"/>
        <w:jc w:val="left"/>
        <w:rPr>
          <w:rFonts w:hint="eastAsia" w:ascii="仿宋" w:hAnsi="仿宋" w:eastAsia="仿宋" w:cs="仿宋"/>
          <w:sz w:val="24"/>
          <w:highlight w:val="none"/>
        </w:rPr>
      </w:pPr>
      <w:r>
        <w:rPr>
          <w:rFonts w:hint="eastAsia" w:ascii="仿宋" w:hAnsi="仿宋" w:eastAsia="仿宋" w:cs="仿宋"/>
          <w:sz w:val="24"/>
          <w:highlight w:val="none"/>
        </w:rPr>
        <w:t>15.4.3 修复通知</w:t>
      </w:r>
    </w:p>
    <w:p w14:paraId="60404E10">
      <w:pPr>
        <w:spacing w:line="360" w:lineRule="auto"/>
        <w:ind w:firstLine="468" w:firstLineChars="195"/>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承包人收到保修通知并到达工程现场的合理时间：</w:t>
      </w:r>
      <w:r>
        <w:rPr>
          <w:rFonts w:hint="eastAsia" w:ascii="仿宋" w:hAnsi="仿宋" w:eastAsia="仿宋" w:cs="仿宋"/>
          <w:kern w:val="0"/>
          <w:sz w:val="24"/>
          <w:highlight w:val="none"/>
          <w:u w:val="single"/>
        </w:rPr>
        <w:t xml:space="preserve">  24小时 </w:t>
      </w:r>
      <w:r>
        <w:rPr>
          <w:rFonts w:hint="eastAsia" w:ascii="仿宋" w:hAnsi="仿宋" w:eastAsia="仿宋" w:cs="仿宋"/>
          <w:kern w:val="0"/>
          <w:sz w:val="24"/>
          <w:highlight w:val="none"/>
        </w:rPr>
        <w:t>。</w:t>
      </w:r>
    </w:p>
    <w:p w14:paraId="697037B1">
      <w:pPr>
        <w:spacing w:line="360" w:lineRule="auto"/>
        <w:ind w:firstLine="468" w:firstLineChars="195"/>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发包人的保修通知采用口头通知、书面通知、书面留置通知等方式，承包人应无条件承认。</w:t>
      </w:r>
    </w:p>
    <w:bookmarkEnd w:id="636"/>
    <w:bookmarkEnd w:id="637"/>
    <w:bookmarkEnd w:id="638"/>
    <w:bookmarkEnd w:id="639"/>
    <w:p w14:paraId="59F6E24E">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62" w:name="_Toc351203648"/>
      <w:bookmarkStart w:id="663" w:name="_Toc280868717"/>
      <w:bookmarkStart w:id="664" w:name="_Toc280868718"/>
      <w:r>
        <w:rPr>
          <w:rFonts w:hint="eastAsia" w:ascii="仿宋" w:hAnsi="仿宋" w:eastAsia="仿宋" w:cs="仿宋"/>
          <w:bCs/>
          <w:sz w:val="24"/>
          <w:highlight w:val="none"/>
        </w:rPr>
        <w:t>16. 违约</w:t>
      </w:r>
      <w:bookmarkEnd w:id="662"/>
    </w:p>
    <w:p w14:paraId="52DDB29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16.1 发包人违约</w:t>
      </w:r>
    </w:p>
    <w:p w14:paraId="319144A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16.1.1发包人违约的情形</w:t>
      </w:r>
    </w:p>
    <w:p w14:paraId="250F00D8">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发包人违约的其他情形：</w:t>
      </w:r>
      <w:r>
        <w:rPr>
          <w:rFonts w:hint="eastAsia" w:ascii="仿宋" w:hAnsi="仿宋" w:eastAsia="仿宋" w:cs="仿宋"/>
          <w:kern w:val="0"/>
          <w:sz w:val="24"/>
          <w:highlight w:val="none"/>
          <w:u w:val="single"/>
        </w:rPr>
        <w:t xml:space="preserve">按通用条款执行     </w:t>
      </w:r>
      <w:r>
        <w:rPr>
          <w:rFonts w:hint="eastAsia" w:ascii="仿宋" w:hAnsi="仿宋" w:eastAsia="仿宋" w:cs="仿宋"/>
          <w:kern w:val="0"/>
          <w:sz w:val="24"/>
          <w:highlight w:val="none"/>
        </w:rPr>
        <w:t>。</w:t>
      </w:r>
    </w:p>
    <w:p w14:paraId="40A08FA8">
      <w:pPr>
        <w:spacing w:line="360" w:lineRule="auto"/>
        <w:ind w:left="1200" w:hanging="1200" w:hangingChars="5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16.1.2 发包人违约的责任</w:t>
      </w:r>
    </w:p>
    <w:p w14:paraId="18ECFBEB">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发包人违约责任的承担方式和计算方法：</w:t>
      </w:r>
    </w:p>
    <w:p w14:paraId="0813D16C">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（1）因发包人原因未能在计划开工日期前7天内下达开工通知的违约责任：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13105C23">
      <w:pPr>
        <w:spacing w:line="360" w:lineRule="auto"/>
        <w:ind w:left="298" w:leftChars="142" w:firstLine="240" w:firstLineChars="1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（2）因发包人原因未能按合同约定支付合同价款的违约责任：</w:t>
      </w:r>
      <w:r>
        <w:rPr>
          <w:rFonts w:hint="eastAsia" w:ascii="仿宋" w:hAnsi="仿宋" w:eastAsia="仿宋" w:cs="仿宋"/>
          <w:kern w:val="0"/>
          <w:sz w:val="24"/>
          <w:highlight w:val="none"/>
          <w:u w:val="single"/>
        </w:rPr>
        <w:t xml:space="preserve">  /   </w:t>
      </w:r>
    </w:p>
    <w:p w14:paraId="5E85A4E3">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（3）发包人违反第10.1款〔变更的范围〕第（2）项约定，自行实施被取消的工作或转由他人实施的违约责任：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5372923F">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3743D9F8">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（5）因发包人违反合同约定造成暂停施工的违约责任：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30214740">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（6）发包人无正当理由没有在约定期限内发出复工指示，导致承包人无法复工的违约责任：</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5FAA7A02">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（7）其他：</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2E1F81B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16.1.3 因发包人违约解除合同</w:t>
      </w:r>
    </w:p>
    <w:p w14:paraId="0A633048">
      <w:pPr>
        <w:autoSpaceDE w:val="0"/>
        <w:autoSpaceDN w:val="0"/>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承包人按16.1.1项〔发包人违约的情形〕约定暂停施工满</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天后发包人仍不纠正其违约行为并致使合同目的不能实现的，承包人有权解除合同。</w:t>
      </w:r>
    </w:p>
    <w:p w14:paraId="309C2DD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16.2 承包人违约</w:t>
      </w:r>
    </w:p>
    <w:p w14:paraId="24218249">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16.2.1 承包人违约的情形</w:t>
      </w:r>
    </w:p>
    <w:p w14:paraId="34E76284">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承包人违约的其他情形：</w:t>
      </w:r>
      <w:r>
        <w:rPr>
          <w:rFonts w:hint="eastAsia" w:ascii="仿宋" w:hAnsi="仿宋" w:eastAsia="仿宋" w:cs="仿宋"/>
          <w:kern w:val="0"/>
          <w:sz w:val="24"/>
          <w:highlight w:val="none"/>
          <w:u w:val="single"/>
        </w:rPr>
        <w:t xml:space="preserve">      另行协商         </w:t>
      </w:r>
      <w:r>
        <w:rPr>
          <w:rFonts w:hint="eastAsia" w:ascii="仿宋" w:hAnsi="仿宋" w:eastAsia="仿宋" w:cs="仿宋"/>
          <w:kern w:val="0"/>
          <w:sz w:val="24"/>
          <w:highlight w:val="none"/>
        </w:rPr>
        <w:t>。</w:t>
      </w:r>
    </w:p>
    <w:p w14:paraId="4A9797F5">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16.2.2承包人违约的责任</w:t>
      </w:r>
    </w:p>
    <w:p w14:paraId="5EC57E3C">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承包人违约责任的承担方式和计算方法：</w:t>
      </w:r>
    </w:p>
    <w:p w14:paraId="67AB06F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（1）承包人违反合同约定进行转包或违法分包的违约责任：发包人有权解除合同，没收履约保证金，如给发包人造成的损失超过保证金数额的还应当对超过部份予以赔偿，并依法承担相应的法律责任；</w:t>
      </w:r>
    </w:p>
    <w:p w14:paraId="118AB3AA">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（2）承包人违反合同约定采购和使用不合格的材料和工程设备的违约责任：发包人有权要求承包人重新采购合格的材料和工程设备，承包人必须及时改正并承担相应损失；</w:t>
      </w:r>
    </w:p>
    <w:p w14:paraId="3FD8F71F">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3）因承包人原因导致工程质量不符合合同要求的违约责任：承包人必须严格按照施工图及工程施工验收规范等精心组织施工，严格把好每道工序的质量关，确保工程竣工验收达到合格等级。经验收，如有不合格工程，承包人应无条件返工、整改、采取相应的补救、修复措施，直至工程竣工验收合格，如无法修复或严重降低工程整体质量，则发包人有权扣除其全额质量履约保证金，并处以工程结算总造价的3%的违约金。并承担由此造成发包人的经济损失；如因此造成工期延误的，还应承担工期延误的违约责任。</w:t>
      </w:r>
    </w:p>
    <w:p w14:paraId="75A31DCC">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经监理单位检查或发包人抽检，发现承包人不按设计要求或者工程质量验收规范标准施工，有偷工减料现象，每发现一次，发包人有权对承包人罚款人民币2000元/次，并要求承包人及时整改，承包人应承担全部整改费用，直到质量合格为止。如果承包人屡教不改，发包人有权没收履约保证金并将其清退出场并解除合同。</w:t>
      </w:r>
    </w:p>
    <w:p w14:paraId="4E65EA14">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（4）承包人未经批准，私自将已按照合同约定进入施工现场的材料或设备撤离施工现场的违约责任：承包人应及时停止撤离，并承担相应损失；</w:t>
      </w:r>
    </w:p>
    <w:p w14:paraId="036781BE">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5）承包人未能按施工进度计划及时完成合同约定的工作，造成工期延误的违约责任：每延误一天，承包人应按人民币贰仟元向发包人支付违约金。该违约金发包人有权在承包人的履约保证金中扣除，不足部分在工程结算价款中扣除。</w:t>
      </w:r>
      <w:r>
        <w:rPr>
          <w:rFonts w:hint="eastAsia" w:ascii="仿宋" w:hAnsi="仿宋" w:eastAsia="仿宋" w:cs="仿宋"/>
          <w:sz w:val="24"/>
          <w:highlight w:val="none"/>
          <w:u w:val="single"/>
        </w:rPr>
        <w:t>因承包人原因，承包人在施工过程中不能按施工总进度计划完成各项施工任务，实际施工进度比施工进度计划滞后超过30天（含30天）的，发包人有权解除合同，也有权仍选择由承包人继续履行合同，如发包人选择由承包人继续履行合同的，竣工工期每延误一天，承包人应按人民币贰仟元向发包人支付违约金。</w:t>
      </w:r>
    </w:p>
    <w:p w14:paraId="4585239A">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6）承包人在缺陷责任期及保修期内，未能在合理期限对工程缺陷进行修复，或拒绝按发包人要求进行修复的违约责任：工程移交后，如发包人或者本工程有关的接收人发现存在质量问题的，有权要求承包人及时维修，并赔偿给发包人带来的各种直接、间接经济损失。承包人不及时维修的，发包人有权代为扣除该保修金用于维修以及支付发包人的维修管理费用（按维修费用的15%计算），并在事后要求承包人补足缺额。</w:t>
      </w:r>
    </w:p>
    <w:p w14:paraId="42C31D25">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工程移交后，如发包人或者本工程有关的接收人发现存在重大质量问题的，有权扣除承包人的全部保修金，要求承包人及时维修，并赔偿给发包人带来的各种直接、间接经济损失。</w:t>
      </w:r>
    </w:p>
    <w:p w14:paraId="5DC7DE37">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在国家规定的保修期外，如本工程出现质量问题系由承包人偷工减料或使用不合格原材料、成品、半成品（不包括甲供材料）引起的，发包人有权无限期追索，承包人应承担由此造成的一切损失。</w:t>
      </w:r>
    </w:p>
    <w:p w14:paraId="0662A6AA">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（7）承包人明确表示或者以其行为表明不履行合同主要义务的违约责任：发包人有权终止合同，承包人承担发包人的一切损失；</w:t>
      </w:r>
    </w:p>
    <w:p w14:paraId="3E1509FD">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（8）承包人未能按照合同约定履行其他义务的违约责任：</w:t>
      </w:r>
    </w:p>
    <w:p w14:paraId="674905B9">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①</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由发包人或监理召集的例会和其它重要会议，承包人必须按发包人指定人选准时参加，无故缺席或迟到的，发包人有权视情节严重程度处以1000元的罚款，因此导致对会议内容不了解的，其后果由承包人自负，该笔罚款由发包人在结算中直接扣除；因此导致对会议内容不了解的，其后果由承包人自负。</w:t>
      </w:r>
    </w:p>
    <w:p w14:paraId="728C34CE">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②</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必须无条件服从发包人及监理单位合理的现场管理，若项目班子主要人员由于工作态度等原因，使发包人及监理不满意的，发包人有权要求更换；发包人有权对承包人在施工中出现的恶意违规及不服从管理等行为进行500-1000元/次的处罚，该笔罚款由发包人在结算中直接扣除；</w:t>
      </w:r>
    </w:p>
    <w:p w14:paraId="090E45E4">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③</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在施工过程中不论遇到何种困难（发包人原因及不可抗力除外），均不得以任何理由（例如发包人未签证费用）擅自停工或变相停工，否则由此造成的一切后果和经济损失均由承包人承担，同时发包人有权处于10000元/天的处罚，该笔罚款由发包人在结算中直接扣除；</w:t>
      </w:r>
    </w:p>
    <w:p w14:paraId="6BC8CD19">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④</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合同及本协议履行期间，承包人保证不拖欠民工工资，因拖欠民工工资造成的一切后果均由承包人承担。若发包人因此为承包人垫款支付的，承包人应按发包人垫付款项金额的5%向发包人偿付违约金，该笔违约金由发包人在结算中直接扣除；</w:t>
      </w:r>
    </w:p>
    <w:p w14:paraId="09BB17D4">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⑤</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 xml:space="preserve">在合同履行过程中，若承包人的施工队伍素质、力量、机械配备、现场施工投入和管理未能履行投标书及询标纪要等相关文件中的承诺，不履行总包职责或分包与总包管理不协调，造成现场管理混乱，工程质量、进度、现场文明施工和安全生产达不到预定计划，发包人有权要求其调整充实力量，加强管理，承包人必须接受。当上述措施仍无效或未采取时，以承包人违约论处，发包人可终止本合同，将承包人清退出场，没收全部履约保证金，由此引起的工期延误责任及损失由承包人负责承担； </w:t>
      </w:r>
    </w:p>
    <w:p w14:paraId="33561860">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⑥承包人进场后应对现场管线进行彻底调查，并结合发包人提供的已有管线图纸（如有），对现场管线进行保护，并对施工现场周围建筑物和地下管线提出可行的施工方案，报发包人和有关部门审核后方可施工，确保其安全正常进行。现状管线保护费用以现场工程师签证工程量以及本合同条款精神结算。但因承包人不文明施工引起的保护、抢修费用及造成第三方人员或房屋、设备等财产损失，一切责任由承包人承担；</w:t>
      </w:r>
    </w:p>
    <w:p w14:paraId="1CEDBCDB">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⑦</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施工期间，承包人应严格实行隐蔽工程验收制度，如有未经监理方验收自行隐蔽，监理和发包人有权要求复验，所有费用由承包人承担，发包人有权视情节轻重对承包人处以人民币壹万元/次的违约金，该笔违约金由发包人在结算中直接扣除；</w:t>
      </w:r>
    </w:p>
    <w:p w14:paraId="61E13A7F">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⑧</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承包人应确保工程安全进行，如工程实施过程中出现一般安全责任事故，承包人须向发包人支付人民币5万元/起的违约金；出现较大及以上安全责任事故，承包人须向发包人支付人民币10万元/起的违约金；所有安全事故的全部责任均由承包人承担；</w:t>
      </w:r>
    </w:p>
    <w:p w14:paraId="202DFCC2">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⑨</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本合同履行过程中，承包人被处以罚款的，以实际行为发生之日为罚款缴纳的时间；</w:t>
      </w:r>
    </w:p>
    <w:p w14:paraId="4BFBC410">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⑩</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本合同中的罚款特指惩罚性违约金，本合同约定的违约金、罚款及损失赔偿款，发包人有权从履约保证金或工程款中直接扣减。</w:t>
      </w:r>
    </w:p>
    <w:p w14:paraId="37393855">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u w:val="single"/>
        </w:rPr>
        <w:t>⑪</w:t>
      </w:r>
      <w:r>
        <w:rPr>
          <w:rFonts w:hint="eastAsia" w:ascii="仿宋" w:hAnsi="仿宋" w:eastAsia="仿宋" w:cs="仿宋"/>
          <w:kern w:val="0"/>
          <w:sz w:val="24"/>
          <w:highlight w:val="none"/>
          <w:u w:val="single"/>
        </w:rPr>
        <w:tab/>
      </w:r>
      <w:r>
        <w:rPr>
          <w:rFonts w:hint="eastAsia" w:ascii="仿宋" w:hAnsi="仿宋" w:eastAsia="仿宋" w:cs="仿宋"/>
          <w:kern w:val="0"/>
          <w:sz w:val="24"/>
          <w:highlight w:val="none"/>
          <w:u w:val="single"/>
        </w:rPr>
        <w:t>合同生效后，承包人无正当理由，单方终止合同的，应向发包人承担违约责任，违约金按照合同总价的10%计取，并赔偿发包人因此造成的损失。</w:t>
      </w:r>
      <w:r>
        <w:rPr>
          <w:rFonts w:hint="eastAsia" w:ascii="仿宋" w:hAnsi="仿宋" w:eastAsia="仿宋" w:cs="仿宋"/>
          <w:kern w:val="0"/>
          <w:sz w:val="24"/>
          <w:highlight w:val="none"/>
        </w:rPr>
        <w:t>。</w:t>
      </w:r>
    </w:p>
    <w:p w14:paraId="7CF9A37D">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16.2.3 因承包人违约解除合同</w:t>
      </w:r>
    </w:p>
    <w:p w14:paraId="3CBFC63B">
      <w:pPr>
        <w:spacing w:before="120" w:after="120" w:line="360" w:lineRule="auto"/>
        <w:ind w:firstLine="480" w:firstLineChars="200"/>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关于承包人违约解除合同的特别约定：</w:t>
      </w:r>
      <w:r>
        <w:rPr>
          <w:rFonts w:hint="eastAsia" w:ascii="仿宋" w:hAnsi="仿宋" w:eastAsia="仿宋" w:cs="仿宋"/>
          <w:kern w:val="0"/>
          <w:sz w:val="24"/>
          <w:highlight w:val="none"/>
          <w:u w:val="single"/>
        </w:rPr>
        <w:t xml:space="preserve"> 按《通用合同条款》16.2.3条执行和《专用合同条款》16.2.1款执行   </w:t>
      </w:r>
      <w:r>
        <w:rPr>
          <w:rFonts w:hint="eastAsia" w:ascii="仿宋" w:hAnsi="仿宋" w:eastAsia="仿宋" w:cs="仿宋"/>
          <w:kern w:val="0"/>
          <w:sz w:val="24"/>
          <w:highlight w:val="none"/>
        </w:rPr>
        <w:t>。</w:t>
      </w:r>
    </w:p>
    <w:p w14:paraId="2B0AC3E2">
      <w:pPr>
        <w:spacing w:before="120" w:after="120"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kern w:val="0"/>
          <w:sz w:val="24"/>
          <w:highlight w:val="none"/>
          <w:u w:val="single"/>
        </w:rPr>
        <w:t xml:space="preserve">费用另行约定  </w:t>
      </w:r>
      <w:r>
        <w:rPr>
          <w:rFonts w:hint="eastAsia" w:ascii="仿宋" w:hAnsi="仿宋" w:eastAsia="仿宋" w:cs="仿宋"/>
          <w:kern w:val="0"/>
          <w:sz w:val="24"/>
          <w:highlight w:val="none"/>
        </w:rPr>
        <w:t>。</w:t>
      </w:r>
    </w:p>
    <w:p w14:paraId="2FD537A4">
      <w:pPr>
        <w:keepNext/>
        <w:keepLines/>
        <w:tabs>
          <w:tab w:val="left" w:pos="630"/>
        </w:tabs>
        <w:spacing w:before="120" w:after="120" w:line="360" w:lineRule="auto"/>
        <w:ind w:firstLine="480" w:firstLineChars="200"/>
        <w:outlineLvl w:val="3"/>
        <w:rPr>
          <w:rFonts w:hint="eastAsia" w:ascii="仿宋" w:hAnsi="仿宋" w:eastAsia="仿宋" w:cs="仿宋"/>
          <w:bCs/>
          <w:sz w:val="24"/>
          <w:highlight w:val="none"/>
        </w:rPr>
      </w:pPr>
      <w:bookmarkStart w:id="665" w:name="_Toc351203649"/>
      <w:r>
        <w:rPr>
          <w:rFonts w:hint="eastAsia" w:ascii="仿宋" w:hAnsi="仿宋" w:eastAsia="仿宋" w:cs="仿宋"/>
          <w:bCs/>
          <w:sz w:val="24"/>
          <w:highlight w:val="none"/>
        </w:rPr>
        <w:t>17. 不可抗力</w:t>
      </w:r>
      <w:bookmarkEnd w:id="663"/>
      <w:bookmarkEnd w:id="665"/>
    </w:p>
    <w:p w14:paraId="01B7CB05">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17.1 不可抗力的确认</w:t>
      </w:r>
    </w:p>
    <w:p w14:paraId="0806E3DF">
      <w:pPr>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sz w:val="24"/>
          <w:highlight w:val="none"/>
        </w:rPr>
        <w:t xml:space="preserve">除通用合同条款约定的不可抗力事件之外，视为不可抗力的其他情形： </w:t>
      </w:r>
      <w:r>
        <w:rPr>
          <w:rFonts w:hint="eastAsia" w:ascii="仿宋" w:hAnsi="仿宋" w:eastAsia="仿宋" w:cs="仿宋"/>
          <w:kern w:val="0"/>
          <w:sz w:val="24"/>
          <w:highlight w:val="none"/>
          <w:u w:val="single"/>
        </w:rPr>
        <w:t xml:space="preserve">  按通用条款执行  </w:t>
      </w:r>
      <w:r>
        <w:rPr>
          <w:rFonts w:hint="eastAsia" w:ascii="仿宋" w:hAnsi="仿宋" w:eastAsia="仿宋" w:cs="仿宋"/>
          <w:kern w:val="0"/>
          <w:sz w:val="24"/>
          <w:highlight w:val="none"/>
        </w:rPr>
        <w:t>。</w:t>
      </w:r>
    </w:p>
    <w:p w14:paraId="6335353D">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17.4 因不可抗力解除合同</w:t>
      </w:r>
    </w:p>
    <w:p w14:paraId="05B7416E">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合同解除后，发包人应在商定或确定发包人应支付款项后</w:t>
      </w:r>
      <w:r>
        <w:rPr>
          <w:rFonts w:hint="eastAsia" w:ascii="仿宋" w:hAnsi="仿宋" w:eastAsia="仿宋" w:cs="仿宋"/>
          <w:sz w:val="24"/>
          <w:highlight w:val="none"/>
          <w:u w:val="single"/>
        </w:rPr>
        <w:t xml:space="preserve"> 28 </w:t>
      </w:r>
      <w:r>
        <w:rPr>
          <w:rFonts w:hint="eastAsia" w:ascii="仿宋" w:hAnsi="仿宋" w:eastAsia="仿宋" w:cs="仿宋"/>
          <w:sz w:val="24"/>
          <w:highlight w:val="none"/>
        </w:rPr>
        <w:t>天内完成款项的支付。</w:t>
      </w:r>
    </w:p>
    <w:p w14:paraId="3E7CC2E9">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66" w:name="_Toc351203650"/>
      <w:r>
        <w:rPr>
          <w:rFonts w:hint="eastAsia" w:ascii="仿宋" w:hAnsi="仿宋" w:eastAsia="仿宋" w:cs="仿宋"/>
          <w:bCs/>
          <w:sz w:val="24"/>
          <w:highlight w:val="none"/>
        </w:rPr>
        <w:t>18. 保险</w:t>
      </w:r>
      <w:bookmarkEnd w:id="666"/>
    </w:p>
    <w:bookmarkEnd w:id="664"/>
    <w:p w14:paraId="1B542D6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18.1 工程保险</w:t>
      </w:r>
    </w:p>
    <w:p w14:paraId="0B82F997">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关于工程保险的特别约定：</w:t>
      </w:r>
      <w:r>
        <w:rPr>
          <w:rFonts w:hint="eastAsia" w:ascii="仿宋" w:hAnsi="仿宋" w:eastAsia="仿宋" w:cs="仿宋"/>
          <w:kern w:val="0"/>
          <w:sz w:val="24"/>
          <w:highlight w:val="none"/>
          <w:u w:val="single"/>
        </w:rPr>
        <w:t xml:space="preserve">  /    </w:t>
      </w:r>
      <w:r>
        <w:rPr>
          <w:rFonts w:hint="eastAsia" w:ascii="仿宋" w:hAnsi="仿宋" w:eastAsia="仿宋" w:cs="仿宋"/>
          <w:kern w:val="0"/>
          <w:sz w:val="24"/>
          <w:highlight w:val="none"/>
        </w:rPr>
        <w:t>。</w:t>
      </w:r>
    </w:p>
    <w:p w14:paraId="5BDB385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18.3 其他保险</w:t>
      </w:r>
    </w:p>
    <w:p w14:paraId="10130A3B">
      <w:pPr>
        <w:spacing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关于其他保险的约定：</w:t>
      </w:r>
      <w:r>
        <w:rPr>
          <w:rFonts w:hint="eastAsia" w:ascii="仿宋" w:hAnsi="仿宋" w:eastAsia="仿宋" w:cs="仿宋"/>
          <w:kern w:val="0"/>
          <w:sz w:val="24"/>
          <w:highlight w:val="none"/>
          <w:u w:val="single"/>
        </w:rPr>
        <w:t>承包人为建设工程和施工场地内的自有人员设备及第三方生命财产办理保险并支付保险费用，费用已包含在总价内。施工期间所发生的一切与本工程有关的承包人的人员、财产等意外伤害、损失，由承包人承担全部责任和费用</w:t>
      </w:r>
      <w:r>
        <w:rPr>
          <w:rFonts w:hint="eastAsia" w:ascii="仿宋" w:hAnsi="仿宋" w:eastAsia="仿宋" w:cs="仿宋"/>
          <w:kern w:val="0"/>
          <w:sz w:val="24"/>
          <w:highlight w:val="none"/>
        </w:rPr>
        <w:t>。</w:t>
      </w:r>
    </w:p>
    <w:p w14:paraId="1E26B08B">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承包人是否应为其施工设备等办理财产保险：</w:t>
      </w:r>
      <w:r>
        <w:rPr>
          <w:rFonts w:hint="eastAsia" w:ascii="仿宋" w:hAnsi="仿宋" w:eastAsia="仿宋" w:cs="仿宋"/>
          <w:sz w:val="24"/>
          <w:highlight w:val="none"/>
          <w:u w:val="single"/>
        </w:rPr>
        <w:t xml:space="preserve">    是       </w:t>
      </w:r>
      <w:r>
        <w:rPr>
          <w:rFonts w:hint="eastAsia" w:ascii="仿宋" w:hAnsi="仿宋" w:eastAsia="仿宋" w:cs="仿宋"/>
          <w:sz w:val="24"/>
          <w:highlight w:val="none"/>
        </w:rPr>
        <w:t>。</w:t>
      </w:r>
    </w:p>
    <w:p w14:paraId="34133B6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18.7 通知义务</w:t>
      </w:r>
    </w:p>
    <w:p w14:paraId="765D2124">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kern w:val="0"/>
          <w:sz w:val="24"/>
          <w:highlight w:val="none"/>
        </w:rPr>
        <w:t>关于变更保险合同时的通知义务的约定：</w:t>
      </w:r>
      <w:r>
        <w:rPr>
          <w:rFonts w:hint="eastAsia" w:ascii="仿宋" w:hAnsi="仿宋" w:eastAsia="仿宋" w:cs="仿宋"/>
          <w:sz w:val="24"/>
          <w:highlight w:val="none"/>
          <w:u w:val="single"/>
        </w:rPr>
        <w:t>按通用条款执行</w:t>
      </w:r>
      <w:r>
        <w:rPr>
          <w:rFonts w:hint="eastAsia" w:ascii="仿宋" w:hAnsi="仿宋" w:eastAsia="仿宋" w:cs="仿宋"/>
          <w:sz w:val="24"/>
          <w:highlight w:val="none"/>
        </w:rPr>
        <w:t>。</w:t>
      </w:r>
    </w:p>
    <w:bookmarkEnd w:id="640"/>
    <w:bookmarkEnd w:id="641"/>
    <w:bookmarkEnd w:id="642"/>
    <w:bookmarkEnd w:id="643"/>
    <w:bookmarkEnd w:id="644"/>
    <w:bookmarkEnd w:id="645"/>
    <w:bookmarkEnd w:id="646"/>
    <w:bookmarkEnd w:id="647"/>
    <w:bookmarkEnd w:id="648"/>
    <w:bookmarkEnd w:id="649"/>
    <w:bookmarkEnd w:id="650"/>
    <w:bookmarkEnd w:id="651"/>
    <w:p w14:paraId="3E387D79">
      <w:pPr>
        <w:keepNext/>
        <w:keepLines/>
        <w:spacing w:before="120" w:after="120" w:line="360" w:lineRule="auto"/>
        <w:ind w:firstLine="480" w:firstLineChars="200"/>
        <w:outlineLvl w:val="3"/>
        <w:rPr>
          <w:rFonts w:hint="eastAsia" w:ascii="仿宋" w:hAnsi="仿宋" w:eastAsia="仿宋" w:cs="仿宋"/>
          <w:bCs/>
          <w:sz w:val="24"/>
          <w:highlight w:val="none"/>
        </w:rPr>
      </w:pPr>
      <w:bookmarkStart w:id="667" w:name="_Toc351203651"/>
      <w:r>
        <w:rPr>
          <w:rFonts w:hint="eastAsia" w:ascii="仿宋" w:hAnsi="仿宋" w:eastAsia="仿宋" w:cs="仿宋"/>
          <w:bCs/>
          <w:sz w:val="24"/>
          <w:highlight w:val="none"/>
        </w:rPr>
        <w:t>20. 争议解决</w:t>
      </w:r>
      <w:bookmarkEnd w:id="667"/>
    </w:p>
    <w:bookmarkEnd w:id="652"/>
    <w:bookmarkEnd w:id="653"/>
    <w:p w14:paraId="1C8EEDEC">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20.3 争</w:t>
      </w:r>
      <w:bookmarkEnd w:id="654"/>
      <w:r>
        <w:rPr>
          <w:rFonts w:hint="eastAsia" w:ascii="仿宋" w:hAnsi="仿宋" w:eastAsia="仿宋" w:cs="仿宋"/>
          <w:sz w:val="24"/>
          <w:highlight w:val="none"/>
        </w:rPr>
        <w:t>议评审</w:t>
      </w:r>
    </w:p>
    <w:p w14:paraId="6CCB430E">
      <w:pPr>
        <w:spacing w:line="360" w:lineRule="auto"/>
        <w:ind w:left="149" w:leftChars="71" w:firstLine="360" w:firstLineChars="150"/>
        <w:jc w:val="left"/>
        <w:rPr>
          <w:rFonts w:hint="eastAsia" w:ascii="仿宋" w:hAnsi="仿宋" w:eastAsia="仿宋" w:cs="仿宋"/>
          <w:sz w:val="24"/>
          <w:highlight w:val="none"/>
          <w:u w:val="single"/>
        </w:rPr>
      </w:pPr>
      <w:r>
        <w:rPr>
          <w:rFonts w:hint="eastAsia" w:ascii="仿宋" w:hAnsi="仿宋" w:eastAsia="仿宋" w:cs="仿宋"/>
          <w:sz w:val="24"/>
          <w:highlight w:val="none"/>
        </w:rPr>
        <w:t>合同当事人是否同意将工程争议提交争议评审小组决定：</w:t>
      </w:r>
      <w:r>
        <w:rPr>
          <w:rFonts w:hint="eastAsia" w:ascii="仿宋" w:hAnsi="仿宋" w:eastAsia="仿宋" w:cs="仿宋"/>
          <w:sz w:val="24"/>
          <w:highlight w:val="none"/>
          <w:u w:val="single"/>
        </w:rPr>
        <w:t>否</w:t>
      </w:r>
      <w:r>
        <w:rPr>
          <w:rFonts w:hint="eastAsia" w:ascii="仿宋" w:hAnsi="仿宋" w:eastAsia="仿宋" w:cs="仿宋"/>
          <w:sz w:val="24"/>
          <w:highlight w:val="none"/>
        </w:rPr>
        <w:t xml:space="preserve">。  </w:t>
      </w:r>
    </w:p>
    <w:p w14:paraId="08FB05F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20.3.1 争议评审小组的确定</w:t>
      </w:r>
    </w:p>
    <w:p w14:paraId="7A0A54F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争议评审小组成员的确定：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272F1645">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选定争议评审员的期限：</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47CBDBDA">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争议评审小组成员的报酬承担方式：</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72E5A54">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其他事项的约定：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ABDDB92">
      <w:pPr>
        <w:autoSpaceDE w:val="0"/>
        <w:autoSpaceDN w:val="0"/>
        <w:spacing w:line="360" w:lineRule="auto"/>
        <w:ind w:firstLine="480" w:firstLineChars="2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20.3.2 争议评审小组的决定</w:t>
      </w:r>
    </w:p>
    <w:p w14:paraId="4CF0EB36">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合同当事人关于本项的约定：</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w:t>
      </w:r>
    </w:p>
    <w:p w14:paraId="5C6A8A83">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20.4仲裁或诉讼</w:t>
      </w:r>
      <w:bookmarkEnd w:id="655"/>
    </w:p>
    <w:p w14:paraId="51CE7D9B">
      <w:pPr>
        <w:spacing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因合同及合同有关事项发生的争议，双方当事人一致同意提交</w:t>
      </w:r>
      <w:r>
        <w:rPr>
          <w:rFonts w:hint="eastAsia" w:ascii="仿宋" w:hAnsi="仿宋" w:eastAsia="仿宋" w:cs="仿宋"/>
          <w:b/>
          <w:sz w:val="24"/>
          <w:highlight w:val="none"/>
        </w:rPr>
        <w:t>杭州</w:t>
      </w:r>
      <w:r>
        <w:rPr>
          <w:rFonts w:hint="eastAsia" w:ascii="仿宋" w:hAnsi="仿宋" w:eastAsia="仿宋" w:cs="仿宋"/>
          <w:b/>
          <w:sz w:val="24"/>
          <w:highlight w:val="none"/>
          <w:lang w:val="en-US" w:eastAsia="zh-CN"/>
        </w:rPr>
        <w:t>市</w:t>
      </w:r>
      <w:r>
        <w:rPr>
          <w:rFonts w:hint="eastAsia" w:ascii="仿宋" w:hAnsi="仿宋" w:eastAsia="仿宋" w:cs="仿宋"/>
          <w:b/>
          <w:sz w:val="24"/>
          <w:highlight w:val="none"/>
        </w:rPr>
        <w:t>仲裁委员会申请仲裁</w:t>
      </w:r>
      <w:r>
        <w:rPr>
          <w:rFonts w:hint="eastAsia" w:ascii="仿宋" w:hAnsi="仿宋" w:eastAsia="仿宋" w:cs="仿宋"/>
          <w:sz w:val="24"/>
          <w:highlight w:val="none"/>
        </w:rPr>
        <w:t>；但双方当事人特别约定下列解决方式中第</w:t>
      </w:r>
      <w:r>
        <w:rPr>
          <w:rFonts w:hint="eastAsia" w:ascii="仿宋" w:hAnsi="仿宋" w:eastAsia="仿宋" w:cs="仿宋"/>
          <w:sz w:val="24"/>
          <w:highlight w:val="none"/>
          <w:u w:val="single"/>
          <w:lang w:val="en-US" w:eastAsia="zh-CN"/>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种方式解决争议的除外：</w:t>
      </w:r>
    </w:p>
    <w:p w14:paraId="1F9A5BD3">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（1）提交</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仲裁委员会申请仲裁；</w:t>
      </w:r>
    </w:p>
    <w:p w14:paraId="7404D3D9">
      <w:pPr>
        <w:spacing w:line="360" w:lineRule="auto"/>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（2）依法向</w:t>
      </w:r>
      <w:r>
        <w:rPr>
          <w:rFonts w:hint="eastAsia" w:ascii="仿宋" w:hAnsi="仿宋" w:eastAsia="仿宋" w:cs="仿宋"/>
          <w:sz w:val="24"/>
          <w:highlight w:val="none"/>
          <w:u w:val="single"/>
        </w:rPr>
        <w:t xml:space="preserve">     /     </w:t>
      </w:r>
      <w:r>
        <w:rPr>
          <w:rFonts w:hint="eastAsia" w:ascii="仿宋" w:hAnsi="仿宋" w:eastAsia="仿宋" w:cs="仿宋"/>
          <w:sz w:val="24"/>
          <w:highlight w:val="none"/>
        </w:rPr>
        <w:t>人民法院起诉。</w:t>
      </w:r>
      <w:bookmarkEnd w:id="656"/>
      <w:bookmarkEnd w:id="657"/>
      <w:bookmarkEnd w:id="658"/>
      <w:bookmarkEnd w:id="659"/>
      <w:bookmarkEnd w:id="660"/>
      <w:bookmarkEnd w:id="661"/>
    </w:p>
    <w:p w14:paraId="6056C7B8">
      <w:pPr>
        <w:spacing w:line="360" w:lineRule="auto"/>
        <w:ind w:firstLine="475" w:firstLineChars="198"/>
        <w:jc w:val="left"/>
        <w:rPr>
          <w:rFonts w:hint="eastAsia" w:ascii="仿宋" w:hAnsi="仿宋" w:eastAsia="仿宋" w:cs="仿宋"/>
          <w:sz w:val="24"/>
          <w:highlight w:val="none"/>
        </w:rPr>
      </w:pPr>
      <w:r>
        <w:rPr>
          <w:rFonts w:hint="eastAsia" w:ascii="仿宋" w:hAnsi="仿宋" w:eastAsia="仿宋" w:cs="仿宋"/>
          <w:sz w:val="24"/>
          <w:highlight w:val="none"/>
        </w:rPr>
        <w:t>21．其他补充事项的约定</w:t>
      </w:r>
    </w:p>
    <w:p w14:paraId="1F68405B">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21.1 承包人未按合同约定履行义务，造成工程质量低下、进度迟缓、延迟开工15天以上、管理混乱，发包人有权终止合同，没收全部履约保证金，承包人应赔偿发包人因此造成的一切经济损失、依法承担相应的法律责任。</w:t>
      </w:r>
    </w:p>
    <w:p w14:paraId="4FBEC609">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21.2工程质量与进度的补充约定</w:t>
      </w:r>
    </w:p>
    <w:p w14:paraId="7534BA9B">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对放线验线、隐蔽工程等关键工序，在发包人和监理方验收后，发包人仍可请权威机构进行复核或复验，复核或复验合格，则由发包人承担相应的复核、检验费用；如不合格，则由承包人承担相应复核、检验费用、返工费用及造成的一切损失。</w:t>
      </w:r>
    </w:p>
    <w:p w14:paraId="2D5801A6">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21.3工程的保管</w:t>
      </w:r>
    </w:p>
    <w:p w14:paraId="2D7099B2">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21.3.1开工日后，施工场地由承包人负责保管并负担保管费用。</w:t>
      </w:r>
    </w:p>
    <w:p w14:paraId="0A1AF817">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21.3.2施工期间，承包人实施的在建工程，承包人采购的物资、使用的设备，以及发包人采购但已经交付给承包人的物资、设备，由承包人负责保管并负担保管费用。</w:t>
      </w:r>
    </w:p>
    <w:p w14:paraId="68B08250">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21.3.3竣工日后到依据专用条款确定的工程移交日前，竣工工程（包括附属设备、设施），由承包人负责保管并负担保管费用。</w:t>
      </w:r>
    </w:p>
    <w:p w14:paraId="580B290F">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21.3.4依据专用条款确定的工程移交日后，对于承包人已经移交给发包人的竣工工程（包括附属设备、设施），由发包人负责保管并负担保管费用；对于承包人尚未移交给发包人的竣工工程（包括附属设备、设施），由承包人负责保管并负担保管费用。</w:t>
      </w:r>
    </w:p>
    <w:p w14:paraId="3E1E341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21.3.5在承包人保管期间，发生工程、物资、设施设备等损坏、减少、灭失的，承包人应及时自费修复、补足、恢复原状。若承包人无法自行修复、补足、恢复原状的，应及时书面告知发包人，并承担由此产生的全部赔偿责任。造成的工期延期的，由承包人自行承担。</w:t>
      </w:r>
    </w:p>
    <w:p w14:paraId="3B4F23F1">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21.4合格工程的移交</w:t>
      </w:r>
    </w:p>
    <w:p w14:paraId="2F69F068">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21.4.1通过竣工验收程序、发包人确认竣工工程验收合格后，承包人应在发包人通知的期限内向发包人办理工程移交手续；承包人不得以任何理由拒绝在发包人通知的期限内完整地向发包人移交工程，否则，发包人有权拒绝办理竣工结算及支付剩余的工程价款。</w:t>
      </w:r>
    </w:p>
    <w:p w14:paraId="78AB5FAD">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21.4.2承包人应当向发包人实施工程移交的内容包括但不限于：</w:t>
      </w:r>
    </w:p>
    <w:p w14:paraId="2E232FC9">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①承包人实施承包的全部工程；</w:t>
      </w:r>
    </w:p>
    <w:p w14:paraId="43E068D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②工程的全部附属设施、设备（包括房屋钥匙、设备使用密码及配套工器具）；</w:t>
      </w:r>
    </w:p>
    <w:p w14:paraId="61783E1A">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③工程竣工资料原件（包括但不限于：工程施工资料，工程质量保证资料，工程检验评定资料，竣工图，规定的其他应交资料、各种管线图纸（如有）、附属设施以及设备的使用说明书、质量保证书、维修卡等）；</w:t>
      </w:r>
    </w:p>
    <w:p w14:paraId="13772ACC">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④其他属于承包人移交义务的工程、设施、设备、文件资料。</w:t>
      </w:r>
    </w:p>
    <w:p w14:paraId="536854B3">
      <w:pPr>
        <w:spacing w:line="36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u w:val="single"/>
        </w:rPr>
        <w:t>21.5承包人的投标文件必须完全响应采购文件的要求，投标书中一切有悖于采购文件的条款均视作无效条款；承包人在投标文件中单方面设置限制招标人的条款和内容均将被视作无效内容，并且出现上述现象时，承包人应自行承担废标风险。投标文件中所有在采购文件约定内容之外的与费用、进度、质量、索赔等有关的制约性内容在投标人中标后，经发包人作出书面确认之前，均视作无效。</w:t>
      </w:r>
    </w:p>
    <w:p w14:paraId="183EB250">
      <w:pPr>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b w:val="0"/>
          <w:bCs w:val="0"/>
          <w:sz w:val="24"/>
          <w:szCs w:val="24"/>
          <w:highlight w:val="none"/>
          <w:u w:val="single"/>
          <w:lang w:val="en-US"/>
        </w:rPr>
        <w:t>21.6承包人在中标后视为对采购文件中和投标文件中的承诺，不得随意提出材料品种和规格的变更，除非发包人和设计的同意，也不得以采购困难等理由延误工期，否则发包人可自行组织采购，视为甲供材料，费用从承包人工程款中扣除。</w:t>
      </w:r>
    </w:p>
    <w:p w14:paraId="7A86057E">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sz w:val="24"/>
          <w:szCs w:val="24"/>
          <w:highlight w:val="none"/>
          <w:u w:val="single"/>
        </w:rPr>
        <w:t>21．</w:t>
      </w:r>
      <w:r>
        <w:rPr>
          <w:rFonts w:hint="eastAsia" w:ascii="仿宋" w:hAnsi="仿宋" w:eastAsia="仿宋" w:cs="仿宋"/>
          <w:sz w:val="24"/>
          <w:szCs w:val="24"/>
          <w:highlight w:val="none"/>
          <w:u w:val="single"/>
          <w:lang w:val="en-US" w:eastAsia="zh-CN"/>
        </w:rPr>
        <w:t>7</w:t>
      </w:r>
      <w:r>
        <w:rPr>
          <w:rFonts w:hint="eastAsia" w:ascii="仿宋" w:hAnsi="仿宋" w:eastAsia="仿宋" w:cs="仿宋"/>
          <w:b w:val="0"/>
          <w:bCs w:val="0"/>
          <w:sz w:val="24"/>
          <w:szCs w:val="24"/>
          <w:highlight w:val="none"/>
          <w:u w:val="single"/>
        </w:rPr>
        <w:t>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29B510D5">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sz w:val="24"/>
          <w:szCs w:val="24"/>
          <w:highlight w:val="none"/>
          <w:u w:val="single"/>
        </w:rPr>
        <w:t>21．</w:t>
      </w:r>
      <w:r>
        <w:rPr>
          <w:rFonts w:hint="eastAsia" w:ascii="仿宋" w:hAnsi="仿宋" w:eastAsia="仿宋" w:cs="仿宋"/>
          <w:sz w:val="24"/>
          <w:szCs w:val="24"/>
          <w:highlight w:val="none"/>
          <w:u w:val="single"/>
          <w:lang w:val="en-US" w:eastAsia="zh-CN"/>
        </w:rPr>
        <w:t>8</w:t>
      </w:r>
      <w:r>
        <w:rPr>
          <w:rFonts w:hint="eastAsia" w:ascii="仿宋" w:hAnsi="仿宋" w:eastAsia="仿宋" w:cs="仿宋"/>
          <w:b w:val="0"/>
          <w:bCs w:val="0"/>
          <w:sz w:val="24"/>
          <w:szCs w:val="24"/>
          <w:highlight w:val="none"/>
          <w:u w:val="single"/>
        </w:rPr>
        <w:t>工程施工过程中发生的变更等必须经发包人签字认可后方可实施。</w:t>
      </w:r>
    </w:p>
    <w:p w14:paraId="0BC6C958">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sz w:val="24"/>
          <w:szCs w:val="24"/>
          <w:highlight w:val="none"/>
          <w:u w:val="single"/>
        </w:rPr>
        <w:t>21．</w:t>
      </w:r>
      <w:r>
        <w:rPr>
          <w:rFonts w:hint="eastAsia" w:ascii="仿宋" w:hAnsi="仿宋" w:eastAsia="仿宋" w:cs="仿宋"/>
          <w:sz w:val="24"/>
          <w:szCs w:val="24"/>
          <w:highlight w:val="none"/>
          <w:u w:val="single"/>
          <w:lang w:val="en-US" w:eastAsia="zh-CN"/>
        </w:rPr>
        <w:t>9</w:t>
      </w:r>
      <w:r>
        <w:rPr>
          <w:rFonts w:hint="eastAsia" w:ascii="仿宋" w:hAnsi="仿宋" w:eastAsia="仿宋" w:cs="仿宋"/>
          <w:b w:val="0"/>
          <w:bCs w:val="0"/>
          <w:sz w:val="24"/>
          <w:szCs w:val="24"/>
          <w:highlight w:val="none"/>
          <w:u w:val="single"/>
        </w:rPr>
        <w:t>如承包人向发包人提供的发票内容与实际工作内容不相符，发包人有权拒绝支付各类款项。</w:t>
      </w:r>
    </w:p>
    <w:p w14:paraId="584EF9DF">
      <w:pPr>
        <w:spacing w:line="360" w:lineRule="auto"/>
        <w:ind w:firstLine="480" w:firstLineChars="200"/>
        <w:jc w:val="left"/>
        <w:rPr>
          <w:rFonts w:hint="eastAsia" w:ascii="仿宋" w:hAnsi="仿宋" w:eastAsia="仿宋" w:cs="仿宋"/>
          <w:b w:val="0"/>
          <w:bCs w:val="0"/>
          <w:sz w:val="24"/>
          <w:szCs w:val="24"/>
          <w:highlight w:val="none"/>
          <w:u w:val="single"/>
        </w:rPr>
      </w:pPr>
      <w:r>
        <w:rPr>
          <w:rFonts w:hint="eastAsia" w:ascii="仿宋" w:hAnsi="仿宋" w:eastAsia="仿宋" w:cs="仿宋"/>
          <w:b w:val="0"/>
          <w:bCs w:val="0"/>
          <w:sz w:val="24"/>
          <w:szCs w:val="24"/>
          <w:highlight w:val="none"/>
          <w:u w:val="single"/>
          <w:lang w:val="en-US" w:eastAsia="zh-CN"/>
        </w:rPr>
        <w:t>21.10</w:t>
      </w:r>
      <w:r>
        <w:rPr>
          <w:rFonts w:hint="eastAsia" w:ascii="仿宋" w:hAnsi="仿宋" w:eastAsia="仿宋" w:cs="仿宋"/>
          <w:b/>
          <w:bCs/>
          <w:sz w:val="24"/>
          <w:highlight w:val="none"/>
          <w:u w:val="single"/>
          <w:lang w:val="en-US" w:eastAsia="zh-CN"/>
        </w:rPr>
        <w:t>安全文明施工需达到学校及相关主管部门要求，根据学校要求设置警戒区、封闭围挡、安全出入口、施工区域地面铺设保护板等。安全文明经学校验收后方可施工。</w:t>
      </w:r>
    </w:p>
    <w:p w14:paraId="490BB928">
      <w:pPr>
        <w:spacing w:line="360" w:lineRule="auto"/>
        <w:ind w:firstLine="482" w:firstLineChars="200"/>
        <w:jc w:val="left"/>
        <w:rPr>
          <w:rFonts w:hint="eastAsia" w:ascii="仿宋" w:hAnsi="仿宋" w:eastAsia="仿宋" w:cs="仿宋"/>
          <w:b/>
          <w:bCs/>
          <w:kern w:val="0"/>
          <w:sz w:val="24"/>
          <w:highlight w:val="none"/>
        </w:rPr>
      </w:pPr>
    </w:p>
    <w:p w14:paraId="7E0B1ADB">
      <w:pPr>
        <w:ind w:firstLine="420"/>
        <w:rPr>
          <w:rFonts w:hint="eastAsia" w:ascii="仿宋" w:hAnsi="仿宋" w:eastAsia="仿宋" w:cs="仿宋"/>
          <w:highlight w:val="none"/>
          <w:lang w:eastAsia="zh"/>
        </w:rPr>
      </w:pPr>
    </w:p>
    <w:p w14:paraId="315CBCBC">
      <w:pPr>
        <w:spacing w:line="360" w:lineRule="auto"/>
        <w:ind w:firstLine="420"/>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41FC0625">
      <w:pPr>
        <w:spacing w:line="360" w:lineRule="auto"/>
        <w:ind w:firstLine="420"/>
        <w:rPr>
          <w:rFonts w:hint="eastAsia" w:ascii="仿宋" w:hAnsi="仿宋" w:eastAsia="仿宋" w:cs="仿宋"/>
          <w:highlight w:val="none"/>
        </w:rPr>
      </w:pPr>
      <w:r>
        <w:rPr>
          <w:rFonts w:hint="eastAsia" w:ascii="仿宋" w:hAnsi="仿宋" w:eastAsia="仿宋" w:cs="仿宋"/>
          <w:highlight w:val="none"/>
        </w:rPr>
        <w:t>附</w:t>
      </w:r>
      <w:bookmarkStart w:id="668" w:name="_Toc296891054"/>
      <w:bookmarkStart w:id="669" w:name="_Toc296347225"/>
      <w:bookmarkStart w:id="670" w:name="_Toc296503226"/>
      <w:bookmarkStart w:id="671" w:name="_Toc267261693"/>
      <w:bookmarkStart w:id="672" w:name="_Toc296346727"/>
      <w:bookmarkStart w:id="673" w:name="_Toc296891266"/>
      <w:bookmarkStart w:id="674" w:name="_Toc296944565"/>
      <w:r>
        <w:rPr>
          <w:rFonts w:hint="eastAsia" w:ascii="仿宋" w:hAnsi="仿宋" w:eastAsia="仿宋" w:cs="仿宋"/>
          <w:highlight w:val="none"/>
        </w:rPr>
        <w:t>件1：</w:t>
      </w:r>
      <w:bookmarkEnd w:id="668"/>
      <w:bookmarkEnd w:id="669"/>
      <w:bookmarkEnd w:id="670"/>
      <w:bookmarkEnd w:id="671"/>
      <w:bookmarkEnd w:id="672"/>
      <w:bookmarkEnd w:id="673"/>
      <w:bookmarkEnd w:id="674"/>
      <w:r>
        <w:rPr>
          <w:rFonts w:hint="eastAsia" w:ascii="仿宋" w:hAnsi="仿宋" w:eastAsia="仿宋" w:cs="仿宋"/>
          <w:highlight w:val="none"/>
        </w:rPr>
        <w:t>工程质量保修书</w:t>
      </w:r>
    </w:p>
    <w:p w14:paraId="04455951">
      <w:pPr>
        <w:spacing w:before="120" w:beforeLines="50" w:after="120" w:afterLines="50" w:line="360" w:lineRule="auto"/>
        <w:ind w:firstLine="602"/>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工程质量保修书</w:t>
      </w:r>
    </w:p>
    <w:p w14:paraId="0BB8B8C2">
      <w:pPr>
        <w:spacing w:line="360" w:lineRule="auto"/>
        <w:ind w:firstLine="420"/>
        <w:rPr>
          <w:rFonts w:hint="eastAsia" w:ascii="仿宋" w:hAnsi="仿宋" w:eastAsia="仿宋" w:cs="仿宋"/>
          <w:szCs w:val="21"/>
          <w:highlight w:val="none"/>
        </w:rPr>
      </w:pPr>
      <w:bookmarkStart w:id="675" w:name="_Toc14652"/>
      <w:bookmarkStart w:id="676" w:name="_Toc307577919"/>
      <w:bookmarkStart w:id="677" w:name="_Toc28188"/>
      <w:bookmarkStart w:id="678" w:name="_Toc370283432"/>
      <w:bookmarkStart w:id="679" w:name="_Toc23595"/>
      <w:r>
        <w:rPr>
          <w:rFonts w:hint="eastAsia" w:ascii="仿宋" w:hAnsi="仿宋" w:eastAsia="仿宋" w:cs="仿宋"/>
          <w:szCs w:val="21"/>
          <w:highlight w:val="none"/>
        </w:rPr>
        <w:t>发包人（全称）：</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 xml:space="preserve"> </w:t>
      </w:r>
    </w:p>
    <w:p w14:paraId="150CB5F7">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承包人（全称）：</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 xml:space="preserve"> </w:t>
      </w:r>
    </w:p>
    <w:p w14:paraId="2CABA51E">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发包人和承包人根据《中华人民共和国建筑法》和《建设工程质量管理条例》，经协商一致就</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（工程全称）签订工程质量保修书。</w:t>
      </w:r>
    </w:p>
    <w:p w14:paraId="1E9EB3E0">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一、工程质量保修范围和内容</w:t>
      </w:r>
    </w:p>
    <w:p w14:paraId="65F5A272">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承包人在质量保修期内，按照有关法律规定和合同约定，承担工程质量保修责任。</w:t>
      </w:r>
    </w:p>
    <w:p w14:paraId="7B1E0CD9">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703120F2">
      <w:pPr>
        <w:spacing w:line="360" w:lineRule="auto"/>
        <w:ind w:firstLine="422"/>
        <w:rPr>
          <w:rFonts w:hint="eastAsia" w:ascii="仿宋" w:hAnsi="仿宋" w:eastAsia="仿宋" w:cs="仿宋"/>
          <w:szCs w:val="21"/>
          <w:highlight w:val="none"/>
        </w:rPr>
      </w:pPr>
      <w:r>
        <w:rPr>
          <w:rFonts w:hint="eastAsia" w:ascii="仿宋" w:hAnsi="仿宋" w:eastAsia="仿宋" w:cs="仿宋"/>
          <w:b/>
          <w:szCs w:val="21"/>
          <w:highlight w:val="none"/>
        </w:rPr>
        <w:t>　　</w:t>
      </w:r>
      <w:r>
        <w:rPr>
          <w:rFonts w:hint="eastAsia" w:ascii="仿宋" w:hAnsi="仿宋" w:eastAsia="仿宋" w:cs="仿宋"/>
          <w:szCs w:val="21"/>
          <w:highlight w:val="none"/>
        </w:rPr>
        <w:t>二、质量保修期</w:t>
      </w:r>
    </w:p>
    <w:p w14:paraId="2AF79BFF">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根据《建设工程质量管理条例》及有关规定，工程的质量保修期如下：</w:t>
      </w:r>
    </w:p>
    <w:p w14:paraId="680D5527">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1．地基基础工程和主体结构工程为设计文件规定的</w:t>
      </w:r>
      <w:r>
        <w:rPr>
          <w:rFonts w:hint="eastAsia" w:ascii="仿宋" w:hAnsi="仿宋" w:eastAsia="仿宋" w:cs="仿宋"/>
          <w:szCs w:val="21"/>
          <w:highlight w:val="none"/>
          <w:u w:val="single"/>
        </w:rPr>
        <w:t xml:space="preserve">  /  </w:t>
      </w:r>
      <w:r>
        <w:rPr>
          <w:rFonts w:hint="eastAsia" w:ascii="仿宋" w:hAnsi="仿宋" w:eastAsia="仿宋" w:cs="仿宋"/>
          <w:szCs w:val="21"/>
          <w:highlight w:val="none"/>
        </w:rPr>
        <w:t>；</w:t>
      </w:r>
    </w:p>
    <w:p w14:paraId="6EB2B74A">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2．屋面防水工程、有防水要求的卫生间、房间和外墙面的防渗漏为</w:t>
      </w:r>
      <w:r>
        <w:rPr>
          <w:rFonts w:hint="eastAsia" w:ascii="仿宋" w:hAnsi="仿宋" w:eastAsia="仿宋" w:cs="仿宋"/>
          <w:b/>
          <w:bCs/>
          <w:szCs w:val="21"/>
          <w:highlight w:val="none"/>
          <w:u w:val="single"/>
        </w:rPr>
        <w:t xml:space="preserve"> 伍 </w:t>
      </w:r>
      <w:r>
        <w:rPr>
          <w:rFonts w:hint="eastAsia" w:ascii="仿宋" w:hAnsi="仿宋" w:eastAsia="仿宋" w:cs="仿宋"/>
          <w:szCs w:val="21"/>
          <w:highlight w:val="none"/>
        </w:rPr>
        <w:t>年；</w:t>
      </w:r>
    </w:p>
    <w:p w14:paraId="0CD8A46C">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3．装饰装修工程为</w:t>
      </w:r>
      <w:r>
        <w:rPr>
          <w:rFonts w:hint="eastAsia" w:ascii="仿宋" w:hAnsi="仿宋" w:eastAsia="仿宋" w:cs="仿宋"/>
          <w:b/>
          <w:bCs/>
          <w:szCs w:val="21"/>
          <w:highlight w:val="none"/>
          <w:u w:val="single"/>
        </w:rPr>
        <w:t xml:space="preserve">贰年 </w:t>
      </w:r>
      <w:r>
        <w:rPr>
          <w:rFonts w:hint="eastAsia" w:ascii="仿宋" w:hAnsi="仿宋" w:eastAsia="仿宋" w:cs="仿宋"/>
          <w:szCs w:val="21"/>
          <w:highlight w:val="none"/>
        </w:rPr>
        <w:t>年；</w:t>
      </w:r>
    </w:p>
    <w:p w14:paraId="49C8D036">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4．电气管线、给排水管道、设备安装工程为</w:t>
      </w:r>
      <w:r>
        <w:rPr>
          <w:rFonts w:hint="eastAsia" w:ascii="仿宋" w:hAnsi="仿宋" w:eastAsia="仿宋" w:cs="仿宋"/>
          <w:b/>
          <w:bCs/>
          <w:szCs w:val="21"/>
          <w:highlight w:val="none"/>
          <w:u w:val="single"/>
        </w:rPr>
        <w:t xml:space="preserve"> 贰年 </w:t>
      </w:r>
      <w:r>
        <w:rPr>
          <w:rFonts w:hint="eastAsia" w:ascii="仿宋" w:hAnsi="仿宋" w:eastAsia="仿宋" w:cs="仿宋"/>
          <w:szCs w:val="21"/>
          <w:highlight w:val="none"/>
        </w:rPr>
        <w:t>年；</w:t>
      </w:r>
    </w:p>
    <w:p w14:paraId="7CBDF293">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5．供热与供冷系统为</w:t>
      </w:r>
      <w:r>
        <w:rPr>
          <w:rFonts w:hint="eastAsia" w:ascii="仿宋" w:hAnsi="仿宋" w:eastAsia="仿宋" w:cs="仿宋"/>
          <w:b/>
          <w:bCs/>
          <w:szCs w:val="21"/>
          <w:highlight w:val="none"/>
          <w:u w:val="single"/>
        </w:rPr>
        <w:t xml:space="preserve">  /  </w:t>
      </w:r>
      <w:r>
        <w:rPr>
          <w:rFonts w:hint="eastAsia" w:ascii="仿宋" w:hAnsi="仿宋" w:eastAsia="仿宋" w:cs="仿宋"/>
          <w:szCs w:val="21"/>
          <w:highlight w:val="none"/>
        </w:rPr>
        <w:t>个采暖期、供冷期；</w:t>
      </w:r>
    </w:p>
    <w:p w14:paraId="03DBE675">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6．住宅小区内的给排水设施、道路等配套工程为</w:t>
      </w:r>
      <w:r>
        <w:rPr>
          <w:rFonts w:hint="eastAsia" w:ascii="仿宋" w:hAnsi="仿宋" w:eastAsia="仿宋" w:cs="仿宋"/>
          <w:szCs w:val="21"/>
          <w:highlight w:val="none"/>
          <w:u w:val="single"/>
        </w:rPr>
        <w:t xml:space="preserve"> /</w:t>
      </w:r>
      <w:r>
        <w:rPr>
          <w:rFonts w:hint="eastAsia" w:ascii="仿宋" w:hAnsi="仿宋" w:eastAsia="仿宋" w:cs="仿宋"/>
          <w:b/>
          <w:bCs/>
          <w:szCs w:val="21"/>
          <w:highlight w:val="none"/>
          <w:u w:val="single"/>
        </w:rPr>
        <w:t xml:space="preserve"> </w:t>
      </w:r>
      <w:r>
        <w:rPr>
          <w:rFonts w:hint="eastAsia" w:ascii="仿宋" w:hAnsi="仿宋" w:eastAsia="仿宋" w:cs="仿宋"/>
          <w:szCs w:val="21"/>
          <w:highlight w:val="none"/>
        </w:rPr>
        <w:t>年；</w:t>
      </w:r>
    </w:p>
    <w:p w14:paraId="0AAA8A86">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7．其他项目保修期限约定如下：</w:t>
      </w:r>
      <w:r>
        <w:rPr>
          <w:rFonts w:hint="eastAsia" w:ascii="仿宋" w:hAnsi="仿宋" w:eastAsia="仿宋" w:cs="仿宋"/>
          <w:b/>
          <w:bCs/>
          <w:szCs w:val="21"/>
          <w:highlight w:val="none"/>
          <w:u w:val="single"/>
        </w:rPr>
        <w:t xml:space="preserve">   贰年    </w:t>
      </w:r>
      <w:r>
        <w:rPr>
          <w:rFonts w:hint="eastAsia" w:ascii="仿宋" w:hAnsi="仿宋" w:eastAsia="仿宋" w:cs="仿宋"/>
          <w:szCs w:val="21"/>
          <w:highlight w:val="none"/>
        </w:rPr>
        <w:t>。</w:t>
      </w:r>
    </w:p>
    <w:p w14:paraId="30AA9FB9">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质量保修期自工程竣工验收合格之日起计算。</w:t>
      </w:r>
    </w:p>
    <w:p w14:paraId="2D481D17">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三、缺陷责任期</w:t>
      </w:r>
    </w:p>
    <w:p w14:paraId="3F9358BE">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工程缺陷责任期为</w:t>
      </w:r>
      <w:r>
        <w:rPr>
          <w:rFonts w:hint="eastAsia" w:ascii="仿宋" w:hAnsi="仿宋" w:eastAsia="仿宋" w:cs="仿宋"/>
          <w:b/>
          <w:bCs/>
          <w:szCs w:val="21"/>
          <w:highlight w:val="none"/>
          <w:u w:val="single"/>
        </w:rPr>
        <w:t xml:space="preserve"> 24 </w:t>
      </w:r>
      <w:r>
        <w:rPr>
          <w:rFonts w:hint="eastAsia" w:ascii="仿宋" w:hAnsi="仿宋" w:eastAsia="仿宋" w:cs="仿宋"/>
          <w:szCs w:val="21"/>
          <w:highlight w:val="none"/>
        </w:rPr>
        <w:t>个月，缺陷责任期自工程实际竣工之日起计算。单位工程先于全部工程进行验收，单位工程缺陷责任期自单位工程验收合格之日起算。</w:t>
      </w:r>
    </w:p>
    <w:p w14:paraId="012E6B68">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缺陷责任期终止后，发包人应退还剩余的质量保证金。</w:t>
      </w:r>
    </w:p>
    <w:p w14:paraId="66069E84">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xml:space="preserve">    四、质量保修责任</w:t>
      </w:r>
    </w:p>
    <w:p w14:paraId="0E3BBED2">
      <w:pPr>
        <w:spacing w:line="360" w:lineRule="auto"/>
        <w:ind w:left="105" w:leftChars="50" w:firstLine="430" w:firstLineChars="205"/>
        <w:rPr>
          <w:rFonts w:hint="eastAsia" w:ascii="仿宋" w:hAnsi="仿宋" w:eastAsia="仿宋" w:cs="仿宋"/>
          <w:szCs w:val="21"/>
          <w:highlight w:val="none"/>
        </w:rPr>
      </w:pPr>
      <w:r>
        <w:rPr>
          <w:rFonts w:hint="eastAsia" w:ascii="仿宋" w:hAnsi="仿宋" w:eastAsia="仿宋" w:cs="仿宋"/>
          <w:szCs w:val="21"/>
          <w:highlight w:val="none"/>
        </w:rPr>
        <w:t>1．属于保修范围、内容的项目，承包人应当在接到保修通知之日起7天内派人保修。承包人不在约定期限内派人保修的，发包人可以委托他人修理。</w:t>
      </w:r>
    </w:p>
    <w:p w14:paraId="48B95550">
      <w:pPr>
        <w:spacing w:line="360" w:lineRule="auto"/>
        <w:ind w:left="105" w:leftChars="50" w:firstLine="430" w:firstLineChars="205"/>
        <w:rPr>
          <w:rFonts w:hint="eastAsia" w:ascii="仿宋" w:hAnsi="仿宋" w:eastAsia="仿宋" w:cs="仿宋"/>
          <w:szCs w:val="21"/>
          <w:highlight w:val="none"/>
        </w:rPr>
      </w:pPr>
      <w:r>
        <w:rPr>
          <w:rFonts w:hint="eastAsia" w:ascii="仿宋" w:hAnsi="仿宋" w:eastAsia="仿宋" w:cs="仿宋"/>
          <w:szCs w:val="21"/>
          <w:highlight w:val="none"/>
        </w:rPr>
        <w:t>2．发生紧急事故需抢修的，承包人在接到事故通知后，应当立即到达事故现场抢修。</w:t>
      </w:r>
    </w:p>
    <w:p w14:paraId="4A2094D5">
      <w:pPr>
        <w:spacing w:line="360" w:lineRule="auto"/>
        <w:ind w:left="105" w:leftChars="50" w:firstLine="430" w:firstLineChars="205"/>
        <w:rPr>
          <w:rFonts w:hint="eastAsia" w:ascii="仿宋" w:hAnsi="仿宋" w:eastAsia="仿宋" w:cs="仿宋"/>
          <w:szCs w:val="21"/>
          <w:highlight w:val="none"/>
        </w:rPr>
      </w:pPr>
      <w:r>
        <w:rPr>
          <w:rFonts w:hint="eastAsia" w:ascii="仿宋" w:hAnsi="仿宋" w:eastAsia="仿宋" w:cs="仿宋"/>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EA7A427">
      <w:pPr>
        <w:spacing w:line="360" w:lineRule="auto"/>
        <w:ind w:left="420" w:leftChars="200" w:firstLine="105" w:firstLineChars="50"/>
        <w:rPr>
          <w:rFonts w:hint="eastAsia" w:ascii="仿宋" w:hAnsi="仿宋" w:eastAsia="仿宋" w:cs="仿宋"/>
          <w:szCs w:val="21"/>
          <w:highlight w:val="none"/>
        </w:rPr>
      </w:pPr>
      <w:r>
        <w:rPr>
          <w:rFonts w:hint="eastAsia" w:ascii="仿宋" w:hAnsi="仿宋" w:eastAsia="仿宋" w:cs="仿宋"/>
          <w:szCs w:val="21"/>
          <w:highlight w:val="none"/>
        </w:rPr>
        <w:t>4．质量保修完成后，由发包人组织验收。</w:t>
      </w:r>
    </w:p>
    <w:p w14:paraId="377A014A">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五、保修费用</w:t>
      </w:r>
    </w:p>
    <w:p w14:paraId="386C66C4">
      <w:pPr>
        <w:spacing w:line="360" w:lineRule="auto"/>
        <w:ind w:firstLine="420"/>
        <w:rPr>
          <w:rFonts w:hint="eastAsia" w:ascii="仿宋" w:hAnsi="仿宋" w:eastAsia="仿宋" w:cs="仿宋"/>
          <w:szCs w:val="21"/>
          <w:highlight w:val="none"/>
        </w:rPr>
      </w:pPr>
      <w:r>
        <w:rPr>
          <w:rFonts w:hint="eastAsia" w:ascii="仿宋" w:hAnsi="仿宋" w:eastAsia="仿宋" w:cs="仿宋"/>
          <w:szCs w:val="21"/>
          <w:highlight w:val="none"/>
        </w:rPr>
        <w:t>　　保修费用由造成质量缺陷的责任方承担。</w:t>
      </w:r>
    </w:p>
    <w:p w14:paraId="3A20AAC3">
      <w:pPr>
        <w:spacing w:line="360" w:lineRule="auto"/>
        <w:ind w:firstLine="422"/>
        <w:jc w:val="left"/>
        <w:rPr>
          <w:rFonts w:hint="eastAsia" w:ascii="仿宋" w:hAnsi="仿宋" w:eastAsia="仿宋" w:cs="仿宋"/>
          <w:szCs w:val="21"/>
          <w:highlight w:val="none"/>
        </w:rPr>
      </w:pPr>
      <w:r>
        <w:rPr>
          <w:rFonts w:hint="eastAsia" w:ascii="仿宋" w:hAnsi="仿宋" w:eastAsia="仿宋" w:cs="仿宋"/>
          <w:b/>
          <w:szCs w:val="21"/>
          <w:highlight w:val="none"/>
        </w:rPr>
        <w:t xml:space="preserve">    六</w:t>
      </w:r>
      <w:r>
        <w:rPr>
          <w:rFonts w:hint="eastAsia" w:ascii="仿宋" w:hAnsi="仿宋" w:eastAsia="仿宋" w:cs="仿宋"/>
          <w:szCs w:val="21"/>
          <w:highlight w:val="none"/>
        </w:rPr>
        <w:t>、双方约定的其他工程质量保修事项：</w:t>
      </w:r>
      <w:r>
        <w:rPr>
          <w:rFonts w:hint="eastAsia" w:ascii="仿宋" w:hAnsi="仿宋" w:eastAsia="仿宋" w:cs="仿宋"/>
          <w:highlight w:val="none"/>
        </w:rPr>
        <w:t>竣工验收合格后</w:t>
      </w:r>
      <w:r>
        <w:rPr>
          <w:rFonts w:hint="eastAsia" w:ascii="仿宋" w:hAnsi="仿宋" w:eastAsia="仿宋" w:cs="仿宋"/>
          <w:highlight w:val="none"/>
          <w:lang w:val="en-US" w:eastAsia="zh-CN"/>
        </w:rPr>
        <w:t>按合同要求缴纳</w:t>
      </w:r>
      <w:r>
        <w:rPr>
          <w:rFonts w:hint="eastAsia" w:ascii="仿宋" w:hAnsi="仿宋" w:eastAsia="仿宋" w:cs="仿宋"/>
          <w:highlight w:val="none"/>
        </w:rPr>
        <w:t>质保金</w:t>
      </w:r>
      <w:r>
        <w:rPr>
          <w:rFonts w:hint="eastAsia" w:ascii="仿宋" w:hAnsi="仿宋" w:eastAsia="仿宋" w:cs="仿宋"/>
          <w:szCs w:val="21"/>
          <w:highlight w:val="none"/>
        </w:rPr>
        <w:t>。</w:t>
      </w:r>
    </w:p>
    <w:p w14:paraId="2A08505F">
      <w:pPr>
        <w:spacing w:line="360" w:lineRule="auto"/>
        <w:ind w:firstLine="399" w:firstLineChars="190"/>
        <w:rPr>
          <w:rFonts w:hint="eastAsia" w:ascii="仿宋" w:hAnsi="仿宋" w:eastAsia="仿宋" w:cs="仿宋"/>
          <w:szCs w:val="21"/>
          <w:highlight w:val="none"/>
        </w:rPr>
      </w:pPr>
      <w:r>
        <w:rPr>
          <w:rFonts w:hint="eastAsia" w:ascii="仿宋" w:hAnsi="仿宋" w:eastAsia="仿宋" w:cs="仿宋"/>
          <w:szCs w:val="21"/>
          <w:highlight w:val="none"/>
        </w:rPr>
        <w:t>工程质量保修书由发包人、承包人在工程竣工验收前共同签署，作为施工合同附件，其有效期限至保修期满。</w:t>
      </w:r>
    </w:p>
    <w:p w14:paraId="34B70050">
      <w:pPr>
        <w:spacing w:line="360" w:lineRule="auto"/>
        <w:ind w:firstLine="199" w:firstLineChars="95"/>
        <w:rPr>
          <w:rFonts w:hint="eastAsia" w:ascii="仿宋" w:hAnsi="仿宋" w:eastAsia="仿宋" w:cs="仿宋"/>
          <w:szCs w:val="21"/>
          <w:highlight w:val="none"/>
        </w:rPr>
      </w:pPr>
    </w:p>
    <w:p w14:paraId="7EAE826D">
      <w:pPr>
        <w:spacing w:line="360" w:lineRule="auto"/>
        <w:ind w:firstLine="630" w:firstLineChars="30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27F97C48">
      <w:pPr>
        <w:spacing w:line="360" w:lineRule="auto"/>
        <w:ind w:firstLine="199" w:firstLineChars="95"/>
        <w:rPr>
          <w:rFonts w:hint="eastAsia" w:ascii="仿宋" w:hAnsi="仿宋" w:eastAsia="仿宋" w:cs="仿宋"/>
          <w:highlight w:val="none"/>
        </w:rPr>
      </w:pPr>
    </w:p>
    <w:p w14:paraId="7FA8702D">
      <w:pPr>
        <w:spacing w:line="360" w:lineRule="auto"/>
        <w:ind w:firstLine="199" w:firstLineChars="95"/>
        <w:rPr>
          <w:rFonts w:hint="eastAsia" w:ascii="仿宋" w:hAnsi="仿宋" w:eastAsia="仿宋" w:cs="仿宋"/>
          <w:szCs w:val="21"/>
          <w:highlight w:val="none"/>
        </w:rPr>
      </w:pPr>
      <w:r>
        <w:rPr>
          <w:rFonts w:hint="eastAsia" w:ascii="仿宋" w:hAnsi="仿宋" w:eastAsia="仿宋" w:cs="仿宋"/>
          <w:highlight w:val="none"/>
        </w:rPr>
        <w:t xml:space="preserve">年    月    日                   </w:t>
      </w:r>
      <w:r>
        <w:rPr>
          <w:rFonts w:hint="eastAsia" w:ascii="仿宋" w:hAnsi="仿宋" w:eastAsia="仿宋" w:cs="仿宋"/>
          <w:highlight w:val="none"/>
          <w:lang w:val="en-US" w:eastAsia="zh-CN"/>
        </w:rPr>
        <w:t xml:space="preserve">      </w:t>
      </w:r>
      <w:r>
        <w:rPr>
          <w:rFonts w:hint="eastAsia" w:ascii="仿宋" w:hAnsi="仿宋" w:eastAsia="仿宋" w:cs="仿宋"/>
          <w:highlight w:val="none"/>
        </w:rPr>
        <w:t xml:space="preserve">                  年    月    日</w:t>
      </w:r>
    </w:p>
    <w:p w14:paraId="5C39C0A3">
      <w:pPr>
        <w:spacing w:line="360" w:lineRule="auto"/>
        <w:ind w:firstLine="420"/>
        <w:rPr>
          <w:rFonts w:hint="eastAsia" w:ascii="仿宋" w:hAnsi="仿宋" w:eastAsia="仿宋" w:cs="仿宋"/>
          <w:szCs w:val="21"/>
          <w:highlight w:val="none"/>
        </w:rPr>
      </w:pPr>
    </w:p>
    <w:p w14:paraId="2F5BB1A8">
      <w:pPr>
        <w:ind w:firstLine="199" w:firstLineChars="95"/>
        <w:rPr>
          <w:rFonts w:hint="eastAsia" w:ascii="仿宋" w:hAnsi="仿宋" w:eastAsia="仿宋" w:cs="仿宋"/>
          <w:highlight w:val="none"/>
        </w:rPr>
      </w:pPr>
    </w:p>
    <w:p w14:paraId="62302B2B">
      <w:pPr>
        <w:ind w:firstLine="199" w:firstLineChars="95"/>
        <w:rPr>
          <w:rFonts w:hint="eastAsia" w:ascii="仿宋" w:hAnsi="仿宋" w:eastAsia="仿宋" w:cs="仿宋"/>
          <w:highlight w:val="none"/>
        </w:rPr>
      </w:pPr>
    </w:p>
    <w:p w14:paraId="224DC1B4">
      <w:pPr>
        <w:ind w:firstLine="199" w:firstLineChars="95"/>
        <w:rPr>
          <w:rFonts w:hint="eastAsia" w:ascii="仿宋" w:hAnsi="仿宋" w:eastAsia="仿宋" w:cs="仿宋"/>
          <w:highlight w:val="none"/>
        </w:rPr>
      </w:pPr>
    </w:p>
    <w:p w14:paraId="1078B579">
      <w:pPr>
        <w:ind w:firstLine="199" w:firstLineChars="95"/>
        <w:rPr>
          <w:rFonts w:hint="eastAsia" w:ascii="仿宋" w:hAnsi="仿宋" w:eastAsia="仿宋" w:cs="仿宋"/>
          <w:highlight w:val="none"/>
        </w:rPr>
      </w:pPr>
    </w:p>
    <w:p w14:paraId="7A327C73">
      <w:pPr>
        <w:ind w:firstLine="199" w:firstLineChars="95"/>
        <w:rPr>
          <w:rFonts w:hint="eastAsia" w:ascii="仿宋" w:hAnsi="仿宋" w:eastAsia="仿宋" w:cs="仿宋"/>
          <w:highlight w:val="none"/>
        </w:rPr>
      </w:pPr>
    </w:p>
    <w:p w14:paraId="462990CD">
      <w:pPr>
        <w:ind w:firstLine="199" w:firstLineChars="95"/>
        <w:rPr>
          <w:rFonts w:hint="eastAsia" w:ascii="仿宋" w:hAnsi="仿宋" w:eastAsia="仿宋" w:cs="仿宋"/>
          <w:highlight w:val="none"/>
        </w:rPr>
      </w:pPr>
    </w:p>
    <w:p w14:paraId="0EC8EBD5">
      <w:pPr>
        <w:ind w:firstLine="199" w:firstLineChars="95"/>
        <w:rPr>
          <w:rFonts w:hint="eastAsia" w:ascii="仿宋" w:hAnsi="仿宋" w:eastAsia="仿宋" w:cs="仿宋"/>
          <w:highlight w:val="none"/>
        </w:rPr>
      </w:pPr>
    </w:p>
    <w:p w14:paraId="3DC5BF81">
      <w:pPr>
        <w:ind w:firstLine="199" w:firstLineChars="95"/>
        <w:rPr>
          <w:rFonts w:hint="eastAsia" w:ascii="仿宋" w:hAnsi="仿宋" w:eastAsia="仿宋" w:cs="仿宋"/>
          <w:highlight w:val="none"/>
        </w:rPr>
      </w:pPr>
    </w:p>
    <w:p w14:paraId="3D5D949E">
      <w:pPr>
        <w:ind w:firstLine="199" w:firstLineChars="95"/>
        <w:rPr>
          <w:rFonts w:hint="eastAsia" w:ascii="仿宋" w:hAnsi="仿宋" w:eastAsia="仿宋" w:cs="仿宋"/>
          <w:highlight w:val="none"/>
        </w:rPr>
      </w:pPr>
    </w:p>
    <w:p w14:paraId="03CE2653">
      <w:pPr>
        <w:ind w:firstLine="199" w:firstLineChars="95"/>
        <w:rPr>
          <w:rFonts w:hint="eastAsia" w:ascii="仿宋" w:hAnsi="仿宋" w:eastAsia="仿宋" w:cs="仿宋"/>
          <w:highlight w:val="none"/>
        </w:rPr>
      </w:pPr>
    </w:p>
    <w:p w14:paraId="4A521D95">
      <w:pPr>
        <w:ind w:firstLine="199" w:firstLineChars="95"/>
        <w:rPr>
          <w:rFonts w:hint="eastAsia" w:ascii="仿宋" w:hAnsi="仿宋" w:eastAsia="仿宋" w:cs="仿宋"/>
          <w:highlight w:val="none"/>
        </w:rPr>
      </w:pPr>
    </w:p>
    <w:p w14:paraId="0C09489F">
      <w:pPr>
        <w:ind w:firstLine="199" w:firstLineChars="95"/>
        <w:rPr>
          <w:rFonts w:hint="eastAsia" w:ascii="仿宋" w:hAnsi="仿宋" w:eastAsia="仿宋" w:cs="仿宋"/>
          <w:highlight w:val="none"/>
        </w:rPr>
      </w:pPr>
    </w:p>
    <w:p w14:paraId="79F8F17D">
      <w:pPr>
        <w:ind w:firstLine="199" w:firstLineChars="95"/>
        <w:rPr>
          <w:rFonts w:hint="eastAsia" w:ascii="仿宋" w:hAnsi="仿宋" w:eastAsia="仿宋" w:cs="仿宋"/>
          <w:highlight w:val="none"/>
        </w:rPr>
      </w:pPr>
    </w:p>
    <w:p w14:paraId="3F7AACCA">
      <w:pPr>
        <w:ind w:firstLine="199" w:firstLineChars="95"/>
        <w:rPr>
          <w:rFonts w:hint="eastAsia" w:ascii="仿宋" w:hAnsi="仿宋" w:eastAsia="仿宋" w:cs="仿宋"/>
          <w:highlight w:val="none"/>
        </w:rPr>
      </w:pPr>
    </w:p>
    <w:p w14:paraId="121A7FD9">
      <w:pPr>
        <w:ind w:firstLine="199" w:firstLineChars="95"/>
        <w:rPr>
          <w:rFonts w:hint="eastAsia" w:ascii="仿宋" w:hAnsi="仿宋" w:eastAsia="仿宋" w:cs="仿宋"/>
          <w:highlight w:val="none"/>
        </w:rPr>
      </w:pPr>
    </w:p>
    <w:p w14:paraId="78080B10">
      <w:pPr>
        <w:ind w:firstLine="199" w:firstLineChars="95"/>
        <w:rPr>
          <w:rFonts w:hint="eastAsia" w:ascii="仿宋" w:hAnsi="仿宋" w:eastAsia="仿宋" w:cs="仿宋"/>
          <w:highlight w:val="none"/>
        </w:rPr>
      </w:pPr>
    </w:p>
    <w:p w14:paraId="294274DB">
      <w:pPr>
        <w:ind w:firstLine="199" w:firstLineChars="95"/>
        <w:rPr>
          <w:rFonts w:hint="eastAsia" w:ascii="仿宋" w:hAnsi="仿宋" w:eastAsia="仿宋" w:cs="仿宋"/>
          <w:highlight w:val="none"/>
        </w:rPr>
      </w:pPr>
    </w:p>
    <w:p w14:paraId="36BFABF8">
      <w:pPr>
        <w:ind w:firstLine="199" w:firstLineChars="95"/>
        <w:rPr>
          <w:rFonts w:hint="eastAsia" w:ascii="仿宋" w:hAnsi="仿宋" w:eastAsia="仿宋" w:cs="仿宋"/>
          <w:highlight w:val="none"/>
        </w:rPr>
      </w:pPr>
    </w:p>
    <w:p w14:paraId="59A7D39C">
      <w:pPr>
        <w:ind w:firstLine="199" w:firstLineChars="95"/>
        <w:rPr>
          <w:rFonts w:hint="eastAsia" w:ascii="仿宋" w:hAnsi="仿宋" w:eastAsia="仿宋" w:cs="仿宋"/>
          <w:highlight w:val="none"/>
        </w:rPr>
      </w:pPr>
    </w:p>
    <w:p w14:paraId="71265070">
      <w:pPr>
        <w:ind w:firstLine="199" w:firstLineChars="95"/>
        <w:rPr>
          <w:rFonts w:hint="eastAsia" w:ascii="仿宋" w:hAnsi="仿宋" w:eastAsia="仿宋" w:cs="仿宋"/>
          <w:highlight w:val="none"/>
        </w:rPr>
      </w:pPr>
    </w:p>
    <w:p w14:paraId="577FF887">
      <w:pPr>
        <w:ind w:firstLine="199" w:firstLineChars="95"/>
        <w:rPr>
          <w:rFonts w:hint="eastAsia" w:ascii="仿宋" w:hAnsi="仿宋" w:eastAsia="仿宋" w:cs="仿宋"/>
          <w:highlight w:val="none"/>
        </w:rPr>
      </w:pPr>
    </w:p>
    <w:p w14:paraId="4E8A23F8">
      <w:pPr>
        <w:ind w:firstLine="199" w:firstLineChars="95"/>
        <w:rPr>
          <w:rFonts w:hint="eastAsia" w:ascii="仿宋" w:hAnsi="仿宋" w:eastAsia="仿宋" w:cs="仿宋"/>
          <w:highlight w:val="none"/>
        </w:rPr>
      </w:pPr>
    </w:p>
    <w:p w14:paraId="06E3FD3B">
      <w:pPr>
        <w:ind w:firstLine="199" w:firstLineChars="95"/>
        <w:rPr>
          <w:rFonts w:hint="eastAsia" w:ascii="仿宋" w:hAnsi="仿宋" w:eastAsia="仿宋" w:cs="仿宋"/>
          <w:highlight w:val="none"/>
        </w:rPr>
      </w:pPr>
    </w:p>
    <w:p w14:paraId="2E391F6E">
      <w:pPr>
        <w:ind w:firstLine="199" w:firstLineChars="95"/>
        <w:rPr>
          <w:rFonts w:hint="eastAsia" w:ascii="仿宋" w:hAnsi="仿宋" w:eastAsia="仿宋" w:cs="仿宋"/>
          <w:highlight w:val="none"/>
        </w:rPr>
      </w:pPr>
    </w:p>
    <w:p w14:paraId="088BD5B2">
      <w:pPr>
        <w:ind w:firstLine="199" w:firstLineChars="95"/>
        <w:rPr>
          <w:rFonts w:hint="eastAsia" w:ascii="仿宋" w:hAnsi="仿宋" w:eastAsia="仿宋" w:cs="仿宋"/>
          <w:highlight w:val="none"/>
        </w:rPr>
      </w:pPr>
    </w:p>
    <w:p w14:paraId="04ECF1B0">
      <w:pPr>
        <w:ind w:firstLine="199" w:firstLineChars="95"/>
        <w:rPr>
          <w:rFonts w:hint="eastAsia" w:ascii="仿宋" w:hAnsi="仿宋" w:eastAsia="仿宋" w:cs="仿宋"/>
          <w:highlight w:val="none"/>
        </w:rPr>
      </w:pPr>
    </w:p>
    <w:p w14:paraId="04328D93">
      <w:pPr>
        <w:ind w:firstLine="199" w:firstLineChars="95"/>
        <w:rPr>
          <w:rFonts w:hint="eastAsia" w:ascii="仿宋" w:hAnsi="仿宋" w:eastAsia="仿宋" w:cs="仿宋"/>
          <w:highlight w:val="none"/>
        </w:rPr>
      </w:pPr>
    </w:p>
    <w:p w14:paraId="0A783D9D">
      <w:pPr>
        <w:ind w:firstLine="199" w:firstLineChars="95"/>
        <w:rPr>
          <w:rFonts w:hint="eastAsia" w:ascii="仿宋" w:hAnsi="仿宋" w:eastAsia="仿宋" w:cs="仿宋"/>
          <w:highlight w:val="none"/>
        </w:rPr>
      </w:pPr>
    </w:p>
    <w:p w14:paraId="24FBDD74">
      <w:pPr>
        <w:ind w:firstLine="199" w:firstLineChars="95"/>
        <w:rPr>
          <w:rFonts w:hint="eastAsia" w:ascii="仿宋" w:hAnsi="仿宋" w:eastAsia="仿宋" w:cs="仿宋"/>
          <w:highlight w:val="none"/>
        </w:rPr>
      </w:pPr>
    </w:p>
    <w:p w14:paraId="6A4BEEC2">
      <w:pPr>
        <w:ind w:firstLine="199" w:firstLineChars="95"/>
        <w:rPr>
          <w:rFonts w:hint="eastAsia" w:ascii="仿宋" w:hAnsi="仿宋" w:eastAsia="仿宋" w:cs="仿宋"/>
          <w:highlight w:val="none"/>
        </w:rPr>
      </w:pPr>
    </w:p>
    <w:p w14:paraId="49896242">
      <w:pPr>
        <w:ind w:firstLine="199" w:firstLineChars="95"/>
        <w:rPr>
          <w:rFonts w:hint="eastAsia" w:ascii="仿宋" w:hAnsi="仿宋" w:eastAsia="仿宋" w:cs="仿宋"/>
          <w:highlight w:val="none"/>
        </w:rPr>
      </w:pPr>
    </w:p>
    <w:p w14:paraId="240445C2">
      <w:pPr>
        <w:ind w:firstLine="199" w:firstLineChars="95"/>
        <w:rPr>
          <w:rFonts w:hint="eastAsia" w:ascii="仿宋" w:hAnsi="仿宋" w:eastAsia="仿宋" w:cs="仿宋"/>
          <w:highlight w:val="none"/>
        </w:rPr>
      </w:pPr>
    </w:p>
    <w:p w14:paraId="5432E7EB">
      <w:pPr>
        <w:ind w:firstLine="199" w:firstLineChars="95"/>
        <w:rPr>
          <w:rFonts w:hint="eastAsia" w:ascii="仿宋" w:hAnsi="仿宋" w:eastAsia="仿宋" w:cs="仿宋"/>
          <w:highlight w:val="none"/>
        </w:rPr>
      </w:pPr>
    </w:p>
    <w:p w14:paraId="6D9F08E3">
      <w:pPr>
        <w:ind w:firstLine="199" w:firstLineChars="95"/>
        <w:rPr>
          <w:rFonts w:hint="eastAsia" w:ascii="仿宋" w:hAnsi="仿宋" w:eastAsia="仿宋" w:cs="仿宋"/>
          <w:highlight w:val="none"/>
        </w:rPr>
      </w:pPr>
    </w:p>
    <w:p w14:paraId="37A5168B">
      <w:pPr>
        <w:ind w:firstLine="199" w:firstLineChars="95"/>
        <w:rPr>
          <w:rFonts w:hint="eastAsia" w:ascii="仿宋" w:hAnsi="仿宋" w:eastAsia="仿宋" w:cs="仿宋"/>
          <w:highlight w:val="none"/>
        </w:rPr>
      </w:pPr>
    </w:p>
    <w:p w14:paraId="5287D072">
      <w:pPr>
        <w:ind w:firstLine="199" w:firstLineChars="95"/>
        <w:rPr>
          <w:rFonts w:hint="eastAsia" w:ascii="仿宋" w:hAnsi="仿宋" w:eastAsia="仿宋" w:cs="仿宋"/>
          <w:highlight w:val="none"/>
        </w:rPr>
      </w:pPr>
    </w:p>
    <w:p w14:paraId="446B8B95">
      <w:pPr>
        <w:ind w:firstLine="420"/>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6067CF79">
      <w:pPr>
        <w:ind w:firstLine="420"/>
        <w:rPr>
          <w:rFonts w:hint="eastAsia" w:ascii="仿宋" w:hAnsi="仿宋" w:eastAsia="仿宋" w:cs="仿宋"/>
          <w:highlight w:val="none"/>
        </w:rPr>
      </w:pPr>
      <w:r>
        <w:rPr>
          <w:rFonts w:hint="eastAsia" w:ascii="仿宋" w:hAnsi="仿宋" w:eastAsia="仿宋" w:cs="仿宋"/>
          <w:highlight w:val="none"/>
        </w:rPr>
        <w:t>附件2：安全生产责任协议书</w:t>
      </w:r>
      <w:bookmarkEnd w:id="675"/>
      <w:bookmarkEnd w:id="676"/>
      <w:bookmarkEnd w:id="677"/>
      <w:bookmarkEnd w:id="678"/>
      <w:bookmarkEnd w:id="679"/>
    </w:p>
    <w:p w14:paraId="5BE0B398">
      <w:pPr>
        <w:autoSpaceDE w:val="0"/>
        <w:autoSpaceDN w:val="0"/>
        <w:spacing w:line="440" w:lineRule="exact"/>
        <w:ind w:firstLine="562"/>
        <w:jc w:val="center"/>
        <w:rPr>
          <w:rFonts w:hint="eastAsia" w:ascii="仿宋" w:hAnsi="仿宋" w:eastAsia="仿宋" w:cs="仿宋"/>
          <w:kern w:val="0"/>
          <w:sz w:val="28"/>
          <w:szCs w:val="28"/>
          <w:highlight w:val="none"/>
        </w:rPr>
      </w:pPr>
      <w:r>
        <w:rPr>
          <w:rFonts w:hint="eastAsia" w:ascii="仿宋" w:hAnsi="仿宋" w:eastAsia="仿宋" w:cs="仿宋"/>
          <w:b/>
          <w:kern w:val="0"/>
          <w:sz w:val="28"/>
          <w:szCs w:val="28"/>
          <w:highlight w:val="none"/>
        </w:rPr>
        <w:t>安全生产责任协议书</w:t>
      </w:r>
    </w:p>
    <w:p w14:paraId="21F5C356">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甲方：</w:t>
      </w:r>
    </w:p>
    <w:p w14:paraId="7028A8F2">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乙方：</w:t>
      </w:r>
    </w:p>
    <w:p w14:paraId="5A3BE41D">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项目名称：</w:t>
      </w:r>
    </w:p>
    <w:p w14:paraId="057988DE">
      <w:pPr>
        <w:spacing w:line="440" w:lineRule="exact"/>
        <w:ind w:firstLine="420"/>
        <w:jc w:val="left"/>
        <w:rPr>
          <w:rFonts w:hint="eastAsia" w:ascii="仿宋" w:hAnsi="仿宋" w:eastAsia="仿宋" w:cs="仿宋"/>
          <w:highlight w:val="none"/>
        </w:rPr>
      </w:pPr>
      <w:r>
        <w:rPr>
          <w:rFonts w:hint="eastAsia" w:ascii="仿宋" w:hAnsi="仿宋" w:eastAsia="仿宋" w:cs="仿宋"/>
          <w:highlight w:val="none"/>
        </w:rPr>
        <w:t>为落实安全生产的管理要求，确保工程建设的顺利进行，按</w:t>
      </w:r>
      <w:r>
        <w:rPr>
          <w:rFonts w:hint="eastAsia" w:ascii="仿宋" w:hAnsi="仿宋" w:eastAsia="仿宋" w:cs="仿宋"/>
          <w:szCs w:val="21"/>
          <w:highlight w:val="none"/>
        </w:rPr>
        <w:t>《浙江省建筑安全文明施工标准化工地管理办法》（浙建建[2005]41号)</w:t>
      </w:r>
      <w:r>
        <w:rPr>
          <w:rFonts w:hint="eastAsia" w:ascii="仿宋" w:hAnsi="仿宋" w:eastAsia="仿宋" w:cs="仿宋"/>
          <w:highlight w:val="none"/>
        </w:rPr>
        <w:t>规定，甲乙双方共同协商，一致同意如下：</w:t>
      </w:r>
    </w:p>
    <w:p w14:paraId="4E212E8D">
      <w:pPr>
        <w:spacing w:line="440" w:lineRule="exact"/>
        <w:ind w:firstLine="420"/>
        <w:rPr>
          <w:rFonts w:hint="eastAsia" w:ascii="仿宋" w:hAnsi="仿宋" w:eastAsia="仿宋" w:cs="仿宋"/>
          <w:highlight w:val="none"/>
        </w:rPr>
      </w:pPr>
      <w:r>
        <w:rPr>
          <w:rFonts w:hint="eastAsia" w:ascii="仿宋" w:hAnsi="仿宋" w:eastAsia="仿宋" w:cs="仿宋"/>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359B3822">
      <w:pPr>
        <w:spacing w:line="440" w:lineRule="exact"/>
        <w:ind w:firstLine="420"/>
        <w:rPr>
          <w:rFonts w:hint="eastAsia" w:ascii="仿宋" w:hAnsi="仿宋" w:eastAsia="仿宋" w:cs="仿宋"/>
          <w:highlight w:val="none"/>
        </w:rPr>
      </w:pPr>
      <w:r>
        <w:rPr>
          <w:rFonts w:hint="eastAsia" w:ascii="仿宋" w:hAnsi="仿宋" w:eastAsia="仿宋" w:cs="仿宋"/>
          <w:highlight w:val="none"/>
        </w:rPr>
        <w:t>二、甲方应督促乙方开展安全达标活动，传达和部署上级的有关安全生产精神和要求，定期听取乙方的意见和要求。加强安全生产的指导和协调。</w:t>
      </w:r>
    </w:p>
    <w:p w14:paraId="07A9DCBC">
      <w:pPr>
        <w:spacing w:line="440" w:lineRule="exact"/>
        <w:ind w:firstLine="420"/>
        <w:rPr>
          <w:rFonts w:hint="eastAsia" w:ascii="仿宋" w:hAnsi="仿宋" w:eastAsia="仿宋" w:cs="仿宋"/>
          <w:highlight w:val="none"/>
        </w:rPr>
      </w:pPr>
      <w:r>
        <w:rPr>
          <w:rFonts w:hint="eastAsia" w:ascii="仿宋" w:hAnsi="仿宋" w:eastAsia="仿宋" w:cs="仿宋"/>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5455EBE5">
      <w:pPr>
        <w:pStyle w:val="32"/>
        <w:spacing w:line="440" w:lineRule="exact"/>
        <w:ind w:firstLine="420"/>
        <w:rPr>
          <w:rFonts w:hint="eastAsia" w:ascii="仿宋" w:hAnsi="仿宋" w:eastAsia="仿宋" w:cs="仿宋"/>
          <w:szCs w:val="22"/>
          <w:highlight w:val="none"/>
        </w:rPr>
      </w:pPr>
      <w:r>
        <w:rPr>
          <w:rFonts w:hint="eastAsia" w:ascii="仿宋" w:hAnsi="仿宋" w:eastAsia="仿宋" w:cs="仿宋"/>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2B28E99D">
      <w:pPr>
        <w:pStyle w:val="32"/>
        <w:spacing w:line="440" w:lineRule="exact"/>
        <w:ind w:firstLine="420"/>
        <w:rPr>
          <w:rFonts w:hint="eastAsia" w:ascii="仿宋" w:hAnsi="仿宋" w:eastAsia="仿宋" w:cs="仿宋"/>
          <w:szCs w:val="22"/>
          <w:highlight w:val="none"/>
        </w:rPr>
      </w:pPr>
      <w:r>
        <w:rPr>
          <w:rFonts w:hint="eastAsia" w:ascii="仿宋" w:hAnsi="仿宋" w:eastAsia="仿宋" w:cs="仿宋"/>
          <w:szCs w:val="22"/>
          <w:highlight w:val="none"/>
        </w:rPr>
        <w:t>责任违约的经济处理的约定：</w:t>
      </w:r>
      <w:r>
        <w:rPr>
          <w:rFonts w:hint="eastAsia" w:ascii="仿宋" w:hAnsi="仿宋" w:eastAsia="仿宋" w:cs="仿宋"/>
          <w:szCs w:val="22"/>
          <w:highlight w:val="none"/>
          <w:u w:val="single"/>
        </w:rPr>
        <w:t>参见合同约定及当地建设行政等主管部门的处理意见。</w:t>
      </w:r>
    </w:p>
    <w:p w14:paraId="1660259A">
      <w:pPr>
        <w:spacing w:line="440" w:lineRule="exact"/>
        <w:ind w:firstLine="420"/>
        <w:rPr>
          <w:rFonts w:hint="eastAsia" w:ascii="仿宋" w:hAnsi="仿宋" w:eastAsia="仿宋" w:cs="仿宋"/>
          <w:highlight w:val="none"/>
        </w:rPr>
      </w:pPr>
      <w:r>
        <w:rPr>
          <w:rFonts w:hint="eastAsia" w:ascii="仿宋" w:hAnsi="仿宋" w:eastAsia="仿宋" w:cs="仿宋"/>
          <w:highlight w:val="none"/>
        </w:rPr>
        <w:t>五、乙方要求严格贯彻执行国家和市颁布的有关安全生产的法律、法规严格按照中华人民共和国建设部建标（99）79号“关于发布行业标准《建筑施工安全检查标准》的通知”（编号JGJ59—99）的要求加强内部安全管理，落实各项安全防护措施，确保工程建设中不发生重大伤亡事故。</w:t>
      </w:r>
    </w:p>
    <w:p w14:paraId="3A9D5BEC">
      <w:pPr>
        <w:spacing w:line="440" w:lineRule="exact"/>
        <w:ind w:firstLine="420"/>
        <w:rPr>
          <w:rFonts w:hint="eastAsia" w:ascii="仿宋" w:hAnsi="仿宋" w:eastAsia="仿宋" w:cs="仿宋"/>
          <w:highlight w:val="none"/>
        </w:rPr>
      </w:pPr>
      <w:r>
        <w:rPr>
          <w:rFonts w:hint="eastAsia" w:ascii="仿宋" w:hAnsi="仿宋" w:eastAsia="仿宋" w:cs="仿宋"/>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75F4FC5D">
      <w:pPr>
        <w:spacing w:line="440" w:lineRule="exact"/>
        <w:ind w:firstLine="420"/>
        <w:rPr>
          <w:rFonts w:hint="eastAsia" w:ascii="仿宋" w:hAnsi="仿宋" w:eastAsia="仿宋" w:cs="仿宋"/>
          <w:highlight w:val="none"/>
        </w:rPr>
      </w:pPr>
      <w:r>
        <w:rPr>
          <w:rFonts w:hint="eastAsia" w:ascii="仿宋" w:hAnsi="仿宋" w:eastAsia="仿宋" w:cs="仿宋"/>
          <w:highlight w:val="none"/>
        </w:rPr>
        <w:t>七、乙方进入工地后应明确落实施工现场安全生产第一责任人。根据建设部办公厅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3DEBA3CD">
      <w:pPr>
        <w:spacing w:line="440" w:lineRule="exact"/>
        <w:ind w:firstLine="420"/>
        <w:rPr>
          <w:rFonts w:hint="eastAsia" w:ascii="仿宋" w:hAnsi="仿宋" w:eastAsia="仿宋" w:cs="仿宋"/>
          <w:highlight w:val="none"/>
        </w:rPr>
      </w:pPr>
      <w:r>
        <w:rPr>
          <w:rFonts w:hint="eastAsia" w:ascii="仿宋" w:hAnsi="仿宋" w:eastAsia="仿宋" w:cs="仿宋"/>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2C8588A7">
      <w:pPr>
        <w:spacing w:line="440" w:lineRule="exact"/>
        <w:ind w:firstLine="420"/>
        <w:rPr>
          <w:rFonts w:hint="eastAsia" w:ascii="仿宋" w:hAnsi="仿宋" w:eastAsia="仿宋" w:cs="仿宋"/>
          <w:highlight w:val="none"/>
        </w:rPr>
      </w:pPr>
      <w:r>
        <w:rPr>
          <w:rFonts w:hint="eastAsia" w:ascii="仿宋" w:hAnsi="仿宋" w:eastAsia="仿宋" w:cs="仿宋"/>
          <w:highlight w:val="none"/>
        </w:rPr>
        <w:t>九、乙方要按照“安全自查，隐患自改、责任自负”的原则加强对施工责任区的日常安全检查。及叫制上和处理各类违章违法行为。对查获的隐患要及时落实整改措施，消除隐患。</w:t>
      </w:r>
    </w:p>
    <w:p w14:paraId="5E55426F">
      <w:pPr>
        <w:spacing w:line="440" w:lineRule="exact"/>
        <w:ind w:firstLine="420"/>
        <w:rPr>
          <w:rFonts w:hint="eastAsia" w:ascii="仿宋" w:hAnsi="仿宋" w:eastAsia="仿宋" w:cs="仿宋"/>
          <w:highlight w:val="none"/>
        </w:rPr>
      </w:pPr>
      <w:r>
        <w:rPr>
          <w:rFonts w:hint="eastAsia" w:ascii="仿宋" w:hAnsi="仿宋" w:eastAsia="仿宋" w:cs="仿宋"/>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A6086EC">
      <w:pPr>
        <w:spacing w:line="440" w:lineRule="exact"/>
        <w:ind w:firstLine="420"/>
        <w:rPr>
          <w:rFonts w:hint="eastAsia" w:ascii="仿宋" w:hAnsi="仿宋" w:eastAsia="仿宋" w:cs="仿宋"/>
          <w:highlight w:val="none"/>
        </w:rPr>
      </w:pPr>
      <w:r>
        <w:rPr>
          <w:rFonts w:hint="eastAsia" w:ascii="仿宋" w:hAnsi="仿宋" w:eastAsia="仿宋" w:cs="仿宋"/>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260E87A0">
      <w:pPr>
        <w:spacing w:line="440" w:lineRule="exact"/>
        <w:ind w:firstLine="420"/>
        <w:rPr>
          <w:rFonts w:hint="eastAsia" w:ascii="仿宋" w:hAnsi="仿宋" w:eastAsia="仿宋" w:cs="仿宋"/>
          <w:highlight w:val="none"/>
        </w:rPr>
      </w:pPr>
      <w:r>
        <w:rPr>
          <w:rFonts w:hint="eastAsia" w:ascii="仿宋" w:hAnsi="仿宋" w:eastAsia="仿宋" w:cs="仿宋"/>
          <w:highlight w:val="none"/>
        </w:rPr>
        <w:t>十二、本协议中木涉及的有关条款，甲乙双方可根据需要协商补充修改。</w:t>
      </w:r>
    </w:p>
    <w:p w14:paraId="3E0703F7">
      <w:pPr>
        <w:spacing w:line="440" w:lineRule="exact"/>
        <w:ind w:firstLine="420"/>
        <w:rPr>
          <w:rFonts w:hint="eastAsia" w:ascii="仿宋" w:hAnsi="仿宋" w:eastAsia="仿宋" w:cs="仿宋"/>
          <w:highlight w:val="none"/>
        </w:rPr>
      </w:pPr>
      <w:r>
        <w:rPr>
          <w:rFonts w:hint="eastAsia" w:ascii="仿宋" w:hAnsi="仿宋" w:eastAsia="仿宋" w:cs="仿宋"/>
          <w:highlight w:val="none"/>
        </w:rPr>
        <w:t>如遇有国家和本市的有关法规不符的，应按国家和本市的有关法规执行。</w:t>
      </w:r>
    </w:p>
    <w:p w14:paraId="62EC9A64">
      <w:pPr>
        <w:spacing w:line="440" w:lineRule="exact"/>
        <w:ind w:firstLine="420"/>
        <w:rPr>
          <w:rFonts w:hint="eastAsia" w:ascii="仿宋" w:hAnsi="仿宋" w:eastAsia="仿宋" w:cs="仿宋"/>
          <w:sz w:val="22"/>
          <w:highlight w:val="none"/>
        </w:rPr>
      </w:pPr>
      <w:r>
        <w:rPr>
          <w:rFonts w:hint="eastAsia" w:ascii="仿宋" w:hAnsi="仿宋" w:eastAsia="仿宋" w:cs="仿宋"/>
          <w:highlight w:val="none"/>
        </w:rPr>
        <w:t>十三、本协议作为甲乙双方工程承包合同的附件，在工程承包合同签约后生效，与工程承包合同具有同等法律效力。工程承包合同期满，本协议终上。</w:t>
      </w:r>
    </w:p>
    <w:p w14:paraId="48E4B6B0">
      <w:pPr>
        <w:spacing w:line="440" w:lineRule="exact"/>
        <w:ind w:firstLine="420"/>
        <w:rPr>
          <w:rFonts w:hint="eastAsia" w:ascii="仿宋" w:hAnsi="仿宋" w:eastAsia="仿宋" w:cs="仿宋"/>
          <w:highlight w:val="none"/>
        </w:rPr>
      </w:pPr>
      <w:r>
        <w:rPr>
          <w:rFonts w:hint="eastAsia" w:ascii="仿宋" w:hAnsi="仿宋" w:eastAsia="仿宋" w:cs="仿宋"/>
          <w:highlight w:val="none"/>
        </w:rPr>
        <w:t xml:space="preserve"> </w:t>
      </w:r>
    </w:p>
    <w:p w14:paraId="6F10B986">
      <w:pPr>
        <w:spacing w:line="440" w:lineRule="exact"/>
        <w:ind w:firstLine="420"/>
        <w:rPr>
          <w:rFonts w:hint="eastAsia" w:ascii="仿宋" w:hAnsi="仿宋" w:eastAsia="仿宋" w:cs="仿宋"/>
          <w:highlight w:val="none"/>
        </w:rPr>
      </w:pPr>
    </w:p>
    <w:p w14:paraId="583EE866">
      <w:pPr>
        <w:spacing w:line="440" w:lineRule="exact"/>
        <w:ind w:firstLine="42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48987064">
      <w:pPr>
        <w:spacing w:line="440" w:lineRule="exact"/>
        <w:ind w:firstLine="420"/>
        <w:rPr>
          <w:rFonts w:hint="eastAsia" w:ascii="仿宋" w:hAnsi="仿宋" w:eastAsia="仿宋" w:cs="仿宋"/>
          <w:szCs w:val="21"/>
          <w:highlight w:val="none"/>
        </w:rPr>
      </w:pPr>
    </w:p>
    <w:p w14:paraId="66F02845">
      <w:pPr>
        <w:spacing w:line="440" w:lineRule="exact"/>
        <w:ind w:firstLine="1050" w:firstLineChars="500"/>
        <w:rPr>
          <w:rFonts w:hint="eastAsia" w:ascii="仿宋" w:hAnsi="仿宋" w:eastAsia="仿宋" w:cs="仿宋"/>
          <w:highlight w:val="none"/>
        </w:rPr>
      </w:pPr>
    </w:p>
    <w:p w14:paraId="4BB761F3">
      <w:pPr>
        <w:spacing w:line="440" w:lineRule="exact"/>
        <w:ind w:firstLine="1050" w:firstLineChars="500"/>
        <w:rPr>
          <w:rFonts w:hint="eastAsia" w:ascii="仿宋" w:hAnsi="仿宋" w:eastAsia="仿宋" w:cs="仿宋"/>
          <w:szCs w:val="21"/>
          <w:highlight w:val="none"/>
        </w:rPr>
      </w:pPr>
      <w:r>
        <w:rPr>
          <w:rFonts w:hint="eastAsia" w:ascii="仿宋" w:hAnsi="仿宋" w:eastAsia="仿宋" w:cs="仿宋"/>
          <w:highlight w:val="none"/>
        </w:rPr>
        <w:t>年    月    日                                     年    月    日</w:t>
      </w:r>
    </w:p>
    <w:p w14:paraId="193CE2C1">
      <w:pPr>
        <w:spacing w:line="300" w:lineRule="atLeast"/>
        <w:ind w:firstLine="420"/>
        <w:rPr>
          <w:rFonts w:hint="eastAsia" w:ascii="仿宋" w:hAnsi="仿宋" w:eastAsia="仿宋" w:cs="仿宋"/>
          <w:szCs w:val="21"/>
          <w:highlight w:val="none"/>
        </w:rPr>
      </w:pPr>
    </w:p>
    <w:p w14:paraId="4E7C41B3">
      <w:pPr>
        <w:spacing w:line="300" w:lineRule="atLeast"/>
        <w:ind w:firstLine="420"/>
        <w:rPr>
          <w:rFonts w:hint="eastAsia" w:ascii="仿宋" w:hAnsi="仿宋" w:eastAsia="仿宋" w:cs="仿宋"/>
          <w:szCs w:val="21"/>
          <w:highlight w:val="none"/>
        </w:rPr>
      </w:pPr>
    </w:p>
    <w:p w14:paraId="63AED85B">
      <w:pPr>
        <w:spacing w:line="300" w:lineRule="atLeast"/>
        <w:ind w:firstLine="420"/>
        <w:rPr>
          <w:rFonts w:hint="eastAsia" w:ascii="仿宋" w:hAnsi="仿宋" w:eastAsia="仿宋" w:cs="仿宋"/>
          <w:szCs w:val="21"/>
          <w:highlight w:val="none"/>
        </w:rPr>
      </w:pPr>
    </w:p>
    <w:p w14:paraId="42275278">
      <w:pPr>
        <w:spacing w:line="300" w:lineRule="atLeast"/>
        <w:ind w:firstLine="420"/>
        <w:rPr>
          <w:rFonts w:hint="eastAsia" w:ascii="仿宋" w:hAnsi="仿宋" w:eastAsia="仿宋" w:cs="仿宋"/>
          <w:szCs w:val="21"/>
          <w:highlight w:val="none"/>
        </w:rPr>
      </w:pPr>
    </w:p>
    <w:p w14:paraId="4E568AC1">
      <w:pPr>
        <w:spacing w:line="300" w:lineRule="atLeast"/>
        <w:ind w:firstLine="420"/>
        <w:rPr>
          <w:rFonts w:hint="eastAsia" w:ascii="仿宋" w:hAnsi="仿宋" w:eastAsia="仿宋" w:cs="仿宋"/>
          <w:szCs w:val="21"/>
          <w:highlight w:val="none"/>
        </w:rPr>
      </w:pPr>
    </w:p>
    <w:p w14:paraId="39118395">
      <w:pPr>
        <w:spacing w:line="300" w:lineRule="atLeast"/>
        <w:ind w:firstLine="420"/>
        <w:rPr>
          <w:rFonts w:hint="eastAsia" w:ascii="仿宋" w:hAnsi="仿宋" w:eastAsia="仿宋" w:cs="仿宋"/>
          <w:szCs w:val="21"/>
          <w:highlight w:val="none"/>
        </w:rPr>
      </w:pPr>
    </w:p>
    <w:p w14:paraId="1F7C33FD">
      <w:pPr>
        <w:spacing w:line="300" w:lineRule="atLeast"/>
        <w:ind w:firstLine="420"/>
        <w:rPr>
          <w:rFonts w:hint="eastAsia" w:ascii="仿宋" w:hAnsi="仿宋" w:eastAsia="仿宋" w:cs="仿宋"/>
          <w:szCs w:val="21"/>
          <w:highlight w:val="none"/>
        </w:rPr>
      </w:pPr>
    </w:p>
    <w:p w14:paraId="57AE59E3">
      <w:pPr>
        <w:spacing w:line="300" w:lineRule="atLeast"/>
        <w:ind w:firstLine="420"/>
        <w:rPr>
          <w:rFonts w:hint="eastAsia" w:ascii="仿宋" w:hAnsi="仿宋" w:eastAsia="仿宋" w:cs="仿宋"/>
          <w:szCs w:val="21"/>
          <w:highlight w:val="none"/>
        </w:rPr>
      </w:pPr>
    </w:p>
    <w:p w14:paraId="5DB00443">
      <w:pPr>
        <w:spacing w:line="300" w:lineRule="atLeast"/>
        <w:rPr>
          <w:rFonts w:hint="eastAsia" w:ascii="仿宋" w:hAnsi="仿宋" w:eastAsia="仿宋" w:cs="仿宋"/>
          <w:szCs w:val="21"/>
          <w:highlight w:val="none"/>
        </w:rPr>
      </w:pPr>
    </w:p>
    <w:p w14:paraId="6635FC40">
      <w:pPr>
        <w:spacing w:line="300" w:lineRule="atLeast"/>
        <w:rPr>
          <w:rFonts w:hint="eastAsia" w:ascii="仿宋" w:hAnsi="仿宋" w:eastAsia="仿宋" w:cs="仿宋"/>
          <w:szCs w:val="21"/>
          <w:highlight w:val="none"/>
        </w:rPr>
      </w:pPr>
    </w:p>
    <w:p w14:paraId="535F1E91">
      <w:pPr>
        <w:spacing w:line="300" w:lineRule="atLeast"/>
        <w:rPr>
          <w:rFonts w:hint="eastAsia" w:ascii="仿宋" w:hAnsi="仿宋" w:eastAsia="仿宋" w:cs="仿宋"/>
          <w:szCs w:val="21"/>
          <w:highlight w:val="none"/>
        </w:rPr>
      </w:pPr>
    </w:p>
    <w:p w14:paraId="03836923">
      <w:pPr>
        <w:spacing w:line="300" w:lineRule="atLeast"/>
        <w:rPr>
          <w:rFonts w:hint="eastAsia" w:ascii="仿宋" w:hAnsi="仿宋" w:eastAsia="仿宋" w:cs="仿宋"/>
          <w:szCs w:val="21"/>
          <w:highlight w:val="none"/>
        </w:rPr>
      </w:pPr>
    </w:p>
    <w:p w14:paraId="7C995642">
      <w:pPr>
        <w:spacing w:line="300" w:lineRule="atLeast"/>
        <w:rPr>
          <w:rFonts w:hint="eastAsia" w:ascii="仿宋" w:hAnsi="仿宋" w:eastAsia="仿宋" w:cs="仿宋"/>
          <w:szCs w:val="21"/>
          <w:highlight w:val="none"/>
        </w:rPr>
      </w:pPr>
    </w:p>
    <w:p w14:paraId="38DB70B9">
      <w:pPr>
        <w:ind w:firstLine="420"/>
        <w:rPr>
          <w:rFonts w:hint="eastAsia" w:ascii="仿宋" w:hAnsi="仿宋" w:eastAsia="仿宋" w:cs="仿宋"/>
          <w:highlight w:val="none"/>
        </w:rPr>
      </w:pPr>
    </w:p>
    <w:p w14:paraId="2B0E13F0">
      <w:pPr>
        <w:ind w:firstLine="420"/>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4A44F1C3">
      <w:pPr>
        <w:ind w:firstLine="420"/>
        <w:rPr>
          <w:rFonts w:hint="eastAsia" w:ascii="仿宋" w:hAnsi="仿宋" w:eastAsia="仿宋" w:cs="仿宋"/>
          <w:highlight w:val="none"/>
        </w:rPr>
      </w:pPr>
      <w:r>
        <w:rPr>
          <w:rFonts w:hint="eastAsia" w:ascii="仿宋" w:hAnsi="仿宋" w:eastAsia="仿宋" w:cs="仿宋"/>
          <w:highlight w:val="none"/>
        </w:rPr>
        <w:t>附件3：文明施工责任协议书</w:t>
      </w:r>
    </w:p>
    <w:p w14:paraId="345643FA">
      <w:pPr>
        <w:spacing w:line="300" w:lineRule="atLeast"/>
        <w:ind w:firstLine="420"/>
        <w:rPr>
          <w:rFonts w:hint="eastAsia" w:ascii="仿宋" w:hAnsi="仿宋" w:eastAsia="仿宋" w:cs="仿宋"/>
          <w:szCs w:val="21"/>
          <w:highlight w:val="none"/>
        </w:rPr>
      </w:pPr>
    </w:p>
    <w:p w14:paraId="66B2F8F4">
      <w:pPr>
        <w:autoSpaceDE w:val="0"/>
        <w:autoSpaceDN w:val="0"/>
        <w:spacing w:line="480" w:lineRule="exact"/>
        <w:ind w:firstLine="562"/>
        <w:jc w:val="center"/>
        <w:rPr>
          <w:rFonts w:hint="eastAsia" w:ascii="仿宋" w:hAnsi="仿宋" w:eastAsia="仿宋" w:cs="仿宋"/>
          <w:b/>
          <w:kern w:val="0"/>
          <w:sz w:val="28"/>
          <w:szCs w:val="28"/>
          <w:highlight w:val="none"/>
        </w:rPr>
      </w:pPr>
      <w:bookmarkStart w:id="680" w:name="_Toc163484941"/>
      <w:r>
        <w:rPr>
          <w:rFonts w:hint="eastAsia" w:ascii="仿宋" w:hAnsi="仿宋" w:eastAsia="仿宋" w:cs="仿宋"/>
          <w:b/>
          <w:kern w:val="0"/>
          <w:sz w:val="28"/>
          <w:szCs w:val="28"/>
          <w:highlight w:val="none"/>
        </w:rPr>
        <w:t>文明施工责任协议书</w:t>
      </w:r>
      <w:bookmarkEnd w:id="680"/>
      <w:r>
        <w:rPr>
          <w:rFonts w:hint="eastAsia" w:ascii="仿宋" w:hAnsi="仿宋" w:eastAsia="仿宋" w:cs="仿宋"/>
          <w:b/>
          <w:kern w:val="0"/>
          <w:sz w:val="28"/>
          <w:szCs w:val="28"/>
          <w:highlight w:val="none"/>
        </w:rPr>
        <w:t xml:space="preserve">  </w:t>
      </w:r>
    </w:p>
    <w:p w14:paraId="1C8D2CD2">
      <w:pPr>
        <w:spacing w:line="400" w:lineRule="exact"/>
        <w:ind w:firstLine="420"/>
        <w:jc w:val="left"/>
        <w:rPr>
          <w:rFonts w:hint="eastAsia" w:ascii="仿宋" w:hAnsi="仿宋" w:eastAsia="仿宋" w:cs="仿宋"/>
          <w:highlight w:val="none"/>
        </w:rPr>
      </w:pPr>
      <w:r>
        <w:rPr>
          <w:rFonts w:hint="eastAsia" w:ascii="仿宋" w:hAnsi="仿宋" w:eastAsia="仿宋" w:cs="仿宋"/>
          <w:highlight w:val="none"/>
        </w:rPr>
        <w:t xml:space="preserve">甲方： </w:t>
      </w:r>
    </w:p>
    <w:p w14:paraId="2918A6A1">
      <w:pPr>
        <w:spacing w:line="400" w:lineRule="exact"/>
        <w:ind w:firstLine="420"/>
        <w:rPr>
          <w:rFonts w:hint="eastAsia" w:ascii="仿宋" w:hAnsi="仿宋" w:eastAsia="仿宋" w:cs="仿宋"/>
          <w:highlight w:val="none"/>
        </w:rPr>
      </w:pPr>
      <w:r>
        <w:rPr>
          <w:rFonts w:hint="eastAsia" w:ascii="仿宋" w:hAnsi="仿宋" w:eastAsia="仿宋" w:cs="仿宋"/>
          <w:highlight w:val="none"/>
        </w:rPr>
        <w:t>乙方：</w:t>
      </w:r>
    </w:p>
    <w:p w14:paraId="668762C5">
      <w:pPr>
        <w:spacing w:line="340" w:lineRule="exact"/>
        <w:ind w:firstLine="420"/>
        <w:jc w:val="left"/>
        <w:rPr>
          <w:rFonts w:hint="eastAsia" w:ascii="仿宋" w:hAnsi="仿宋" w:eastAsia="仿宋" w:cs="仿宋"/>
          <w:highlight w:val="none"/>
        </w:rPr>
      </w:pPr>
      <w:r>
        <w:rPr>
          <w:rFonts w:hint="eastAsia" w:ascii="仿宋" w:hAnsi="仿宋" w:eastAsia="仿宋" w:cs="仿宋"/>
          <w:highlight w:val="none"/>
        </w:rPr>
        <w:t>项目名称：</w:t>
      </w:r>
    </w:p>
    <w:p w14:paraId="0581E92B">
      <w:pPr>
        <w:spacing w:line="400" w:lineRule="exact"/>
        <w:ind w:firstLine="420"/>
        <w:jc w:val="left"/>
        <w:rPr>
          <w:rFonts w:hint="eastAsia" w:ascii="仿宋" w:hAnsi="仿宋" w:eastAsia="仿宋" w:cs="仿宋"/>
          <w:highlight w:val="none"/>
        </w:rPr>
      </w:pPr>
      <w:r>
        <w:rPr>
          <w:rFonts w:hint="eastAsia" w:ascii="仿宋" w:hAnsi="仿宋" w:eastAsia="仿宋" w:cs="仿宋"/>
          <w:highlight w:val="none"/>
        </w:rPr>
        <w:t>为认真做好工程建设施工区域内的文明施工，现经甲、乙双方协商同意，明确在文明施工和文明施工管理中的各自职责，并签订如下协议。</w:t>
      </w:r>
    </w:p>
    <w:p w14:paraId="1BBEC3DC">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一、双方同意在在工程管理和工程建设中必须坚持社会效益第一，经济效益和社会效益相—致，“方便人民生活，有利于发展生产、保护生态环境”的原则，坚持便民、利民、为民服务的宗旨。搞好工程建设中的文明施工。</w:t>
      </w:r>
    </w:p>
    <w:p w14:paraId="1AA871CE">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3CF065EE">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三、乙方应遵守如下规定：</w:t>
      </w:r>
    </w:p>
    <w:p w14:paraId="0494C9B0">
      <w:pPr>
        <w:spacing w:line="400" w:lineRule="exact"/>
        <w:rPr>
          <w:rFonts w:hint="eastAsia" w:ascii="仿宋" w:hAnsi="仿宋" w:eastAsia="仿宋" w:cs="仿宋"/>
          <w:highlight w:val="none"/>
        </w:rPr>
      </w:pPr>
      <w:r>
        <w:rPr>
          <w:rFonts w:hint="eastAsia" w:ascii="仿宋" w:hAnsi="仿宋" w:eastAsia="仿宋" w:cs="仿宋"/>
          <w:highlight w:val="none"/>
        </w:rPr>
        <w:t>1、根据工程的特点，编制文明施工实施方案，在开工前5日内，将文明施工实施方案报甲方备案。</w:t>
      </w:r>
    </w:p>
    <w:p w14:paraId="761F7F4C">
      <w:pPr>
        <w:spacing w:line="400" w:lineRule="exact"/>
        <w:rPr>
          <w:rFonts w:hint="eastAsia" w:ascii="仿宋" w:hAnsi="仿宋" w:eastAsia="仿宋" w:cs="仿宋"/>
          <w:highlight w:val="none"/>
        </w:rPr>
      </w:pPr>
      <w:r>
        <w:rPr>
          <w:rFonts w:hint="eastAsia" w:ascii="仿宋" w:hAnsi="仿宋" w:eastAsia="仿宋" w:cs="仿宋"/>
          <w:highlight w:val="none"/>
        </w:rPr>
        <w:t>2、乙方按有关规定专项包干使用文明施工费，不得挪作他用。</w:t>
      </w:r>
    </w:p>
    <w:p w14:paraId="1C611C14">
      <w:pPr>
        <w:spacing w:line="400" w:lineRule="exact"/>
        <w:rPr>
          <w:rFonts w:hint="eastAsia" w:ascii="仿宋" w:hAnsi="仿宋" w:eastAsia="仿宋" w:cs="仿宋"/>
          <w:highlight w:val="none"/>
        </w:rPr>
      </w:pPr>
      <w:r>
        <w:rPr>
          <w:rFonts w:hint="eastAsia" w:ascii="仿宋" w:hAnsi="仿宋" w:eastAsia="仿宋" w:cs="仿宋"/>
          <w:highlight w:val="none"/>
        </w:rPr>
        <w:t>3、工地应设置专职文明施工安全员，做到佩证上岗、动态管理，及时收集、记录、整理、管理台帐等技术资料。</w:t>
      </w:r>
    </w:p>
    <w:p w14:paraId="5FFB1CBD">
      <w:pPr>
        <w:spacing w:line="400" w:lineRule="exact"/>
        <w:rPr>
          <w:rFonts w:hint="eastAsia" w:ascii="仿宋" w:hAnsi="仿宋" w:eastAsia="仿宋" w:cs="仿宋"/>
          <w:highlight w:val="none"/>
        </w:rPr>
      </w:pPr>
      <w:r>
        <w:rPr>
          <w:rFonts w:hint="eastAsia" w:ascii="仿宋" w:hAnsi="仿宋" w:eastAsia="仿宋" w:cs="仿宋"/>
          <w:highlight w:val="none"/>
        </w:rPr>
        <w:t>4、施工现场应按文明施工安全生产的要求，设置各项临时设施，并达到下列要求：</w:t>
      </w:r>
    </w:p>
    <w:p w14:paraId="2AA779E4">
      <w:pPr>
        <w:spacing w:line="400" w:lineRule="exact"/>
        <w:rPr>
          <w:rFonts w:hint="eastAsia" w:ascii="仿宋" w:hAnsi="仿宋" w:eastAsia="仿宋" w:cs="仿宋"/>
          <w:highlight w:val="none"/>
        </w:rPr>
      </w:pPr>
      <w:r>
        <w:rPr>
          <w:rFonts w:hint="eastAsia" w:ascii="仿宋" w:hAnsi="仿宋" w:eastAsia="仿宋" w:cs="仿宋"/>
          <w:highlight w:val="none"/>
        </w:rPr>
        <w:t>（1）施工区域与非施工区域严格分隔。</w:t>
      </w:r>
    </w:p>
    <w:p w14:paraId="51EC7D4B">
      <w:pPr>
        <w:spacing w:line="400" w:lineRule="exact"/>
        <w:rPr>
          <w:rFonts w:hint="eastAsia" w:ascii="仿宋" w:hAnsi="仿宋" w:eastAsia="仿宋" w:cs="仿宋"/>
          <w:highlight w:val="none"/>
        </w:rPr>
      </w:pPr>
      <w:r>
        <w:rPr>
          <w:rFonts w:hint="eastAsia" w:ascii="仿宋" w:hAnsi="仿宋" w:eastAsia="仿宋" w:cs="仿宋"/>
          <w:highlight w:val="none"/>
        </w:rPr>
        <w:t>（2）施工区域内应设置能保证施工安全的夜间照明和警示标志，并采取安全防护措施。</w:t>
      </w:r>
    </w:p>
    <w:p w14:paraId="33790EBF">
      <w:pPr>
        <w:spacing w:line="400" w:lineRule="exact"/>
        <w:rPr>
          <w:rFonts w:hint="eastAsia" w:ascii="仿宋" w:hAnsi="仿宋" w:eastAsia="仿宋" w:cs="仿宋"/>
          <w:highlight w:val="none"/>
        </w:rPr>
      </w:pPr>
      <w:r>
        <w:rPr>
          <w:rFonts w:hint="eastAsia" w:ascii="仿宋" w:hAnsi="仿宋" w:eastAsia="仿宋" w:cs="仿宋"/>
          <w:highlight w:val="none"/>
        </w:rPr>
        <w:t>（3）各类材料、机具设备按工地总平面图的布置，在固定场地整齐堆放，不得侵占场内道路及安全防护等设施。</w:t>
      </w:r>
    </w:p>
    <w:p w14:paraId="116B20F1">
      <w:pPr>
        <w:spacing w:line="400" w:lineRule="exact"/>
        <w:rPr>
          <w:rFonts w:hint="eastAsia" w:ascii="仿宋" w:hAnsi="仿宋" w:eastAsia="仿宋" w:cs="仿宋"/>
          <w:highlight w:val="none"/>
        </w:rPr>
      </w:pPr>
      <w:r>
        <w:rPr>
          <w:rFonts w:hint="eastAsia" w:ascii="仿宋" w:hAnsi="仿宋" w:eastAsia="仿宋" w:cs="仿宋"/>
          <w:highlight w:val="none"/>
        </w:rPr>
        <w:t>（4）其他要求：</w:t>
      </w:r>
      <w:r>
        <w:rPr>
          <w:rFonts w:hint="eastAsia" w:ascii="仿宋" w:hAnsi="仿宋" w:eastAsia="仿宋" w:cs="仿宋"/>
          <w:highlight w:val="none"/>
          <w:u w:val="single"/>
        </w:rPr>
        <w:t xml:space="preserve">   /  </w:t>
      </w:r>
    </w:p>
    <w:p w14:paraId="6AA7EBEA">
      <w:pPr>
        <w:spacing w:line="400" w:lineRule="exact"/>
        <w:rPr>
          <w:rFonts w:hint="eastAsia" w:ascii="仿宋" w:hAnsi="仿宋" w:eastAsia="仿宋" w:cs="仿宋"/>
          <w:highlight w:val="none"/>
        </w:rPr>
      </w:pPr>
      <w:r>
        <w:rPr>
          <w:rFonts w:hint="eastAsia" w:ascii="仿宋" w:hAnsi="仿宋" w:eastAsia="仿宋" w:cs="仿宋"/>
          <w:highlight w:val="none"/>
        </w:rPr>
        <w:t>5、工地民工宿舍应符合卫生要求和居住条件，地面应用砼硬化，照明电线敷设应符合规范，不得任意拉线接电。宿舍应保持整洁有序，不得男女混杂居住及居住与施工无关的人员。</w:t>
      </w:r>
    </w:p>
    <w:p w14:paraId="3B864F98">
      <w:pPr>
        <w:spacing w:line="400" w:lineRule="exact"/>
        <w:rPr>
          <w:rFonts w:hint="eastAsia" w:ascii="仿宋" w:hAnsi="仿宋" w:eastAsia="仿宋" w:cs="仿宋"/>
          <w:highlight w:val="none"/>
        </w:rPr>
      </w:pPr>
      <w:r>
        <w:rPr>
          <w:rFonts w:hint="eastAsia" w:ascii="仿宋" w:hAnsi="仿宋" w:eastAsia="仿宋" w:cs="仿宋"/>
          <w:highlight w:val="none"/>
        </w:rPr>
        <w:t>6、施工现场设有食堂的，应符合</w:t>
      </w:r>
      <w:r>
        <w:rPr>
          <w:rFonts w:hint="eastAsia" w:ascii="仿宋" w:hAnsi="仿宋" w:eastAsia="仿宋" w:cs="仿宋"/>
          <w:highlight w:val="none"/>
          <w:lang w:val="en-US" w:eastAsia="zh-CN"/>
        </w:rPr>
        <w:t>杭州市</w:t>
      </w:r>
      <w:r>
        <w:rPr>
          <w:rFonts w:hint="eastAsia" w:ascii="仿宋" w:hAnsi="仿宋" w:eastAsia="仿宋" w:cs="仿宋"/>
          <w:highlight w:val="none"/>
        </w:rPr>
        <w:t>职工食堂管理的有关规定，并配备冷冻、冷藏设备，其位置应远离厕所、垃圾容器等污染源，炊事员应持有效健康证明及岗位培训合格证。施工现场应设置茶桶、保障茶水供应。</w:t>
      </w:r>
    </w:p>
    <w:p w14:paraId="66BB5CFE">
      <w:pPr>
        <w:spacing w:line="400" w:lineRule="exact"/>
        <w:rPr>
          <w:rFonts w:hint="eastAsia" w:ascii="仿宋" w:hAnsi="仿宋" w:eastAsia="仿宋" w:cs="仿宋"/>
          <w:highlight w:val="none"/>
        </w:rPr>
      </w:pPr>
      <w:r>
        <w:rPr>
          <w:rFonts w:hint="eastAsia" w:ascii="仿宋" w:hAnsi="仿宋" w:eastAsia="仿宋" w:cs="仿宋"/>
          <w:highlight w:val="none"/>
        </w:rPr>
        <w:t>7、建筑垃圾和其他散体物料装运应实行车辆密闭式运输，冲洗干净后出场，运输过程中严禁沿途抛、洒、滴、漏。</w:t>
      </w:r>
    </w:p>
    <w:p w14:paraId="330C6A2C">
      <w:pPr>
        <w:spacing w:line="400" w:lineRule="exact"/>
        <w:rPr>
          <w:rFonts w:hint="eastAsia" w:ascii="仿宋" w:hAnsi="仿宋" w:eastAsia="仿宋" w:cs="仿宋"/>
          <w:highlight w:val="none"/>
        </w:rPr>
      </w:pPr>
      <w:r>
        <w:rPr>
          <w:rFonts w:hint="eastAsia" w:ascii="仿宋" w:hAnsi="仿宋" w:eastAsia="仿宋" w:cs="仿宋"/>
          <w:highlight w:val="none"/>
        </w:rPr>
        <w:t>8、乙方应当严格依照《中华人民共和国消防条例》的规定，在工地建立和执行防火管理制度，重点部位设置符合消防要求的消防设施，并保持完好的备用状态。　</w:t>
      </w:r>
    </w:p>
    <w:p w14:paraId="0F7BFF59">
      <w:pPr>
        <w:spacing w:line="400" w:lineRule="exact"/>
        <w:rPr>
          <w:rFonts w:hint="eastAsia" w:ascii="仿宋" w:hAnsi="仿宋" w:eastAsia="仿宋" w:cs="仿宋"/>
          <w:highlight w:val="none"/>
        </w:rPr>
      </w:pPr>
      <w:r>
        <w:rPr>
          <w:rFonts w:hint="eastAsia" w:ascii="仿宋" w:hAnsi="仿宋" w:eastAsia="仿宋" w:cs="仿宋"/>
          <w:highlight w:val="none"/>
        </w:rPr>
        <w:t>9、遵守土建总承包人的现场管理要求。</w:t>
      </w:r>
    </w:p>
    <w:p w14:paraId="4615D20D">
      <w:pPr>
        <w:spacing w:line="400" w:lineRule="exact"/>
        <w:rPr>
          <w:rFonts w:hint="eastAsia" w:ascii="仿宋" w:hAnsi="仿宋" w:eastAsia="仿宋" w:cs="仿宋"/>
          <w:highlight w:val="none"/>
        </w:rPr>
      </w:pPr>
      <w:r>
        <w:rPr>
          <w:rFonts w:hint="eastAsia" w:ascii="仿宋" w:hAnsi="仿宋" w:eastAsia="仿宋" w:cs="仿宋"/>
          <w:highlight w:val="none"/>
        </w:rPr>
        <w:t>10、施工单位在施工中应遵守下列规定：</w:t>
      </w:r>
    </w:p>
    <w:p w14:paraId="2D81D8BE">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（1）完善技术和操作管理规程，确保防汛设施和地下管线通畅、安全。</w:t>
      </w:r>
    </w:p>
    <w:p w14:paraId="535F464D">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（2）采取各种有效措施，控制扬尘、噪声。</w:t>
      </w:r>
    </w:p>
    <w:p w14:paraId="5B4885A4">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（3）设置各种防护设施，防止施工中废弃物、杂物影响周围环境，伤害过往行人。</w:t>
      </w:r>
    </w:p>
    <w:p w14:paraId="73260C35">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（4）随时清理建筑垃圾，控制工地污染。</w:t>
      </w:r>
    </w:p>
    <w:p w14:paraId="6CFA8886">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（5）控制夜间施工作业，确需夜间作业的，必须事先向环保部门申办《夜间施工许可证》。</w:t>
      </w:r>
    </w:p>
    <w:p w14:paraId="7983E509">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（6）运用其他有效方式，减少施工时对市容、绿化和环境的不良影响。</w:t>
      </w:r>
    </w:p>
    <w:p w14:paraId="5BF04BED">
      <w:pPr>
        <w:spacing w:line="400" w:lineRule="exact"/>
        <w:ind w:firstLine="199" w:firstLineChars="95"/>
        <w:rPr>
          <w:rFonts w:hint="eastAsia" w:ascii="仿宋" w:hAnsi="仿宋" w:eastAsia="仿宋" w:cs="仿宋"/>
          <w:highlight w:val="none"/>
        </w:rPr>
      </w:pPr>
      <w:r>
        <w:rPr>
          <w:rFonts w:hint="eastAsia" w:ascii="仿宋" w:hAnsi="仿宋" w:eastAsia="仿宋" w:cs="仿宋"/>
          <w:highlight w:val="none"/>
        </w:rPr>
        <w:t>（7）遵守交通管理规定，不得使用人力车、三轮车向场外运输建筑垃圾、废土、物料。</w:t>
      </w:r>
    </w:p>
    <w:p w14:paraId="50377A81">
      <w:pPr>
        <w:spacing w:line="400" w:lineRule="exact"/>
        <w:rPr>
          <w:rFonts w:hint="eastAsia" w:ascii="仿宋" w:hAnsi="仿宋" w:eastAsia="仿宋" w:cs="仿宋"/>
          <w:highlight w:val="none"/>
        </w:rPr>
      </w:pPr>
      <w:r>
        <w:rPr>
          <w:rFonts w:hint="eastAsia" w:ascii="仿宋" w:hAnsi="仿宋" w:eastAsia="仿宋" w:cs="仿宋"/>
          <w:highlight w:val="none"/>
        </w:rPr>
        <w:t>11、施工人员在施工中应严格遵守下列规定:</w:t>
      </w:r>
    </w:p>
    <w:p w14:paraId="33D3660D">
      <w:pPr>
        <w:spacing w:line="400" w:lineRule="exact"/>
        <w:ind w:firstLine="105" w:firstLineChars="50"/>
        <w:rPr>
          <w:rFonts w:hint="eastAsia" w:ascii="仿宋" w:hAnsi="仿宋" w:eastAsia="仿宋" w:cs="仿宋"/>
          <w:highlight w:val="none"/>
        </w:rPr>
      </w:pPr>
      <w:r>
        <w:rPr>
          <w:rFonts w:hint="eastAsia" w:ascii="仿宋" w:hAnsi="仿宋" w:eastAsia="仿宋" w:cs="仿宋"/>
          <w:highlight w:val="none"/>
        </w:rPr>
        <w:t>（1）施工中产生的各类垃圾应及时清运到市容环境卫生管理部门指定的地点，严禁随意倾倒在城市道路、河道、绿化带、空旷地带和居民生活垃圾容器内。</w:t>
      </w:r>
    </w:p>
    <w:p w14:paraId="45467160">
      <w:pPr>
        <w:spacing w:line="400" w:lineRule="exact"/>
        <w:ind w:firstLine="105" w:firstLineChars="50"/>
        <w:rPr>
          <w:rFonts w:hint="eastAsia" w:ascii="仿宋" w:hAnsi="仿宋" w:eastAsia="仿宋" w:cs="仿宋"/>
          <w:highlight w:val="none"/>
        </w:rPr>
      </w:pPr>
      <w:r>
        <w:rPr>
          <w:rFonts w:hint="eastAsia" w:ascii="仿宋" w:hAnsi="仿宋" w:eastAsia="仿宋" w:cs="仿宋"/>
          <w:highlight w:val="none"/>
        </w:rPr>
        <w:t>（2）施工中不得随意丢弃废物、旧料和其他杂物。</w:t>
      </w:r>
    </w:p>
    <w:p w14:paraId="6A4EF6D9">
      <w:pPr>
        <w:spacing w:line="400" w:lineRule="exact"/>
        <w:ind w:firstLine="105" w:firstLineChars="50"/>
        <w:rPr>
          <w:rFonts w:hint="eastAsia" w:ascii="仿宋" w:hAnsi="仿宋" w:eastAsia="仿宋" w:cs="仿宋"/>
          <w:highlight w:val="none"/>
        </w:rPr>
      </w:pPr>
      <w:r>
        <w:rPr>
          <w:rFonts w:hint="eastAsia" w:ascii="仿宋" w:hAnsi="仿宋" w:eastAsia="仿宋" w:cs="仿宋"/>
          <w:highlight w:val="none"/>
        </w:rPr>
        <w:t>（3）施工中应注意清理施工场地，做到随做随清。</w:t>
      </w:r>
    </w:p>
    <w:p w14:paraId="0F897F0C">
      <w:pPr>
        <w:spacing w:line="400" w:lineRule="exact"/>
        <w:rPr>
          <w:rFonts w:hint="eastAsia" w:ascii="仿宋" w:hAnsi="仿宋" w:eastAsia="仿宋" w:cs="仿宋"/>
          <w:highlight w:val="none"/>
        </w:rPr>
      </w:pPr>
      <w:r>
        <w:rPr>
          <w:rFonts w:hint="eastAsia" w:ascii="仿宋" w:hAnsi="仿宋" w:eastAsia="仿宋" w:cs="仿宋"/>
          <w:highlight w:val="none"/>
        </w:rPr>
        <w:t>12、乙方应确保工地出入口和道路的畅通、安全。施工中造成沿线单位、人员的出入口障碍和道路交通堵塞，应及时采取有效措施。</w:t>
      </w:r>
    </w:p>
    <w:p w14:paraId="67DAE82D">
      <w:pPr>
        <w:spacing w:line="400" w:lineRule="exact"/>
        <w:rPr>
          <w:rFonts w:hint="eastAsia" w:ascii="仿宋" w:hAnsi="仿宋" w:eastAsia="仿宋" w:cs="仿宋"/>
          <w:szCs w:val="21"/>
          <w:highlight w:val="none"/>
        </w:rPr>
      </w:pPr>
      <w:r>
        <w:rPr>
          <w:rFonts w:hint="eastAsia" w:ascii="仿宋" w:hAnsi="仿宋" w:eastAsia="仿宋" w:cs="仿宋"/>
          <w:highlight w:val="none"/>
        </w:rPr>
        <w:t>13、施工中造成下水道和其他地下管线堵塞或损坏的，应立即疏浚或修复；对工地周围的单位及人员财产造成损失的，应承担经济赔偿责任</w:t>
      </w:r>
      <w:r>
        <w:rPr>
          <w:rStyle w:val="638"/>
          <w:rFonts w:hint="eastAsia" w:ascii="仿宋" w:hAnsi="仿宋" w:eastAsia="仿宋" w:cs="仿宋"/>
          <w:highlight w:val="none"/>
        </w:rPr>
        <w:t>。</w:t>
      </w:r>
    </w:p>
    <w:p w14:paraId="61B1AE07">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四、甲方对乙方开展创建文明土地的工作要经常性地给予指导，定期组织检查，对乙方存在的问题应及时通知乙方进行整改，并有权对乙方责任违约，按约定办法进行经济处理。</w:t>
      </w:r>
    </w:p>
    <w:p w14:paraId="086B01E1">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约定的违责任处理办法：</w:t>
      </w:r>
    </w:p>
    <w:p w14:paraId="18E01267">
      <w:pPr>
        <w:spacing w:line="400" w:lineRule="exact"/>
        <w:ind w:firstLine="417" w:firstLineChars="198"/>
        <w:rPr>
          <w:rFonts w:hint="eastAsia" w:ascii="仿宋" w:hAnsi="仿宋" w:eastAsia="仿宋" w:cs="仿宋"/>
          <w:highlight w:val="none"/>
        </w:rPr>
      </w:pPr>
      <w:r>
        <w:rPr>
          <w:rFonts w:hint="eastAsia" w:ascii="仿宋" w:hAnsi="仿宋" w:eastAsia="仿宋" w:cs="仿宋"/>
          <w:b/>
          <w:bCs/>
          <w:szCs w:val="21"/>
          <w:highlight w:val="none"/>
          <w:u w:val="single"/>
        </w:rPr>
        <w:t>每发现违规一次并查证属实的，发包人对承包人处以</w:t>
      </w:r>
      <w:r>
        <w:rPr>
          <w:rFonts w:hint="eastAsia" w:ascii="仿宋" w:hAnsi="仿宋" w:eastAsia="仿宋" w:cs="仿宋"/>
          <w:b/>
          <w:szCs w:val="21"/>
          <w:highlight w:val="none"/>
          <w:u w:val="single"/>
        </w:rPr>
        <w:t>合同总价0.5%的罚款，且发包人有权视情况解除本合同，由此产生的一切损失及后果由承包人承担</w:t>
      </w:r>
      <w:r>
        <w:rPr>
          <w:rFonts w:hint="eastAsia" w:ascii="仿宋" w:hAnsi="仿宋" w:eastAsia="仿宋" w:cs="仿宋"/>
          <w:b/>
          <w:szCs w:val="21"/>
          <w:highlight w:val="none"/>
        </w:rPr>
        <w:t>。</w:t>
      </w:r>
    </w:p>
    <w:p w14:paraId="72048197">
      <w:pPr>
        <w:spacing w:line="400" w:lineRule="exact"/>
        <w:ind w:firstLine="210" w:firstLineChars="100"/>
        <w:rPr>
          <w:rFonts w:hint="eastAsia" w:ascii="仿宋" w:hAnsi="仿宋" w:eastAsia="仿宋" w:cs="仿宋"/>
          <w:highlight w:val="none"/>
        </w:rPr>
      </w:pPr>
      <w:r>
        <w:rPr>
          <w:rFonts w:hint="eastAsia" w:ascii="仿宋" w:hAnsi="仿宋" w:eastAsia="仿宋" w:cs="仿宋"/>
          <w:highlight w:val="none"/>
        </w:rPr>
        <w:t xml:space="preserve">  五、因乙方违反文明施工管理要求，被地方政府有关部门查获而受到的经济处罚，以及由此而使甲方受到的经济损失，均由乙方承担。</w:t>
      </w:r>
    </w:p>
    <w:p w14:paraId="5D457906">
      <w:pPr>
        <w:spacing w:line="400" w:lineRule="exact"/>
        <w:ind w:firstLine="210" w:firstLineChars="100"/>
        <w:rPr>
          <w:rFonts w:hint="eastAsia" w:ascii="仿宋" w:hAnsi="仿宋" w:eastAsia="仿宋" w:cs="仿宋"/>
          <w:sz w:val="22"/>
          <w:highlight w:val="none"/>
        </w:rPr>
      </w:pPr>
      <w:r>
        <w:rPr>
          <w:rFonts w:hint="eastAsia" w:ascii="仿宋" w:hAnsi="仿宋" w:eastAsia="仿宋" w:cs="仿宋"/>
          <w:highlight w:val="none"/>
        </w:rPr>
        <w:t xml:space="preserve">  六、本协议作为甲乙双方工程合同的附件，在工程合同正式签约后有效，与工程合同具有同等法律效力。工程合同期满，本协议终止。</w:t>
      </w:r>
    </w:p>
    <w:p w14:paraId="6F8DE1A7">
      <w:pPr>
        <w:spacing w:line="360" w:lineRule="auto"/>
        <w:ind w:firstLine="420"/>
        <w:rPr>
          <w:rFonts w:hint="eastAsia" w:ascii="仿宋" w:hAnsi="仿宋" w:eastAsia="仿宋" w:cs="仿宋"/>
          <w:highlight w:val="none"/>
        </w:rPr>
      </w:pPr>
    </w:p>
    <w:p w14:paraId="221042B5">
      <w:pPr>
        <w:spacing w:line="400" w:lineRule="exact"/>
        <w:ind w:firstLine="42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5A6AA91C">
      <w:pPr>
        <w:spacing w:line="400" w:lineRule="exact"/>
        <w:ind w:firstLine="420" w:firstLineChars="200"/>
        <w:rPr>
          <w:rFonts w:hint="eastAsia" w:ascii="仿宋" w:hAnsi="仿宋" w:eastAsia="仿宋" w:cs="仿宋"/>
          <w:highlight w:val="none"/>
        </w:rPr>
      </w:pPr>
      <w:r>
        <w:rPr>
          <w:rFonts w:hint="eastAsia" w:ascii="仿宋" w:hAnsi="仿宋" w:eastAsia="仿宋" w:cs="仿宋"/>
          <w:highlight w:val="none"/>
        </w:rPr>
        <w:t>年    月    日                                      年    月    日</w:t>
      </w:r>
    </w:p>
    <w:p w14:paraId="708CB2DE">
      <w:pPr>
        <w:ind w:firstLine="420"/>
        <w:rPr>
          <w:rFonts w:hint="eastAsia" w:ascii="仿宋" w:hAnsi="仿宋" w:eastAsia="仿宋" w:cs="仿宋"/>
          <w:highlight w:val="none"/>
        </w:rPr>
      </w:pPr>
    </w:p>
    <w:p w14:paraId="1AEB091F">
      <w:pPr>
        <w:ind w:firstLine="420"/>
        <w:jc w:val="left"/>
        <w:rPr>
          <w:rFonts w:hint="eastAsia" w:ascii="仿宋" w:hAnsi="仿宋" w:eastAsia="仿宋" w:cs="仿宋"/>
          <w:highlight w:val="none"/>
        </w:rPr>
      </w:pPr>
    </w:p>
    <w:p w14:paraId="0C31204D">
      <w:pPr>
        <w:ind w:firstLine="420"/>
        <w:jc w:val="left"/>
        <w:rPr>
          <w:rFonts w:hint="eastAsia" w:ascii="仿宋" w:hAnsi="仿宋" w:eastAsia="仿宋" w:cs="仿宋"/>
          <w:highlight w:val="none"/>
        </w:rPr>
      </w:pPr>
    </w:p>
    <w:p w14:paraId="0D931652">
      <w:pPr>
        <w:ind w:firstLine="420"/>
        <w:jc w:val="left"/>
        <w:rPr>
          <w:rFonts w:hint="eastAsia" w:ascii="仿宋" w:hAnsi="仿宋" w:eastAsia="仿宋" w:cs="仿宋"/>
          <w:highlight w:val="none"/>
        </w:rPr>
      </w:pPr>
    </w:p>
    <w:p w14:paraId="2F952E31">
      <w:pPr>
        <w:ind w:firstLine="420"/>
        <w:jc w:val="left"/>
        <w:rPr>
          <w:rFonts w:hint="eastAsia" w:ascii="仿宋" w:hAnsi="仿宋" w:eastAsia="仿宋" w:cs="仿宋"/>
          <w:highlight w:val="none"/>
        </w:rPr>
      </w:pPr>
    </w:p>
    <w:p w14:paraId="340E3AF2">
      <w:pPr>
        <w:ind w:firstLine="420"/>
        <w:jc w:val="left"/>
        <w:rPr>
          <w:rFonts w:hint="eastAsia" w:ascii="仿宋" w:hAnsi="仿宋" w:eastAsia="仿宋" w:cs="仿宋"/>
          <w:highlight w:val="none"/>
        </w:rPr>
      </w:pPr>
    </w:p>
    <w:p w14:paraId="203F58DD">
      <w:pPr>
        <w:ind w:firstLine="420"/>
        <w:jc w:val="left"/>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2F2807CD">
      <w:pPr>
        <w:ind w:firstLine="420"/>
        <w:jc w:val="left"/>
        <w:rPr>
          <w:rFonts w:hint="eastAsia" w:ascii="仿宋" w:hAnsi="仿宋" w:eastAsia="仿宋" w:cs="仿宋"/>
          <w:szCs w:val="21"/>
          <w:highlight w:val="none"/>
        </w:rPr>
      </w:pPr>
      <w:r>
        <w:rPr>
          <w:rFonts w:hint="eastAsia" w:ascii="仿宋" w:hAnsi="仿宋" w:eastAsia="仿宋" w:cs="仿宋"/>
          <w:highlight w:val="none"/>
        </w:rPr>
        <w:t>附件4：建设工程廉政合同</w:t>
      </w:r>
    </w:p>
    <w:p w14:paraId="0B278EDA">
      <w:pPr>
        <w:ind w:firstLine="562"/>
        <w:jc w:val="center"/>
        <w:rPr>
          <w:rFonts w:hint="eastAsia" w:ascii="仿宋" w:hAnsi="仿宋" w:eastAsia="仿宋" w:cs="仿宋"/>
          <w:b/>
          <w:bCs/>
          <w:sz w:val="28"/>
          <w:highlight w:val="none"/>
        </w:rPr>
      </w:pPr>
      <w:r>
        <w:rPr>
          <w:rFonts w:hint="eastAsia" w:ascii="仿宋" w:hAnsi="仿宋" w:eastAsia="仿宋" w:cs="仿宋"/>
          <w:b/>
          <w:bCs/>
          <w:sz w:val="28"/>
          <w:highlight w:val="none"/>
        </w:rPr>
        <w:t>建设工程廉政合同</w:t>
      </w:r>
    </w:p>
    <w:p w14:paraId="704173FD">
      <w:pPr>
        <w:ind w:firstLine="562"/>
        <w:jc w:val="center"/>
        <w:rPr>
          <w:rFonts w:hint="eastAsia" w:ascii="仿宋" w:hAnsi="仿宋" w:eastAsia="仿宋" w:cs="仿宋"/>
          <w:b/>
          <w:bCs/>
          <w:sz w:val="28"/>
          <w:highlight w:val="none"/>
        </w:rPr>
      </w:pPr>
    </w:p>
    <w:p w14:paraId="5A4F29EC">
      <w:pPr>
        <w:spacing w:line="360" w:lineRule="auto"/>
        <w:ind w:firstLine="420"/>
        <w:rPr>
          <w:rFonts w:hint="eastAsia" w:ascii="仿宋" w:hAnsi="仿宋" w:eastAsia="仿宋" w:cs="仿宋"/>
          <w:highlight w:val="none"/>
        </w:rPr>
      </w:pPr>
      <w:r>
        <w:rPr>
          <w:rFonts w:hint="eastAsia" w:ascii="仿宋" w:hAnsi="仿宋" w:eastAsia="仿宋" w:cs="仿宋"/>
          <w:highlight w:val="none"/>
        </w:rPr>
        <w:t>为做好工程建设中的党风廉政建设，保证工程建设高效优质，保证建设资金的安全和有效使用以及投资效益，业主单位</w:t>
      </w:r>
      <w:r>
        <w:rPr>
          <w:rFonts w:hint="eastAsia" w:ascii="仿宋" w:hAnsi="仿宋" w:eastAsia="仿宋" w:cs="仿宋"/>
          <w:highlight w:val="none"/>
          <w:u w:val="single"/>
        </w:rPr>
        <w:t xml:space="preserve">                    </w:t>
      </w:r>
      <w:r>
        <w:rPr>
          <w:rFonts w:hint="eastAsia" w:ascii="仿宋" w:hAnsi="仿宋" w:eastAsia="仿宋" w:cs="仿宋"/>
          <w:highlight w:val="none"/>
        </w:rPr>
        <w:t>（以下称甲方）与施工单位</w:t>
      </w:r>
      <w:r>
        <w:rPr>
          <w:rFonts w:hint="eastAsia" w:ascii="仿宋" w:hAnsi="仿宋" w:eastAsia="仿宋" w:cs="仿宋"/>
          <w:highlight w:val="none"/>
          <w:u w:val="single"/>
        </w:rPr>
        <w:t xml:space="preserve">              </w:t>
      </w:r>
      <w:r>
        <w:rPr>
          <w:rFonts w:hint="eastAsia" w:ascii="仿宋" w:hAnsi="仿宋" w:eastAsia="仿宋" w:cs="仿宋"/>
          <w:highlight w:val="none"/>
        </w:rPr>
        <w:t>（以下称乙方），特订立如下合同。</w:t>
      </w:r>
    </w:p>
    <w:p w14:paraId="46D531AD">
      <w:pPr>
        <w:spacing w:line="360" w:lineRule="auto"/>
        <w:ind w:firstLine="420"/>
        <w:rPr>
          <w:rFonts w:hint="eastAsia" w:ascii="仿宋" w:hAnsi="仿宋" w:eastAsia="仿宋" w:cs="仿宋"/>
          <w:highlight w:val="none"/>
        </w:rPr>
      </w:pPr>
      <w:r>
        <w:rPr>
          <w:rFonts w:hint="eastAsia" w:ascii="仿宋" w:hAnsi="仿宋" w:eastAsia="仿宋" w:cs="仿宋"/>
          <w:highlight w:val="none"/>
        </w:rPr>
        <w:t>第一条 甲乙双方的权利和义务</w:t>
      </w:r>
    </w:p>
    <w:p w14:paraId="69E00588">
      <w:pPr>
        <w:spacing w:line="360" w:lineRule="auto"/>
        <w:ind w:firstLine="420"/>
        <w:rPr>
          <w:rFonts w:hint="eastAsia" w:ascii="仿宋" w:hAnsi="仿宋" w:eastAsia="仿宋" w:cs="仿宋"/>
          <w:szCs w:val="18"/>
          <w:highlight w:val="none"/>
        </w:rPr>
      </w:pPr>
      <w:r>
        <w:rPr>
          <w:rFonts w:hint="eastAsia" w:ascii="仿宋" w:hAnsi="仿宋" w:eastAsia="仿宋" w:cs="仿宋"/>
          <w:highlight w:val="none"/>
        </w:rPr>
        <w:t>（一）严格遵</w:t>
      </w:r>
      <w:r>
        <w:rPr>
          <w:rFonts w:hint="eastAsia" w:ascii="仿宋" w:hAnsi="仿宋" w:eastAsia="仿宋" w:cs="仿宋"/>
          <w:szCs w:val="18"/>
          <w:highlight w:val="none"/>
        </w:rPr>
        <w:t>守党和国家有关法律法规及交通部的有关廉政规定。</w:t>
      </w:r>
    </w:p>
    <w:p w14:paraId="4D6786AC">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（二）双方的业务活动坚持公开、公正、诚信、透明的原则（除法律认定的商业秘密和合同文件另有规定之外），不得损害国家和集体利益和违反工程建设管理规章制度。</w:t>
      </w:r>
    </w:p>
    <w:p w14:paraId="5C80D87E">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（三）建立健全廉政制度，开展廉政教育，设立廉政告示牌，公布举报电话，监督并认真查处违法违纪行为。</w:t>
      </w:r>
    </w:p>
    <w:p w14:paraId="29B7987D">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（四）发现对方在业务活动中有违反廉政规定的行为，有及时提醒对方纠正的权利和义务。</w:t>
      </w:r>
    </w:p>
    <w:p w14:paraId="4AB51308">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（五）发现对方严重违反本合同义务条款的行为，有向其上级有关部门举报、建议给予处理并要求告知处理结果的权利。</w:t>
      </w:r>
    </w:p>
    <w:p w14:paraId="01867B8A">
      <w:pPr>
        <w:spacing w:line="360" w:lineRule="auto"/>
        <w:ind w:firstLine="420"/>
        <w:rPr>
          <w:rFonts w:hint="eastAsia" w:ascii="仿宋" w:hAnsi="仿宋" w:eastAsia="仿宋" w:cs="仿宋"/>
          <w:szCs w:val="18"/>
          <w:highlight w:val="none"/>
        </w:rPr>
      </w:pPr>
      <w:r>
        <w:rPr>
          <w:rFonts w:hint="eastAsia" w:ascii="仿宋" w:hAnsi="仿宋" w:eastAsia="仿宋" w:cs="仿宋"/>
          <w:szCs w:val="32"/>
          <w:highlight w:val="none"/>
        </w:rPr>
        <w:t>第二条  甲方的义务</w:t>
      </w:r>
    </w:p>
    <w:p w14:paraId="4933F532">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（一）甲方及其工作人员不得索要或接受乙方的礼金、有价证券和贵重物品，不得在乙方报销任何应由甲方或个人支付的费用。</w:t>
      </w:r>
    </w:p>
    <w:p w14:paraId="03433B37">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（二）甲方工作人员不得参加乙方安排的高消费宴请和娱乐活动；不得接受乙方提供的通讯工具、交通工具和高档办公用品。</w:t>
      </w:r>
    </w:p>
    <w:p w14:paraId="76B4FED6">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（三）甲方及其工作人员不得要求或者接受乙方为其住房装修、婚丧嫁娶活动、配偶子女的工作安排以及出国出境、旅游等提供方便。</w:t>
      </w:r>
    </w:p>
    <w:p w14:paraId="55F60CEB">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（四）甲方工作人员的配偶、子女及亲属不得从事与甲方工程有关的监理分包项目。</w:t>
      </w:r>
    </w:p>
    <w:p w14:paraId="61B8612B">
      <w:pPr>
        <w:spacing w:line="360" w:lineRule="auto"/>
        <w:ind w:firstLine="420"/>
        <w:rPr>
          <w:rFonts w:hint="eastAsia" w:ascii="仿宋" w:hAnsi="仿宋" w:eastAsia="仿宋" w:cs="仿宋"/>
          <w:szCs w:val="18"/>
          <w:highlight w:val="none"/>
        </w:rPr>
      </w:pPr>
      <w:r>
        <w:rPr>
          <w:rFonts w:hint="eastAsia" w:ascii="仿宋" w:hAnsi="仿宋" w:eastAsia="仿宋" w:cs="仿宋"/>
          <w:szCs w:val="32"/>
          <w:highlight w:val="none"/>
        </w:rPr>
        <w:t>第三条  乙方义务</w:t>
      </w:r>
    </w:p>
    <w:p w14:paraId="1EC92D40">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（一）乙方不得以任何理由向甲方及其工作人员馈赠礼金、有价证券、贵重礼品。</w:t>
      </w:r>
    </w:p>
    <w:p w14:paraId="032DB388">
      <w:pPr>
        <w:spacing w:line="360" w:lineRule="auto"/>
        <w:ind w:left="0" w:leftChars="0" w:firstLine="420"/>
        <w:rPr>
          <w:rFonts w:hint="eastAsia" w:ascii="仿宋" w:hAnsi="仿宋" w:eastAsia="仿宋" w:cs="仿宋"/>
          <w:szCs w:val="18"/>
          <w:highlight w:val="none"/>
        </w:rPr>
      </w:pPr>
      <w:r>
        <w:rPr>
          <w:rFonts w:hint="eastAsia" w:ascii="仿宋" w:hAnsi="仿宋" w:eastAsia="仿宋" w:cs="仿宋"/>
          <w:szCs w:val="18"/>
          <w:highlight w:val="none"/>
        </w:rPr>
        <w:t>（二）乙方不得以任何名义为甲方及其工作人员报销应由甲方单位或个人支付的任何费用。</w:t>
      </w:r>
    </w:p>
    <w:p w14:paraId="477EC66D">
      <w:pPr>
        <w:spacing w:line="360" w:lineRule="auto"/>
        <w:ind w:left="0" w:leftChars="0" w:firstLine="420"/>
        <w:rPr>
          <w:rFonts w:hint="eastAsia" w:ascii="仿宋" w:hAnsi="仿宋" w:eastAsia="仿宋" w:cs="仿宋"/>
          <w:szCs w:val="18"/>
          <w:highlight w:val="none"/>
        </w:rPr>
      </w:pPr>
      <w:r>
        <w:rPr>
          <w:rFonts w:hint="eastAsia" w:ascii="仿宋" w:hAnsi="仿宋" w:eastAsia="仿宋" w:cs="仿宋"/>
          <w:szCs w:val="18"/>
          <w:highlight w:val="none"/>
        </w:rPr>
        <w:t>（三）乙方不得以任何理由安排甲方工作人员参加高消费宴请及娱乐活动。</w:t>
      </w:r>
    </w:p>
    <w:p w14:paraId="4EB1DC2D">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（四）乙方不得为甲方单位和个人购置或提供通讯工具、交通工具和高档办公用品等。</w:t>
      </w:r>
    </w:p>
    <w:p w14:paraId="3AAC36D9">
      <w:pPr>
        <w:spacing w:line="360" w:lineRule="auto"/>
        <w:ind w:firstLine="420"/>
        <w:rPr>
          <w:rFonts w:hint="eastAsia" w:ascii="仿宋" w:hAnsi="仿宋" w:eastAsia="仿宋" w:cs="仿宋"/>
          <w:szCs w:val="18"/>
          <w:highlight w:val="none"/>
        </w:rPr>
      </w:pPr>
      <w:r>
        <w:rPr>
          <w:rFonts w:hint="eastAsia" w:ascii="仿宋" w:hAnsi="仿宋" w:eastAsia="仿宋" w:cs="仿宋"/>
          <w:szCs w:val="32"/>
          <w:highlight w:val="none"/>
        </w:rPr>
        <w:t>第四条 违约责任</w:t>
      </w:r>
    </w:p>
    <w:p w14:paraId="49E810C0">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55B0D675">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7F6BD806">
      <w:pPr>
        <w:spacing w:line="360" w:lineRule="auto"/>
        <w:ind w:firstLine="420"/>
        <w:rPr>
          <w:rFonts w:hint="eastAsia" w:ascii="仿宋" w:hAnsi="仿宋" w:eastAsia="仿宋" w:cs="仿宋"/>
          <w:bCs/>
          <w:szCs w:val="32"/>
          <w:highlight w:val="none"/>
        </w:rPr>
      </w:pPr>
      <w:r>
        <w:rPr>
          <w:rFonts w:hint="eastAsia" w:ascii="仿宋" w:hAnsi="仿宋" w:eastAsia="仿宋" w:cs="仿宋"/>
          <w:bCs/>
          <w:szCs w:val="32"/>
          <w:highlight w:val="none"/>
        </w:rPr>
        <w:t>第五条 双方约定</w:t>
      </w:r>
    </w:p>
    <w:p w14:paraId="0838C711">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3135CEBB">
      <w:pPr>
        <w:spacing w:line="360" w:lineRule="auto"/>
        <w:ind w:firstLine="420"/>
        <w:rPr>
          <w:rFonts w:hint="eastAsia" w:ascii="仿宋" w:hAnsi="仿宋" w:eastAsia="仿宋" w:cs="仿宋"/>
          <w:szCs w:val="18"/>
          <w:highlight w:val="none"/>
        </w:rPr>
      </w:pPr>
      <w:r>
        <w:rPr>
          <w:rFonts w:hint="eastAsia" w:ascii="仿宋" w:hAnsi="仿宋" w:eastAsia="仿宋" w:cs="仿宋"/>
          <w:szCs w:val="18"/>
          <w:highlight w:val="none"/>
        </w:rPr>
        <w:t>第六条  本合同有效期为甲乙双方签署之日起至该工程项目竣工验收</w:t>
      </w:r>
      <w:r>
        <w:rPr>
          <w:rFonts w:hint="eastAsia" w:ascii="仿宋" w:hAnsi="仿宋" w:eastAsia="仿宋" w:cs="仿宋"/>
          <w:highlight w:val="none"/>
        </w:rPr>
        <w:t>合格</w:t>
      </w:r>
      <w:r>
        <w:rPr>
          <w:rFonts w:hint="eastAsia" w:ascii="仿宋" w:hAnsi="仿宋" w:eastAsia="仿宋" w:cs="仿宋"/>
          <w:szCs w:val="18"/>
          <w:highlight w:val="none"/>
        </w:rPr>
        <w:t>后止。</w:t>
      </w:r>
    </w:p>
    <w:p w14:paraId="52334721">
      <w:pPr>
        <w:spacing w:line="360" w:lineRule="auto"/>
        <w:ind w:firstLine="420"/>
        <w:rPr>
          <w:rFonts w:hint="eastAsia" w:ascii="仿宋" w:hAnsi="仿宋" w:eastAsia="仿宋" w:cs="仿宋"/>
          <w:highlight w:val="none"/>
        </w:rPr>
      </w:pPr>
      <w:r>
        <w:rPr>
          <w:rFonts w:hint="eastAsia" w:ascii="仿宋" w:hAnsi="仿宋" w:eastAsia="仿宋" w:cs="仿宋"/>
          <w:szCs w:val="18"/>
          <w:highlight w:val="none"/>
        </w:rPr>
        <w:t>第七条 本合同</w:t>
      </w:r>
      <w:r>
        <w:rPr>
          <w:rFonts w:hint="eastAsia" w:ascii="仿宋" w:hAnsi="仿宋" w:eastAsia="仿宋" w:cs="仿宋"/>
          <w:highlight w:val="none"/>
        </w:rPr>
        <w:t>送交甲乙双方的监督单位各一份。</w:t>
      </w:r>
    </w:p>
    <w:p w14:paraId="41F72E88">
      <w:pPr>
        <w:spacing w:line="360" w:lineRule="auto"/>
        <w:ind w:firstLine="420"/>
        <w:rPr>
          <w:rFonts w:hint="eastAsia" w:ascii="仿宋" w:hAnsi="仿宋" w:eastAsia="仿宋" w:cs="仿宋"/>
          <w:highlight w:val="none"/>
        </w:rPr>
      </w:pPr>
    </w:p>
    <w:p w14:paraId="4E2B64E6">
      <w:pPr>
        <w:spacing w:line="360" w:lineRule="auto"/>
        <w:ind w:firstLine="420"/>
        <w:rPr>
          <w:rFonts w:hint="eastAsia" w:ascii="仿宋" w:hAnsi="仿宋" w:eastAsia="仿宋" w:cs="仿宋"/>
          <w:highlight w:val="none"/>
        </w:rPr>
      </w:pPr>
    </w:p>
    <w:p w14:paraId="1D73679B">
      <w:pPr>
        <w:spacing w:line="360" w:lineRule="auto"/>
        <w:ind w:firstLine="420"/>
        <w:rPr>
          <w:rFonts w:hint="eastAsia" w:ascii="仿宋" w:hAnsi="仿宋" w:eastAsia="仿宋" w:cs="仿宋"/>
          <w:highlight w:val="none"/>
        </w:rPr>
      </w:pPr>
    </w:p>
    <w:p w14:paraId="2A05EC3C">
      <w:pPr>
        <w:spacing w:line="400" w:lineRule="exact"/>
        <w:ind w:firstLine="420"/>
        <w:rPr>
          <w:rFonts w:hint="eastAsia" w:ascii="仿宋" w:hAnsi="仿宋" w:eastAsia="仿宋" w:cs="仿宋"/>
          <w:szCs w:val="21"/>
          <w:highlight w:val="none"/>
        </w:rPr>
      </w:pPr>
      <w:r>
        <w:rPr>
          <w:rFonts w:hint="eastAsia" w:ascii="仿宋" w:hAnsi="仿宋" w:eastAsia="仿宋" w:cs="仿宋"/>
          <w:szCs w:val="21"/>
          <w:highlight w:val="none"/>
        </w:rPr>
        <w:t>发包人（公章）：                                   承包人（公章）：</w:t>
      </w:r>
    </w:p>
    <w:p w14:paraId="63CB2EDA">
      <w:pPr>
        <w:spacing w:line="400" w:lineRule="exact"/>
        <w:ind w:firstLine="945" w:firstLineChars="450"/>
        <w:rPr>
          <w:rFonts w:hint="eastAsia" w:ascii="仿宋" w:hAnsi="仿宋" w:eastAsia="仿宋" w:cs="仿宋"/>
          <w:highlight w:val="none"/>
        </w:rPr>
      </w:pPr>
    </w:p>
    <w:p w14:paraId="7DAE62FB">
      <w:pPr>
        <w:spacing w:line="400" w:lineRule="exact"/>
        <w:ind w:firstLine="945" w:firstLineChars="450"/>
        <w:rPr>
          <w:rFonts w:hint="eastAsia" w:ascii="仿宋" w:hAnsi="仿宋" w:eastAsia="仿宋" w:cs="仿宋"/>
          <w:highlight w:val="none"/>
        </w:rPr>
      </w:pPr>
    </w:p>
    <w:p w14:paraId="48517DBC">
      <w:pPr>
        <w:spacing w:line="400" w:lineRule="exact"/>
        <w:ind w:firstLine="945" w:firstLineChars="450"/>
        <w:rPr>
          <w:rFonts w:hint="eastAsia" w:ascii="仿宋" w:hAnsi="仿宋" w:eastAsia="仿宋" w:cs="仿宋"/>
          <w:highlight w:val="none"/>
        </w:rPr>
      </w:pPr>
      <w:r>
        <w:rPr>
          <w:rFonts w:hint="eastAsia" w:ascii="仿宋" w:hAnsi="仿宋" w:eastAsia="仿宋" w:cs="仿宋"/>
          <w:highlight w:val="none"/>
        </w:rPr>
        <w:t>年    月    日                                      年    月    日</w:t>
      </w:r>
    </w:p>
    <w:p w14:paraId="2F5C6DA6">
      <w:pPr>
        <w:ind w:firstLine="420"/>
        <w:rPr>
          <w:rFonts w:hint="eastAsia" w:ascii="仿宋" w:hAnsi="仿宋" w:eastAsia="仿宋" w:cs="仿宋"/>
          <w:highlight w:val="none"/>
        </w:rPr>
      </w:pPr>
    </w:p>
    <w:p w14:paraId="231B6E26">
      <w:pPr>
        <w:jc w:val="left"/>
        <w:rPr>
          <w:rFonts w:hint="eastAsia" w:ascii="仿宋" w:hAnsi="仿宋" w:eastAsia="仿宋" w:cs="仿宋"/>
          <w:highlight w:val="none"/>
        </w:rPr>
      </w:pPr>
    </w:p>
    <w:p w14:paraId="1DFD8809">
      <w:pPr>
        <w:jc w:val="left"/>
        <w:rPr>
          <w:rFonts w:hint="eastAsia" w:ascii="仿宋" w:hAnsi="仿宋" w:eastAsia="仿宋" w:cs="仿宋"/>
          <w:highlight w:val="none"/>
        </w:rPr>
      </w:pPr>
    </w:p>
    <w:p w14:paraId="2C8A7438">
      <w:pPr>
        <w:jc w:val="left"/>
        <w:rPr>
          <w:rFonts w:hint="eastAsia" w:ascii="仿宋" w:hAnsi="仿宋" w:eastAsia="仿宋" w:cs="仿宋"/>
          <w:highlight w:val="none"/>
        </w:rPr>
      </w:pPr>
    </w:p>
    <w:p w14:paraId="2D1705D2">
      <w:pPr>
        <w:jc w:val="left"/>
        <w:rPr>
          <w:rFonts w:hint="eastAsia" w:ascii="仿宋" w:hAnsi="仿宋" w:eastAsia="仿宋" w:cs="仿宋"/>
          <w:highlight w:val="none"/>
        </w:rPr>
      </w:pPr>
    </w:p>
    <w:p w14:paraId="06CF0D2D">
      <w:pPr>
        <w:jc w:val="left"/>
        <w:rPr>
          <w:rFonts w:hint="eastAsia" w:ascii="仿宋" w:hAnsi="仿宋" w:eastAsia="仿宋" w:cs="仿宋"/>
          <w:highlight w:val="none"/>
        </w:rPr>
      </w:pPr>
    </w:p>
    <w:p w14:paraId="6B9FBBD4">
      <w:pPr>
        <w:jc w:val="left"/>
        <w:rPr>
          <w:rFonts w:hint="eastAsia" w:ascii="仿宋" w:hAnsi="仿宋" w:eastAsia="仿宋" w:cs="仿宋"/>
          <w:highlight w:val="none"/>
        </w:rPr>
      </w:pPr>
    </w:p>
    <w:p w14:paraId="039DF664">
      <w:pPr>
        <w:jc w:val="left"/>
        <w:rPr>
          <w:rFonts w:hint="eastAsia" w:ascii="仿宋" w:hAnsi="仿宋" w:eastAsia="仿宋" w:cs="仿宋"/>
          <w:highlight w:val="none"/>
        </w:rPr>
      </w:pPr>
    </w:p>
    <w:p w14:paraId="737DF7CF">
      <w:pPr>
        <w:jc w:val="left"/>
        <w:rPr>
          <w:rFonts w:hint="eastAsia" w:ascii="仿宋" w:hAnsi="仿宋" w:eastAsia="仿宋" w:cs="仿宋"/>
          <w:highlight w:val="none"/>
        </w:rPr>
      </w:pPr>
    </w:p>
    <w:p w14:paraId="28DD9288">
      <w:pPr>
        <w:jc w:val="left"/>
        <w:rPr>
          <w:rFonts w:hint="eastAsia" w:ascii="仿宋" w:hAnsi="仿宋" w:eastAsia="仿宋" w:cs="仿宋"/>
          <w:highlight w:val="none"/>
        </w:rPr>
      </w:pPr>
    </w:p>
    <w:p w14:paraId="54FD3C53">
      <w:pPr>
        <w:jc w:val="left"/>
        <w:rPr>
          <w:rFonts w:hint="eastAsia" w:ascii="仿宋" w:hAnsi="仿宋" w:eastAsia="仿宋" w:cs="仿宋"/>
          <w:highlight w:val="none"/>
        </w:rPr>
      </w:pPr>
    </w:p>
    <w:p w14:paraId="0480470A">
      <w:pPr>
        <w:jc w:val="left"/>
        <w:rPr>
          <w:rFonts w:hint="eastAsia" w:ascii="仿宋" w:hAnsi="仿宋" w:eastAsia="仿宋" w:cs="仿宋"/>
          <w:highlight w:val="none"/>
        </w:rPr>
      </w:pPr>
    </w:p>
    <w:p w14:paraId="31375D67">
      <w:pPr>
        <w:ind w:firstLine="420"/>
        <w:jc w:val="left"/>
        <w:rPr>
          <w:rFonts w:hint="eastAsia" w:ascii="仿宋" w:hAnsi="仿宋" w:eastAsia="仿宋" w:cs="仿宋"/>
          <w:highlight w:val="none"/>
        </w:rPr>
        <w:sectPr>
          <w:pgSz w:w="11906" w:h="16838"/>
          <w:pgMar w:top="1174" w:right="1418" w:bottom="1151" w:left="1418" w:header="851" w:footer="992" w:gutter="0"/>
          <w:cols w:space="720" w:num="1"/>
          <w:titlePg/>
          <w:docGrid w:linePitch="312" w:charSpace="0"/>
        </w:sectPr>
      </w:pPr>
    </w:p>
    <w:p w14:paraId="73E0DAD1">
      <w:pPr>
        <w:jc w:val="left"/>
        <w:rPr>
          <w:rFonts w:hint="eastAsia" w:ascii="仿宋" w:hAnsi="仿宋" w:eastAsia="仿宋" w:cs="仿宋"/>
          <w:highlight w:val="none"/>
        </w:rPr>
      </w:pPr>
      <w:r>
        <w:rPr>
          <w:rFonts w:hint="eastAsia" w:ascii="仿宋" w:hAnsi="仿宋" w:eastAsia="仿宋" w:cs="仿宋"/>
          <w:highlight w:val="none"/>
        </w:rPr>
        <w:t>附件5：履约承诺书</w:t>
      </w:r>
    </w:p>
    <w:p w14:paraId="04D4BE33">
      <w:pPr>
        <w:ind w:firstLine="420"/>
        <w:jc w:val="left"/>
        <w:rPr>
          <w:rFonts w:hint="eastAsia" w:ascii="仿宋" w:hAnsi="仿宋" w:eastAsia="仿宋" w:cs="仿宋"/>
          <w:highlight w:val="none"/>
        </w:rPr>
      </w:pPr>
    </w:p>
    <w:p w14:paraId="66352BA7">
      <w:pPr>
        <w:spacing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履约承诺书</w:t>
      </w:r>
    </w:p>
    <w:p w14:paraId="29651FE6">
      <w:pPr>
        <w:spacing w:line="360" w:lineRule="auto"/>
        <w:rPr>
          <w:rFonts w:hint="eastAsia" w:ascii="仿宋" w:hAnsi="仿宋" w:eastAsia="仿宋" w:cs="仿宋"/>
          <w:sz w:val="24"/>
          <w:highlight w:val="none"/>
        </w:rPr>
      </w:pPr>
      <w:r>
        <w:rPr>
          <w:rFonts w:hint="eastAsia" w:ascii="仿宋" w:hAnsi="仿宋" w:eastAsia="仿宋" w:cs="仿宋"/>
          <w:b/>
          <w:sz w:val="24"/>
          <w:highlight w:val="none"/>
          <w:u w:val="single"/>
        </w:rPr>
        <w:t>浙江财经大学</w:t>
      </w:r>
      <w:r>
        <w:rPr>
          <w:rFonts w:hint="eastAsia" w:ascii="仿宋" w:hAnsi="仿宋" w:eastAsia="仿宋" w:cs="仿宋"/>
          <w:sz w:val="24"/>
          <w:highlight w:val="none"/>
        </w:rPr>
        <w:t>：</w:t>
      </w:r>
    </w:p>
    <w:p w14:paraId="7E3C2BD8">
      <w:pPr>
        <w:spacing w:line="360" w:lineRule="auto"/>
        <w:ind w:firstLine="315" w:firstLineChars="150"/>
        <w:rPr>
          <w:rFonts w:hint="eastAsia" w:ascii="仿宋" w:hAnsi="仿宋" w:eastAsia="仿宋" w:cs="仿宋"/>
          <w:szCs w:val="21"/>
          <w:highlight w:val="none"/>
        </w:rPr>
      </w:pPr>
      <w:r>
        <w:rPr>
          <w:rFonts w:hint="eastAsia" w:ascii="仿宋" w:hAnsi="仿宋" w:eastAsia="仿宋" w:cs="仿宋"/>
          <w:szCs w:val="21"/>
          <w:highlight w:val="none"/>
        </w:rPr>
        <w:t>为高质量做好工程建设施工工作，我公司承诺：</w:t>
      </w:r>
    </w:p>
    <w:p w14:paraId="3276C3E1">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1. 该工程在投标过程中无出借（租）资质、围标串标、弄虚作假，恶性竞争低价中标的行为。</w:t>
      </w:r>
    </w:p>
    <w:p w14:paraId="13AE29AC">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2. 该工程由公司直营，无经济责任人挂靠，无转包和非法分包行为。</w:t>
      </w:r>
    </w:p>
    <w:p w14:paraId="62ED4960">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3. 中标后在规定的时限内签订施工合同、进场、开工建设。</w:t>
      </w:r>
    </w:p>
    <w:p w14:paraId="6525D856">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4. 投标文件中确定的项目班子全员到岗，未经批准不会变更。</w:t>
      </w:r>
    </w:p>
    <w:p w14:paraId="1AE3943B">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5. 投标项目经理和管理班子主要成员按合同约定常驻现场。</w:t>
      </w:r>
    </w:p>
    <w:p w14:paraId="2090EACE">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6. 严格履行合同，保证工期、质量和安全。</w:t>
      </w:r>
    </w:p>
    <w:p w14:paraId="6A24D5B6">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7. 严格执行廉政建设和反腐败的法律法规，不发生违法乱纪行为。</w:t>
      </w:r>
    </w:p>
    <w:p w14:paraId="624E9D90">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8. 按照规定，加强本项目管理，并根据该项目需要在资金、设备和技术等方面给予保证。</w:t>
      </w:r>
    </w:p>
    <w:p w14:paraId="2EFB139B">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9. 在该项目实施过程中，服从招标人和监理单位的现场管理，积极配合相关管理部门的检查工作。</w:t>
      </w:r>
    </w:p>
    <w:p w14:paraId="52EFC655">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10. 严格按照《浙江省建筑施工安全标准化管理规定》进行施工现场安全文明管理。</w:t>
      </w:r>
    </w:p>
    <w:p w14:paraId="36DA1809">
      <w:pPr>
        <w:pStyle w:val="98"/>
        <w:spacing w:line="360" w:lineRule="auto"/>
        <w:rPr>
          <w:rFonts w:hint="eastAsia" w:ascii="仿宋" w:hAnsi="仿宋" w:eastAsia="仿宋" w:cs="仿宋"/>
          <w:bCs/>
          <w:color w:val="auto"/>
          <w:kern w:val="2"/>
          <w:sz w:val="21"/>
          <w:szCs w:val="21"/>
          <w:highlight w:val="none"/>
        </w:rPr>
      </w:pPr>
      <w:r>
        <w:rPr>
          <w:rFonts w:hint="eastAsia" w:ascii="仿宋" w:hAnsi="仿宋" w:eastAsia="仿宋" w:cs="仿宋"/>
          <w:bCs/>
          <w:color w:val="auto"/>
          <w:kern w:val="2"/>
          <w:sz w:val="21"/>
          <w:szCs w:val="21"/>
          <w:highlight w:val="none"/>
        </w:rPr>
        <w:t>11、违反承诺约定者将严格按合同约定给予处罚和承担法律责任。</w:t>
      </w:r>
    </w:p>
    <w:p w14:paraId="6E45B4B6">
      <w:pPr>
        <w:spacing w:line="360" w:lineRule="auto"/>
        <w:rPr>
          <w:rFonts w:hint="eastAsia" w:ascii="仿宋" w:hAnsi="仿宋" w:eastAsia="仿宋" w:cs="仿宋"/>
          <w:bCs/>
          <w:szCs w:val="21"/>
          <w:highlight w:val="none"/>
        </w:rPr>
      </w:pPr>
      <w:r>
        <w:rPr>
          <w:rFonts w:hint="eastAsia" w:ascii="仿宋" w:hAnsi="仿宋" w:eastAsia="仿宋" w:cs="仿宋"/>
          <w:bCs/>
          <w:szCs w:val="21"/>
          <w:highlight w:val="none"/>
        </w:rPr>
        <w:t>12、同意本项目对于资金监管的相关约定。</w:t>
      </w:r>
    </w:p>
    <w:p w14:paraId="00184535">
      <w:pPr>
        <w:spacing w:line="360" w:lineRule="auto"/>
        <w:ind w:firstLine="2625" w:firstLineChars="1250"/>
        <w:rPr>
          <w:rFonts w:hint="eastAsia" w:ascii="仿宋" w:hAnsi="仿宋" w:eastAsia="仿宋" w:cs="仿宋"/>
          <w:szCs w:val="21"/>
          <w:highlight w:val="none"/>
        </w:rPr>
      </w:pPr>
    </w:p>
    <w:p w14:paraId="61C676FF">
      <w:pPr>
        <w:spacing w:line="360" w:lineRule="auto"/>
        <w:ind w:firstLine="2625" w:firstLineChars="1250"/>
        <w:rPr>
          <w:rFonts w:hint="eastAsia" w:ascii="仿宋" w:hAnsi="仿宋" w:eastAsia="仿宋" w:cs="仿宋"/>
          <w:szCs w:val="21"/>
          <w:highlight w:val="none"/>
        </w:rPr>
      </w:pPr>
    </w:p>
    <w:p w14:paraId="2F0ECC3A">
      <w:pPr>
        <w:spacing w:line="360" w:lineRule="auto"/>
        <w:ind w:firstLine="2625" w:firstLineChars="1250"/>
        <w:rPr>
          <w:rFonts w:hint="eastAsia" w:ascii="仿宋" w:hAnsi="仿宋" w:eastAsia="仿宋" w:cs="仿宋"/>
          <w:szCs w:val="21"/>
          <w:highlight w:val="none"/>
        </w:rPr>
      </w:pPr>
    </w:p>
    <w:p w14:paraId="2E0D21DF">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                                 承诺单位：</w:t>
      </w:r>
    </w:p>
    <w:p w14:paraId="4766217C">
      <w:pPr>
        <w:spacing w:line="360" w:lineRule="auto"/>
        <w:rPr>
          <w:rFonts w:hint="eastAsia" w:ascii="仿宋" w:hAnsi="仿宋" w:eastAsia="仿宋" w:cs="仿宋"/>
          <w:szCs w:val="21"/>
          <w:highlight w:val="none"/>
        </w:rPr>
      </w:pPr>
      <w:r>
        <w:rPr>
          <w:rFonts w:hint="eastAsia" w:ascii="仿宋" w:hAnsi="仿宋" w:eastAsia="仿宋" w:cs="仿宋"/>
          <w:szCs w:val="21"/>
          <w:highlight w:val="none"/>
        </w:rPr>
        <w:t xml:space="preserve">                                 法定代表人（签字）：</w:t>
      </w:r>
    </w:p>
    <w:p w14:paraId="087030FF">
      <w:pPr>
        <w:adjustRightInd/>
        <w:spacing w:line="300" w:lineRule="auto"/>
        <w:rPr>
          <w:rFonts w:hint="eastAsia" w:ascii="仿宋" w:hAnsi="仿宋" w:eastAsia="仿宋" w:cs="仿宋"/>
          <w:snapToGrid w:val="0"/>
          <w:kern w:val="0"/>
          <w:szCs w:val="21"/>
          <w:highlight w:val="none"/>
        </w:rPr>
      </w:pPr>
      <w:r>
        <w:rPr>
          <w:rFonts w:hint="eastAsia" w:ascii="仿宋" w:hAnsi="仿宋" w:eastAsia="仿宋" w:cs="仿宋"/>
          <w:szCs w:val="21"/>
          <w:highlight w:val="none"/>
        </w:rPr>
        <w:t xml:space="preserve">                                   202</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rPr>
        <w:t>年    月    日</w:t>
      </w:r>
      <w:bookmarkEnd w:id="137"/>
    </w:p>
    <w:p w14:paraId="3B8738F3">
      <w:pPr>
        <w:pStyle w:val="23"/>
        <w:ind w:firstLine="0" w:firstLineChars="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snapToGrid w:val="0"/>
          <w:color w:val="000000" w:themeColor="text1"/>
          <w:kern w:val="0"/>
          <w:szCs w:val="24"/>
          <w:highlight w:val="none"/>
          <w14:textFill>
            <w14:solidFill>
              <w14:schemeClr w14:val="tx1"/>
            </w14:solidFill>
          </w14:textFill>
        </w:rPr>
        <w:t xml:space="preserve">   </w:t>
      </w:r>
      <w:r>
        <w:rPr>
          <w:rFonts w:hint="eastAsia" w:ascii="仿宋" w:hAnsi="仿宋" w:eastAsia="仿宋" w:cs="仿宋"/>
          <w:snapToGrid w:val="0"/>
          <w:color w:val="000000" w:themeColor="text1"/>
          <w:kern w:val="0"/>
          <w:szCs w:val="21"/>
          <w:highlight w:val="none"/>
          <w14:textFill>
            <w14:solidFill>
              <w14:schemeClr w14:val="tx1"/>
            </w14:solidFill>
          </w14:textFill>
        </w:rPr>
        <w:t xml:space="preserve">  </w:t>
      </w:r>
    </w:p>
    <w:p w14:paraId="3304AD58">
      <w:pPr>
        <w:adjustRightInd/>
        <w:spacing w:line="360" w:lineRule="auto"/>
        <w:rPr>
          <w:rFonts w:hint="eastAsia" w:ascii="仿宋" w:hAnsi="仿宋" w:eastAsia="仿宋" w:cs="仿宋"/>
          <w:color w:val="000000" w:themeColor="text1"/>
          <w:sz w:val="24"/>
          <w:highlight w:val="none"/>
          <w:u w:val="single"/>
          <w:lang w:val="zh-CN"/>
          <w14:textFill>
            <w14:solidFill>
              <w14:schemeClr w14:val="tx1"/>
            </w14:solidFill>
          </w14:textFill>
        </w:rPr>
      </w:pPr>
    </w:p>
    <w:p w14:paraId="6D37FD5E">
      <w:pPr>
        <w:snapToGrid/>
        <w:spacing w:line="240" w:lineRule="auto"/>
        <w:jc w:val="left"/>
        <w:outlineLvl w:val="9"/>
        <w:rPr>
          <w:rFonts w:hint="eastAsia" w:ascii="仿宋" w:hAnsi="仿宋" w:eastAsia="仿宋" w:cs="仿宋"/>
          <w:highlight w:val="none"/>
        </w:rPr>
      </w:pPr>
    </w:p>
    <w:p w14:paraId="7EF3941C">
      <w:pPr>
        <w:snapToGrid/>
        <w:spacing w:line="240" w:lineRule="auto"/>
        <w:jc w:val="left"/>
        <w:outlineLvl w:val="9"/>
        <w:rPr>
          <w:rFonts w:hint="eastAsia" w:ascii="仿宋" w:hAnsi="仿宋" w:eastAsia="仿宋" w:cs="仿宋"/>
          <w:highlight w:val="none"/>
        </w:rPr>
      </w:pPr>
    </w:p>
    <w:p w14:paraId="426D028F">
      <w:pPr>
        <w:snapToGrid/>
        <w:spacing w:line="240" w:lineRule="auto"/>
        <w:jc w:val="left"/>
        <w:outlineLvl w:val="9"/>
        <w:rPr>
          <w:rFonts w:hint="eastAsia" w:ascii="仿宋" w:hAnsi="仿宋" w:eastAsia="仿宋" w:cs="仿宋"/>
          <w:highlight w:val="none"/>
        </w:rPr>
      </w:pPr>
    </w:p>
    <w:p w14:paraId="2EF02E2A">
      <w:pPr>
        <w:snapToGrid/>
        <w:spacing w:line="240" w:lineRule="auto"/>
        <w:jc w:val="left"/>
        <w:outlineLvl w:val="9"/>
        <w:rPr>
          <w:rFonts w:hint="eastAsia" w:ascii="仿宋" w:hAnsi="仿宋" w:eastAsia="仿宋" w:cs="仿宋"/>
          <w:highlight w:val="none"/>
        </w:rPr>
      </w:pPr>
    </w:p>
    <w:p w14:paraId="38FFF6FD">
      <w:pPr>
        <w:snapToGrid/>
        <w:spacing w:line="240" w:lineRule="auto"/>
        <w:jc w:val="left"/>
        <w:outlineLvl w:val="9"/>
        <w:rPr>
          <w:rFonts w:hint="eastAsia" w:ascii="仿宋" w:hAnsi="仿宋" w:eastAsia="仿宋" w:cs="仿宋"/>
          <w:highlight w:val="none"/>
        </w:rPr>
      </w:pPr>
    </w:p>
    <w:p w14:paraId="1531D33C">
      <w:pPr>
        <w:snapToGrid/>
        <w:spacing w:line="240" w:lineRule="auto"/>
        <w:jc w:val="left"/>
        <w:outlineLvl w:val="9"/>
        <w:rPr>
          <w:rFonts w:hint="eastAsia" w:ascii="仿宋" w:hAnsi="仿宋" w:eastAsia="仿宋" w:cs="仿宋"/>
          <w:highlight w:val="none"/>
        </w:rPr>
      </w:pPr>
    </w:p>
    <w:p w14:paraId="304635FB">
      <w:pPr>
        <w:snapToGrid w:val="0"/>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p>
    <w:p w14:paraId="0585C030">
      <w:pPr>
        <w:snapToGrid/>
        <w:spacing w:line="240" w:lineRule="auto"/>
        <w:jc w:val="left"/>
        <w:outlineLvl w:val="9"/>
        <w:rPr>
          <w:rFonts w:hint="eastAsia" w:ascii="仿宋" w:hAnsi="仿宋" w:eastAsia="仿宋" w:cs="仿宋"/>
          <w:highlight w:val="none"/>
        </w:rPr>
      </w:pPr>
    </w:p>
    <w:p w14:paraId="62B64FB5">
      <w:pPr>
        <w:snapToGrid/>
        <w:spacing w:line="240" w:lineRule="auto"/>
        <w:jc w:val="left"/>
        <w:outlineLvl w:val="9"/>
        <w:rPr>
          <w:rFonts w:hint="eastAsia" w:ascii="仿宋" w:hAnsi="仿宋" w:eastAsia="仿宋" w:cs="仿宋"/>
          <w:highlight w:val="none"/>
        </w:rPr>
      </w:pPr>
    </w:p>
    <w:p w14:paraId="73B81560">
      <w:pPr>
        <w:snapToGrid w:val="0"/>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sectPr>
          <w:pgSz w:w="11906" w:h="16838"/>
          <w:pgMar w:top="1174" w:right="1418" w:bottom="1151" w:left="1418" w:header="851" w:footer="992" w:gutter="0"/>
          <w:cols w:space="720" w:num="1"/>
          <w:titlePg/>
          <w:docGrid w:linePitch="312" w:charSpace="0"/>
        </w:sectPr>
      </w:pPr>
    </w:p>
    <w:p w14:paraId="651160B0">
      <w:pPr>
        <w:snapToGrid w:val="0"/>
        <w:spacing w:line="360" w:lineRule="auto"/>
        <w:jc w:val="center"/>
        <w:outlineLvl w:val="0"/>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第七部分</w:t>
      </w:r>
      <w:bookmarkEnd w:id="79"/>
      <w:r>
        <w:rPr>
          <w:rFonts w:hint="eastAsia" w:ascii="仿宋" w:hAnsi="仿宋" w:eastAsia="仿宋" w:cs="仿宋"/>
          <w:b/>
          <w:color w:val="000000" w:themeColor="text1"/>
          <w:sz w:val="36"/>
          <w:szCs w:val="20"/>
          <w:highlight w:val="none"/>
          <w14:textFill>
            <w14:solidFill>
              <w14:schemeClr w14:val="tx1"/>
            </w14:solidFill>
          </w14:textFill>
        </w:rPr>
        <w:t xml:space="preserve">  </w:t>
      </w:r>
      <w:bookmarkEnd w:id="80"/>
      <w:r>
        <w:rPr>
          <w:rFonts w:hint="eastAsia" w:ascii="仿宋" w:hAnsi="仿宋" w:eastAsia="仿宋" w:cs="仿宋"/>
          <w:b/>
          <w:color w:val="000000" w:themeColor="text1"/>
          <w:sz w:val="36"/>
          <w:szCs w:val="20"/>
          <w:highlight w:val="none"/>
          <w14:textFill>
            <w14:solidFill>
              <w14:schemeClr w14:val="tx1"/>
            </w14:solidFill>
          </w14:textFill>
        </w:rPr>
        <w:t>应提交的有关格式范例</w:t>
      </w:r>
    </w:p>
    <w:p w14:paraId="22207748">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kern w:val="0"/>
          <w:sz w:val="36"/>
          <w:szCs w:val="36"/>
          <w:highlight w:val="none"/>
          <w14:textFill>
            <w14:solidFill>
              <w14:schemeClr w14:val="tx1"/>
            </w14:solidFill>
          </w14:textFill>
        </w:rPr>
        <w:t>资格文件部分</w:t>
      </w:r>
    </w:p>
    <w:p w14:paraId="42686510">
      <w:pPr>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目录</w:t>
      </w:r>
    </w:p>
    <w:p w14:paraId="4A1D8903">
      <w:pPr>
        <w:rPr>
          <w:rFonts w:hint="eastAsia" w:ascii="仿宋" w:hAnsi="仿宋" w:eastAsia="仿宋" w:cs="仿宋"/>
          <w:color w:val="000000" w:themeColor="text1"/>
          <w:highlight w:val="none"/>
          <w14:textFill>
            <w14:solidFill>
              <w14:schemeClr w14:val="tx1"/>
            </w14:solidFill>
          </w14:textFill>
        </w:rPr>
      </w:pPr>
    </w:p>
    <w:p w14:paraId="179F29D1">
      <w:pPr>
        <w:pStyle w:val="23"/>
        <w:rPr>
          <w:rFonts w:hint="eastAsia" w:ascii="仿宋" w:hAnsi="仿宋" w:eastAsia="仿宋" w:cs="仿宋"/>
          <w:color w:val="000000" w:themeColor="text1"/>
          <w:highlight w:val="none"/>
          <w14:textFill>
            <w14:solidFill>
              <w14:schemeClr w14:val="tx1"/>
            </w14:solidFill>
          </w14:textFill>
        </w:rPr>
      </w:pPr>
    </w:p>
    <w:p w14:paraId="26B14C07">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（1）符合参加政府采购活动应当具备的一般条件的承诺函……………（页码）</w:t>
      </w:r>
    </w:p>
    <w:p w14:paraId="7735E927">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（2）联合协议………………………………………………………………（页码）</w:t>
      </w:r>
    </w:p>
    <w:p w14:paraId="4D6F5642">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（3）落实政府采购政策需满足的资格要求………………………………（页码）</w:t>
      </w:r>
    </w:p>
    <w:p w14:paraId="564EBD55">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（4）本项目的特定资格要求………………………………………………（页码）</w:t>
      </w:r>
    </w:p>
    <w:p w14:paraId="145220B3">
      <w:pPr>
        <w:snapToGrid w:val="0"/>
        <w:spacing w:line="360" w:lineRule="auto"/>
        <w:ind w:right="48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b/>
          <w:color w:val="000000" w:themeColor="text1"/>
          <w:kern w:val="0"/>
          <w:sz w:val="32"/>
          <w:szCs w:val="32"/>
          <w:highlight w:val="none"/>
          <w14:textFill>
            <w14:solidFill>
              <w14:schemeClr w14:val="tx1"/>
            </w14:solidFill>
          </w14:textFill>
        </w:rPr>
        <w:t>一、 符合参加政府采购活动应当具备的一般条件的承诺函</w:t>
      </w:r>
    </w:p>
    <w:p w14:paraId="0F6135D3">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sz w:val="24"/>
          <w:highlight w:val="none"/>
          <w14:textFill>
            <w14:solidFill>
              <w14:schemeClr w14:val="tx1"/>
            </w14:solidFill>
          </w14:textFill>
        </w:rPr>
        <w:t>：</w:t>
      </w:r>
    </w:p>
    <w:p w14:paraId="4ABC2CE0">
      <w:pPr>
        <w:snapToGrid w:val="0"/>
        <w:spacing w:line="360" w:lineRule="auto"/>
        <w:ind w:firstLine="42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我方参与（项目名称）【编号：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14:textFill>
            <w14:solidFill>
              <w14:schemeClr w14:val="tx1"/>
            </w14:solidFill>
          </w14:textFill>
        </w:rPr>
        <w:t>】政府采购活动，郑重承诺：</w:t>
      </w:r>
    </w:p>
    <w:p w14:paraId="486C314D">
      <w:pPr>
        <w:snapToGrid w:val="0"/>
        <w:spacing w:line="360" w:lineRule="auto"/>
        <w:ind w:firstLine="360"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（一）具备《中华人民共和国政府采购法》第二十二条第一款规定的条件：</w:t>
      </w:r>
    </w:p>
    <w:p w14:paraId="25DB3422">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1、具有独立承担民事责任的能力；</w:t>
      </w:r>
    </w:p>
    <w:p w14:paraId="1F05B2F4">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2、具有良好的商业信誉和健全的财务会计制度； </w:t>
      </w:r>
    </w:p>
    <w:p w14:paraId="68050E32">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3、具有履行合同所必需的设备和专业技术能力；</w:t>
      </w:r>
    </w:p>
    <w:p w14:paraId="408A1256">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4、有依法缴纳税收和社会保障资金的良好记录；</w:t>
      </w:r>
    </w:p>
    <w:p w14:paraId="15E563B9">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5、参加政府采购活动前三年内，在经营活动中没有重大违法记录；</w:t>
      </w:r>
    </w:p>
    <w:p w14:paraId="017EE115">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6、具有法律、行政法规规定的其他条件。</w:t>
      </w:r>
    </w:p>
    <w:p w14:paraId="0DA91EE4">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6424E237">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（三）不存在以下情况：</w:t>
      </w:r>
    </w:p>
    <w:p w14:paraId="4BEA8C51">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1、单位负责人为同一人或者存在直接控股、管理关系的不同供应商参加同一合同项下的政府采购活动的；</w:t>
      </w:r>
    </w:p>
    <w:p w14:paraId="137A4BBA">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2、为采购项目提供整体设计、规范编制或者项目管理、监理、检测等服务后再参加该采购项目的其他采购活动的。</w:t>
      </w:r>
    </w:p>
    <w:p w14:paraId="78CFACB7">
      <w:pPr>
        <w:pStyle w:val="23"/>
        <w:rPr>
          <w:rFonts w:hint="eastAsia" w:ascii="仿宋" w:hAnsi="仿宋" w:eastAsia="仿宋" w:cs="仿宋"/>
          <w:color w:val="000000" w:themeColor="text1"/>
          <w:highlight w:val="none"/>
          <w14:textFill>
            <w14:solidFill>
              <w14:schemeClr w14:val="tx1"/>
            </w14:solidFill>
          </w14:textFill>
        </w:rPr>
      </w:pPr>
    </w:p>
    <w:p w14:paraId="5F500690">
      <w:pPr>
        <w:rPr>
          <w:rFonts w:hint="eastAsia" w:ascii="仿宋" w:hAnsi="仿宋" w:eastAsia="仿宋" w:cs="仿宋"/>
          <w:color w:val="000000" w:themeColor="text1"/>
          <w:highlight w:val="none"/>
          <w14:textFill>
            <w14:solidFill>
              <w14:schemeClr w14:val="tx1"/>
            </w14:solidFill>
          </w14:textFill>
        </w:rPr>
      </w:pPr>
    </w:p>
    <w:p w14:paraId="31EADCFF">
      <w:pPr>
        <w:snapToGrid w:val="0"/>
        <w:spacing w:line="360" w:lineRule="auto"/>
        <w:ind w:firstLine="5520" w:firstLineChars="23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p>
    <w:p w14:paraId="47C1469C">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日期</w:t>
      </w:r>
      <w:r>
        <w:rPr>
          <w:rFonts w:hint="eastAsia" w:ascii="仿宋" w:hAnsi="仿宋" w:eastAsia="仿宋" w:cs="仿宋"/>
          <w:color w:val="000000" w:themeColor="text1"/>
          <w:kern w:val="0"/>
          <w:sz w:val="24"/>
          <w:highlight w:val="none"/>
          <w14:textFill>
            <w14:solidFill>
              <w14:schemeClr w14:val="tx1"/>
            </w14:solidFill>
          </w14:textFill>
        </w:rPr>
        <w:t xml:space="preserve">：  年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w:t>
      </w:r>
    </w:p>
    <w:p w14:paraId="6616B32D">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2262F6F">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278D92B4">
      <w:pPr>
        <w:rPr>
          <w:rFonts w:hint="eastAsia" w:ascii="仿宋" w:hAnsi="仿宋" w:eastAsia="仿宋" w:cs="仿宋"/>
          <w:color w:val="000000" w:themeColor="text1"/>
          <w:highlight w:val="none"/>
          <w14:textFill>
            <w14:solidFill>
              <w14:schemeClr w14:val="tx1"/>
            </w14:solidFill>
          </w14:textFill>
        </w:rPr>
      </w:pPr>
    </w:p>
    <w:p w14:paraId="5A00E05D">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5599BE1A">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09A58712">
      <w:pP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br w:type="page"/>
      </w:r>
    </w:p>
    <w:p w14:paraId="783D95CF">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二、联合协议（如果有）</w:t>
      </w:r>
    </w:p>
    <w:p w14:paraId="1D709D6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[以联合体形式投标的，提供联合协议（附件5）；本项目不接受联合体投标或者投标人不以联合体形式投标的，则不需要提供）]</w:t>
      </w:r>
    </w:p>
    <w:p w14:paraId="6DEE03D8">
      <w:pPr>
        <w:rPr>
          <w:rFonts w:hint="eastAsia" w:ascii="仿宋" w:hAnsi="仿宋" w:eastAsia="仿宋" w:cs="仿宋"/>
          <w:b/>
          <w:color w:val="000000" w:themeColor="text1"/>
          <w:kern w:val="0"/>
          <w:sz w:val="32"/>
          <w:szCs w:val="32"/>
          <w:highlight w:val="none"/>
          <w14:textFill>
            <w14:solidFill>
              <w14:schemeClr w14:val="tx1"/>
            </w14:solidFill>
          </w14:textFill>
        </w:rPr>
      </w:pPr>
    </w:p>
    <w:p w14:paraId="3992223E">
      <w:pP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br w:type="page"/>
      </w:r>
    </w:p>
    <w:p w14:paraId="2CF6FCED">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三、落实政府采购政策需满足的资格要求</w:t>
      </w:r>
    </w:p>
    <w:p w14:paraId="2CA658CA">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（根据竞争性磋商邀请公告落实政府采购政策需满足的资格要求选择提供相应的材料；未要求的，无需提供）</w:t>
      </w:r>
    </w:p>
    <w:p w14:paraId="1C2CA5E8">
      <w:pPr>
        <w:snapToGrid w:val="0"/>
        <w:spacing w:before="50" w:after="50" w:line="360" w:lineRule="auto"/>
        <w:ind w:firstLine="472" w:firstLineChars="196"/>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 xml:space="preserve">.专门面向中小企业，工程全部由符合政策要求的中小企业（或小微企业）承建的，提供相应的中小企业声明函（附件7）。 </w:t>
      </w:r>
    </w:p>
    <w:p w14:paraId="71ADDF6F">
      <w:pPr>
        <w:widowControl/>
        <w:spacing w:line="360" w:lineRule="auto"/>
        <w:ind w:firstLine="480"/>
        <w:jc w:val="left"/>
        <w:rPr>
          <w:rFonts w:hint="eastAsia" w:ascii="仿宋" w:hAnsi="仿宋" w:eastAsia="仿宋" w:cs="仿宋"/>
          <w:color w:val="000000" w:themeColor="text1"/>
          <w:sz w:val="24"/>
          <w:highlight w:val="none"/>
          <w14:textFill>
            <w14:solidFill>
              <w14:schemeClr w14:val="tx1"/>
            </w14:solidFill>
          </w14:textFill>
        </w:rPr>
      </w:pPr>
    </w:p>
    <w:p w14:paraId="7125ED56">
      <w:pPr>
        <w:widowControl/>
        <w:spacing w:line="360" w:lineRule="auto"/>
        <w:ind w:firstLine="472" w:firstLineChars="196"/>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b.</w:t>
      </w:r>
      <w:r>
        <w:rPr>
          <w:rFonts w:hint="eastAsia" w:ascii="仿宋" w:hAnsi="仿宋" w:eastAsia="仿宋" w:cs="仿宋"/>
          <w:color w:val="000000" w:themeColor="text1"/>
          <w:sz w:val="24"/>
          <w:highlight w:val="none"/>
          <w14:textFill>
            <w14:solidFill>
              <w14:schemeClr w14:val="tx1"/>
            </w14:solidFill>
          </w14:textFill>
        </w:rPr>
        <w:t>要求以联合体形式参加的，提供联合协议（附件5）和中小企业声明函（附件7），联合协议中中小企业合同金额应当达到</w:t>
      </w:r>
      <w:r>
        <w:rPr>
          <w:rFonts w:hint="eastAsia" w:ascii="仿宋" w:hAnsi="仿宋" w:eastAsia="仿宋" w:cs="仿宋"/>
          <w:b/>
          <w:bCs/>
          <w:color w:val="000000" w:themeColor="text1"/>
          <w:sz w:val="24"/>
          <w:highlight w:val="none"/>
          <w14:textFill>
            <w14:solidFill>
              <w14:schemeClr w14:val="tx1"/>
            </w14:solidFill>
          </w14:textFill>
        </w:rPr>
        <w:t>竞争性磋商邀请公告</w:t>
      </w:r>
      <w:r>
        <w:rPr>
          <w:rFonts w:hint="eastAsia" w:ascii="仿宋" w:hAnsi="仿宋" w:eastAsia="仿宋" w:cs="仿宋"/>
          <w:color w:val="000000" w:themeColor="text1"/>
          <w:sz w:val="24"/>
          <w:highlight w:val="none"/>
          <w14:textFill>
            <w14:solidFill>
              <w14:schemeClr w14:val="tx1"/>
            </w14:solidFill>
          </w14:textFill>
        </w:rPr>
        <w:t>载明的比例；如果供应商本身提供所有标的均由中小企业承建的，</w:t>
      </w:r>
      <w:r>
        <w:rPr>
          <w:rFonts w:hint="eastAsia" w:ascii="仿宋" w:hAnsi="仿宋" w:eastAsia="仿宋" w:cs="仿宋"/>
          <w:color w:val="000000" w:themeColor="text1"/>
          <w:spacing w:val="8"/>
          <w:kern w:val="0"/>
          <w:sz w:val="24"/>
          <w:highlight w:val="none"/>
          <w14:textFill>
            <w14:solidFill>
              <w14:schemeClr w14:val="tx1"/>
            </w14:solidFill>
          </w14:textFill>
        </w:rPr>
        <w:t>并相应达到了前述比例要求，</w:t>
      </w:r>
      <w:r>
        <w:rPr>
          <w:rFonts w:hint="eastAsia" w:ascii="仿宋" w:hAnsi="仿宋" w:eastAsia="仿宋" w:cs="仿宋"/>
          <w:color w:val="000000" w:themeColor="text1"/>
          <w:sz w:val="24"/>
          <w:highlight w:val="none"/>
          <w14:textFill>
            <w14:solidFill>
              <w14:schemeClr w14:val="tx1"/>
            </w14:solidFill>
          </w14:textFill>
        </w:rPr>
        <w:t>视同符合了资格条件，无需再与其他中小企业组成联合体参加政府采购活动，无需提供联合协议。</w:t>
      </w:r>
    </w:p>
    <w:p w14:paraId="7C49F275">
      <w:pPr>
        <w:snapToGrid w:val="0"/>
        <w:spacing w:before="50" w:after="50"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    </w:t>
      </w:r>
    </w:p>
    <w:p w14:paraId="6B1E7C66">
      <w:pPr>
        <w:snapToGrid w:val="0"/>
        <w:spacing w:before="50" w:after="50" w:line="360" w:lineRule="auto"/>
        <w:ind w:firstLine="472" w:firstLineChars="196"/>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c、</w:t>
      </w:r>
      <w:r>
        <w:rPr>
          <w:rFonts w:hint="eastAsia" w:ascii="仿宋" w:hAnsi="仿宋" w:eastAsia="仿宋" w:cs="仿宋"/>
          <w:color w:val="000000" w:themeColor="text1"/>
          <w:sz w:val="24"/>
          <w:highlight w:val="none"/>
          <w14:textFill>
            <w14:solidFill>
              <w14:schemeClr w14:val="tx1"/>
            </w14:solidFill>
          </w14:textFill>
        </w:rPr>
        <w:t>要求合同分包的，提供分包意向协议（附件6）和中小企业声明函（附件7），分包意向协议中中小企业合同金额应当达到</w:t>
      </w:r>
      <w:r>
        <w:rPr>
          <w:rFonts w:hint="eastAsia" w:ascii="仿宋" w:hAnsi="仿宋" w:eastAsia="仿宋" w:cs="仿宋"/>
          <w:b/>
          <w:bCs/>
          <w:color w:val="000000" w:themeColor="text1"/>
          <w:sz w:val="24"/>
          <w:highlight w:val="none"/>
          <w14:textFill>
            <w14:solidFill>
              <w14:schemeClr w14:val="tx1"/>
            </w14:solidFill>
          </w14:textFill>
        </w:rPr>
        <w:t>竞争性磋商邀请公告</w:t>
      </w:r>
      <w:r>
        <w:rPr>
          <w:rFonts w:hint="eastAsia" w:ascii="仿宋" w:hAnsi="仿宋" w:eastAsia="仿宋" w:cs="仿宋"/>
          <w:color w:val="000000" w:themeColor="text1"/>
          <w:sz w:val="24"/>
          <w:highlight w:val="none"/>
          <w14:textFill>
            <w14:solidFill>
              <w14:schemeClr w14:val="tx1"/>
            </w14:solidFill>
          </w14:textFill>
        </w:rPr>
        <w:t>载明的比例；如果供应商本身提供的所有标的均由中小企业承建的，</w:t>
      </w:r>
      <w:r>
        <w:rPr>
          <w:rFonts w:hint="eastAsia" w:ascii="仿宋" w:hAnsi="仿宋" w:eastAsia="仿宋" w:cs="仿宋"/>
          <w:color w:val="000000" w:themeColor="text1"/>
          <w:spacing w:val="8"/>
          <w:kern w:val="0"/>
          <w:sz w:val="24"/>
          <w:highlight w:val="none"/>
          <w14:textFill>
            <w14:solidFill>
              <w14:schemeClr w14:val="tx1"/>
            </w14:solidFill>
          </w14:textFill>
        </w:rPr>
        <w:t>并相应达到了前述比例要求，</w:t>
      </w:r>
      <w:r>
        <w:rPr>
          <w:rFonts w:hint="eastAsia" w:ascii="仿宋" w:hAnsi="仿宋" w:eastAsia="仿宋" w:cs="仿宋"/>
          <w:color w:val="000000" w:themeColor="text1"/>
          <w:sz w:val="24"/>
          <w:highlight w:val="none"/>
          <w14:textFill>
            <w14:solidFill>
              <w14:schemeClr w14:val="tx1"/>
            </w14:solidFill>
          </w14:textFill>
        </w:rPr>
        <w:t xml:space="preserve">视同符合了资格条件，无需再向中小企业分包，无需提供分包意向协议。 </w:t>
      </w:r>
    </w:p>
    <w:p w14:paraId="0AE90D74">
      <w:pPr>
        <w:widowControl/>
        <w:spacing w:line="360" w:lineRule="auto"/>
        <w:ind w:firstLine="480"/>
        <w:jc w:val="left"/>
        <w:rPr>
          <w:rFonts w:hint="eastAsia" w:ascii="仿宋" w:hAnsi="仿宋" w:eastAsia="仿宋" w:cs="仿宋"/>
          <w:color w:val="000000" w:themeColor="text1"/>
          <w:sz w:val="24"/>
          <w:highlight w:val="none"/>
          <w14:textFill>
            <w14:solidFill>
              <w14:schemeClr w14:val="tx1"/>
            </w14:solidFill>
          </w14:textFill>
        </w:rPr>
      </w:pPr>
    </w:p>
    <w:p w14:paraId="5225C625">
      <w:pP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br w:type="page"/>
      </w:r>
    </w:p>
    <w:p w14:paraId="42F2A177">
      <w:pPr>
        <w:widowControl/>
        <w:spacing w:line="360" w:lineRule="auto"/>
        <w:ind w:left="150"/>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四、本项目的特定资格要求（如果有）</w:t>
      </w:r>
    </w:p>
    <w:p w14:paraId="0A6E5288">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（根据竞争性磋商邀请公告本项目的特定资格要求提供相应的材料；未要求的，无需提供）</w:t>
      </w:r>
    </w:p>
    <w:p w14:paraId="2A37DE89">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3B54BDF2">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kern w:val="0"/>
          <w:sz w:val="36"/>
          <w:szCs w:val="36"/>
          <w:highlight w:val="none"/>
          <w14:textFill>
            <w14:solidFill>
              <w14:schemeClr w14:val="tx1"/>
            </w14:solidFill>
          </w14:textFill>
        </w:rPr>
        <w:t>商务技术文件部分</w:t>
      </w:r>
    </w:p>
    <w:p w14:paraId="071D9326">
      <w:pPr>
        <w:rPr>
          <w:rFonts w:hint="eastAsia" w:ascii="仿宋" w:hAnsi="仿宋" w:eastAsia="仿宋" w:cs="仿宋"/>
          <w:color w:val="000000" w:themeColor="text1"/>
          <w:highlight w:val="none"/>
          <w14:textFill>
            <w14:solidFill>
              <w14:schemeClr w14:val="tx1"/>
            </w14:solidFill>
          </w14:textFill>
        </w:rPr>
      </w:pPr>
    </w:p>
    <w:p w14:paraId="65DE4CEE">
      <w:pPr>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目录</w:t>
      </w:r>
    </w:p>
    <w:p w14:paraId="105CDD92">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响应函……………………………………………………………………………（页码）</w:t>
      </w:r>
    </w:p>
    <w:p w14:paraId="40DB74C4">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授权委托书或法定代表人（单位负责人、自然人本人）身份证明…………（页码）</w:t>
      </w:r>
    </w:p>
    <w:p w14:paraId="7B469A94">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分包意向协议……………………………………………………………………（页码）</w:t>
      </w:r>
    </w:p>
    <w:p w14:paraId="38618BA3">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符合性审查资料…………………………………………………………………（页码）</w:t>
      </w:r>
    </w:p>
    <w:p w14:paraId="2174DE3D">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评标标准相应的商务技术资料…………………………………………………（页码）</w:t>
      </w:r>
    </w:p>
    <w:p w14:paraId="2A215A77">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标的清单…………………………………………………………………………（页码）</w:t>
      </w:r>
    </w:p>
    <w:p w14:paraId="7B443091">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商务技术偏离表…………………………………………………………………（页码）</w:t>
      </w:r>
    </w:p>
    <w:p w14:paraId="1E64F72F">
      <w:pPr>
        <w:numPr>
          <w:ilvl w:val="0"/>
          <w:numId w:val="34"/>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政府采购供应商廉洁自律承诺书</w:t>
      </w:r>
      <w:r>
        <w:rPr>
          <w:rFonts w:hint="eastAsia" w:ascii="仿宋" w:hAnsi="仿宋" w:eastAsia="仿宋" w:cs="仿宋"/>
          <w:color w:val="000000" w:themeColor="text1"/>
          <w:sz w:val="24"/>
          <w:highlight w:val="none"/>
          <w14:textFill>
            <w14:solidFill>
              <w14:schemeClr w14:val="tx1"/>
            </w14:solidFill>
          </w14:textFill>
        </w:rPr>
        <w:t>………………………………………………（页码）</w:t>
      </w:r>
    </w:p>
    <w:p w14:paraId="29AD7180">
      <w:pPr>
        <w:rPr>
          <w:rFonts w:hint="eastAsia" w:ascii="仿宋" w:hAnsi="仿宋" w:eastAsia="仿宋" w:cs="仿宋"/>
          <w:color w:val="000000" w:themeColor="text1"/>
          <w:sz w:val="24"/>
          <w:highlight w:val="none"/>
          <w:lang w:val="zh-CN"/>
          <w14:textFill>
            <w14:solidFill>
              <w14:schemeClr w14:val="tx1"/>
            </w14:solidFill>
          </w14:textFill>
        </w:rPr>
      </w:pPr>
    </w:p>
    <w:p w14:paraId="01CAFCA8">
      <w:pPr>
        <w:rPr>
          <w:rFonts w:hint="eastAsia" w:ascii="仿宋" w:hAnsi="仿宋" w:eastAsia="仿宋" w:cs="仿宋"/>
          <w:color w:val="000000" w:themeColor="text1"/>
          <w:highlight w:val="none"/>
          <w:lang w:val="zh-CN"/>
          <w14:textFill>
            <w14:solidFill>
              <w14:schemeClr w14:val="tx1"/>
            </w14:solidFill>
          </w14:textFill>
        </w:rPr>
      </w:pPr>
    </w:p>
    <w:p w14:paraId="00A7C2F2">
      <w:pPr>
        <w:rPr>
          <w:rFonts w:hint="eastAsia" w:ascii="仿宋" w:hAnsi="仿宋" w:eastAsia="仿宋" w:cs="仿宋"/>
          <w:color w:val="000000" w:themeColor="text1"/>
          <w:highlight w:val="none"/>
          <w:lang w:val="zh-CN"/>
          <w14:textFill>
            <w14:solidFill>
              <w14:schemeClr w14:val="tx1"/>
            </w14:solidFill>
          </w14:textFill>
        </w:rPr>
      </w:pPr>
    </w:p>
    <w:p w14:paraId="174E04A8">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060F63F8">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一、响应函</w:t>
      </w:r>
    </w:p>
    <w:p w14:paraId="736504E0">
      <w:p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sz w:val="24"/>
          <w:highlight w:val="none"/>
          <w14:textFill>
            <w14:solidFill>
              <w14:schemeClr w14:val="tx1"/>
            </w14:solidFill>
          </w14:textFill>
        </w:rPr>
        <w:t>：</w:t>
      </w:r>
    </w:p>
    <w:p w14:paraId="4BCD28F1">
      <w:pPr>
        <w:snapToGrid w:val="0"/>
        <w:spacing w:line="3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我方参加你方组织的</w:t>
      </w:r>
      <w:r>
        <w:rPr>
          <w:rFonts w:hint="eastAsia" w:ascii="仿宋" w:hAnsi="仿宋" w:eastAsia="仿宋" w:cs="仿宋"/>
          <w:color w:val="000000" w:themeColor="text1"/>
          <w:sz w:val="24"/>
          <w:highlight w:val="none"/>
          <w:u w:val="single"/>
          <w14:textFill>
            <w14:solidFill>
              <w14:schemeClr w14:val="tx1"/>
            </w14:solidFill>
          </w14:textFill>
        </w:rPr>
        <w:t>（项目名称）【编号：</w:t>
      </w:r>
      <w:r>
        <w:rPr>
          <w:rFonts w:hint="eastAsia" w:ascii="仿宋" w:hAnsi="仿宋" w:eastAsia="仿宋" w:cs="仿宋"/>
          <w:color w:val="000000" w:themeColor="text1"/>
          <w:sz w:val="24"/>
          <w:highlight w:val="none"/>
          <w:u w:val="single"/>
          <w:lang w:eastAsia="zh-CN"/>
          <w14:textFill>
            <w14:solidFill>
              <w14:schemeClr w14:val="tx1"/>
            </w14:solidFill>
          </w14:textFill>
        </w:rPr>
        <w:t>ZJ-2463292</w:t>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竞争性磋商的有关活动，并对此项目进行响应。为此：</w:t>
      </w:r>
    </w:p>
    <w:p w14:paraId="12489E38">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我方承诺响应有效期从提交响应文件的截止之日起</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天（不少于90天）</w:t>
      </w: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本响应文件在响应有效期满之前均具有约束力。</w:t>
      </w:r>
    </w:p>
    <w:p w14:paraId="7CB1F28F">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我方的响应文件包括以下内容：</w:t>
      </w:r>
    </w:p>
    <w:p w14:paraId="2D5E5C52">
      <w:pPr>
        <w:numPr>
          <w:ilvl w:val="1"/>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资格文件：</w:t>
      </w:r>
    </w:p>
    <w:p w14:paraId="22110657">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符合参加政府采购活动应当具备的一般条件的承诺函；</w:t>
      </w:r>
    </w:p>
    <w:p w14:paraId="6E11D7C4">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联合协议（如果有）；</w:t>
      </w:r>
    </w:p>
    <w:p w14:paraId="4563DF2D">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落实政府采购政策需满足的资格要求（如果有）；</w:t>
      </w:r>
    </w:p>
    <w:p w14:paraId="26692F88">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本项目的特定资格要求（如果有）。</w:t>
      </w:r>
    </w:p>
    <w:p w14:paraId="15019CA7">
      <w:pPr>
        <w:numPr>
          <w:ilvl w:val="1"/>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商务技术</w:t>
      </w:r>
      <w:r>
        <w:rPr>
          <w:rFonts w:hint="eastAsia" w:ascii="仿宋" w:hAnsi="仿宋" w:eastAsia="仿宋" w:cs="仿宋"/>
          <w:bCs/>
          <w:color w:val="000000" w:themeColor="text1"/>
          <w:sz w:val="24"/>
          <w:highlight w:val="none"/>
          <w:lang w:val="zh-CN"/>
          <w14:textFill>
            <w14:solidFill>
              <w14:schemeClr w14:val="tx1"/>
            </w14:solidFill>
          </w14:textFill>
        </w:rPr>
        <w:t>文件：</w:t>
      </w:r>
    </w:p>
    <w:p w14:paraId="7D0D6B62">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响应函；</w:t>
      </w:r>
      <w:r>
        <w:rPr>
          <w:rFonts w:hint="eastAsia" w:ascii="仿宋" w:hAnsi="仿宋" w:eastAsia="仿宋" w:cs="仿宋"/>
          <w:bCs/>
          <w:color w:val="000000" w:themeColor="text1"/>
          <w:sz w:val="24"/>
          <w:highlight w:val="none"/>
          <w:lang w:val="zh-CN"/>
          <w14:textFill>
            <w14:solidFill>
              <w14:schemeClr w14:val="tx1"/>
            </w14:solidFill>
          </w14:textFill>
        </w:rPr>
        <w:t xml:space="preserve"> </w:t>
      </w:r>
    </w:p>
    <w:p w14:paraId="114F6FA8">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授权委托书或法定代表人（单位负责人、自然人本人）身份证明；</w:t>
      </w:r>
    </w:p>
    <w:p w14:paraId="7E6520BE">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分包意向协议（如果有）；</w:t>
      </w:r>
    </w:p>
    <w:p w14:paraId="64DCB7F3">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符合性审查资料；</w:t>
      </w:r>
    </w:p>
    <w:p w14:paraId="2BF6A4A1">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评标标准相应的商务技术资料；</w:t>
      </w:r>
    </w:p>
    <w:p w14:paraId="2059F995">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商务技术偏离表；</w:t>
      </w:r>
    </w:p>
    <w:p w14:paraId="7568C072">
      <w:pPr>
        <w:numPr>
          <w:ilvl w:val="2"/>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政府采购供应商廉洁自律承诺书。</w:t>
      </w:r>
    </w:p>
    <w:p w14:paraId="67828904">
      <w:pPr>
        <w:numPr>
          <w:ilvl w:val="1"/>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报价文件： </w:t>
      </w:r>
    </w:p>
    <w:p w14:paraId="69EE41BE">
      <w:pPr>
        <w:numPr>
          <w:ilvl w:val="2"/>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初始报价一览表；</w:t>
      </w:r>
    </w:p>
    <w:p w14:paraId="608256FA">
      <w:pPr>
        <w:numPr>
          <w:ilvl w:val="2"/>
          <w:numId w:val="36"/>
        </w:numPr>
        <w:snapToGrid w:val="0"/>
        <w:spacing w:line="360" w:lineRule="exact"/>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已标价工程量清单（如果有）；</w:t>
      </w:r>
    </w:p>
    <w:p w14:paraId="4AC2CF01">
      <w:pPr>
        <w:numPr>
          <w:ilvl w:val="2"/>
          <w:numId w:val="36"/>
        </w:numPr>
        <w:snapToGrid w:val="0"/>
        <w:spacing w:line="360" w:lineRule="exact"/>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中小企业声明函</w:t>
      </w:r>
      <w:r>
        <w:rPr>
          <w:rFonts w:hint="eastAsia" w:ascii="仿宋" w:hAnsi="仿宋" w:eastAsia="仿宋" w:cs="仿宋"/>
          <w:bCs/>
          <w:color w:val="000000" w:themeColor="text1"/>
          <w:sz w:val="24"/>
          <w:highlight w:val="none"/>
          <w14:textFill>
            <w14:solidFill>
              <w14:schemeClr w14:val="tx1"/>
            </w14:solidFill>
          </w14:textFill>
        </w:rPr>
        <w:t>（如果有）</w:t>
      </w:r>
      <w:r>
        <w:rPr>
          <w:rFonts w:hint="eastAsia" w:ascii="仿宋" w:hAnsi="仿宋" w:eastAsia="仿宋" w:cs="仿宋"/>
          <w:bCs/>
          <w:color w:val="000000" w:themeColor="text1"/>
          <w:sz w:val="24"/>
          <w:highlight w:val="none"/>
          <w:lang w:val="zh-CN"/>
          <w14:textFill>
            <w14:solidFill>
              <w14:schemeClr w14:val="tx1"/>
            </w14:solidFill>
          </w14:textFill>
        </w:rPr>
        <w:t>。</w:t>
      </w:r>
    </w:p>
    <w:p w14:paraId="5C76D758">
      <w:pPr>
        <w:snapToGrid w:val="0"/>
        <w:spacing w:line="360" w:lineRule="exact"/>
        <w:ind w:firstLine="42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我方承诺除商务技术偏离表列出的偏离外，我方响应磋商文件的全部要求。</w:t>
      </w:r>
    </w:p>
    <w:p w14:paraId="116DA691">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如我方成交，我方承诺：</w:t>
      </w:r>
    </w:p>
    <w:p w14:paraId="2227877B">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在收到成交通知书后，在成交通知书规定的期限内与你方签订合同； </w:t>
      </w:r>
    </w:p>
    <w:p w14:paraId="01DB0E8C">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在签订合同时不向你方提出附加条件； </w:t>
      </w:r>
    </w:p>
    <w:p w14:paraId="18100752">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按照磋商文件要求提交履约保证金； </w:t>
      </w:r>
    </w:p>
    <w:p w14:paraId="43BC8FA5">
      <w:pPr>
        <w:numPr>
          <w:ilvl w:val="1"/>
          <w:numId w:val="37"/>
        </w:numPr>
        <w:snapToGrid w:val="0"/>
        <w:spacing w:line="360" w:lineRule="exact"/>
        <w:ind w:hanging="430"/>
        <w:rPr>
          <w:rFonts w:hint="eastAsia" w:ascii="仿宋" w:hAnsi="仿宋" w:eastAsia="仿宋" w:cs="仿宋"/>
          <w:bCs/>
          <w:color w:val="000000" w:themeColor="text1"/>
          <w:sz w:val="24"/>
          <w:highlight w:val="none"/>
          <w:lang w:val="zh-CN"/>
          <w14:textFill>
            <w14:solidFill>
              <w14:schemeClr w14:val="tx1"/>
            </w14:solidFill>
          </w14:textFill>
        </w:rPr>
      </w:pPr>
      <w:r>
        <w:rPr>
          <w:rFonts w:hint="eastAsia" w:ascii="仿宋" w:hAnsi="仿宋" w:eastAsia="仿宋" w:cs="仿宋"/>
          <w:bCs/>
          <w:color w:val="000000" w:themeColor="text1"/>
          <w:sz w:val="24"/>
          <w:highlight w:val="none"/>
          <w:lang w:val="zh-CN"/>
          <w14:textFill>
            <w14:solidFill>
              <w14:schemeClr w14:val="tx1"/>
            </w14:solidFill>
          </w14:textFill>
        </w:rPr>
        <w:t xml:space="preserve">在合同约定的期限内完成合同规定的全部义务。 </w:t>
      </w:r>
    </w:p>
    <w:p w14:paraId="090A5884">
      <w:pPr>
        <w:numPr>
          <w:ilvl w:val="0"/>
          <w:numId w:val="35"/>
        </w:numPr>
        <w:snapToGrid w:val="0"/>
        <w:spacing w:line="3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其他补充说明: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p>
    <w:p w14:paraId="2B51636A">
      <w:pPr>
        <w:autoSpaceDE w:val="0"/>
        <w:autoSpaceDN w:val="0"/>
        <w:snapToGrid w:val="0"/>
        <w:spacing w:line="360" w:lineRule="exact"/>
        <w:ind w:firstLine="3960" w:firstLineChars="1650"/>
        <w:rPr>
          <w:rFonts w:hint="eastAsia" w:ascii="仿宋" w:hAnsi="仿宋" w:eastAsia="仿宋" w:cs="仿宋"/>
          <w:color w:val="000000" w:themeColor="text1"/>
          <w:kern w:val="0"/>
          <w:sz w:val="24"/>
          <w:highlight w:val="none"/>
          <w:lang w:val="zh-CN"/>
          <w14:textFill>
            <w14:solidFill>
              <w14:schemeClr w14:val="tx1"/>
            </w14:solidFill>
          </w14:textFill>
        </w:rPr>
      </w:pPr>
    </w:p>
    <w:p w14:paraId="38869B43">
      <w:pPr>
        <w:pStyle w:val="24"/>
        <w:ind w:firstLine="420"/>
        <w:rPr>
          <w:rFonts w:hint="eastAsia" w:ascii="仿宋" w:hAnsi="仿宋" w:eastAsia="仿宋" w:cs="仿宋"/>
          <w:color w:val="000000" w:themeColor="text1"/>
          <w:highlight w:val="none"/>
          <w:lang w:val="zh-CN"/>
          <w14:textFill>
            <w14:solidFill>
              <w14:schemeClr w14:val="tx1"/>
            </w14:solidFill>
          </w14:textFill>
        </w:rPr>
      </w:pPr>
    </w:p>
    <w:p w14:paraId="6EED3685">
      <w:pPr>
        <w:snapToGrid w:val="0"/>
        <w:spacing w:line="360" w:lineRule="exact"/>
        <w:ind w:firstLine="3600" w:firstLineChars="15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供应商名称（电子签名）：                          </w:t>
      </w:r>
    </w:p>
    <w:p w14:paraId="267C172E">
      <w:pPr>
        <w:snapToGrid w:val="0"/>
        <w:spacing w:line="36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日期：  年   月   日</w:t>
      </w:r>
    </w:p>
    <w:p w14:paraId="060D9DE2">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3EE48EAA">
      <w:pPr>
        <w:widowControl/>
        <w:adjustRightInd/>
        <w:jc w:val="left"/>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5902EB3F">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二、授权委托书或法定代表人（单位负责人、自然人本人）身份证明</w:t>
      </w:r>
    </w:p>
    <w:p w14:paraId="704F434A">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授权委托书（适用于非联合体响应）</w:t>
      </w:r>
    </w:p>
    <w:p w14:paraId="42922B7E">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7D7B71AB">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60BAF08B">
      <w:pPr>
        <w:snapToGrid w:val="0"/>
        <w:spacing w:line="360" w:lineRule="auto"/>
        <w:ind w:firstLine="576"/>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现</w:t>
      </w:r>
      <w:r>
        <w:rPr>
          <w:rFonts w:hint="eastAsia" w:ascii="仿宋" w:hAnsi="仿宋" w:eastAsia="仿宋" w:cs="仿宋"/>
          <w:color w:val="000000" w:themeColor="text1"/>
          <w:kern w:val="0"/>
          <w:sz w:val="24"/>
          <w:highlight w:val="none"/>
          <w:lang w:val="zh-CN"/>
          <w14:textFill>
            <w14:solidFill>
              <w14:schemeClr w14:val="tx1"/>
            </w14:solidFill>
          </w14:textFill>
        </w:rPr>
        <w:t>委托</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（姓名）为我方代理人（身份证号码：</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，手机：</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），以我方名义处理</w:t>
      </w:r>
      <w:r>
        <w:rPr>
          <w:rFonts w:hint="eastAsia" w:ascii="仿宋" w:hAnsi="仿宋" w:eastAsia="仿宋" w:cs="仿宋"/>
          <w:color w:val="000000" w:themeColor="text1"/>
          <w:sz w:val="24"/>
          <w:highlight w:val="none"/>
          <w14:textFill>
            <w14:solidFill>
              <w14:schemeClr w14:val="tx1"/>
            </w14:solidFill>
          </w14:textFill>
        </w:rPr>
        <w:t>（项目名称）【编号：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政府采购响应的一切事项，其法律后果由我方承担。</w:t>
      </w:r>
    </w:p>
    <w:p w14:paraId="02229329">
      <w:pPr>
        <w:snapToGrid w:val="0"/>
        <w:spacing w:line="360" w:lineRule="auto"/>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委托期限</w:t>
      </w:r>
      <w:r>
        <w:rPr>
          <w:rFonts w:hint="eastAsia" w:ascii="仿宋" w:hAnsi="仿宋" w:eastAsia="仿宋" w:cs="仿宋"/>
          <w:color w:val="000000" w:themeColor="text1"/>
          <w:kern w:val="0"/>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自</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日起至</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日止。</w:t>
      </w:r>
    </w:p>
    <w:p w14:paraId="64792916">
      <w:pPr>
        <w:snapToGrid w:val="0"/>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特此告知。</w:t>
      </w:r>
    </w:p>
    <w:p w14:paraId="6BD8F2E5">
      <w:pPr>
        <w:pStyle w:val="22"/>
        <w:rPr>
          <w:rFonts w:hint="eastAsia" w:ascii="仿宋" w:hAnsi="仿宋" w:eastAsia="仿宋" w:cs="仿宋"/>
          <w:color w:val="000000" w:themeColor="text1"/>
          <w:highlight w:val="none"/>
          <w14:textFill>
            <w14:solidFill>
              <w14:schemeClr w14:val="tx1"/>
            </w14:solidFill>
          </w14:textFill>
        </w:rPr>
      </w:pPr>
    </w:p>
    <w:p w14:paraId="58D6CAB4">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w:t>
      </w:r>
    </w:p>
    <w:p w14:paraId="32A4D064">
      <w:pPr>
        <w:snapToGrid w:val="0"/>
        <w:spacing w:line="360" w:lineRule="auto"/>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签发日期：  年  月   日</w:t>
      </w:r>
    </w:p>
    <w:p w14:paraId="028DE3BD">
      <w:pPr>
        <w:snapToGrid w:val="0"/>
        <w:spacing w:line="360" w:lineRule="auto"/>
        <w:rPr>
          <w:rFonts w:hint="eastAsia" w:ascii="仿宋" w:hAnsi="仿宋" w:eastAsia="仿宋" w:cs="仿宋"/>
          <w:color w:val="000000" w:themeColor="text1"/>
          <w:kern w:val="0"/>
          <w:sz w:val="24"/>
          <w:highlight w:val="none"/>
          <w:lang w:val="zh-CN"/>
          <w14:textFill>
            <w14:solidFill>
              <w14:schemeClr w14:val="tx1"/>
            </w14:solidFill>
          </w14:textFill>
        </w:rPr>
      </w:pPr>
    </w:p>
    <w:p w14:paraId="45D4AD44">
      <w:pPr>
        <w:widowControl/>
        <w:adjustRightInd/>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授权委托书（适用于联合体响应）</w:t>
      </w:r>
    </w:p>
    <w:p w14:paraId="7489D558">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3A1CC7A3">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7D64663A">
      <w:pPr>
        <w:snapToGrid w:val="0"/>
        <w:spacing w:line="360" w:lineRule="auto"/>
        <w:ind w:firstLine="576"/>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现</w:t>
      </w:r>
      <w:r>
        <w:rPr>
          <w:rFonts w:hint="eastAsia" w:ascii="仿宋" w:hAnsi="仿宋" w:eastAsia="仿宋" w:cs="仿宋"/>
          <w:color w:val="000000" w:themeColor="text1"/>
          <w:kern w:val="0"/>
          <w:sz w:val="24"/>
          <w:highlight w:val="none"/>
          <w:lang w:val="zh-CN"/>
          <w14:textFill>
            <w14:solidFill>
              <w14:schemeClr w14:val="tx1"/>
            </w14:solidFill>
          </w14:textFill>
        </w:rPr>
        <w:t>委托</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（姓名）为我方代理人（身份证号码：</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，手机：</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），以我方名义处理</w:t>
      </w:r>
      <w:r>
        <w:rPr>
          <w:rFonts w:hint="eastAsia" w:ascii="仿宋" w:hAnsi="仿宋" w:eastAsia="仿宋" w:cs="仿宋"/>
          <w:color w:val="000000" w:themeColor="text1"/>
          <w:sz w:val="24"/>
          <w:highlight w:val="none"/>
          <w14:textFill>
            <w14:solidFill>
              <w14:schemeClr w14:val="tx1"/>
            </w14:solidFill>
          </w14:textFill>
        </w:rPr>
        <w:t>（项目名称）【编号：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政府采购响应的一切事项，其法律后果由我方承担。</w:t>
      </w:r>
    </w:p>
    <w:p w14:paraId="19DB33DB">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委托期限</w:t>
      </w:r>
      <w:r>
        <w:rPr>
          <w:rFonts w:hint="eastAsia" w:ascii="仿宋" w:hAnsi="仿宋" w:eastAsia="仿宋" w:cs="仿宋"/>
          <w:color w:val="000000" w:themeColor="text1"/>
          <w:kern w:val="0"/>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自</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日起至</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日止。</w:t>
      </w:r>
    </w:p>
    <w:p w14:paraId="39B4CA44">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特此告知。</w:t>
      </w:r>
    </w:p>
    <w:p w14:paraId="2539DD49">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8FD49A3">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2DC784F6">
      <w:pPr>
        <w:rPr>
          <w:rFonts w:hint="eastAsia" w:ascii="仿宋" w:hAnsi="仿宋" w:eastAsia="仿宋" w:cs="仿宋"/>
          <w:color w:val="000000" w:themeColor="text1"/>
          <w:highlight w:val="none"/>
          <w14:textFill>
            <w14:solidFill>
              <w14:schemeClr w14:val="tx1"/>
            </w14:solidFill>
          </w14:textFill>
        </w:rPr>
      </w:pPr>
    </w:p>
    <w:p w14:paraId="0E25F52C">
      <w:pPr>
        <w:snapToGrid w:val="0"/>
        <w:spacing w:line="360" w:lineRule="auto"/>
        <w:ind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594C5371">
      <w:pPr>
        <w:snapToGrid w:val="0"/>
        <w:spacing w:line="360" w:lineRule="auto"/>
        <w:ind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2D3469AE">
      <w:pPr>
        <w:snapToGrid w:val="0"/>
        <w:spacing w:line="360" w:lineRule="auto"/>
        <w:ind w:firstLine="5760" w:firstLineChars="24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3225D7FD">
      <w:pPr>
        <w:snapToGrid w:val="0"/>
        <w:spacing w:line="360" w:lineRule="auto"/>
        <w:jc w:val="center"/>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20FC56EA">
      <w:pP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br w:type="page"/>
      </w:r>
    </w:p>
    <w:p w14:paraId="78E658E4">
      <w:pPr>
        <w:autoSpaceDE w:val="0"/>
        <w:autoSpaceDN w:val="0"/>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法定代表人、单位负责人或自然人本人</w:t>
      </w:r>
      <w:r>
        <w:rPr>
          <w:rFonts w:hint="eastAsia" w:ascii="仿宋" w:hAnsi="仿宋" w:eastAsia="仿宋" w:cs="仿宋"/>
          <w:b/>
          <w:color w:val="000000" w:themeColor="text1"/>
          <w:sz w:val="30"/>
          <w:szCs w:val="30"/>
          <w:highlight w:val="none"/>
          <w14:textFill>
            <w14:solidFill>
              <w14:schemeClr w14:val="tx1"/>
            </w14:solidFill>
          </w14:textFill>
        </w:rPr>
        <w:t>的身份证明（适用于法定代表人、单位负责人或者自然人本人代表供应商参加响应）</w:t>
      </w:r>
    </w:p>
    <w:p w14:paraId="1F2D1936">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2FBA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9207" w:type="dxa"/>
          </w:tcPr>
          <w:p w14:paraId="3EC85608">
            <w:pPr>
              <w:pStyle w:val="619"/>
              <w:adjustRightIn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正面：                                 反面：</w:t>
            </w:r>
          </w:p>
          <w:p w14:paraId="3BF813C7">
            <w:pPr>
              <w:pStyle w:val="619"/>
              <w:adjustRightInd w:val="0"/>
              <w:spacing w:line="360" w:lineRule="auto"/>
              <w:rPr>
                <w:rFonts w:hint="eastAsia" w:ascii="仿宋" w:hAnsi="仿宋" w:eastAsia="仿宋" w:cs="仿宋"/>
                <w:bCs/>
                <w:color w:val="000000" w:themeColor="text1"/>
                <w:sz w:val="24"/>
                <w:highlight w:val="none"/>
                <w14:textFill>
                  <w14:solidFill>
                    <w14:schemeClr w14:val="tx1"/>
                  </w14:solidFill>
                </w14:textFill>
              </w:rPr>
            </w:pPr>
          </w:p>
        </w:tc>
      </w:tr>
    </w:tbl>
    <w:p w14:paraId="11368E12">
      <w:pPr>
        <w:snapToGrid w:val="0"/>
        <w:spacing w:line="360" w:lineRule="auto"/>
        <w:ind w:firstLine="576"/>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p>
    <w:p w14:paraId="0CCD4CA1">
      <w:pPr>
        <w:snapToGrid w:val="0"/>
        <w:spacing w:line="360" w:lineRule="auto"/>
        <w:ind w:firstLine="576"/>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                              </w:t>
      </w:r>
    </w:p>
    <w:p w14:paraId="6963F3CD">
      <w:pPr>
        <w:spacing w:line="360" w:lineRule="auto"/>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48B88596">
      <w:pPr>
        <w:pStyle w:val="22"/>
        <w:rPr>
          <w:rFonts w:hint="eastAsia" w:ascii="仿宋" w:hAnsi="仿宋" w:eastAsia="仿宋" w:cs="仿宋"/>
          <w:color w:val="000000" w:themeColor="text1"/>
          <w:highlight w:val="none"/>
          <w14:textFill>
            <w14:solidFill>
              <w14:schemeClr w14:val="tx1"/>
            </w14:solidFill>
          </w14:textFill>
        </w:rPr>
      </w:pPr>
    </w:p>
    <w:p w14:paraId="50BE0DA9">
      <w:pPr>
        <w:autoSpaceDE w:val="0"/>
        <w:autoSpaceDN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30"/>
          <w:szCs w:val="30"/>
          <w:highlight w:val="none"/>
          <w14:textFill>
            <w14:solidFill>
              <w14:schemeClr w14:val="tx1"/>
            </w14:solidFill>
          </w14:textFill>
        </w:rPr>
        <w:t>授权代表的身份证（复印件）</w:t>
      </w:r>
    </w:p>
    <w:p w14:paraId="2622642C">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授权代表身份证件扫描件：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4751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2" w:hRule="atLeast"/>
          <w:jc w:val="center"/>
        </w:trPr>
        <w:tc>
          <w:tcPr>
            <w:tcW w:w="9207" w:type="dxa"/>
            <w:shd w:val="clear" w:color="auto" w:fill="auto"/>
          </w:tcPr>
          <w:p w14:paraId="7FFD1793">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正面：                                 反面：</w:t>
            </w:r>
          </w:p>
          <w:p w14:paraId="05F1D1FF">
            <w:pPr>
              <w:pStyle w:val="619"/>
              <w:spacing w:line="360" w:lineRule="auto"/>
              <w:rPr>
                <w:rFonts w:hint="eastAsia" w:ascii="仿宋" w:hAnsi="仿宋" w:eastAsia="仿宋" w:cs="仿宋"/>
                <w:bCs/>
                <w:color w:val="000000" w:themeColor="text1"/>
                <w:sz w:val="24"/>
                <w:highlight w:val="none"/>
                <w14:textFill>
                  <w14:solidFill>
                    <w14:schemeClr w14:val="tx1"/>
                  </w14:solidFill>
                </w14:textFill>
              </w:rPr>
            </w:pPr>
          </w:p>
        </w:tc>
      </w:tr>
    </w:tbl>
    <w:p w14:paraId="3BF05133">
      <w:pPr>
        <w:snapToGrid w:val="0"/>
        <w:spacing w:line="360" w:lineRule="auto"/>
        <w:ind w:firstLine="576"/>
        <w:jc w:val="right"/>
        <w:rPr>
          <w:rFonts w:hint="eastAsia" w:ascii="仿宋" w:hAnsi="仿宋" w:eastAsia="仿宋" w:cs="仿宋"/>
          <w:color w:val="000000" w:themeColor="text1"/>
          <w:kern w:val="0"/>
          <w:sz w:val="24"/>
          <w:highlight w:val="none"/>
          <w:lang w:val="zh-CN"/>
          <w14:textFill>
            <w14:solidFill>
              <w14:schemeClr w14:val="tx1"/>
            </w14:solidFill>
          </w14:textFill>
        </w:rPr>
      </w:pPr>
    </w:p>
    <w:p w14:paraId="1A99F8A1">
      <w:pPr>
        <w:snapToGrid w:val="0"/>
        <w:spacing w:line="360" w:lineRule="auto"/>
        <w:ind w:firstLine="576"/>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                              </w:t>
      </w:r>
    </w:p>
    <w:p w14:paraId="5093C7AF">
      <w:pPr>
        <w:spacing w:line="360" w:lineRule="auto"/>
        <w:jc w:val="center"/>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w:t>
      </w:r>
    </w:p>
    <w:p w14:paraId="5C5D6995">
      <w:pPr>
        <w:snapToGrid w:val="0"/>
        <w:spacing w:line="360" w:lineRule="auto"/>
        <w:ind w:firstLine="576"/>
        <w:jc w:val="center"/>
        <w:rPr>
          <w:rFonts w:hint="eastAsia" w:ascii="仿宋" w:hAnsi="仿宋" w:eastAsia="仿宋" w:cs="仿宋"/>
          <w:color w:val="000000" w:themeColor="text1"/>
          <w:sz w:val="28"/>
          <w:szCs w:val="28"/>
          <w:highlight w:val="none"/>
          <w14:textFill>
            <w14:solidFill>
              <w14:schemeClr w14:val="tx1"/>
            </w14:solidFill>
          </w14:textFill>
        </w:rPr>
      </w:pPr>
    </w:p>
    <w:p w14:paraId="5A614A61">
      <w:pPr>
        <w:widowControl/>
        <w:adjustRightInd/>
        <w:jc w:val="left"/>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br w:type="page"/>
      </w:r>
    </w:p>
    <w:p w14:paraId="324853FA">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5486BE51">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三、分包意向协议（如果有）</w:t>
      </w:r>
    </w:p>
    <w:p w14:paraId="588AFE1F">
      <w:pPr>
        <w:widowControl/>
        <w:spacing w:line="360" w:lineRule="auto"/>
        <w:ind w:firstLine="120" w:firstLineChars="5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color w:val="000000" w:themeColor="text1"/>
          <w:sz w:val="24"/>
          <w:highlight w:val="none"/>
          <w14:textFill>
            <w14:solidFill>
              <w14:schemeClr w14:val="tx1"/>
            </w14:solidFill>
          </w14:textFill>
        </w:rPr>
        <w:t>成交后以分包方式履行合同的，提供分包意向协议（附件6）；采购人不同意分包或者供应商成交后不以分包方式履行合同的，则不需要提供。</w:t>
      </w:r>
      <w:r>
        <w:rPr>
          <w:rFonts w:hint="eastAsia" w:ascii="仿宋" w:hAnsi="仿宋" w:eastAsia="仿宋" w:cs="仿宋"/>
          <w:color w:val="000000" w:themeColor="text1"/>
          <w:sz w:val="24"/>
          <w:highlight w:val="none"/>
          <w14:textFill>
            <w14:solidFill>
              <w14:schemeClr w14:val="tx1"/>
            </w14:solidFill>
          </w14:textFill>
        </w:rPr>
        <w:t>）</w:t>
      </w:r>
    </w:p>
    <w:p w14:paraId="698317D4">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2B105AC3">
      <w:pPr>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br w:type="page"/>
      </w:r>
    </w:p>
    <w:p w14:paraId="73E9A0BA">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四、符合性审查资料</w:t>
      </w:r>
    </w:p>
    <w:p w14:paraId="04DFEA81">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tbl>
      <w:tblPr>
        <w:tblStyle w:val="60"/>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45"/>
        <w:gridCol w:w="2551"/>
        <w:gridCol w:w="1672"/>
      </w:tblGrid>
      <w:tr w14:paraId="6F714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5132532">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4245" w:type="dxa"/>
            <w:vAlign w:val="center"/>
          </w:tcPr>
          <w:p w14:paraId="5ED40F22">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实质性要求</w:t>
            </w:r>
          </w:p>
        </w:tc>
        <w:tc>
          <w:tcPr>
            <w:tcW w:w="2551" w:type="dxa"/>
            <w:vAlign w:val="center"/>
          </w:tcPr>
          <w:p w14:paraId="0463300C">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需要提供的符合性审查资料</w:t>
            </w:r>
          </w:p>
        </w:tc>
        <w:tc>
          <w:tcPr>
            <w:tcW w:w="1672" w:type="dxa"/>
            <w:vAlign w:val="center"/>
          </w:tcPr>
          <w:p w14:paraId="0D7974B8">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响应文件中的页码位置</w:t>
            </w:r>
          </w:p>
        </w:tc>
      </w:tr>
      <w:tr w14:paraId="5E74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A44E424">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w:t>
            </w:r>
          </w:p>
        </w:tc>
        <w:tc>
          <w:tcPr>
            <w:tcW w:w="4245" w:type="dxa"/>
            <w:vAlign w:val="center"/>
          </w:tcPr>
          <w:p w14:paraId="1A38CCFB">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响应文件按照磋商文件要求签署、盖章。</w:t>
            </w:r>
          </w:p>
        </w:tc>
        <w:tc>
          <w:tcPr>
            <w:tcW w:w="2551" w:type="dxa"/>
            <w:vAlign w:val="center"/>
          </w:tcPr>
          <w:p w14:paraId="7FAE7163">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需要使用电子签名或者签字盖章的响应文件的组成部分</w:t>
            </w:r>
          </w:p>
        </w:tc>
        <w:tc>
          <w:tcPr>
            <w:tcW w:w="1672" w:type="dxa"/>
            <w:vAlign w:val="center"/>
          </w:tcPr>
          <w:p w14:paraId="0AF27130">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见响应文件</w:t>
            </w:r>
          </w:p>
          <w:p w14:paraId="149680A6">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第</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页</w:t>
            </w:r>
          </w:p>
        </w:tc>
      </w:tr>
      <w:tr w14:paraId="34AB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47D8805">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w:t>
            </w:r>
          </w:p>
        </w:tc>
        <w:tc>
          <w:tcPr>
            <w:tcW w:w="4245" w:type="dxa"/>
            <w:vAlign w:val="center"/>
          </w:tcPr>
          <w:p w14:paraId="4AC239CA">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响应文件中承诺的响应有效期不少于磋商文件中载明的响应有效期。</w:t>
            </w:r>
          </w:p>
        </w:tc>
        <w:tc>
          <w:tcPr>
            <w:tcW w:w="2551" w:type="dxa"/>
            <w:vAlign w:val="center"/>
          </w:tcPr>
          <w:p w14:paraId="5A7A4675">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w:t>
            </w:r>
          </w:p>
        </w:tc>
        <w:tc>
          <w:tcPr>
            <w:tcW w:w="1672" w:type="dxa"/>
            <w:vAlign w:val="center"/>
          </w:tcPr>
          <w:p w14:paraId="6C1AB0D0">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见响应文件</w:t>
            </w:r>
          </w:p>
          <w:p w14:paraId="652AD73F">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第</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页</w:t>
            </w:r>
          </w:p>
        </w:tc>
      </w:tr>
      <w:tr w14:paraId="3DA8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AD59DED">
            <w:pPr>
              <w:snapToGrid w:val="0"/>
              <w:spacing w:line="400" w:lineRule="exact"/>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w:t>
            </w:r>
          </w:p>
        </w:tc>
        <w:tc>
          <w:tcPr>
            <w:tcW w:w="4245" w:type="dxa"/>
            <w:vAlign w:val="center"/>
          </w:tcPr>
          <w:p w14:paraId="2842ABEA">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响应文件满足磋商文件的其它实质性要求。</w:t>
            </w:r>
          </w:p>
        </w:tc>
        <w:tc>
          <w:tcPr>
            <w:tcW w:w="2551" w:type="dxa"/>
            <w:vAlign w:val="center"/>
          </w:tcPr>
          <w:p w14:paraId="0EB55E82">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磋商文件其它实质性要求相应的材料（“▲” 系指实质性要求条款，磋商文件无其它实质性要求的，无需提供）</w:t>
            </w:r>
          </w:p>
        </w:tc>
        <w:tc>
          <w:tcPr>
            <w:tcW w:w="1672" w:type="dxa"/>
            <w:vAlign w:val="center"/>
          </w:tcPr>
          <w:p w14:paraId="27E42E4A">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见响应文件</w:t>
            </w:r>
          </w:p>
          <w:p w14:paraId="377633F5">
            <w:pPr>
              <w:snapToGrid w:val="0"/>
              <w:spacing w:line="40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第</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页</w:t>
            </w:r>
          </w:p>
        </w:tc>
      </w:tr>
      <w:tr w14:paraId="2BD5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C480483">
            <w:pPr>
              <w:snapToGrid w:val="0"/>
              <w:spacing w:line="400" w:lineRule="exact"/>
              <w:jc w:val="center"/>
              <w:rPr>
                <w:rFonts w:hint="eastAsia"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4</w:t>
            </w:r>
          </w:p>
        </w:tc>
        <w:tc>
          <w:tcPr>
            <w:tcW w:w="4245" w:type="dxa"/>
            <w:vAlign w:val="center"/>
          </w:tcPr>
          <w:p w14:paraId="65EEFED3">
            <w:pPr>
              <w:snapToGrid w:val="0"/>
              <w:spacing w:line="4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本项目兼投不兼中。投标人可以同时参与两个标项，但是最多只能中一个标项。</w:t>
            </w:r>
          </w:p>
        </w:tc>
        <w:tc>
          <w:tcPr>
            <w:tcW w:w="2551" w:type="dxa"/>
            <w:vAlign w:val="center"/>
          </w:tcPr>
          <w:p w14:paraId="792ADC4C">
            <w:pPr>
              <w:snapToGrid w:val="0"/>
              <w:spacing w:line="400" w:lineRule="exact"/>
              <w:jc w:val="center"/>
              <w:rPr>
                <w:rFonts w:hint="default" w:ascii="仿宋" w:hAnsi="仿宋" w:eastAsia="仿宋" w:cs="仿宋"/>
                <w:color w:val="000000" w:themeColor="text1"/>
                <w:kern w:val="0"/>
                <w:sz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highlight w:val="none"/>
                <w:lang w:val="en-US" w:eastAsia="zh-CN"/>
                <w14:textFill>
                  <w14:solidFill>
                    <w14:schemeClr w14:val="tx1"/>
                  </w14:solidFill>
                </w14:textFill>
              </w:rPr>
              <w:t>/</w:t>
            </w:r>
          </w:p>
        </w:tc>
        <w:tc>
          <w:tcPr>
            <w:tcW w:w="1672" w:type="dxa"/>
            <w:vAlign w:val="center"/>
          </w:tcPr>
          <w:p w14:paraId="6DC8B22B">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en-US" w:eastAsia="zh-CN"/>
                <w14:textFill>
                  <w14:solidFill>
                    <w14:schemeClr w14:val="tx1"/>
                  </w14:solidFill>
                </w14:textFill>
              </w:rPr>
              <w:t>/</w:t>
            </w:r>
          </w:p>
        </w:tc>
      </w:tr>
    </w:tbl>
    <w:p w14:paraId="5B1EE5FF">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32739DEC">
      <w:pPr>
        <w:jc w:val="cente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 xml:space="preserve">            </w:t>
      </w:r>
    </w:p>
    <w:p w14:paraId="45E37923">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5F8256D">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5BBC74F">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9EE3AFB">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26265E96">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19E5B2B">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BC236AA">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A01F7F0">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475F0F5B">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573873D6">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11D9014F">
      <w:pPr>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7FEFBDCB">
      <w:pPr>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br w:type="page"/>
      </w:r>
    </w:p>
    <w:p w14:paraId="74E2DACF">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五、评标标准相应的商务技术资料</w:t>
      </w:r>
    </w:p>
    <w:p w14:paraId="451026CE">
      <w:pPr>
        <w:snapToGrid w:val="0"/>
        <w:spacing w:line="360" w:lineRule="auto"/>
        <w:jc w:val="left"/>
        <w:rPr>
          <w:rFonts w:hint="eastAsia" w:ascii="仿宋" w:hAnsi="仿宋" w:eastAsia="仿宋" w:cs="仿宋"/>
          <w:b/>
          <w:color w:val="000000" w:themeColor="text1"/>
          <w:sz w:val="24"/>
          <w:highlight w:val="none"/>
          <w14:textFill>
            <w14:solidFill>
              <w14:schemeClr w14:val="tx1"/>
            </w14:solidFill>
          </w14:textFill>
        </w:rPr>
      </w:pPr>
    </w:p>
    <w:p w14:paraId="6312BD04">
      <w:pPr>
        <w:snapToGrid w:val="0"/>
        <w:spacing w:line="360" w:lineRule="auto"/>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（按磋商文件第五部分评标办法前附表中“响应文件中评标标准相应的商务技术资料目录”提供资料）</w:t>
      </w:r>
    </w:p>
    <w:p w14:paraId="0971135E">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78777EA5">
      <w:pPr>
        <w:spacing w:line="360" w:lineRule="auto"/>
        <w:jc w:val="center"/>
        <w:rPr>
          <w:rFonts w:hint="eastAsia" w:ascii="仿宋" w:hAnsi="仿宋" w:eastAsia="仿宋" w:cs="仿宋"/>
          <w:b/>
          <w:bCs/>
          <w:color w:val="000000" w:themeColor="text1"/>
          <w:sz w:val="32"/>
          <w:szCs w:val="32"/>
          <w:highlight w:val="none"/>
          <w14:textFill>
            <w14:solidFill>
              <w14:schemeClr w14:val="tx1"/>
            </w14:solidFill>
          </w14:textFill>
        </w:rPr>
      </w:pPr>
    </w:p>
    <w:p w14:paraId="72141FD9">
      <w:pPr>
        <w:spacing w:line="360" w:lineRule="auto"/>
        <w:rPr>
          <w:rFonts w:hint="eastAsia" w:ascii="仿宋" w:hAnsi="仿宋" w:eastAsia="仿宋" w:cs="仿宋"/>
          <w:b/>
          <w:bCs/>
          <w:color w:val="000000" w:themeColor="text1"/>
          <w:kern w:val="0"/>
          <w:sz w:val="24"/>
          <w:highlight w:val="none"/>
          <w14:textFill>
            <w14:solidFill>
              <w14:schemeClr w14:val="tx1"/>
            </w14:solidFill>
          </w14:textFill>
        </w:rPr>
      </w:pPr>
    </w:p>
    <w:p w14:paraId="5462834B">
      <w:pPr>
        <w:widowControl/>
        <w:adjustRightInd/>
        <w:jc w:val="lef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32DA92B8">
      <w:pPr>
        <w:pStyle w:val="24"/>
        <w:ind w:firstLine="420"/>
        <w:rPr>
          <w:rFonts w:hint="eastAsia" w:ascii="仿宋" w:hAnsi="仿宋" w:eastAsia="仿宋" w:cs="仿宋"/>
          <w:color w:val="000000" w:themeColor="text1"/>
          <w:highlight w:val="none"/>
          <w14:textFill>
            <w14:solidFill>
              <w14:schemeClr w14:val="tx1"/>
            </w14:solidFill>
          </w14:textFill>
        </w:rPr>
      </w:pPr>
    </w:p>
    <w:p w14:paraId="480D11F4">
      <w:pPr>
        <w:rPr>
          <w:rFonts w:hint="eastAsia" w:ascii="仿宋" w:hAnsi="仿宋" w:eastAsia="仿宋" w:cs="仿宋"/>
          <w:b/>
          <w:color w:val="000000" w:themeColor="text1"/>
          <w:kern w:val="0"/>
          <w:sz w:val="32"/>
          <w:szCs w:val="32"/>
          <w:highlight w:val="none"/>
          <w:lang w:val="zh-CN"/>
          <w14:textFill>
            <w14:solidFill>
              <w14:schemeClr w14:val="tx1"/>
            </w14:solidFill>
          </w14:textFill>
        </w:rPr>
      </w:pPr>
    </w:p>
    <w:p w14:paraId="1F485092">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六、商务技术偏离表</w:t>
      </w:r>
    </w:p>
    <w:p w14:paraId="37746D6D">
      <w:pPr>
        <w:jc w:val="center"/>
        <w:rPr>
          <w:rFonts w:hint="eastAsia" w:ascii="仿宋" w:hAnsi="仿宋" w:eastAsia="仿宋" w:cs="仿宋"/>
          <w:b/>
          <w:bCs/>
          <w:color w:val="000000" w:themeColor="text1"/>
          <w:sz w:val="24"/>
          <w:highlight w:val="none"/>
          <w14:textFill>
            <w14:solidFill>
              <w14:schemeClr w14:val="tx1"/>
            </w14:solidFill>
          </w14:textFill>
        </w:rPr>
      </w:pPr>
    </w:p>
    <w:tbl>
      <w:tblPr>
        <w:tblStyle w:val="6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681F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405D3A36">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序号</w:t>
            </w:r>
          </w:p>
        </w:tc>
        <w:tc>
          <w:tcPr>
            <w:tcW w:w="3683" w:type="dxa"/>
            <w:vAlign w:val="center"/>
          </w:tcPr>
          <w:p w14:paraId="4003A1C0">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磋商文件章节及具体内容</w:t>
            </w:r>
          </w:p>
        </w:tc>
        <w:tc>
          <w:tcPr>
            <w:tcW w:w="3546" w:type="dxa"/>
            <w:vAlign w:val="center"/>
          </w:tcPr>
          <w:p w14:paraId="3E2D8C8C">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响应文件章节及具体内容</w:t>
            </w:r>
          </w:p>
        </w:tc>
        <w:tc>
          <w:tcPr>
            <w:tcW w:w="1276" w:type="dxa"/>
            <w:vAlign w:val="center"/>
          </w:tcPr>
          <w:p w14:paraId="418BBD72">
            <w:pPr>
              <w:snapToGrid w:val="0"/>
              <w:spacing w:line="40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偏离说明</w:t>
            </w:r>
          </w:p>
        </w:tc>
      </w:tr>
      <w:tr w14:paraId="44B09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756510CD">
            <w:pPr>
              <w:snapToGrid w:val="0"/>
              <w:spacing w:line="40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w:t>
            </w:r>
          </w:p>
        </w:tc>
        <w:tc>
          <w:tcPr>
            <w:tcW w:w="3683" w:type="dxa"/>
            <w:vAlign w:val="center"/>
          </w:tcPr>
          <w:p w14:paraId="632D42A6">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3546" w:type="dxa"/>
            <w:vAlign w:val="center"/>
          </w:tcPr>
          <w:p w14:paraId="42F65D05">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1276" w:type="dxa"/>
            <w:vAlign w:val="center"/>
          </w:tcPr>
          <w:p w14:paraId="1361799E">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r>
      <w:tr w14:paraId="79C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6F12D8F5">
            <w:pPr>
              <w:snapToGrid w:val="0"/>
              <w:spacing w:line="40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2</w:t>
            </w:r>
          </w:p>
        </w:tc>
        <w:tc>
          <w:tcPr>
            <w:tcW w:w="3683" w:type="dxa"/>
            <w:vAlign w:val="center"/>
          </w:tcPr>
          <w:p w14:paraId="4AA54666">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3546" w:type="dxa"/>
            <w:vAlign w:val="center"/>
          </w:tcPr>
          <w:p w14:paraId="66FA7AE3">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1276" w:type="dxa"/>
            <w:vAlign w:val="center"/>
          </w:tcPr>
          <w:p w14:paraId="5B2FC28E">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r>
      <w:tr w14:paraId="2CCA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7750FB81">
            <w:pPr>
              <w:snapToGrid w:val="0"/>
              <w:spacing w:line="40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w:t>
            </w:r>
          </w:p>
        </w:tc>
        <w:tc>
          <w:tcPr>
            <w:tcW w:w="3683" w:type="dxa"/>
            <w:vAlign w:val="center"/>
          </w:tcPr>
          <w:p w14:paraId="58C1DE19">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3546" w:type="dxa"/>
            <w:vAlign w:val="center"/>
          </w:tcPr>
          <w:p w14:paraId="35BED0F7">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c>
          <w:tcPr>
            <w:tcW w:w="1276" w:type="dxa"/>
            <w:vAlign w:val="center"/>
          </w:tcPr>
          <w:p w14:paraId="56A2CA73">
            <w:pPr>
              <w:snapToGrid w:val="0"/>
              <w:spacing w:line="400" w:lineRule="exact"/>
              <w:jc w:val="center"/>
              <w:rPr>
                <w:rFonts w:hint="eastAsia" w:ascii="仿宋" w:hAnsi="仿宋" w:eastAsia="仿宋" w:cs="仿宋"/>
                <w:b/>
                <w:color w:val="000000" w:themeColor="text1"/>
                <w:kern w:val="0"/>
                <w:sz w:val="32"/>
                <w:szCs w:val="32"/>
                <w:highlight w:val="none"/>
                <w14:textFill>
                  <w14:solidFill>
                    <w14:schemeClr w14:val="tx1"/>
                  </w14:solidFill>
                </w14:textFill>
              </w:rPr>
            </w:pPr>
          </w:p>
        </w:tc>
      </w:tr>
    </w:tbl>
    <w:p w14:paraId="7EA5C93C">
      <w:pPr>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供应商保证：除商务技术偏离表列出的偏离外，供应商响应磋商文件的全部要求</w:t>
      </w:r>
    </w:p>
    <w:p w14:paraId="68546F4D">
      <w:pPr>
        <w:autoSpaceDE w:val="0"/>
        <w:autoSpaceDN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p>
    <w:p w14:paraId="091FE83D">
      <w:pPr>
        <w:autoSpaceDE w:val="0"/>
        <w:autoSpaceDN w:val="0"/>
        <w:spacing w:line="360" w:lineRule="auto"/>
        <w:ind w:firstLine="4560" w:firstLineChars="19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电子签名</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595F0287">
      <w:pPr>
        <w:spacing w:line="360" w:lineRule="auto"/>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                                      日期：  年  月   日</w:t>
      </w:r>
    </w:p>
    <w:p w14:paraId="325CA89F">
      <w:pPr>
        <w:spacing w:line="360" w:lineRule="auto"/>
        <w:jc w:val="center"/>
        <w:rPr>
          <w:rFonts w:hint="eastAsia" w:ascii="仿宋" w:hAnsi="仿宋" w:eastAsia="仿宋" w:cs="仿宋"/>
          <w:b/>
          <w:bCs/>
          <w:color w:val="000000" w:themeColor="text1"/>
          <w:sz w:val="32"/>
          <w:szCs w:val="32"/>
          <w:highlight w:val="none"/>
          <w14:textFill>
            <w14:solidFill>
              <w14:schemeClr w14:val="tx1"/>
            </w14:solidFill>
          </w14:textFill>
        </w:rPr>
      </w:pPr>
    </w:p>
    <w:p w14:paraId="1CA9527E">
      <w:pPr>
        <w:tabs>
          <w:tab w:val="left" w:pos="2790"/>
          <w:tab w:val="left" w:pos="4230"/>
        </w:tabs>
        <w:autoSpaceDE w:val="0"/>
        <w:autoSpaceDN w:val="0"/>
        <w:spacing w:line="360" w:lineRule="auto"/>
        <w:ind w:right="1400"/>
        <w:jc w:val="center"/>
        <w:rPr>
          <w:rFonts w:hint="eastAsia"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b/>
          <w:bCs/>
          <w:color w:val="000000" w:themeColor="text1"/>
          <w:kern w:val="0"/>
          <w:sz w:val="24"/>
          <w:highlight w:val="none"/>
          <w:lang w:val="zh-CN"/>
          <w14:textFill>
            <w14:solidFill>
              <w14:schemeClr w14:val="tx1"/>
            </w14:solidFill>
          </w14:textFill>
        </w:rPr>
        <w:t xml:space="preserve">       </w:t>
      </w:r>
    </w:p>
    <w:p w14:paraId="4B713105">
      <w:pPr>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br w:type="page"/>
      </w:r>
    </w:p>
    <w:p w14:paraId="78985192">
      <w:pPr>
        <w:snapToGrid w:val="0"/>
        <w:spacing w:line="360" w:lineRule="auto"/>
        <w:jc w:val="center"/>
        <w:outlineLvl w:val="0"/>
        <w:rPr>
          <w:rFonts w:hint="eastAsia" w:ascii="仿宋" w:hAnsi="仿宋" w:eastAsia="仿宋" w:cs="仿宋"/>
          <w:b/>
          <w:color w:val="000000" w:themeColor="text1"/>
          <w:kern w:val="0"/>
          <w:sz w:val="32"/>
          <w:szCs w:val="32"/>
          <w:highlight w:val="none"/>
          <w:lang w:val="zh-CN"/>
          <w14:textFill>
            <w14:solidFill>
              <w14:schemeClr w14:val="tx1"/>
            </w14:solidFill>
          </w14:textFill>
        </w:rPr>
      </w:pPr>
      <w:r>
        <w:rPr>
          <w:rFonts w:hint="eastAsia" w:ascii="仿宋" w:hAnsi="仿宋" w:eastAsia="仿宋" w:cs="仿宋"/>
          <w:b/>
          <w:color w:val="000000" w:themeColor="text1"/>
          <w:kern w:val="0"/>
          <w:sz w:val="32"/>
          <w:szCs w:val="32"/>
          <w:highlight w:val="none"/>
          <w:lang w:val="zh-CN"/>
          <w14:textFill>
            <w14:solidFill>
              <w14:schemeClr w14:val="tx1"/>
            </w14:solidFill>
          </w14:textFill>
        </w:rPr>
        <w:t>七、政府采购供应商廉洁自律承诺书</w:t>
      </w:r>
    </w:p>
    <w:p w14:paraId="70F12A3B">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2134B7EB">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04C84EC">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我单位响应你</w:t>
      </w:r>
      <w:r>
        <w:rPr>
          <w:rFonts w:hint="eastAsia" w:ascii="仿宋" w:hAnsi="仿宋" w:eastAsia="仿宋" w:cs="仿宋"/>
          <w:color w:val="000000" w:themeColor="text1"/>
          <w:sz w:val="24"/>
          <w:highlight w:val="none"/>
          <w14:textFill>
            <w14:solidFill>
              <w14:schemeClr w14:val="tx1"/>
            </w14:solidFill>
          </w14:textFill>
        </w:rPr>
        <w:t>单位</w:t>
      </w:r>
      <w:r>
        <w:rPr>
          <w:rFonts w:hint="eastAsia" w:ascii="仿宋" w:hAnsi="仿宋" w:eastAsia="仿宋" w:cs="仿宋"/>
          <w:color w:val="000000" w:themeColor="text1"/>
          <w:kern w:val="0"/>
          <w:sz w:val="24"/>
          <w:highlight w:val="none"/>
          <w:lang w:val="zh-CN"/>
          <w14:textFill>
            <w14:solidFill>
              <w14:schemeClr w14:val="tx1"/>
            </w14:solidFill>
          </w14:textFill>
        </w:rPr>
        <w:t>项目采购要求参加响应。在这次响应过程中和成交后，我们将严格遵守国家法律法规要求，并郑重承诺：</w:t>
      </w:r>
    </w:p>
    <w:p w14:paraId="1E408C5F">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一、不向项目有关人员及部门赠送礼金礼物、有价证券、回扣以及中介费、介绍费、咨询费等好处费； </w:t>
      </w:r>
    </w:p>
    <w:p w14:paraId="10751EA0">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二、不为项目有关人员及部门报销应由你方单位或个人支付的费用； </w:t>
      </w:r>
    </w:p>
    <w:p w14:paraId="321DDDED">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三、不向项目有关人员及部门提供有可能影响公正的宴请和健身娱乐等活动； </w:t>
      </w:r>
    </w:p>
    <w:p w14:paraId="438DCC14">
      <w:pPr>
        <w:autoSpaceDE w:val="0"/>
        <w:autoSpaceDN w:val="0"/>
        <w:spacing w:line="360" w:lineRule="auto"/>
        <w:ind w:left="2" w:leftChars="1"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四、不为项目有关人员及部门出国（境）、旅游等提供方便；</w:t>
      </w:r>
    </w:p>
    <w:p w14:paraId="4455E60A">
      <w:pPr>
        <w:autoSpaceDE w:val="0"/>
        <w:autoSpaceDN w:val="0"/>
        <w:spacing w:line="360" w:lineRule="auto"/>
        <w:ind w:left="481" w:leftChars="229"/>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五、不为项目有关人员个人装修住房、婚丧嫁娶、配偶子女工作安排等提供</w:t>
      </w:r>
    </w:p>
    <w:p w14:paraId="59B09F54">
      <w:pPr>
        <w:autoSpaceDE w:val="0"/>
        <w:autoSpaceDN w:val="0"/>
        <w:spacing w:line="360" w:lineRule="auto"/>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好处；</w:t>
      </w:r>
    </w:p>
    <w:p w14:paraId="6827DFF5">
      <w:pPr>
        <w:autoSpaceDE w:val="0"/>
        <w:autoSpaceDN w:val="0"/>
        <w:spacing w:line="360" w:lineRule="auto"/>
        <w:ind w:left="481" w:leftChars="229"/>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六、严格遵守《</w:t>
      </w:r>
      <w:r>
        <w:rPr>
          <w:rFonts w:hint="eastAsia" w:ascii="仿宋" w:hAnsi="仿宋" w:eastAsia="仿宋" w:cs="仿宋"/>
          <w:color w:val="000000" w:themeColor="text1"/>
          <w:sz w:val="24"/>
          <w:highlight w:val="none"/>
          <w:lang w:val="zh-CN"/>
          <w14:textFill>
            <w14:solidFill>
              <w14:schemeClr w14:val="tx1"/>
            </w14:solidFill>
          </w14:textFill>
        </w:rPr>
        <w:t>中华人民共和国</w:t>
      </w:r>
      <w:r>
        <w:rPr>
          <w:rFonts w:hint="eastAsia" w:ascii="仿宋" w:hAnsi="仿宋" w:eastAsia="仿宋" w:cs="仿宋"/>
          <w:color w:val="000000" w:themeColor="text1"/>
          <w:kern w:val="0"/>
          <w:sz w:val="24"/>
          <w:highlight w:val="none"/>
          <w:lang w:val="zh-CN"/>
          <w14:textFill>
            <w14:solidFill>
              <w14:schemeClr w14:val="tx1"/>
            </w14:solidFill>
          </w14:textFill>
        </w:rPr>
        <w:t>政府采购法》《</w:t>
      </w:r>
      <w:r>
        <w:rPr>
          <w:rFonts w:hint="eastAsia" w:ascii="仿宋" w:hAnsi="仿宋" w:eastAsia="仿宋" w:cs="仿宋"/>
          <w:color w:val="000000" w:themeColor="text1"/>
          <w:sz w:val="24"/>
          <w:highlight w:val="none"/>
          <w:lang w:val="zh-CN"/>
          <w14:textFill>
            <w14:solidFill>
              <w14:schemeClr w14:val="tx1"/>
            </w14:solidFill>
          </w14:textFill>
        </w:rPr>
        <w:t>中华人民共和国</w:t>
      </w:r>
      <w:r>
        <w:rPr>
          <w:rFonts w:hint="eastAsia" w:ascii="仿宋" w:hAnsi="仿宋" w:eastAsia="仿宋" w:cs="仿宋"/>
          <w:color w:val="000000" w:themeColor="text1"/>
          <w:kern w:val="0"/>
          <w:sz w:val="24"/>
          <w:highlight w:val="none"/>
          <w:lang w:val="zh-CN"/>
          <w14:textFill>
            <w14:solidFill>
              <w14:schemeClr w14:val="tx1"/>
            </w14:solidFill>
          </w14:textFill>
        </w:rPr>
        <w:t>招标投标</w:t>
      </w:r>
    </w:p>
    <w:p w14:paraId="66A0AB58">
      <w:pPr>
        <w:autoSpaceDE w:val="0"/>
        <w:autoSpaceDN w:val="0"/>
        <w:spacing w:line="360" w:lineRule="auto"/>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法》</w:t>
      </w:r>
      <w:r>
        <w:rPr>
          <w:rFonts w:hint="eastAsia" w:ascii="仿宋" w:hAnsi="仿宋" w:eastAsia="仿宋" w:cs="仿宋"/>
          <w:color w:val="000000" w:themeColor="text1"/>
          <w:sz w:val="24"/>
          <w:highlight w:val="none"/>
          <w:lang w:val="zh-CN"/>
          <w14:textFill>
            <w14:solidFill>
              <w14:schemeClr w14:val="tx1"/>
            </w14:solidFill>
          </w14:textFill>
        </w:rPr>
        <w:t>《中华人民共和国民法典》</w:t>
      </w:r>
      <w:r>
        <w:rPr>
          <w:rFonts w:hint="eastAsia" w:ascii="仿宋" w:hAnsi="仿宋" w:eastAsia="仿宋" w:cs="仿宋"/>
          <w:color w:val="000000" w:themeColor="text1"/>
          <w:kern w:val="0"/>
          <w:sz w:val="24"/>
          <w:highlight w:val="none"/>
          <w:lang w:val="zh-CN"/>
          <w14:textFill>
            <w14:solidFill>
              <w14:schemeClr w14:val="tx1"/>
            </w14:solidFill>
          </w14:textFill>
        </w:rPr>
        <w:t xml:space="preserve">等法律法规，诚实守信，合法经营，坚决抵制各种违法违纪行为。 </w:t>
      </w:r>
    </w:p>
    <w:p w14:paraId="5BB5D792">
      <w:pPr>
        <w:autoSpaceDE w:val="0"/>
        <w:autoSpaceDN w:val="0"/>
        <w:spacing w:line="360" w:lineRule="auto"/>
        <w:ind w:firstLine="480"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如违反上述承诺，你</w:t>
      </w:r>
      <w:r>
        <w:rPr>
          <w:rFonts w:hint="eastAsia" w:ascii="仿宋" w:hAnsi="仿宋" w:eastAsia="仿宋" w:cs="仿宋"/>
          <w:color w:val="000000" w:themeColor="text1"/>
          <w:sz w:val="24"/>
          <w:highlight w:val="none"/>
          <w14:textFill>
            <w14:solidFill>
              <w14:schemeClr w14:val="tx1"/>
            </w14:solidFill>
          </w14:textFill>
        </w:rPr>
        <w:t>单位</w:t>
      </w:r>
      <w:r>
        <w:rPr>
          <w:rFonts w:hint="eastAsia" w:ascii="仿宋" w:hAnsi="仿宋" w:eastAsia="仿宋" w:cs="仿宋"/>
          <w:color w:val="000000" w:themeColor="text1"/>
          <w:kern w:val="0"/>
          <w:sz w:val="24"/>
          <w:highlight w:val="none"/>
          <w:lang w:val="zh-CN"/>
          <w14:textFill>
            <w14:solidFill>
              <w14:schemeClr w14:val="tx1"/>
            </w14:solidFill>
          </w14:textFill>
        </w:rPr>
        <w:t>有权立即取消我单位响应、成交或在建项目的建设资格，有权拒绝我单位在一定时期内进入你</w:t>
      </w:r>
      <w:r>
        <w:rPr>
          <w:rFonts w:hint="eastAsia" w:ascii="仿宋" w:hAnsi="仿宋" w:eastAsia="仿宋" w:cs="仿宋"/>
          <w:color w:val="000000" w:themeColor="text1"/>
          <w:sz w:val="24"/>
          <w:highlight w:val="none"/>
          <w14:textFill>
            <w14:solidFill>
              <w14:schemeClr w14:val="tx1"/>
            </w14:solidFill>
          </w14:textFill>
        </w:rPr>
        <w:t>单位</w:t>
      </w:r>
      <w:r>
        <w:rPr>
          <w:rFonts w:hint="eastAsia" w:ascii="仿宋" w:hAnsi="仿宋" w:eastAsia="仿宋" w:cs="仿宋"/>
          <w:color w:val="000000" w:themeColor="text1"/>
          <w:kern w:val="0"/>
          <w:sz w:val="24"/>
          <w:highlight w:val="none"/>
          <w:lang w:val="zh-CN"/>
          <w14:textFill>
            <w14:solidFill>
              <w14:schemeClr w14:val="tx1"/>
            </w14:solidFill>
          </w14:textFill>
        </w:rPr>
        <w:t>进行项目建设或其他经营活动，并通报市财政局。由此引起的相应损失均由我单位承担。</w:t>
      </w:r>
    </w:p>
    <w:p w14:paraId="636D5712">
      <w:pPr>
        <w:autoSpaceDE w:val="0"/>
        <w:autoSpaceDN w:val="0"/>
        <w:spacing w:line="360" w:lineRule="auto"/>
        <w:ind w:left="2"/>
        <w:jc w:val="left"/>
        <w:rPr>
          <w:rFonts w:hint="eastAsia" w:ascii="仿宋" w:hAnsi="仿宋" w:eastAsia="仿宋" w:cs="仿宋"/>
          <w:color w:val="000000" w:themeColor="text1"/>
          <w:kern w:val="0"/>
          <w:sz w:val="24"/>
          <w:highlight w:val="none"/>
          <w:lang w:val="zh-CN"/>
          <w14:textFill>
            <w14:solidFill>
              <w14:schemeClr w14:val="tx1"/>
            </w14:solidFill>
          </w14:textFill>
        </w:rPr>
      </w:pPr>
    </w:p>
    <w:p w14:paraId="1FA3640C">
      <w:pPr>
        <w:autoSpaceDE w:val="0"/>
        <w:autoSpaceDN w:val="0"/>
        <w:spacing w:line="360" w:lineRule="auto"/>
        <w:ind w:left="2"/>
        <w:jc w:val="left"/>
        <w:rPr>
          <w:rFonts w:hint="eastAsia" w:ascii="仿宋" w:hAnsi="仿宋" w:eastAsia="仿宋" w:cs="仿宋"/>
          <w:color w:val="000000" w:themeColor="text1"/>
          <w:kern w:val="0"/>
          <w:sz w:val="24"/>
          <w:highlight w:val="none"/>
          <w:lang w:val="zh-CN"/>
          <w14:textFill>
            <w14:solidFill>
              <w14:schemeClr w14:val="tx1"/>
            </w14:solidFill>
          </w14:textFill>
        </w:rPr>
      </w:pPr>
    </w:p>
    <w:p w14:paraId="3305996B">
      <w:pPr>
        <w:autoSpaceDE w:val="0"/>
        <w:autoSpaceDN w:val="0"/>
        <w:spacing w:line="360" w:lineRule="auto"/>
        <w:ind w:firstLine="5040" w:firstLineChars="21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w:t>
      </w:r>
      <w:r>
        <w:rPr>
          <w:rFonts w:hint="eastAsia" w:ascii="仿宋" w:hAnsi="仿宋" w:eastAsia="仿宋" w:cs="仿宋"/>
          <w:color w:val="000000" w:themeColor="text1"/>
          <w:kern w:val="0"/>
          <w:sz w:val="24"/>
          <w:highlight w:val="none"/>
          <w:lang w:val="zh-CN"/>
          <w14:textFill>
            <w14:solidFill>
              <w14:schemeClr w14:val="tx1"/>
            </w14:solidFill>
          </w14:textFill>
        </w:rPr>
        <w:t>名称（电子签名）：</w:t>
      </w:r>
    </w:p>
    <w:p w14:paraId="3024A2C4">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日期：  年  月   日</w:t>
      </w:r>
    </w:p>
    <w:p w14:paraId="109ED992">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1041FB0A">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26FDA150">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72BDBC56">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3DB1BF40">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39E58878">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1DCE1990">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5E18CAB6">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07D43EC4">
      <w:pPr>
        <w:pStyle w:val="3"/>
        <w:widowControl/>
        <w:numPr>
          <w:ilvl w:val="0"/>
          <w:numId w:val="0"/>
        </w:numPr>
        <w:spacing w:line="480" w:lineRule="auto"/>
        <w:ind w:left="42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highlight w:val="none"/>
          <w:lang w:val="en-US"/>
          <w14:textFill>
            <w14:solidFill>
              <w14:schemeClr w14:val="tx1"/>
            </w14:solidFill>
          </w14:textFill>
        </w:rPr>
        <w:t>八、</w:t>
      </w:r>
      <w:r>
        <w:rPr>
          <w:rFonts w:hint="eastAsia" w:ascii="仿宋" w:hAnsi="仿宋" w:eastAsia="仿宋" w:cs="仿宋"/>
          <w:color w:val="000000" w:themeColor="text1"/>
          <w:highlight w:val="none"/>
          <w14:textFill>
            <w14:solidFill>
              <w14:schemeClr w14:val="tx1"/>
            </w14:solidFill>
          </w14:textFill>
        </w:rPr>
        <w:t>拟投入的主要施工机械设备表</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13B6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61F9ABA7">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序号</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64BE853C">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机械或</w:t>
            </w:r>
          </w:p>
          <w:p w14:paraId="24D9E16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设备名称</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0BF7C1B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型号</w:t>
            </w:r>
          </w:p>
          <w:p w14:paraId="65FF55F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规格</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722CA47E">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数量</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0A2698C1">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国别</w:t>
            </w:r>
          </w:p>
          <w:p w14:paraId="26A672E9">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产地</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47618582">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制造</w:t>
            </w:r>
          </w:p>
          <w:p w14:paraId="7F7CC0F4">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年份</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2B3D5088">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额定功率（KW）</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068564DD">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生产</w:t>
            </w:r>
          </w:p>
          <w:p w14:paraId="0106C0C9">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能力</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9E98A8F">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用于施工部位备注</w:t>
            </w:r>
          </w:p>
        </w:tc>
      </w:tr>
      <w:tr w14:paraId="4690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7AA458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937ECC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23FCB7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79AE33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7ED0C8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4CA78B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A361AC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6DE606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3FA107E">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618A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64A889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7B77C8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32C4FC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F2F0F6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51C09E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46728F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01D0F9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8FAED2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63A8F55">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0711F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7E8694B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27E14D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D2AEC2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42211E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B0AB22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6821B9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77C38E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6F5544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5C6F8FF">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71DD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50C5DA9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5F1F1B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D9F767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D38107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924ED0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0FE96B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25A3F7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AFC81D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60AAB77">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30EB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17F50B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CA1B45D">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42DBDB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E412D0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A7DEE6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623653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EB62CB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DABDE5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31BC898">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71FD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1295F63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AEF489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3F62C8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240D02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250B9A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257A31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F82D8F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94534F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85A92A1">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42D5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64D50C1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28E92F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D2C06A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EB591D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9BD458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4B0E37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EDE33B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A930C0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96F2503">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17E6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726F7A9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21BC69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EB6BB0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38C1A3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0A227E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2DE377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C72826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CE599EA">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8F6B2D4">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7C29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04123A8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DA9BCE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D9C100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368C9D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D2B715F">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C39209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19C142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168C3B9">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490320D">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4D6B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8815508">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19EAC9C">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1DFE00E">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4A0878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C575926">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BC9DA73">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999E43B">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FA06F5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467A41C">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r w14:paraId="6D42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22D27101">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D82A52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C6B37C0">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11E9735">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1C961D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B37DC87">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B512472">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2C45AF4">
            <w:pPr>
              <w:spacing w:after="360" w:afterLines="150"/>
              <w:rPr>
                <w:rFonts w:hint="eastAsia"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13ACCA4">
            <w:pPr>
              <w:spacing w:after="360" w:afterLines="150"/>
              <w:rPr>
                <w:rFonts w:hint="eastAsia" w:ascii="仿宋" w:hAnsi="仿宋" w:eastAsia="仿宋" w:cs="仿宋"/>
                <w:color w:val="000000" w:themeColor="text1"/>
                <w:sz w:val="24"/>
                <w:highlight w:val="none"/>
                <w14:textFill>
                  <w14:solidFill>
                    <w14:schemeClr w14:val="tx1"/>
                  </w14:solidFill>
                </w14:textFill>
              </w:rPr>
            </w:pPr>
          </w:p>
        </w:tc>
      </w:tr>
    </w:tbl>
    <w:p w14:paraId="19198E51">
      <w:pPr>
        <w:spacing w:after="360" w:afterLines="150"/>
        <w:ind w:left="627"/>
        <w:rPr>
          <w:rFonts w:hint="eastAsia" w:ascii="仿宋" w:hAnsi="仿宋" w:eastAsia="仿宋" w:cs="仿宋"/>
          <w:color w:val="000000" w:themeColor="text1"/>
          <w:sz w:val="24"/>
          <w:highlight w:val="none"/>
          <w14:textFill>
            <w14:solidFill>
              <w14:schemeClr w14:val="tx1"/>
            </w14:solidFill>
          </w14:textFill>
        </w:rPr>
      </w:pPr>
    </w:p>
    <w:p w14:paraId="058CD701">
      <w:pPr>
        <w:autoSpaceDE w:val="0"/>
        <w:autoSpaceDN w:val="0"/>
        <w:spacing w:line="360" w:lineRule="auto"/>
        <w:ind w:right="960" w:firstLine="5040" w:firstLine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2ABED13A">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33051281">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01D1EEBA">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4BD39E83">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53112692">
      <w:pPr>
        <w:tabs>
          <w:tab w:val="left" w:pos="0"/>
        </w:tabs>
        <w:autoSpaceDE w:val="0"/>
        <w:autoSpaceDN w:val="0"/>
        <w:spacing w:line="360" w:lineRule="auto"/>
        <w:ind w:firstLine="2409" w:firstLineChars="800"/>
        <w:rPr>
          <w:rFonts w:hint="eastAsia" w:ascii="仿宋" w:hAnsi="仿宋" w:eastAsia="仿宋" w:cs="仿宋"/>
          <w:b/>
          <w:bCs/>
          <w:color w:val="000000" w:themeColor="text1"/>
          <w:sz w:val="30"/>
          <w:szCs w:val="30"/>
          <w:highlight w:val="none"/>
          <w14:textFill>
            <w14:solidFill>
              <w14:schemeClr w14:val="tx1"/>
            </w14:solidFill>
          </w14:textFill>
        </w:rPr>
      </w:pPr>
    </w:p>
    <w:p w14:paraId="102805EB">
      <w:pPr>
        <w:tabs>
          <w:tab w:val="left" w:pos="0"/>
        </w:tabs>
        <w:autoSpaceDE w:val="0"/>
        <w:autoSpaceDN w:val="0"/>
        <w:spacing w:line="360" w:lineRule="auto"/>
        <w:jc w:val="center"/>
        <w:rPr>
          <w:rFonts w:hint="eastAsia" w:ascii="仿宋" w:hAnsi="仿宋" w:eastAsia="仿宋" w:cs="仿宋"/>
          <w:b/>
          <w:bCs/>
          <w:color w:val="000000" w:themeColor="text1"/>
          <w:sz w:val="30"/>
          <w:szCs w:val="30"/>
          <w:highlight w:val="none"/>
          <w14:textFill>
            <w14:solidFill>
              <w14:schemeClr w14:val="tx1"/>
            </w14:solidFill>
          </w14:textFill>
        </w:rPr>
      </w:pPr>
    </w:p>
    <w:p w14:paraId="797ADCD1">
      <w:pPr>
        <w:pStyle w:val="3"/>
        <w:widowControl/>
        <w:numPr>
          <w:ilvl w:val="0"/>
          <w:numId w:val="0"/>
        </w:numPr>
        <w:ind w:left="422"/>
        <w:jc w:val="center"/>
        <w:rPr>
          <w:rFonts w:hint="eastAsia" w:ascii="仿宋" w:hAnsi="仿宋" w:eastAsia="仿宋" w:cs="仿宋"/>
          <w:color w:val="000000" w:themeColor="text1"/>
          <w:highlight w:val="none"/>
          <w:lang w:val="en-US"/>
          <w14:textFill>
            <w14:solidFill>
              <w14:schemeClr w14:val="tx1"/>
            </w14:solidFill>
          </w14:textFill>
        </w:rPr>
      </w:pPr>
      <w:bookmarkStart w:id="681" w:name="_Toc297115120"/>
      <w:bookmarkStart w:id="682" w:name="_Toc359357398"/>
      <w:r>
        <w:rPr>
          <w:rFonts w:hint="eastAsia" w:ascii="仿宋" w:hAnsi="仿宋" w:eastAsia="仿宋" w:cs="仿宋"/>
          <w:color w:val="000000" w:themeColor="text1"/>
          <w:highlight w:val="none"/>
          <w:lang w:val="en-US"/>
          <w14:textFill>
            <w14:solidFill>
              <w14:schemeClr w14:val="tx1"/>
            </w14:solidFill>
          </w14:textFill>
        </w:rPr>
        <w:t>九、</w:t>
      </w:r>
      <w:r>
        <w:rPr>
          <w:rFonts w:hint="eastAsia" w:ascii="仿宋" w:hAnsi="仿宋" w:eastAsia="仿宋" w:cs="仿宋"/>
          <w:color w:val="000000" w:themeColor="text1"/>
          <w:highlight w:val="none"/>
          <w14:textFill>
            <w14:solidFill>
              <w14:schemeClr w14:val="tx1"/>
            </w14:solidFill>
          </w14:textFill>
        </w:rPr>
        <w:t>劳动力计划表</w:t>
      </w:r>
      <w:bookmarkEnd w:id="681"/>
      <w:bookmarkEnd w:id="682"/>
    </w:p>
    <w:p w14:paraId="4D3C6F51">
      <w:pPr>
        <w:spacing w:after="120" w:afterLines="50"/>
        <w:ind w:left="629"/>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单位：人</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36E3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Borders>
              <w:top w:val="single" w:color="auto" w:sz="4" w:space="0"/>
              <w:left w:val="single" w:color="auto" w:sz="4" w:space="0"/>
              <w:bottom w:val="single" w:color="auto" w:sz="4" w:space="0"/>
              <w:right w:val="single" w:color="auto" w:sz="4" w:space="0"/>
            </w:tcBorders>
            <w:shd w:val="clear" w:color="auto" w:fill="auto"/>
          </w:tcPr>
          <w:p w14:paraId="615EC189">
            <w:pPr>
              <w:rPr>
                <w:rFonts w:hint="eastAsia" w:ascii="仿宋" w:hAnsi="仿宋" w:eastAsia="仿宋" w:cs="仿宋"/>
                <w:color w:val="000000" w:themeColor="text1"/>
                <w:highlight w:val="none"/>
                <w14:textFill>
                  <w14:solidFill>
                    <w14:schemeClr w14:val="tx1"/>
                  </w14:solidFill>
                </w14:textFill>
              </w:rPr>
            </w:pPr>
          </w:p>
        </w:tc>
        <w:tc>
          <w:tcPr>
            <w:tcW w:w="855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4B3037EE">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按工程施工阶段投入劳动力情况</w:t>
            </w:r>
          </w:p>
        </w:tc>
      </w:tr>
      <w:tr w14:paraId="034C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Borders>
              <w:top w:val="single" w:color="auto" w:sz="4" w:space="0"/>
              <w:left w:val="single" w:color="auto" w:sz="4" w:space="0"/>
              <w:bottom w:val="single" w:color="auto" w:sz="4" w:space="0"/>
              <w:right w:val="single" w:color="auto" w:sz="4" w:space="0"/>
            </w:tcBorders>
            <w:shd w:val="clear" w:color="auto" w:fill="auto"/>
          </w:tcPr>
          <w:p w14:paraId="4B1EB78A">
            <w:pPr>
              <w:rPr>
                <w:rFonts w:hint="eastAsia" w:ascii="仿宋" w:hAnsi="仿宋" w:eastAsia="仿宋" w:cs="仿宋"/>
                <w:color w:val="000000" w:themeColor="text1"/>
                <w:sz w:val="20"/>
                <w:szCs w:val="20"/>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9F0543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8C4D20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89EE2F3">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432127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AFBE37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0AB3AAB">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75AA5C4">
            <w:pPr>
              <w:rPr>
                <w:rFonts w:hint="eastAsia" w:ascii="仿宋" w:hAnsi="仿宋" w:eastAsia="仿宋" w:cs="仿宋"/>
                <w:color w:val="000000" w:themeColor="text1"/>
                <w:sz w:val="24"/>
                <w:highlight w:val="none"/>
                <w14:textFill>
                  <w14:solidFill>
                    <w14:schemeClr w14:val="tx1"/>
                  </w14:solidFill>
                </w14:textFill>
              </w:rPr>
            </w:pPr>
          </w:p>
        </w:tc>
      </w:tr>
      <w:tr w14:paraId="3E7B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38A540E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D18415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CA0E71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31C3B51">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A8B91D0">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46B12F8">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29FAA47">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6513939">
            <w:pPr>
              <w:rPr>
                <w:rFonts w:hint="eastAsia" w:ascii="仿宋" w:hAnsi="仿宋" w:eastAsia="仿宋" w:cs="仿宋"/>
                <w:color w:val="000000" w:themeColor="text1"/>
                <w:sz w:val="24"/>
                <w:highlight w:val="none"/>
                <w14:textFill>
                  <w14:solidFill>
                    <w14:schemeClr w14:val="tx1"/>
                  </w14:solidFill>
                </w14:textFill>
              </w:rPr>
            </w:pPr>
          </w:p>
        </w:tc>
      </w:tr>
      <w:tr w14:paraId="7231E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62BFD2E0">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D8D816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3A3E99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FADDD76">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10D1181">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E3C6AF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7955197">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234E663">
            <w:pPr>
              <w:rPr>
                <w:rFonts w:hint="eastAsia" w:ascii="仿宋" w:hAnsi="仿宋" w:eastAsia="仿宋" w:cs="仿宋"/>
                <w:color w:val="000000" w:themeColor="text1"/>
                <w:sz w:val="24"/>
                <w:highlight w:val="none"/>
                <w14:textFill>
                  <w14:solidFill>
                    <w14:schemeClr w14:val="tx1"/>
                  </w14:solidFill>
                </w14:textFill>
              </w:rPr>
            </w:pPr>
          </w:p>
        </w:tc>
      </w:tr>
      <w:tr w14:paraId="1F6F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6581FFF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FB29D4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95CC18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D6C96F8">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2A5B731">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EC4F91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479F0B6">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655C12F">
            <w:pPr>
              <w:rPr>
                <w:rFonts w:hint="eastAsia" w:ascii="仿宋" w:hAnsi="仿宋" w:eastAsia="仿宋" w:cs="仿宋"/>
                <w:color w:val="000000" w:themeColor="text1"/>
                <w:sz w:val="24"/>
                <w:highlight w:val="none"/>
                <w14:textFill>
                  <w14:solidFill>
                    <w14:schemeClr w14:val="tx1"/>
                  </w14:solidFill>
                </w14:textFill>
              </w:rPr>
            </w:pPr>
          </w:p>
        </w:tc>
      </w:tr>
      <w:tr w14:paraId="31BC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C3C09B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B7B4FF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CB9C79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B3850F7">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4C234D0">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D070D88">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71C38B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60A1D8F">
            <w:pPr>
              <w:rPr>
                <w:rFonts w:hint="eastAsia" w:ascii="仿宋" w:hAnsi="仿宋" w:eastAsia="仿宋" w:cs="仿宋"/>
                <w:color w:val="000000" w:themeColor="text1"/>
                <w:sz w:val="24"/>
                <w:highlight w:val="none"/>
                <w14:textFill>
                  <w14:solidFill>
                    <w14:schemeClr w14:val="tx1"/>
                  </w14:solidFill>
                </w14:textFill>
              </w:rPr>
            </w:pPr>
          </w:p>
        </w:tc>
      </w:tr>
      <w:tr w14:paraId="52F2F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4BFA11FB">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1A14A7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762AAE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F28F45C">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66428B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13E4FA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74EBBFD">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CEEE4DE">
            <w:pPr>
              <w:rPr>
                <w:rFonts w:hint="eastAsia" w:ascii="仿宋" w:hAnsi="仿宋" w:eastAsia="仿宋" w:cs="仿宋"/>
                <w:color w:val="000000" w:themeColor="text1"/>
                <w:sz w:val="24"/>
                <w:highlight w:val="none"/>
                <w14:textFill>
                  <w14:solidFill>
                    <w14:schemeClr w14:val="tx1"/>
                  </w14:solidFill>
                </w14:textFill>
              </w:rPr>
            </w:pPr>
          </w:p>
        </w:tc>
      </w:tr>
      <w:tr w14:paraId="54A3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6BC723A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852F3A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817C50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30E6471">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7DDD6D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DFB891F">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2FD9FEC">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FEFFA5A">
            <w:pPr>
              <w:rPr>
                <w:rFonts w:hint="eastAsia" w:ascii="仿宋" w:hAnsi="仿宋" w:eastAsia="仿宋" w:cs="仿宋"/>
                <w:color w:val="000000" w:themeColor="text1"/>
                <w:sz w:val="24"/>
                <w:highlight w:val="none"/>
                <w14:textFill>
                  <w14:solidFill>
                    <w14:schemeClr w14:val="tx1"/>
                  </w14:solidFill>
                </w14:textFill>
              </w:rPr>
            </w:pPr>
          </w:p>
        </w:tc>
      </w:tr>
      <w:tr w14:paraId="74CF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3552039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8AD5A33">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EE6C020">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08C4442">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A269AE2">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C5EBB8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6E8F07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9590788">
            <w:pPr>
              <w:rPr>
                <w:rFonts w:hint="eastAsia" w:ascii="仿宋" w:hAnsi="仿宋" w:eastAsia="仿宋" w:cs="仿宋"/>
                <w:color w:val="000000" w:themeColor="text1"/>
                <w:sz w:val="24"/>
                <w:highlight w:val="none"/>
                <w14:textFill>
                  <w14:solidFill>
                    <w14:schemeClr w14:val="tx1"/>
                  </w14:solidFill>
                </w14:textFill>
              </w:rPr>
            </w:pPr>
          </w:p>
        </w:tc>
      </w:tr>
      <w:tr w14:paraId="000F4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6E6709B5">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0205C99">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F21356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FCC167A">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E4661FB">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EB9278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010A5C2">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FC752CC">
            <w:pPr>
              <w:rPr>
                <w:rFonts w:hint="eastAsia" w:ascii="仿宋" w:hAnsi="仿宋" w:eastAsia="仿宋" w:cs="仿宋"/>
                <w:color w:val="000000" w:themeColor="text1"/>
                <w:sz w:val="24"/>
                <w:highlight w:val="none"/>
                <w14:textFill>
                  <w14:solidFill>
                    <w14:schemeClr w14:val="tx1"/>
                  </w14:solidFill>
                </w14:textFill>
              </w:rPr>
            </w:pPr>
          </w:p>
        </w:tc>
      </w:tr>
      <w:tr w14:paraId="4B6A8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4C77AD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350E92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900806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9D1DD69">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C977E3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577B6B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8966D43">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1E2BA79">
            <w:pPr>
              <w:rPr>
                <w:rFonts w:hint="eastAsia" w:ascii="仿宋" w:hAnsi="仿宋" w:eastAsia="仿宋" w:cs="仿宋"/>
                <w:color w:val="000000" w:themeColor="text1"/>
                <w:sz w:val="24"/>
                <w:highlight w:val="none"/>
                <w14:textFill>
                  <w14:solidFill>
                    <w14:schemeClr w14:val="tx1"/>
                  </w14:solidFill>
                </w14:textFill>
              </w:rPr>
            </w:pPr>
          </w:p>
        </w:tc>
      </w:tr>
      <w:tr w14:paraId="3F04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2894476">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4D6613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5F41010">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ACE9284">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1E417D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4FD0CDE">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44C52F3">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EEA86F0">
            <w:pPr>
              <w:rPr>
                <w:rFonts w:hint="eastAsia" w:ascii="仿宋" w:hAnsi="仿宋" w:eastAsia="仿宋" w:cs="仿宋"/>
                <w:color w:val="000000" w:themeColor="text1"/>
                <w:sz w:val="24"/>
                <w:highlight w:val="none"/>
                <w14:textFill>
                  <w14:solidFill>
                    <w14:schemeClr w14:val="tx1"/>
                  </w14:solidFill>
                </w14:textFill>
              </w:rPr>
            </w:pPr>
          </w:p>
        </w:tc>
      </w:tr>
      <w:tr w14:paraId="339CD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F22D4D7">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9C22C9A">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93DBDFD">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E2B4EDD">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813B444">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FBD602E">
            <w:pPr>
              <w:rPr>
                <w:rFonts w:hint="eastAsia"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BE9E270">
            <w:pPr>
              <w:rPr>
                <w:rFonts w:hint="eastAsia"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3241D7B">
            <w:pPr>
              <w:rPr>
                <w:rFonts w:hint="eastAsia" w:ascii="仿宋" w:hAnsi="仿宋" w:eastAsia="仿宋" w:cs="仿宋"/>
                <w:color w:val="000000" w:themeColor="text1"/>
                <w:sz w:val="24"/>
                <w:highlight w:val="none"/>
                <w14:textFill>
                  <w14:solidFill>
                    <w14:schemeClr w14:val="tx1"/>
                  </w14:solidFill>
                </w14:textFill>
              </w:rPr>
            </w:pPr>
          </w:p>
        </w:tc>
      </w:tr>
    </w:tbl>
    <w:p w14:paraId="76E7B1D6">
      <w:pPr>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注：供应商应按所列格式提交包括分包在内的劳动力计划表。</w:t>
      </w:r>
    </w:p>
    <w:p w14:paraId="5B83DEF7">
      <w:pPr>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本计划表是以每班八小时工作制为基础的。</w:t>
      </w:r>
    </w:p>
    <w:p w14:paraId="31D8D93E">
      <w:pPr>
        <w:pStyle w:val="3"/>
        <w:widowControl/>
        <w:numPr>
          <w:ilvl w:val="0"/>
          <w:numId w:val="0"/>
        </w:numPr>
        <w:ind w:left="42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1"/>
          <w:szCs w:val="21"/>
          <w:highlight w:val="none"/>
          <w:lang w:val="en-US" w:bidi="ar"/>
          <w14:textFill>
            <w14:solidFill>
              <w14:schemeClr w14:val="tx1"/>
            </w14:solidFill>
          </w14:textFill>
        </w:rPr>
        <w:br w:type="page"/>
      </w:r>
      <w:bookmarkStart w:id="683" w:name="_Toc297115123"/>
      <w:bookmarkStart w:id="684" w:name="_Toc359357399"/>
      <w:r>
        <w:rPr>
          <w:rFonts w:hint="eastAsia" w:ascii="仿宋" w:hAnsi="仿宋" w:eastAsia="仿宋" w:cs="仿宋"/>
          <w:color w:val="000000" w:themeColor="text1"/>
          <w:highlight w:val="none"/>
          <w:lang w:val="en-US"/>
          <w14:textFill>
            <w14:solidFill>
              <w14:schemeClr w14:val="tx1"/>
            </w14:solidFill>
          </w14:textFill>
        </w:rPr>
        <w:t>十</w:t>
      </w:r>
      <w:r>
        <w:rPr>
          <w:rFonts w:hint="eastAsia" w:ascii="仿宋" w:hAnsi="仿宋" w:eastAsia="仿宋" w:cs="仿宋"/>
          <w:color w:val="000000" w:themeColor="text1"/>
          <w:sz w:val="21"/>
          <w:szCs w:val="21"/>
          <w:highlight w:val="none"/>
          <w:lang w:val="en-US" w:bidi="ar"/>
          <w14:textFill>
            <w14:solidFill>
              <w14:schemeClr w14:val="tx1"/>
            </w14:solidFill>
          </w14:textFill>
        </w:rPr>
        <w:t>、</w:t>
      </w:r>
      <w:r>
        <w:rPr>
          <w:rFonts w:hint="eastAsia" w:ascii="仿宋" w:hAnsi="仿宋" w:eastAsia="仿宋" w:cs="仿宋"/>
          <w:color w:val="000000" w:themeColor="text1"/>
          <w:highlight w:val="none"/>
          <w14:textFill>
            <w14:solidFill>
              <w14:schemeClr w14:val="tx1"/>
            </w14:solidFill>
          </w14:textFill>
        </w:rPr>
        <w:t>项目管理班子配备情况表</w:t>
      </w:r>
      <w:bookmarkEnd w:id="683"/>
      <w:bookmarkEnd w:id="684"/>
    </w:p>
    <w:p w14:paraId="3565B643">
      <w:pPr>
        <w:spacing w:line="360" w:lineRule="auto"/>
        <w:ind w:firstLine="717" w:firstLineChars="299"/>
        <w:rPr>
          <w:rFonts w:hint="eastAsia" w:ascii="仿宋" w:hAnsi="仿宋" w:eastAsia="仿宋" w:cs="仿宋"/>
          <w:color w:val="000000" w:themeColor="text1"/>
          <w:kern w:val="0"/>
          <w:sz w:val="24"/>
          <w:highlight w:val="none"/>
          <w14:textFill>
            <w14:solidFill>
              <w14:schemeClr w14:val="tx1"/>
            </w14:solidFill>
          </w14:textFill>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14:paraId="2826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514377">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职务</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226708">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姓名</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4BAD5D">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职称</w:t>
            </w:r>
          </w:p>
        </w:tc>
        <w:tc>
          <w:tcPr>
            <w:tcW w:w="50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B5F274C">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上岗资格证明</w:t>
            </w:r>
          </w:p>
        </w:tc>
        <w:tc>
          <w:tcPr>
            <w:tcW w:w="2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E7DAD8">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已承担在建工程情况</w:t>
            </w:r>
          </w:p>
        </w:tc>
      </w:tr>
      <w:tr w14:paraId="229AE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8F0C62">
            <w:pPr>
              <w:rPr>
                <w:rFonts w:hint="eastAsia" w:ascii="仿宋" w:hAnsi="仿宋" w:eastAsia="仿宋" w:cs="仿宋"/>
                <w:color w:val="000000" w:themeColor="text1"/>
                <w:sz w:val="20"/>
                <w:szCs w:val="20"/>
                <w:highlight w:val="none"/>
                <w14:textFill>
                  <w14:solidFill>
                    <w14:schemeClr w14:val="tx1"/>
                  </w14:solidFill>
                </w14:textFill>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26050A">
            <w:pPr>
              <w:rPr>
                <w:rFonts w:hint="eastAsia" w:ascii="仿宋" w:hAnsi="仿宋" w:eastAsia="仿宋" w:cs="仿宋"/>
                <w:color w:val="000000" w:themeColor="text1"/>
                <w:sz w:val="20"/>
                <w:szCs w:val="20"/>
                <w:highlight w:val="none"/>
                <w14:textFill>
                  <w14:solidFill>
                    <w14:schemeClr w14:val="tx1"/>
                  </w14:solidFill>
                </w14:textFill>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F996154">
            <w:pPr>
              <w:rPr>
                <w:rFonts w:hint="eastAsia" w:ascii="仿宋" w:hAnsi="仿宋" w:eastAsia="仿宋" w:cs="仿宋"/>
                <w:color w:val="000000" w:themeColor="text1"/>
                <w:sz w:val="20"/>
                <w:szCs w:val="20"/>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7F04DF8C">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证书</w:t>
            </w:r>
          </w:p>
          <w:p w14:paraId="68005C34">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名称</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37924CF5">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级别</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3546607E">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证号</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79C34D00">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专业</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2C7C7737">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原服务单位</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6B960A0A">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项目数</w:t>
            </w:r>
          </w:p>
        </w:tc>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14:paraId="2B6C6197">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主要项目名称</w:t>
            </w:r>
          </w:p>
        </w:tc>
      </w:tr>
      <w:tr w14:paraId="3200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372ADD1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82BB19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7D3C7E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B53C2F7">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831D54E">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ACFE7AB">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78B0C6F">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77015368">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5F687EC0">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07D443DD">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r>
      <w:tr w14:paraId="3E30D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0935832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0B8699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404F12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FAF03C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03377C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4DB019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F61557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67E6459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37E88F7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69FAB63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2D11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73F5B0A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7BE186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318DF12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6E03B0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B0871C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75F256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A95CDB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389F3D7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43419C3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37DEE9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505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41FC17F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C8D9AD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D97657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FB08B6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3CF413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B6825D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E815B5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7830EB4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E843FC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2DBE5D1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0734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0EAE8D2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5B5A22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B019A9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0AE514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BFB441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7BD400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F82A15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0B2A105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7A74D41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76D6174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7706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66D8556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829C52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C76D8F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C424C9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E95FC1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A8C6E9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CEEF53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2DA3F03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1AB2E41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58A8F4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1E09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6A67FEF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BFB86C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CD37B3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9F79D2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AAA987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E5517B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7CB7FD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550E820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52E31D3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6DDC527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480F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18A004C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038787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465D06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627323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CADE1F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F1BC20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06EE99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5E8476A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5EE733E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34BE267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4B77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14603F9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365544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166E17C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679E04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DEFF46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CED691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5FCAF1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1BBE89F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621E47F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5156308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77EC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trPr>
        <w:tc>
          <w:tcPr>
            <w:tcW w:w="9606" w:type="dxa"/>
            <w:gridSpan w:val="10"/>
            <w:tcBorders>
              <w:top w:val="single" w:color="auto" w:sz="4" w:space="0"/>
              <w:left w:val="single" w:color="auto" w:sz="4" w:space="0"/>
              <w:bottom w:val="single" w:color="auto" w:sz="4" w:space="0"/>
              <w:right w:val="single" w:color="auto" w:sz="4" w:space="0"/>
            </w:tcBorders>
            <w:shd w:val="clear" w:color="auto" w:fill="auto"/>
          </w:tcPr>
          <w:p w14:paraId="2EF77289">
            <w:pPr>
              <w:spacing w:line="360" w:lineRule="auto"/>
              <w:ind w:firstLine="472" w:firstLineChars="225"/>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本工程一旦我单位成交，将实行项目负责人负责制，并配备上述项目管理班子。上述填报内容真实，若不真实，愿按有关规定接受处理。项目管理班子机构设置、职责分工等情况另附资料说明。</w:t>
            </w:r>
          </w:p>
        </w:tc>
      </w:tr>
    </w:tbl>
    <w:p w14:paraId="022671F8">
      <w:pPr>
        <w:spacing w:line="360" w:lineRule="auto"/>
        <w:ind w:firstLine="717" w:firstLineChars="299"/>
        <w:rPr>
          <w:rFonts w:hint="eastAsia" w:ascii="仿宋" w:hAnsi="仿宋" w:eastAsia="仿宋" w:cs="仿宋"/>
          <w:color w:val="000000" w:themeColor="text1"/>
          <w:kern w:val="0"/>
          <w:sz w:val="24"/>
          <w:szCs w:val="28"/>
          <w:highlight w:val="none"/>
          <w14:textFill>
            <w14:solidFill>
              <w14:schemeClr w14:val="tx1"/>
            </w14:solidFill>
          </w14:textFill>
        </w:rPr>
      </w:pPr>
    </w:p>
    <w:p w14:paraId="784B5E4C">
      <w:pPr>
        <w:pStyle w:val="3"/>
        <w:widowControl/>
        <w:numPr>
          <w:ilvl w:val="0"/>
          <w:numId w:val="0"/>
        </w:numPr>
        <w:ind w:left="48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4"/>
          <w:szCs w:val="28"/>
          <w:highlight w:val="none"/>
          <w:lang w:val="en-US" w:bidi="ar"/>
          <w14:textFill>
            <w14:solidFill>
              <w14:schemeClr w14:val="tx1"/>
            </w14:solidFill>
          </w14:textFill>
        </w:rPr>
        <w:br w:type="page"/>
      </w:r>
      <w:bookmarkStart w:id="685" w:name="_Toc359357400"/>
      <w:bookmarkStart w:id="686" w:name="_Toc297115126"/>
      <w:r>
        <w:rPr>
          <w:rFonts w:hint="eastAsia" w:ascii="仿宋" w:hAnsi="仿宋" w:eastAsia="仿宋" w:cs="仿宋"/>
          <w:color w:val="000000" w:themeColor="text1"/>
          <w:highlight w:val="none"/>
          <w:lang w:val="en-US"/>
          <w14:textFill>
            <w14:solidFill>
              <w14:schemeClr w14:val="tx1"/>
            </w14:solidFill>
          </w14:textFill>
        </w:rPr>
        <w:t>十一、</w:t>
      </w:r>
      <w:r>
        <w:rPr>
          <w:rFonts w:hint="eastAsia" w:ascii="仿宋" w:hAnsi="仿宋" w:eastAsia="仿宋" w:cs="仿宋"/>
          <w:color w:val="000000" w:themeColor="text1"/>
          <w:highlight w:val="none"/>
          <w14:textFill>
            <w14:solidFill>
              <w14:schemeClr w14:val="tx1"/>
            </w14:solidFill>
          </w14:textFill>
        </w:rPr>
        <w:t>工程施工人员配备情况表</w:t>
      </w:r>
    </w:p>
    <w:p w14:paraId="5AE0FD8B">
      <w:pPr>
        <w:spacing w:line="360" w:lineRule="auto"/>
        <w:ind w:firstLine="717" w:firstLineChars="299"/>
        <w:rPr>
          <w:rFonts w:hint="eastAsia" w:ascii="仿宋" w:hAnsi="仿宋" w:eastAsia="仿宋" w:cs="仿宋"/>
          <w:color w:val="000000" w:themeColor="text1"/>
          <w:kern w:val="0"/>
          <w:sz w:val="24"/>
          <w:highlight w:val="none"/>
          <w14:textFill>
            <w14:solidFill>
              <w14:schemeClr w14:val="tx1"/>
            </w14:solidFill>
          </w14:textFill>
        </w:rPr>
      </w:pPr>
    </w:p>
    <w:tbl>
      <w:tblPr>
        <w:tblStyle w:val="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936"/>
        <w:gridCol w:w="936"/>
        <w:gridCol w:w="1722"/>
        <w:gridCol w:w="1392"/>
        <w:gridCol w:w="1544"/>
        <w:gridCol w:w="1914"/>
      </w:tblGrid>
      <w:tr w14:paraId="255D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46F4C3">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职务</w:t>
            </w:r>
          </w:p>
        </w:tc>
        <w:tc>
          <w:tcPr>
            <w:tcW w:w="5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F0AC50">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姓名</w:t>
            </w:r>
          </w:p>
        </w:tc>
        <w:tc>
          <w:tcPr>
            <w:tcW w:w="5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7D3869">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职称</w:t>
            </w:r>
          </w:p>
        </w:tc>
        <w:tc>
          <w:tcPr>
            <w:tcW w:w="353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8330D0E">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上岗资格证明</w:t>
            </w:r>
          </w:p>
        </w:tc>
      </w:tr>
      <w:tr w14:paraId="64E1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F7FED8">
            <w:pPr>
              <w:rPr>
                <w:rFonts w:hint="eastAsia" w:ascii="仿宋" w:hAnsi="仿宋" w:eastAsia="仿宋" w:cs="仿宋"/>
                <w:color w:val="000000" w:themeColor="text1"/>
                <w:sz w:val="20"/>
                <w:szCs w:val="20"/>
                <w:highlight w:val="none"/>
                <w14:textFill>
                  <w14:solidFill>
                    <w14:schemeClr w14:val="tx1"/>
                  </w14:solidFill>
                </w14:textFill>
              </w:rPr>
            </w:pPr>
          </w:p>
        </w:tc>
        <w:tc>
          <w:tcPr>
            <w:tcW w:w="5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B41830">
            <w:pPr>
              <w:rPr>
                <w:rFonts w:hint="eastAsia" w:ascii="仿宋" w:hAnsi="仿宋" w:eastAsia="仿宋" w:cs="仿宋"/>
                <w:color w:val="000000" w:themeColor="text1"/>
                <w:sz w:val="20"/>
                <w:szCs w:val="20"/>
                <w:highlight w:val="none"/>
                <w14:textFill>
                  <w14:solidFill>
                    <w14:schemeClr w14:val="tx1"/>
                  </w14:solidFill>
                </w14:textFill>
              </w:rPr>
            </w:pPr>
          </w:p>
        </w:tc>
        <w:tc>
          <w:tcPr>
            <w:tcW w:w="5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894ED8">
            <w:pPr>
              <w:rPr>
                <w:rFonts w:hint="eastAsia" w:ascii="仿宋" w:hAnsi="仿宋" w:eastAsia="仿宋" w:cs="仿宋"/>
                <w:color w:val="000000" w:themeColor="text1"/>
                <w:sz w:val="20"/>
                <w:szCs w:val="20"/>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14:paraId="20ACE897">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证书</w:t>
            </w:r>
          </w:p>
          <w:p w14:paraId="03116078">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名称</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3FDB2931">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级别</w:t>
            </w:r>
          </w:p>
        </w:tc>
        <w:tc>
          <w:tcPr>
            <w:tcW w:w="831" w:type="pct"/>
            <w:tcBorders>
              <w:top w:val="single" w:color="auto" w:sz="4" w:space="0"/>
              <w:left w:val="single" w:color="auto" w:sz="4" w:space="0"/>
              <w:bottom w:val="single" w:color="auto" w:sz="4" w:space="0"/>
              <w:right w:val="single" w:color="auto" w:sz="4" w:space="0"/>
            </w:tcBorders>
            <w:shd w:val="clear" w:color="auto" w:fill="auto"/>
            <w:vAlign w:val="center"/>
          </w:tcPr>
          <w:p w14:paraId="372DA486">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证号</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63E0C7B4">
            <w:pPr>
              <w:jc w:val="center"/>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专业</w:t>
            </w:r>
          </w:p>
        </w:tc>
      </w:tr>
      <w:tr w14:paraId="30E0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1D95CF6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96C746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6893FA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6494FDC0">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630D9FBD">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0413C71B">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20CAD102">
            <w:pPr>
              <w:spacing w:line="360" w:lineRule="auto"/>
              <w:rPr>
                <w:rFonts w:hint="eastAsia" w:ascii="仿宋" w:hAnsi="仿宋" w:eastAsia="仿宋" w:cs="仿宋"/>
                <w:color w:val="000000" w:themeColor="text1"/>
                <w:kern w:val="0"/>
                <w:szCs w:val="28"/>
                <w:highlight w:val="none"/>
                <w14:textFill>
                  <w14:solidFill>
                    <w14:schemeClr w14:val="tx1"/>
                  </w14:solidFill>
                </w14:textFill>
              </w:rPr>
            </w:pPr>
          </w:p>
        </w:tc>
      </w:tr>
      <w:tr w14:paraId="1143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1281285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63D4B69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39925B1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331F0DE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7B410F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0952F27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5308BA9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4C6D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50D24B8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64CB369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E151BD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7A95472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423EB7B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2CA8DF5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0C6FBBE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6BB91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54016FC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5274EE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57E1902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62B8DA4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5F468E3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455E24B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6272C4A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6A21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161DA6B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A6C240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624EB9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7422B74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B3890DC">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52CE47BE">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1A5330C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78F0E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00A4B4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D8C114B">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07562D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2B2CE71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5BB59B2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5D473AB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38F5624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245E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5822C109">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54A9174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7444A296">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32FAB978">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63655FE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1C00529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0F38226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603D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328E9EA5">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03F371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2BDA67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1AC0527F">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0FA46613">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1B71AE21">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2295DDD0">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r w14:paraId="349F7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4536AE5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3D450B64">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E438CE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2559421A">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4757D10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579957B7">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7EDF9BCD">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bl>
    <w:p w14:paraId="021AA52C">
      <w:pPr>
        <w:spacing w:line="360" w:lineRule="auto"/>
        <w:ind w:firstLine="717" w:firstLineChars="299"/>
        <w:rPr>
          <w:rFonts w:hint="eastAsia" w:ascii="仿宋" w:hAnsi="仿宋" w:eastAsia="仿宋" w:cs="仿宋"/>
          <w:color w:val="000000" w:themeColor="text1"/>
          <w:kern w:val="0"/>
          <w:sz w:val="24"/>
          <w:szCs w:val="28"/>
          <w:highlight w:val="none"/>
          <w14:textFill>
            <w14:solidFill>
              <w14:schemeClr w14:val="tx1"/>
            </w14:solidFill>
          </w14:textFill>
        </w:rPr>
      </w:pPr>
    </w:p>
    <w:p w14:paraId="377D2CCD">
      <w:pPr>
        <w:pStyle w:val="3"/>
        <w:widowControl/>
        <w:numPr>
          <w:ilvl w:val="0"/>
          <w:numId w:val="0"/>
        </w:numPr>
        <w:ind w:left="482"/>
        <w:jc w:val="center"/>
        <w:rPr>
          <w:rFonts w:hint="eastAsia" w:ascii="仿宋" w:hAnsi="仿宋" w:eastAsia="仿宋" w:cs="仿宋"/>
          <w:color w:val="000000" w:themeColor="text1"/>
          <w:highlight w:val="none"/>
          <w:lang w:val="en-US"/>
          <w14:textFill>
            <w14:solidFill>
              <w14:schemeClr w14:val="tx1"/>
            </w14:solidFill>
          </w14:textFill>
        </w:rPr>
      </w:pPr>
      <w:r>
        <w:rPr>
          <w:rFonts w:hint="eastAsia" w:ascii="仿宋" w:hAnsi="仿宋" w:eastAsia="仿宋" w:cs="仿宋"/>
          <w:color w:val="000000" w:themeColor="text1"/>
          <w:sz w:val="24"/>
          <w:szCs w:val="28"/>
          <w:highlight w:val="none"/>
          <w:lang w:val="en-US" w:bidi="ar"/>
          <w14:textFill>
            <w14:solidFill>
              <w14:schemeClr w14:val="tx1"/>
            </w14:solidFill>
          </w14:textFill>
        </w:rPr>
        <w:br w:type="page"/>
      </w:r>
      <w:r>
        <w:rPr>
          <w:rFonts w:hint="eastAsia" w:ascii="仿宋" w:hAnsi="仿宋" w:eastAsia="仿宋" w:cs="仿宋"/>
          <w:color w:val="000000" w:themeColor="text1"/>
          <w:highlight w:val="none"/>
          <w:lang w:val="en-US"/>
          <w14:textFill>
            <w14:solidFill>
              <w14:schemeClr w14:val="tx1"/>
            </w14:solidFill>
          </w14:textFill>
        </w:rPr>
        <w:t>十二、</w:t>
      </w:r>
      <w:r>
        <w:rPr>
          <w:rFonts w:hint="eastAsia" w:ascii="仿宋" w:hAnsi="仿宋" w:eastAsia="仿宋" w:cs="仿宋"/>
          <w:color w:val="000000" w:themeColor="text1"/>
          <w:highlight w:val="none"/>
          <w14:textFill>
            <w14:solidFill>
              <w14:schemeClr w14:val="tx1"/>
            </w14:solidFill>
          </w14:textFill>
        </w:rPr>
        <w:t>项目管理班子配备情况辅助说明资料</w:t>
      </w:r>
      <w:bookmarkEnd w:id="685"/>
      <w:bookmarkEnd w:id="686"/>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7045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16" w:hRule="atLeast"/>
        </w:trPr>
        <w:tc>
          <w:tcPr>
            <w:tcW w:w="9606" w:type="dxa"/>
            <w:tcBorders>
              <w:top w:val="single" w:color="auto" w:sz="4" w:space="0"/>
              <w:left w:val="single" w:color="auto" w:sz="4" w:space="0"/>
              <w:bottom w:val="single" w:color="auto" w:sz="4" w:space="0"/>
              <w:right w:val="single" w:color="auto" w:sz="4" w:space="0"/>
            </w:tcBorders>
            <w:shd w:val="clear" w:color="auto" w:fill="auto"/>
          </w:tcPr>
          <w:p w14:paraId="7D7788F2">
            <w:pPr>
              <w:spacing w:line="360" w:lineRule="auto"/>
              <w:rPr>
                <w:rFonts w:hint="eastAsia" w:ascii="仿宋" w:hAnsi="仿宋" w:eastAsia="仿宋" w:cs="仿宋"/>
                <w:color w:val="000000" w:themeColor="text1"/>
                <w:kern w:val="0"/>
                <w:sz w:val="24"/>
                <w:szCs w:val="28"/>
                <w:highlight w:val="none"/>
                <w14:textFill>
                  <w14:solidFill>
                    <w14:schemeClr w14:val="tx1"/>
                  </w14:solidFill>
                </w14:textFill>
              </w:rPr>
            </w:pPr>
          </w:p>
        </w:tc>
      </w:tr>
    </w:tbl>
    <w:p w14:paraId="1A2F4A7E">
      <w:pPr>
        <w:spacing w:line="400" w:lineRule="exact"/>
        <w:rPr>
          <w:rFonts w:hint="eastAsia"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注：1、辅助说明资料主要包括管理班子机构设置、职责分工、有关复印证明资料以及供应商认为有必要提供的资料。辅助说明资料格式不做统一规定，由供应商自行设计。</w:t>
      </w:r>
    </w:p>
    <w:p w14:paraId="504B5902">
      <w:pPr>
        <w:spacing w:line="400" w:lineRule="exact"/>
        <w:ind w:firstLine="315"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2、项目管理班子配备情况辅助说明资料另附（与本投标文件一起装订）</w:t>
      </w:r>
    </w:p>
    <w:p w14:paraId="6684046C">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658989D4">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21A68D68">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217C6744">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12A5DF1A">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p>
    <w:p w14:paraId="504B9559">
      <w:pPr>
        <w:widowControl/>
        <w:adjustRightInd/>
        <w:jc w:val="left"/>
        <w:rPr>
          <w:rFonts w:hint="eastAsia" w:ascii="仿宋" w:hAnsi="仿宋" w:eastAsia="仿宋" w:cs="仿宋"/>
          <w:b/>
          <w:bCs/>
          <w:color w:val="000000" w:themeColor="text1"/>
          <w:sz w:val="32"/>
          <w:szCs w:val="32"/>
          <w:highlight w:val="none"/>
          <w:lang w:val="zh-CN"/>
          <w14:textFill>
            <w14:solidFill>
              <w14:schemeClr w14:val="tx1"/>
            </w14:solidFill>
          </w14:textFill>
        </w:rPr>
      </w:pPr>
    </w:p>
    <w:p w14:paraId="078FAF30">
      <w:pPr>
        <w:spacing w:line="360" w:lineRule="auto"/>
        <w:jc w:val="center"/>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十三、材料表</w:t>
      </w:r>
    </w:p>
    <w:tbl>
      <w:tblPr>
        <w:tblStyle w:val="60"/>
        <w:tblW w:w="793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0"/>
        <w:gridCol w:w="3397"/>
        <w:gridCol w:w="3308"/>
      </w:tblGrid>
      <w:tr w14:paraId="15645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1" w:hRule="exact"/>
          <w:tblHeader/>
          <w:jc w:val="center"/>
        </w:trPr>
        <w:tc>
          <w:tcPr>
            <w:tcW w:w="1231" w:type="dxa"/>
            <w:tcBorders>
              <w:top w:val="single" w:color="auto" w:sz="12" w:space="0"/>
              <w:left w:val="single" w:color="auto" w:sz="12" w:space="0"/>
              <w:bottom w:val="single" w:color="auto" w:sz="6" w:space="0"/>
              <w:right w:val="single" w:color="auto" w:sz="6" w:space="0"/>
            </w:tcBorders>
            <w:shd w:val="clear" w:color="auto" w:fill="auto"/>
            <w:vAlign w:val="center"/>
          </w:tcPr>
          <w:p w14:paraId="5D3C144D">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序号</w:t>
            </w:r>
          </w:p>
        </w:tc>
        <w:tc>
          <w:tcPr>
            <w:tcW w:w="3398" w:type="dxa"/>
            <w:tcBorders>
              <w:top w:val="single" w:color="auto" w:sz="12" w:space="0"/>
              <w:left w:val="single" w:color="auto" w:sz="6" w:space="0"/>
              <w:bottom w:val="single" w:color="auto" w:sz="6" w:space="0"/>
              <w:right w:val="single" w:color="auto" w:sz="6" w:space="0"/>
            </w:tcBorders>
            <w:shd w:val="clear" w:color="auto" w:fill="auto"/>
            <w:vAlign w:val="center"/>
          </w:tcPr>
          <w:p w14:paraId="1123B9A2">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材料名称</w:t>
            </w:r>
          </w:p>
        </w:tc>
        <w:tc>
          <w:tcPr>
            <w:tcW w:w="3309" w:type="dxa"/>
            <w:tcBorders>
              <w:top w:val="single" w:color="auto" w:sz="12" w:space="0"/>
              <w:left w:val="single" w:color="auto" w:sz="4" w:space="0"/>
              <w:bottom w:val="single" w:color="auto" w:sz="6" w:space="0"/>
              <w:right w:val="single" w:color="auto" w:sz="12" w:space="0"/>
            </w:tcBorders>
            <w:shd w:val="clear" w:color="auto" w:fill="auto"/>
            <w:vAlign w:val="center"/>
          </w:tcPr>
          <w:p w14:paraId="3A1502C9">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品牌</w:t>
            </w:r>
          </w:p>
        </w:tc>
      </w:tr>
      <w:tr w14:paraId="1970B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095A853A">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1</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8C193EF">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7624B165">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01113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619A40F8">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2</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6100B25E">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167AF153">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437581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126CD856">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3</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F0B655D">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54174A51">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661E6B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31FDE49E">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4</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1B533AF3">
            <w:pPr>
              <w:pStyle w:val="3"/>
              <w:widowControl/>
              <w:numPr>
                <w:ilvl w:val="255"/>
                <w:numId w:val="0"/>
              </w:numPr>
              <w:jc w:val="both"/>
              <w:rPr>
                <w:rFonts w:hint="eastAsia" w:ascii="仿宋" w:hAns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7CA63453">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3F0E4C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48074E59">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5</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56FDECE4">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46569B1A">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5E7DB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356B4994">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6</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10EE0177">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29E20ADB">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60A04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5FF62149">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7</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70DA6F9">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158026BD">
            <w:pPr>
              <w:jc w:val="center"/>
              <w:rPr>
                <w:rFonts w:hint="eastAsia" w:ascii="仿宋" w:hAnsi="仿宋" w:eastAsia="仿宋" w:cs="仿宋"/>
                <w:color w:val="000000" w:themeColor="text1"/>
                <w:sz w:val="18"/>
                <w:szCs w:val="18"/>
                <w:highlight w:val="none"/>
                <w14:textFill>
                  <w14:solidFill>
                    <w14:schemeClr w14:val="tx1"/>
                  </w14:solidFill>
                </w14:textFill>
              </w:rPr>
            </w:pPr>
          </w:p>
        </w:tc>
      </w:tr>
      <w:tr w14:paraId="46E66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1012F385">
            <w:pPr>
              <w:jc w:val="center"/>
              <w:rPr>
                <w:rFonts w:hint="eastAsia"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8</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2B9766A">
            <w:pPr>
              <w:pStyle w:val="3"/>
              <w:widowControl/>
              <w:numPr>
                <w:ilvl w:val="255"/>
                <w:numId w:val="0"/>
              </w:numPr>
              <w:jc w:val="both"/>
              <w:rPr>
                <w:rFonts w:hint="eastAsia" w:ascii="仿宋" w:hAns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58C446AE">
            <w:pPr>
              <w:jc w:val="center"/>
              <w:rPr>
                <w:rFonts w:hint="eastAsia" w:ascii="仿宋" w:hAnsi="仿宋" w:eastAsia="仿宋" w:cs="仿宋"/>
                <w:color w:val="000000" w:themeColor="text1"/>
                <w:sz w:val="18"/>
                <w:szCs w:val="18"/>
                <w:highlight w:val="none"/>
                <w14:textFill>
                  <w14:solidFill>
                    <w14:schemeClr w14:val="tx1"/>
                  </w14:solidFill>
                </w14:textFill>
              </w:rPr>
            </w:pPr>
          </w:p>
        </w:tc>
      </w:tr>
    </w:tbl>
    <w:p w14:paraId="2E94AE58">
      <w:pPr>
        <w:widowControl/>
        <w:adjustRightInd/>
        <w:jc w:val="left"/>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br w:type="page"/>
      </w:r>
    </w:p>
    <w:p w14:paraId="7409D503">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p>
    <w:p w14:paraId="6E6AFFD8">
      <w:pPr>
        <w:spacing w:line="360" w:lineRule="auto"/>
        <w:jc w:val="center"/>
        <w:outlineLvl w:val="0"/>
        <w:rPr>
          <w:rFonts w:hint="eastAsia" w:ascii="仿宋" w:hAnsi="仿宋" w:eastAsia="仿宋" w:cs="仿宋"/>
          <w:b/>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kern w:val="0"/>
          <w:sz w:val="36"/>
          <w:szCs w:val="36"/>
          <w:highlight w:val="none"/>
          <w14:textFill>
            <w14:solidFill>
              <w14:schemeClr w14:val="tx1"/>
            </w14:solidFill>
          </w14:textFill>
        </w:rPr>
        <w:t>报价文件部分</w:t>
      </w:r>
    </w:p>
    <w:p w14:paraId="68F126C2">
      <w:pPr>
        <w:jc w:val="center"/>
        <w:rPr>
          <w:rFonts w:hint="eastAsia" w:ascii="仿宋" w:hAnsi="仿宋" w:eastAsia="仿宋" w:cs="仿宋"/>
          <w:b/>
          <w:bCs/>
          <w:color w:val="000000" w:themeColor="text1"/>
          <w:sz w:val="28"/>
          <w:szCs w:val="28"/>
          <w:highlight w:val="none"/>
          <w14:textFill>
            <w14:solidFill>
              <w14:schemeClr w14:val="tx1"/>
            </w14:solidFill>
          </w14:textFill>
        </w:rPr>
      </w:pPr>
    </w:p>
    <w:p w14:paraId="4E27FF28">
      <w:pPr>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目录</w:t>
      </w:r>
    </w:p>
    <w:p w14:paraId="1B796F55">
      <w:pPr>
        <w:rPr>
          <w:rFonts w:hint="eastAsia" w:ascii="仿宋" w:hAnsi="仿宋" w:eastAsia="仿宋" w:cs="仿宋"/>
          <w:color w:val="000000" w:themeColor="text1"/>
          <w:highlight w:val="none"/>
          <w14:textFill>
            <w14:solidFill>
              <w14:schemeClr w14:val="tx1"/>
            </w14:solidFill>
          </w14:textFill>
        </w:rPr>
      </w:pPr>
    </w:p>
    <w:p w14:paraId="49CD34B1">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初始报价一览表………………………………………………………………（页码）</w:t>
      </w:r>
    </w:p>
    <w:p w14:paraId="312565F8">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中小企业声明函………………………………………………………………（页码）</w:t>
      </w:r>
    </w:p>
    <w:p w14:paraId="7CFFD6D7">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报价情况说明……………………………………………………………………（页码）</w:t>
      </w:r>
    </w:p>
    <w:p w14:paraId="48B31A55">
      <w:pPr>
        <w:numPr>
          <w:ilvl w:val="0"/>
          <w:numId w:val="38"/>
        </w:numPr>
        <w:snapToGrid w:val="0"/>
        <w:spacing w:line="360" w:lineRule="auto"/>
        <w:ind w:hanging="5"/>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已标价工程量清单………………………………………………………………（页码）</w:t>
      </w:r>
    </w:p>
    <w:p w14:paraId="0CF9FE5B">
      <w:pPr>
        <w:numPr>
          <w:ilvl w:val="0"/>
          <w:numId w:val="0"/>
        </w:num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p>
    <w:p w14:paraId="5C1A6435">
      <w:pPr>
        <w:snapToGrid w:val="0"/>
        <w:spacing w:line="360" w:lineRule="auto"/>
        <w:ind w:right="480"/>
        <w:jc w:val="center"/>
        <w:rPr>
          <w:rFonts w:hint="eastAsia" w:ascii="仿宋" w:hAnsi="仿宋" w:eastAsia="仿宋" w:cs="仿宋"/>
          <w:b/>
          <w:color w:val="000000" w:themeColor="text1"/>
          <w:kern w:val="0"/>
          <w:sz w:val="32"/>
          <w:szCs w:val="32"/>
          <w:highlight w:val="none"/>
          <w14:textFill>
            <w14:solidFill>
              <w14:schemeClr w14:val="tx1"/>
            </w14:solidFill>
          </w14:textFill>
        </w:rPr>
      </w:pPr>
    </w:p>
    <w:p w14:paraId="3A9DF39E">
      <w:pPr>
        <w:snapToGrid w:val="0"/>
        <w:spacing w:line="360" w:lineRule="auto"/>
        <w:jc w:val="center"/>
        <w:outlineLvl w:val="0"/>
        <w:rPr>
          <w:rFonts w:hint="eastAsia" w:ascii="仿宋" w:hAnsi="仿宋" w:eastAsia="仿宋" w:cs="仿宋"/>
          <w:b/>
          <w:color w:val="000000" w:themeColor="text1"/>
          <w:sz w:val="36"/>
          <w:szCs w:val="36"/>
          <w:highlight w:val="none"/>
          <w14:textFill>
            <w14:solidFill>
              <w14:schemeClr w14:val="tx1"/>
            </w14:solidFill>
          </w14:textFill>
        </w:rPr>
        <w:sectPr>
          <w:pgSz w:w="11906" w:h="16838"/>
          <w:pgMar w:top="1174" w:right="1418" w:bottom="1151" w:left="1418" w:header="851" w:footer="992" w:gutter="0"/>
          <w:cols w:space="720" w:num="1"/>
          <w:titlePg/>
          <w:docGrid w:linePitch="312" w:charSpace="0"/>
        </w:sectPr>
      </w:pPr>
      <w:r>
        <w:rPr>
          <w:rFonts w:hint="eastAsia" w:ascii="仿宋" w:hAnsi="仿宋" w:eastAsia="仿宋" w:cs="仿宋"/>
          <w:b/>
          <w:color w:val="000000" w:themeColor="text1"/>
          <w:sz w:val="36"/>
          <w:szCs w:val="36"/>
          <w:highlight w:val="none"/>
          <w14:textFill>
            <w14:solidFill>
              <w14:schemeClr w14:val="tx1"/>
            </w14:solidFill>
          </w14:textFill>
        </w:rPr>
        <w:br w:type="page"/>
      </w:r>
    </w:p>
    <w:p w14:paraId="434FB88C">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p>
    <w:p w14:paraId="559185EE">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一、初始报价一览表</w:t>
      </w:r>
    </w:p>
    <w:p w14:paraId="46CA4C8D">
      <w:pPr>
        <w:snapToGrid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6189A890">
      <w:pPr>
        <w:snapToGrid w:val="0"/>
        <w:spacing w:line="360" w:lineRule="auto"/>
        <w:ind w:firstLine="482"/>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按你方磋商文件要求，我们，本响应文件签字方，谨此向你方发出要约如下：如你方接受本响应，我方承诺按照如下初始报价一览表的价格完成</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sz w:val="24"/>
          <w:highlight w:val="none"/>
          <w:lang w:eastAsia="zh-CN"/>
          <w14:textFill>
            <w14:solidFill>
              <w14:schemeClr w14:val="tx1"/>
            </w14:solidFill>
          </w14:textFill>
        </w:rPr>
        <w:t>、标项名称</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标项一/标项二</w:t>
      </w:r>
      <w:r>
        <w:rPr>
          <w:rFonts w:hint="eastAsia" w:ascii="仿宋" w:hAnsi="仿宋" w:eastAsia="仿宋" w:cs="仿宋"/>
          <w:color w:val="000000" w:themeColor="text1"/>
          <w:sz w:val="24"/>
          <w:highlight w:val="none"/>
          <w14:textFill>
            <w14:solidFill>
              <w14:schemeClr w14:val="tx1"/>
            </w14:solidFill>
          </w14:textFill>
        </w:rPr>
        <w:t>】的实施</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64333842">
      <w:pPr>
        <w:spacing w:line="360" w:lineRule="auto"/>
        <w:jc w:val="center"/>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初始报价一览表(单位均为人民币元)</w:t>
      </w:r>
    </w:p>
    <w:tbl>
      <w:tblPr>
        <w:tblStyle w:val="60"/>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85"/>
        <w:gridCol w:w="1420"/>
        <w:gridCol w:w="1910"/>
        <w:gridCol w:w="770"/>
        <w:gridCol w:w="850"/>
        <w:gridCol w:w="2540"/>
      </w:tblGrid>
      <w:tr w14:paraId="60634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534" w:type="dxa"/>
            <w:vAlign w:val="center"/>
          </w:tcPr>
          <w:p w14:paraId="572019C1">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1285" w:type="dxa"/>
            <w:vAlign w:val="center"/>
          </w:tcPr>
          <w:p w14:paraId="79329BD9">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名称</w:t>
            </w:r>
          </w:p>
        </w:tc>
        <w:tc>
          <w:tcPr>
            <w:tcW w:w="1420" w:type="dxa"/>
            <w:vAlign w:val="center"/>
          </w:tcPr>
          <w:p w14:paraId="2D7A7D0C">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施工范围</w:t>
            </w:r>
          </w:p>
        </w:tc>
        <w:tc>
          <w:tcPr>
            <w:tcW w:w="1910" w:type="dxa"/>
            <w:vAlign w:val="center"/>
          </w:tcPr>
          <w:p w14:paraId="7AF643B6">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施工工期</w:t>
            </w:r>
          </w:p>
        </w:tc>
        <w:tc>
          <w:tcPr>
            <w:tcW w:w="770" w:type="dxa"/>
            <w:vAlign w:val="center"/>
          </w:tcPr>
          <w:p w14:paraId="2F34A843">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项目负责人</w:t>
            </w:r>
          </w:p>
        </w:tc>
        <w:tc>
          <w:tcPr>
            <w:tcW w:w="850" w:type="dxa"/>
            <w:vAlign w:val="center"/>
          </w:tcPr>
          <w:p w14:paraId="0A4F1903">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执业证书信息</w:t>
            </w:r>
          </w:p>
        </w:tc>
        <w:tc>
          <w:tcPr>
            <w:tcW w:w="2540" w:type="dxa"/>
            <w:vAlign w:val="center"/>
          </w:tcPr>
          <w:p w14:paraId="2C2D8964">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备注（如果有）</w:t>
            </w:r>
          </w:p>
        </w:tc>
      </w:tr>
      <w:tr w14:paraId="2E86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714DBF80">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p>
        </w:tc>
        <w:tc>
          <w:tcPr>
            <w:tcW w:w="1285" w:type="dxa"/>
            <w:vAlign w:val="center"/>
          </w:tcPr>
          <w:p w14:paraId="00DAE5ED">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420" w:type="dxa"/>
            <w:vAlign w:val="center"/>
          </w:tcPr>
          <w:p w14:paraId="2863AC2A">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910" w:type="dxa"/>
            <w:vAlign w:val="center"/>
          </w:tcPr>
          <w:p w14:paraId="2FCC9116">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770" w:type="dxa"/>
            <w:vAlign w:val="center"/>
          </w:tcPr>
          <w:p w14:paraId="75145A14">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850" w:type="dxa"/>
            <w:vAlign w:val="center"/>
          </w:tcPr>
          <w:p w14:paraId="5F8867C7">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540" w:type="dxa"/>
            <w:vAlign w:val="center"/>
          </w:tcPr>
          <w:p w14:paraId="48B283EF">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0CA28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3D825FCE">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p>
        </w:tc>
        <w:tc>
          <w:tcPr>
            <w:tcW w:w="1285" w:type="dxa"/>
            <w:vAlign w:val="center"/>
          </w:tcPr>
          <w:p w14:paraId="5D5B8BDE">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420" w:type="dxa"/>
            <w:vAlign w:val="center"/>
          </w:tcPr>
          <w:p w14:paraId="7EE17B8B">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910" w:type="dxa"/>
            <w:vAlign w:val="center"/>
          </w:tcPr>
          <w:p w14:paraId="5BA1004F">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770" w:type="dxa"/>
            <w:vAlign w:val="center"/>
          </w:tcPr>
          <w:p w14:paraId="1BAF5841">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850" w:type="dxa"/>
            <w:vAlign w:val="center"/>
          </w:tcPr>
          <w:p w14:paraId="399C509A">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540" w:type="dxa"/>
            <w:vAlign w:val="center"/>
          </w:tcPr>
          <w:p w14:paraId="634BB7AA">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7493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3699546B">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1285" w:type="dxa"/>
            <w:vAlign w:val="center"/>
          </w:tcPr>
          <w:p w14:paraId="55CA976A">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420" w:type="dxa"/>
            <w:vAlign w:val="center"/>
          </w:tcPr>
          <w:p w14:paraId="714F0932">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910" w:type="dxa"/>
            <w:vAlign w:val="center"/>
          </w:tcPr>
          <w:p w14:paraId="01ADA8AB">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770" w:type="dxa"/>
            <w:vAlign w:val="center"/>
          </w:tcPr>
          <w:p w14:paraId="0ABF255A">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850" w:type="dxa"/>
            <w:vAlign w:val="center"/>
          </w:tcPr>
          <w:p w14:paraId="3EA24E9F">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540" w:type="dxa"/>
            <w:vAlign w:val="center"/>
          </w:tcPr>
          <w:p w14:paraId="172968E2">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67D0F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1A218D48">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285" w:type="dxa"/>
            <w:vAlign w:val="center"/>
          </w:tcPr>
          <w:p w14:paraId="79BEC83C">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420" w:type="dxa"/>
            <w:vAlign w:val="center"/>
          </w:tcPr>
          <w:p w14:paraId="43DF61C1">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910" w:type="dxa"/>
            <w:vAlign w:val="center"/>
          </w:tcPr>
          <w:p w14:paraId="7C629BCE">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770" w:type="dxa"/>
            <w:vAlign w:val="center"/>
          </w:tcPr>
          <w:p w14:paraId="3E5E022D">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850" w:type="dxa"/>
            <w:vAlign w:val="center"/>
          </w:tcPr>
          <w:p w14:paraId="563B07F0">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540" w:type="dxa"/>
            <w:vAlign w:val="center"/>
          </w:tcPr>
          <w:p w14:paraId="2944A13E">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183EB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77A67820">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285" w:type="dxa"/>
            <w:vAlign w:val="center"/>
          </w:tcPr>
          <w:p w14:paraId="726513AC">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420" w:type="dxa"/>
            <w:vAlign w:val="center"/>
          </w:tcPr>
          <w:p w14:paraId="65227253">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1910" w:type="dxa"/>
            <w:vAlign w:val="center"/>
          </w:tcPr>
          <w:p w14:paraId="4FF67AED">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770" w:type="dxa"/>
            <w:vAlign w:val="center"/>
          </w:tcPr>
          <w:p w14:paraId="6D5FDE23">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850" w:type="dxa"/>
            <w:vAlign w:val="center"/>
          </w:tcPr>
          <w:p w14:paraId="09169B30">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540" w:type="dxa"/>
            <w:vAlign w:val="center"/>
          </w:tcPr>
          <w:p w14:paraId="7CD7FBC7">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36E07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1FFD2CAA">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eastAsia="zh-CN"/>
                <w14:textFill>
                  <w14:solidFill>
                    <w14:schemeClr w14:val="tx1"/>
                  </w14:solidFill>
                </w14:textFill>
              </w:rPr>
              <w:t>磋商</w:t>
            </w:r>
            <w:r>
              <w:rPr>
                <w:rFonts w:hint="eastAsia" w:ascii="仿宋" w:hAnsi="仿宋" w:eastAsia="仿宋" w:cs="仿宋"/>
                <w:b/>
                <w:color w:val="000000" w:themeColor="text1"/>
                <w:sz w:val="24"/>
                <w:highlight w:val="none"/>
                <w14:textFill>
                  <w14:solidFill>
                    <w14:schemeClr w14:val="tx1"/>
                  </w14:solidFill>
                </w14:textFill>
              </w:rPr>
              <w:t>报价（小写）</w:t>
            </w:r>
          </w:p>
        </w:tc>
        <w:tc>
          <w:tcPr>
            <w:tcW w:w="4160" w:type="dxa"/>
            <w:gridSpan w:val="3"/>
            <w:vAlign w:val="center"/>
          </w:tcPr>
          <w:p w14:paraId="1F6BDFDE">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4065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277A795A">
            <w:pPr>
              <w:snapToGrid w:val="0"/>
              <w:spacing w:line="40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磋商报价（大写）</w:t>
            </w:r>
          </w:p>
        </w:tc>
        <w:tc>
          <w:tcPr>
            <w:tcW w:w="4160" w:type="dxa"/>
            <w:gridSpan w:val="3"/>
            <w:vAlign w:val="center"/>
          </w:tcPr>
          <w:p w14:paraId="5B6E2CFC">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bl>
    <w:p w14:paraId="69BC8541">
      <w:pPr>
        <w:snapToGrid w:val="0"/>
        <w:spacing w:line="360" w:lineRule="auto"/>
        <w:ind w:left="480"/>
        <w:rPr>
          <w:rFonts w:hint="eastAsia" w:ascii="仿宋" w:hAnsi="仿宋" w:eastAsia="仿宋" w:cs="仿宋"/>
          <w:b/>
          <w:color w:val="000000" w:themeColor="text1"/>
          <w:kern w:val="0"/>
          <w:szCs w:val="21"/>
          <w:highlight w:val="none"/>
          <w:lang w:val="zh-CN"/>
          <w14:textFill>
            <w14:solidFill>
              <w14:schemeClr w14:val="tx1"/>
            </w14:solidFill>
          </w14:textFill>
        </w:rPr>
      </w:pPr>
      <w:r>
        <w:rPr>
          <w:rFonts w:hint="eastAsia" w:ascii="仿宋" w:hAnsi="仿宋" w:eastAsia="仿宋" w:cs="仿宋"/>
          <w:b/>
          <w:color w:val="000000" w:themeColor="text1"/>
          <w:kern w:val="0"/>
          <w:szCs w:val="21"/>
          <w:highlight w:val="none"/>
          <w:lang w:val="zh-CN"/>
          <w14:textFill>
            <w14:solidFill>
              <w14:schemeClr w14:val="tx1"/>
            </w14:solidFill>
          </w14:textFill>
        </w:rPr>
        <w:t>注：</w:t>
      </w:r>
    </w:p>
    <w:p w14:paraId="58173E26">
      <w:pPr>
        <w:snapToGrid w:val="0"/>
        <w:spacing w:line="360" w:lineRule="auto"/>
        <w:ind w:left="-2" w:leftChars="-1" w:firstLine="420" w:firstLineChars="200"/>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lang w:val="zh-CN"/>
          <w14:textFill>
            <w14:solidFill>
              <w14:schemeClr w14:val="tx1"/>
            </w14:solidFill>
          </w14:textFill>
        </w:rPr>
        <w:t>1、供应商需按本表格式填写，</w:t>
      </w:r>
      <w:r>
        <w:rPr>
          <w:rFonts w:hint="eastAsia" w:ascii="仿宋" w:hAnsi="仿宋" w:eastAsia="仿宋" w:cs="仿宋"/>
          <w:b/>
          <w:bCs/>
          <w:color w:val="000000" w:themeColor="text1"/>
          <w:kern w:val="0"/>
          <w:szCs w:val="21"/>
          <w:highlight w:val="none"/>
          <w:lang w:val="zh-CN"/>
          <w14:textFill>
            <w14:solidFill>
              <w14:schemeClr w14:val="tx1"/>
            </w14:solidFill>
          </w14:textFill>
        </w:rPr>
        <w:t>否则视为响应文件含有采购人不能接受的附加条件，响应无效。</w:t>
      </w:r>
    </w:p>
    <w:p w14:paraId="41594629">
      <w:pPr>
        <w:snapToGrid w:val="0"/>
        <w:spacing w:line="360" w:lineRule="auto"/>
        <w:ind w:firstLine="420" w:firstLineChars="200"/>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lang w:val="zh-CN"/>
          <w14:textFill>
            <w14:solidFill>
              <w14:schemeClr w14:val="tx1"/>
            </w14:solidFill>
          </w14:textFill>
        </w:rPr>
        <w:t>2、有关本项目实施所涉及的一切费用均计入报价。</w:t>
      </w:r>
      <w:r>
        <w:rPr>
          <w:rFonts w:hint="eastAsia" w:ascii="仿宋" w:hAnsi="仿宋" w:eastAsia="仿宋" w:cs="仿宋"/>
          <w:b/>
          <w:color w:val="000000" w:themeColor="text1"/>
          <w:kern w:val="0"/>
          <w:szCs w:val="21"/>
          <w:highlight w:val="none"/>
          <w:lang w:val="zh-CN"/>
          <w14:textFill>
            <w14:solidFill>
              <w14:schemeClr w14:val="tx1"/>
            </w14:solidFill>
          </w14:textFill>
        </w:rPr>
        <w:t>采购人将以合同形式有偿取得服务，不接受供应商给予的赠品、回扣或者与采购无关的其他商品、服务</w:t>
      </w:r>
      <w:r>
        <w:rPr>
          <w:rFonts w:hint="eastAsia" w:ascii="仿宋" w:hAnsi="仿宋" w:eastAsia="仿宋" w:cs="仿宋"/>
          <w:color w:val="000000" w:themeColor="text1"/>
          <w:kern w:val="0"/>
          <w:szCs w:val="21"/>
          <w:highlight w:val="none"/>
          <w:lang w:val="zh-CN"/>
          <w14:textFill>
            <w14:solidFill>
              <w14:schemeClr w14:val="tx1"/>
            </w14:solidFill>
          </w14:textFill>
        </w:rPr>
        <w:t>，</w:t>
      </w:r>
      <w:r>
        <w:rPr>
          <w:rFonts w:hint="eastAsia" w:ascii="仿宋" w:hAnsi="仿宋" w:eastAsia="仿宋" w:cs="仿宋"/>
          <w:b/>
          <w:color w:val="000000" w:themeColor="text1"/>
          <w:kern w:val="0"/>
          <w:szCs w:val="21"/>
          <w:highlight w:val="none"/>
          <w:lang w:val="zh-CN"/>
          <w14:textFill>
            <w14:solidFill>
              <w14:schemeClr w14:val="tx1"/>
            </w14:solidFill>
          </w14:textFill>
        </w:rPr>
        <w:t>不得出现“0元”“免费赠送”等形式的无偿报价，</w:t>
      </w:r>
      <w:r>
        <w:rPr>
          <w:rFonts w:hint="eastAsia" w:ascii="仿宋" w:hAnsi="仿宋" w:eastAsia="仿宋" w:cs="仿宋"/>
          <w:b/>
          <w:color w:val="000000" w:themeColor="text1"/>
          <w:kern w:val="0"/>
          <w:szCs w:val="21"/>
          <w:highlight w:val="none"/>
          <w14:textFill>
            <w14:solidFill>
              <w14:schemeClr w14:val="tx1"/>
            </w14:solidFill>
          </w14:textFill>
        </w:rPr>
        <w:t>否则视为</w:t>
      </w:r>
      <w:r>
        <w:rPr>
          <w:rFonts w:hint="eastAsia" w:ascii="仿宋" w:hAnsi="仿宋" w:eastAsia="仿宋" w:cs="仿宋"/>
          <w:b/>
          <w:color w:val="000000" w:themeColor="text1"/>
          <w:szCs w:val="21"/>
          <w:highlight w:val="none"/>
          <w14:textFill>
            <w14:solidFill>
              <w14:schemeClr w14:val="tx1"/>
            </w14:solidFill>
          </w14:textFill>
        </w:rPr>
        <w:t>响应文件含有采购人不能接受的附加条件的，响应无效</w:t>
      </w:r>
      <w:r>
        <w:rPr>
          <w:rFonts w:hint="eastAsia" w:ascii="仿宋" w:hAnsi="仿宋" w:eastAsia="仿宋" w:cs="仿宋"/>
          <w:b/>
          <w:color w:val="000000" w:themeColor="text1"/>
          <w:kern w:val="0"/>
          <w:szCs w:val="21"/>
          <w:highlight w:val="none"/>
          <w:lang w:val="zh-CN"/>
          <w14:textFill>
            <w14:solidFill>
              <w14:schemeClr w14:val="tx1"/>
            </w14:solidFill>
          </w14:textFill>
        </w:rPr>
        <w:t>。</w:t>
      </w:r>
    </w:p>
    <w:p w14:paraId="137A1173">
      <w:pPr>
        <w:snapToGrid w:val="0"/>
        <w:spacing w:line="360" w:lineRule="auto"/>
        <w:ind w:firstLine="420" w:firstLineChars="200"/>
        <w:jc w:val="left"/>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w:t>
      </w:r>
      <w:r>
        <w:rPr>
          <w:rFonts w:hint="eastAsia" w:ascii="仿宋" w:hAnsi="仿宋" w:eastAsia="仿宋" w:cs="仿宋"/>
          <w:color w:val="000000" w:themeColor="text1"/>
          <w:kern w:val="0"/>
          <w:szCs w:val="21"/>
          <w:highlight w:val="none"/>
          <w:lang w:val="zh-CN"/>
          <w14:textFill>
            <w14:solidFill>
              <w14:schemeClr w14:val="tx1"/>
            </w14:solidFill>
          </w14:textFill>
        </w:rPr>
        <w:t>、特别提示：采购代理机构将对项目名称和项目编号，成交供应商名称、地址和成交金额，施工范围、施工工期、项目负责人、执业证书信息等予以公示。</w:t>
      </w:r>
    </w:p>
    <w:p w14:paraId="468B204D">
      <w:pPr>
        <w:snapToGrid w:val="0"/>
        <w:spacing w:line="360" w:lineRule="auto"/>
        <w:ind w:firstLine="420" w:firstLineChars="200"/>
        <w:jc w:val="left"/>
        <w:rPr>
          <w:rFonts w:hint="eastAsia" w:ascii="仿宋" w:hAnsi="仿宋" w:eastAsia="仿宋" w:cs="仿宋"/>
          <w:color w:val="000000" w:themeColor="text1"/>
          <w:kern w:val="0"/>
          <w:szCs w:val="21"/>
          <w:highlight w:val="none"/>
          <w:lang w:val="zh-CN"/>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4</w:t>
      </w:r>
      <w:r>
        <w:rPr>
          <w:rFonts w:hint="eastAsia" w:ascii="仿宋" w:hAnsi="仿宋" w:eastAsia="仿宋" w:cs="仿宋"/>
          <w:color w:val="000000" w:themeColor="text1"/>
          <w:kern w:val="0"/>
          <w:szCs w:val="21"/>
          <w:highlight w:val="none"/>
          <w:lang w:val="zh-CN"/>
          <w14:textFill>
            <w14:solidFill>
              <w14:schemeClr w14:val="tx1"/>
            </w14:solidFill>
          </w14:textFill>
        </w:rPr>
        <w:t>、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4005F7DB">
      <w:pPr>
        <w:snapToGrid w:val="0"/>
        <w:spacing w:line="360" w:lineRule="auto"/>
        <w:ind w:firstLine="420" w:firstLineChars="200"/>
        <w:jc w:val="left"/>
        <w:rPr>
          <w:rFonts w:hint="eastAsia" w:ascii="仿宋" w:hAnsi="仿宋" w:eastAsia="仿宋" w:cs="仿宋"/>
          <w:color w:val="000000" w:themeColor="text1"/>
          <w:kern w:val="0"/>
          <w:szCs w:val="21"/>
          <w:highlight w:val="none"/>
          <w:lang w:val="zh-CN"/>
          <w14:textFill>
            <w14:solidFill>
              <w14:schemeClr w14:val="tx1"/>
            </w14:solidFill>
          </w14:textFill>
        </w:rPr>
      </w:pPr>
    </w:p>
    <w:p w14:paraId="4A8F88DA">
      <w:pPr>
        <w:pStyle w:val="24"/>
        <w:ind w:firstLine="420"/>
        <w:rPr>
          <w:rFonts w:hint="eastAsia" w:ascii="仿宋" w:hAnsi="仿宋" w:eastAsia="仿宋" w:cs="仿宋"/>
          <w:color w:val="000000" w:themeColor="text1"/>
          <w:highlight w:val="none"/>
          <w:lang w:val="zh-CN"/>
          <w14:textFill>
            <w14:solidFill>
              <w14:schemeClr w14:val="tx1"/>
            </w14:solidFill>
          </w14:textFill>
        </w:rPr>
      </w:pPr>
    </w:p>
    <w:p w14:paraId="00E301AD">
      <w:pPr>
        <w:spacing w:line="360" w:lineRule="auto"/>
        <w:ind w:right="-874" w:rightChars="-416" w:firstLine="5280" w:firstLineChars="2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p>
    <w:p w14:paraId="5133822B">
      <w:pPr>
        <w:autoSpaceDE w:val="0"/>
        <w:autoSpaceDN w:val="0"/>
        <w:spacing w:line="360" w:lineRule="auto"/>
        <w:ind w:left="5040" w:hanging="5040" w:hangingChars="2100"/>
        <w:rPr>
          <w:rFonts w:hint="eastAsia" w:ascii="仿宋" w:hAnsi="仿宋" w:eastAsia="仿宋" w:cs="仿宋"/>
          <w:color w:val="000000" w:themeColor="text1"/>
          <w:highlight w:val="none"/>
          <w14:textFill>
            <w14:solidFill>
              <w14:schemeClr w14:val="tx1"/>
            </w14:solidFill>
          </w14:textFill>
        </w:rPr>
        <w:sectPr>
          <w:pgSz w:w="11906" w:h="16838"/>
          <w:pgMar w:top="1174" w:right="1417" w:bottom="1151" w:left="1417" w:header="851" w:footer="992" w:gutter="0"/>
          <w:cols w:space="0" w:num="1"/>
          <w:titlePg/>
          <w:docGrid w:linePitch="312" w:charSpace="0"/>
        </w:sect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4CDA8720">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二、中小企业声明函（如果有）</w:t>
      </w:r>
    </w:p>
    <w:p w14:paraId="3DE7FFA2">
      <w:pPr>
        <w:widowControl/>
        <w:spacing w:line="360" w:lineRule="auto"/>
        <w:ind w:firstLine="123" w:firstLineChars="50"/>
        <w:jc w:val="left"/>
        <w:rPr>
          <w:rFonts w:hint="eastAsia" w:ascii="仿宋" w:hAnsi="仿宋" w:eastAsia="仿宋" w:cs="仿宋"/>
          <w:b/>
          <w:color w:val="000000" w:themeColor="text1"/>
          <w:sz w:val="24"/>
          <w:highlight w:val="none"/>
          <w14:textFill>
            <w14:solidFill>
              <w14:schemeClr w14:val="tx1"/>
            </w14:solidFill>
          </w14:textFill>
        </w:rPr>
        <w:sectPr>
          <w:footerReference r:id="rId8" w:type="default"/>
          <w:pgSz w:w="11906" w:h="16838"/>
          <w:pgMar w:top="1361" w:right="1191" w:bottom="1361" w:left="1191" w:header="851" w:footer="992" w:gutter="0"/>
          <w:cols w:space="0" w:num="1"/>
          <w:docGrid w:type="linesAndChars" w:linePitch="317" w:charSpace="1321"/>
        </w:sectPr>
      </w:pPr>
      <w:r>
        <w:rPr>
          <w:rFonts w:hint="eastAsia" w:ascii="仿宋" w:hAnsi="仿宋" w:eastAsia="仿宋" w:cs="仿宋"/>
          <w:b/>
          <w:color w:val="000000" w:themeColor="text1"/>
          <w:sz w:val="24"/>
          <w:highlight w:val="none"/>
          <w14:textFill>
            <w14:solidFill>
              <w14:schemeClr w14:val="tx1"/>
            </w14:solidFill>
          </w14:textFill>
        </w:rPr>
        <w:t>[竞争性磋商邀请公告落实政府采购政策需满足的资格要求为“无”即本项目或标项未预留份额专门面向中小企业时，符合《政府采购促进中小企业发展管理办法》规定的小微企业拟享受价格扣除政策的，需提供中小企业声明函（附件7）。]</w:t>
      </w:r>
    </w:p>
    <w:p w14:paraId="538E55B1">
      <w:pPr>
        <w:numPr>
          <w:ilvl w:val="0"/>
          <w:numId w:val="39"/>
        </w:num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报价情况说明（如果有）</w:t>
      </w:r>
    </w:p>
    <w:p w14:paraId="11450CA8">
      <w:pPr>
        <w:bidi w:val="0"/>
        <w:rPr>
          <w:rFonts w:hint="eastAsia" w:ascii="仿宋" w:hAnsi="仿宋" w:eastAsia="仿宋" w:cs="仿宋"/>
          <w:sz w:val="24"/>
          <w:szCs w:val="24"/>
          <w:highlight w:val="none"/>
        </w:rPr>
      </w:pPr>
      <w:r>
        <w:rPr>
          <w:rFonts w:hint="eastAsia" w:ascii="仿宋" w:hAnsi="仿宋" w:eastAsia="仿宋" w:cs="仿宋"/>
          <w:sz w:val="24"/>
          <w:szCs w:val="24"/>
          <w:highlight w:val="none"/>
        </w:rPr>
        <w:t>（如供应商报价低于项目预算50%的，应当提交本文档，详细阐述不影响产品质量或者诚信履约的具体原因）</w:t>
      </w:r>
    </w:p>
    <w:p w14:paraId="609FEE1A">
      <w:pPr>
        <w:widowControl w:val="0"/>
        <w:numPr>
          <w:ilvl w:val="0"/>
          <w:numId w:val="0"/>
        </w:numPr>
        <w:adjustRightInd w:val="0"/>
        <w:snapToGrid w:val="0"/>
        <w:spacing w:line="360" w:lineRule="auto"/>
        <w:jc w:val="both"/>
        <w:outlineLvl w:val="0"/>
        <w:rPr>
          <w:rFonts w:hint="eastAsia" w:ascii="仿宋" w:hAnsi="仿宋" w:eastAsia="仿宋" w:cs="仿宋"/>
          <w:b/>
          <w:color w:val="000000" w:themeColor="text1"/>
          <w:kern w:val="0"/>
          <w:sz w:val="32"/>
          <w:szCs w:val="32"/>
          <w:highlight w:val="none"/>
          <w14:textFill>
            <w14:solidFill>
              <w14:schemeClr w14:val="tx1"/>
            </w14:solidFill>
          </w14:textFill>
        </w:rPr>
        <w:sectPr>
          <w:pgSz w:w="11906" w:h="16838"/>
          <w:pgMar w:top="1361" w:right="1191" w:bottom="1361" w:left="1191" w:header="851" w:footer="992" w:gutter="0"/>
          <w:cols w:space="0" w:num="1"/>
          <w:docGrid w:type="linesAndChars" w:linePitch="317" w:charSpace="1321"/>
        </w:sectPr>
      </w:pPr>
    </w:p>
    <w:p w14:paraId="60C10C05">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lang w:eastAsia="zh-CN"/>
          <w14:textFill>
            <w14:solidFill>
              <w14:schemeClr w14:val="tx1"/>
            </w14:solidFill>
          </w14:textFill>
        </w:rPr>
        <w:t>四、已标价工程量清单</w:t>
      </w:r>
    </w:p>
    <w:p w14:paraId="3055CDF5">
      <w:pPr>
        <w:ind w:right="420"/>
        <w:rPr>
          <w:rFonts w:hint="eastAsia" w:ascii="仿宋" w:hAnsi="仿宋" w:eastAsia="仿宋" w:cs="仿宋"/>
          <w:sz w:val="24"/>
          <w:highlight w:val="none"/>
        </w:rPr>
      </w:pPr>
      <w:r>
        <w:rPr>
          <w:rFonts w:hint="eastAsia" w:ascii="仿宋" w:hAnsi="仿宋" w:eastAsia="仿宋" w:cs="仿宋"/>
          <w:sz w:val="24"/>
          <w:highlight w:val="none"/>
        </w:rPr>
        <w:t xml:space="preserve">注：按采购文件工程量清单编制 </w:t>
      </w:r>
    </w:p>
    <w:p w14:paraId="5D344BE6">
      <w:pPr>
        <w:snapToGrid w:val="0"/>
        <w:spacing w:line="360" w:lineRule="auto"/>
        <w:jc w:val="both"/>
        <w:outlineLvl w:val="0"/>
        <w:rPr>
          <w:rFonts w:hint="eastAsia" w:ascii="仿宋" w:hAnsi="仿宋" w:eastAsia="仿宋" w:cs="仿宋"/>
          <w:b/>
          <w:color w:val="000000" w:themeColor="text1"/>
          <w:kern w:val="0"/>
          <w:sz w:val="32"/>
          <w:szCs w:val="32"/>
          <w:highlight w:val="none"/>
          <w14:textFill>
            <w14:solidFill>
              <w14:schemeClr w14:val="tx1"/>
            </w14:solidFill>
          </w14:textFill>
        </w:rPr>
        <w:sectPr>
          <w:pgSz w:w="11906" w:h="16838"/>
          <w:pgMar w:top="1361" w:right="1191" w:bottom="1361" w:left="1191" w:header="851" w:footer="992" w:gutter="0"/>
          <w:cols w:space="0" w:num="1"/>
          <w:docGrid w:type="linesAndChars" w:linePitch="317" w:charSpace="1321"/>
        </w:sectPr>
      </w:pPr>
    </w:p>
    <w:p w14:paraId="514AFB29">
      <w:pPr>
        <w:snapToGrid w:val="0"/>
        <w:spacing w:line="360" w:lineRule="auto"/>
        <w:jc w:val="center"/>
        <w:outlineLvl w:val="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附件</w:t>
      </w:r>
    </w:p>
    <w:p w14:paraId="08D9CFB3">
      <w:pPr>
        <w:spacing w:line="360" w:lineRule="auto"/>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附件1：质疑函范本及制作说明</w:t>
      </w:r>
    </w:p>
    <w:p w14:paraId="37686474">
      <w:pPr>
        <w:spacing w:line="360" w:lineRule="auto"/>
        <w:jc w:val="cente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质疑函范本</w:t>
      </w:r>
    </w:p>
    <w:p w14:paraId="1C16D550">
      <w:pPr>
        <w:snapToGrid w:val="0"/>
        <w:spacing w:before="317" w:beforeLines="100"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一、质疑供应商基本信息</w:t>
      </w:r>
    </w:p>
    <w:p w14:paraId="27692BE0">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质疑供应商：</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74FE3B0">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405C079">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1AC2A578">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授权代表：</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10B796C7">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24172D31">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地址： </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85D2036">
      <w:pPr>
        <w:snapToGri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二、质疑项目基本情况</w:t>
      </w:r>
    </w:p>
    <w:p w14:paraId="18BD0266">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质疑项目的名称：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23722497">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质疑项目的编号：</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包号：</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0FA409F">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E5E1967">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采购文件获取日期：</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EDC471C">
      <w:pPr>
        <w:snapToGri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三、质疑事项具体内容</w:t>
      </w:r>
    </w:p>
    <w:p w14:paraId="6E4BB55C">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质疑事项1：</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E5B8AB3">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事实依据：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A3D4F12">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159F3D3C">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法律依据：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7EFC159">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7742E40">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质疑事项2</w:t>
      </w:r>
    </w:p>
    <w:p w14:paraId="602056D8">
      <w:pPr>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6CFDD431">
      <w:pPr>
        <w:snapToGrid w:val="0"/>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四、与质疑事项相关的质疑请求</w:t>
      </w:r>
    </w:p>
    <w:p w14:paraId="414BCA01">
      <w:pPr>
        <w:snapToGrid w:val="0"/>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请求：</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B3D480A">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5F8525D7">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签字(签章)：                   公章：                      </w:t>
      </w:r>
    </w:p>
    <w:p w14:paraId="27BFDF91">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日期：    </w:t>
      </w:r>
    </w:p>
    <w:p w14:paraId="3B951772">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质疑函制作说明：</w:t>
      </w:r>
    </w:p>
    <w:p w14:paraId="77E6F208">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1.供应商提出质疑时，应提交质疑函和必要的证明材料。</w:t>
      </w:r>
    </w:p>
    <w:p w14:paraId="4811027C">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2.质疑供应商若委托代理人进行质疑的，质疑函应按要求列明“授权代表”的有关内容，并在附件中提交由质疑</w:t>
      </w:r>
      <w:r>
        <w:rPr>
          <w:rFonts w:hint="eastAsia" w:ascii="仿宋" w:hAnsi="仿宋" w:eastAsia="仿宋" w:cs="仿宋"/>
          <w:color w:val="000000" w:themeColor="text1"/>
          <w:kern w:val="0"/>
          <w:sz w:val="24"/>
          <w:highlight w:val="none"/>
          <w14:textFill>
            <w14:solidFill>
              <w14:schemeClr w14:val="tx1"/>
            </w14:solidFill>
          </w14:textFill>
        </w:rPr>
        <w:t>供应商签署的授权委托书。授权委托书应载明代理人的姓名或者名称、代理事项、具体权限、期限和相关事项。</w:t>
      </w:r>
    </w:p>
    <w:p w14:paraId="29BC2BD2">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3.质疑供应商若对项目的某一分包进行质疑，质疑函中应列明具体分包号。</w:t>
      </w:r>
    </w:p>
    <w:p w14:paraId="47CC81A4">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4.质疑函的质疑事项应具体、明确，并有必要的事实依据和法律依据。</w:t>
      </w:r>
    </w:p>
    <w:p w14:paraId="14A914EF">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5.质疑函的质疑请求应与质疑事项相关。</w:t>
      </w:r>
    </w:p>
    <w:p w14:paraId="461A5491">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5B6D5FCD">
      <w:pPr>
        <w:widowControl/>
        <w:spacing w:line="360" w:lineRule="auto"/>
        <w:ind w:firstLine="612" w:firstLineChars="200"/>
        <w:jc w:val="left"/>
        <w:rPr>
          <w:rFonts w:hint="eastAsia" w:ascii="仿宋" w:hAnsi="仿宋" w:eastAsia="仿宋" w:cs="仿宋"/>
          <w:color w:val="000000" w:themeColor="text1"/>
          <w:sz w:val="30"/>
          <w:szCs w:val="30"/>
          <w:highlight w:val="none"/>
          <w14:textFill>
            <w14:solidFill>
              <w14:schemeClr w14:val="tx1"/>
            </w14:solidFill>
          </w14:textFill>
        </w:rPr>
      </w:pPr>
    </w:p>
    <w:p w14:paraId="0FCD5E12">
      <w:pPr>
        <w:spacing w:line="360" w:lineRule="auto"/>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br w:type="page"/>
      </w:r>
      <w:r>
        <w:rPr>
          <w:rFonts w:hint="eastAsia" w:ascii="仿宋" w:hAnsi="仿宋" w:eastAsia="仿宋" w:cs="仿宋"/>
          <w:b/>
          <w:color w:val="000000" w:themeColor="text1"/>
          <w:spacing w:val="6"/>
          <w:sz w:val="32"/>
          <w:szCs w:val="32"/>
          <w:highlight w:val="none"/>
          <w14:textFill>
            <w14:solidFill>
              <w14:schemeClr w14:val="tx1"/>
            </w14:solidFill>
          </w14:textFill>
        </w:rPr>
        <w:t>附件2：投诉书范本及制作说明</w:t>
      </w:r>
    </w:p>
    <w:p w14:paraId="2EB50AB9">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21B95010">
      <w:pPr>
        <w:spacing w:line="360" w:lineRule="auto"/>
        <w:jc w:val="cente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投诉书范本</w:t>
      </w:r>
    </w:p>
    <w:p w14:paraId="5FCBE796">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一、投诉相关主体基本情况</w:t>
      </w:r>
    </w:p>
    <w:p w14:paraId="6927686C">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投诉人：</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3C803D22">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2C73049">
      <w:pPr>
        <w:tabs>
          <w:tab w:val="left" w:pos="6510"/>
        </w:tabs>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法定代表人/主要负责人：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5E5C182E">
      <w:pPr>
        <w:tabs>
          <w:tab w:val="left" w:pos="6510"/>
        </w:tabs>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28C26568">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授权代表：</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AD44678">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39343892">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被投诉人1：</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4175203E">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D40AE36">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9F02378">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被投诉人2</w:t>
      </w:r>
    </w:p>
    <w:p w14:paraId="23D8168C">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6A4CECD3">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相关供应商：</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4C3D2621">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邮编：</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E848969">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联系人：</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联系电话：</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30BC03ED">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二、投诉项目基本情况</w:t>
      </w:r>
    </w:p>
    <w:p w14:paraId="797E056F">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采购项目名称：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4E3CAF3">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采购项目编号：</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包号：</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74AE9BC">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采购人名称：</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43C606F9">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代理机构名称：</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0A631064">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采购文件公告:</w:t>
      </w:r>
      <w:r>
        <w:rPr>
          <w:rFonts w:hint="eastAsia" w:ascii="仿宋" w:hAnsi="仿宋" w:eastAsia="仿宋" w:cs="仿宋"/>
          <w:color w:val="000000" w:themeColor="text1"/>
          <w:sz w:val="24"/>
          <w:highlight w:val="none"/>
          <w:u w:val="dotted"/>
          <w14:textFill>
            <w14:solidFill>
              <w14:schemeClr w14:val="tx1"/>
            </w14:solidFill>
          </w14:textFill>
        </w:rPr>
        <w:t xml:space="preserve">是/否 </w:t>
      </w:r>
      <w:r>
        <w:rPr>
          <w:rFonts w:hint="eastAsia" w:ascii="仿宋" w:hAnsi="仿宋" w:eastAsia="仿宋" w:cs="仿宋"/>
          <w:color w:val="000000" w:themeColor="text1"/>
          <w:sz w:val="24"/>
          <w:highlight w:val="none"/>
          <w14:textFill>
            <w14:solidFill>
              <w14:schemeClr w14:val="tx1"/>
            </w14:solidFill>
          </w14:textFill>
        </w:rPr>
        <w:t>公告期限：</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89B075E">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采购结果公告:</w:t>
      </w:r>
      <w:r>
        <w:rPr>
          <w:rFonts w:hint="eastAsia" w:ascii="仿宋" w:hAnsi="仿宋" w:eastAsia="仿宋" w:cs="仿宋"/>
          <w:color w:val="000000" w:themeColor="text1"/>
          <w:sz w:val="24"/>
          <w:highlight w:val="none"/>
          <w:u w:val="dotted"/>
          <w14:textFill>
            <w14:solidFill>
              <w14:schemeClr w14:val="tx1"/>
            </w14:solidFill>
          </w14:textFill>
        </w:rPr>
        <w:t xml:space="preserve">是/否 </w:t>
      </w:r>
      <w:r>
        <w:rPr>
          <w:rFonts w:hint="eastAsia" w:ascii="仿宋" w:hAnsi="仿宋" w:eastAsia="仿宋" w:cs="仿宋"/>
          <w:color w:val="000000" w:themeColor="text1"/>
          <w:sz w:val="24"/>
          <w:highlight w:val="none"/>
          <w14:textFill>
            <w14:solidFill>
              <w14:schemeClr w14:val="tx1"/>
            </w14:solidFill>
          </w14:textFill>
        </w:rPr>
        <w:t>公告期限：</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527F6EAA">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三、质疑基本情况</w:t>
      </w:r>
    </w:p>
    <w:p w14:paraId="6B5924AB">
      <w:pPr>
        <w:spacing w:line="360" w:lineRule="auto"/>
        <w:ind w:firstLine="492" w:firstLineChars="200"/>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投诉人于</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日,向</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提出质疑，质疑事项为：</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41799ACB">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00EB2BD6">
      <w:pPr>
        <w:spacing w:line="360" w:lineRule="auto"/>
        <w:ind w:firstLine="369" w:firstLineChars="1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采购人/代理机构</w:t>
      </w:r>
      <w:r>
        <w:rPr>
          <w:rFonts w:hint="eastAsia" w:ascii="仿宋" w:hAnsi="仿宋" w:eastAsia="仿宋" w:cs="仿宋"/>
          <w:color w:val="000000" w:themeColor="text1"/>
          <w:sz w:val="24"/>
          <w:highlight w:val="none"/>
          <w14:textFill>
            <w14:solidFill>
              <w14:schemeClr w14:val="tx1"/>
            </w14:solidFill>
          </w14:textFill>
        </w:rPr>
        <w:t>于</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日,就质疑事项作出了答复/没有在法定期限内作出答复。</w:t>
      </w:r>
    </w:p>
    <w:p w14:paraId="31247A6B">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四、投诉事项具体内容</w:t>
      </w:r>
    </w:p>
    <w:p w14:paraId="74373F34">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投诉事项 1：</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7707B3BC">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事实依据：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14CE9981">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287555DE">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法律依据：</w:t>
      </w: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142253F1">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u w:val="dotted"/>
          <w14:textFill>
            <w14:solidFill>
              <w14:schemeClr w14:val="tx1"/>
            </w14:solidFill>
          </w14:textFill>
        </w:rPr>
        <w:t xml:space="preserve">                                                      </w:t>
      </w:r>
    </w:p>
    <w:p w14:paraId="61D485F2">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投诉事项2</w:t>
      </w:r>
    </w:p>
    <w:p w14:paraId="74CA839D">
      <w:pPr>
        <w:spacing w:line="360" w:lineRule="auto"/>
        <w:rPr>
          <w:rFonts w:hint="eastAsia" w:ascii="仿宋" w:hAnsi="仿宋" w:eastAsia="仿宋" w:cs="仿宋"/>
          <w:color w:val="000000" w:themeColor="text1"/>
          <w:sz w:val="24"/>
          <w:highlight w:val="none"/>
          <w:u w:val="dotted"/>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68A8E511">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五、与投诉事项相关的投诉请求</w:t>
      </w:r>
    </w:p>
    <w:p w14:paraId="2352EA6C">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请求：</w:t>
      </w:r>
      <w:r>
        <w:rPr>
          <w:rFonts w:hint="eastAsia" w:ascii="仿宋" w:hAnsi="仿宋" w:eastAsia="仿宋" w:cs="仿宋"/>
          <w:color w:val="000000" w:themeColor="text1"/>
          <w:sz w:val="24"/>
          <w:highlight w:val="none"/>
          <w:u w:val="dotted"/>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w:t>
      </w:r>
    </w:p>
    <w:p w14:paraId="41B8D204">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14:paraId="0EB1A3FB">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签字(签章)：                   公章：                      </w:t>
      </w:r>
    </w:p>
    <w:p w14:paraId="33F0B0A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日期：    </w:t>
      </w:r>
    </w:p>
    <w:p w14:paraId="1F08208A">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14D308B8">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2604CCC1">
      <w:pPr>
        <w:spacing w:line="360" w:lineRule="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投诉书制作说明：</w:t>
      </w:r>
    </w:p>
    <w:p w14:paraId="7A72DB81">
      <w:pPr>
        <w:widowControl/>
        <w:spacing w:line="360" w:lineRule="auto"/>
        <w:ind w:firstLine="492"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1.投诉人提起投诉时，应当提交投诉书和必要的证明材料，并按照被投诉人和与投诉事项有关的供应商数量提供投诉书副本。</w:t>
      </w:r>
    </w:p>
    <w:p w14:paraId="45081C1A">
      <w:pPr>
        <w:widowControl/>
        <w:spacing w:line="360" w:lineRule="auto"/>
        <w:ind w:firstLine="492"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2.投诉人若委托代理人进行投诉的，投诉书应按照要求列明“授权代表”的有关内容，并在附件中提交由</w:t>
      </w:r>
      <w:r>
        <w:rPr>
          <w:rFonts w:hint="eastAsia" w:ascii="仿宋" w:hAnsi="仿宋" w:eastAsia="仿宋" w:cs="仿宋"/>
          <w:color w:val="000000" w:themeColor="text1"/>
          <w:kern w:val="0"/>
          <w:sz w:val="24"/>
          <w:highlight w:val="none"/>
          <w14:textFill>
            <w14:solidFill>
              <w14:schemeClr w14:val="tx1"/>
            </w14:solidFill>
          </w14:textFill>
        </w:rPr>
        <w:t>投诉人签署的授权委托书。授权委托书应当载明代理人的姓名或者名称、代理事项、具体权限、期限和相关事项。</w:t>
      </w:r>
    </w:p>
    <w:p w14:paraId="4975C8EA">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3.投诉人若对项目的某一分包进行投诉，投诉书应列明具体分包号。</w:t>
      </w:r>
    </w:p>
    <w:p w14:paraId="125C1D5D">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4.投诉书应简要列明质疑事项，质疑函、质疑答复等作为附件材料提供。</w:t>
      </w:r>
    </w:p>
    <w:p w14:paraId="136914B6">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5.投诉书的投诉事项应具体、明确，并有必要的事实依据和法律依据。</w:t>
      </w:r>
    </w:p>
    <w:p w14:paraId="7223A058">
      <w:pPr>
        <w:widowControl/>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6.投诉书的投诉请求应与投诉事项相关。</w:t>
      </w:r>
    </w:p>
    <w:p w14:paraId="001CFB11">
      <w:pPr>
        <w:widowControl/>
        <w:spacing w:line="360" w:lineRule="auto"/>
        <w:ind w:firstLine="492"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2F8DD16A">
      <w:pPr>
        <w:rPr>
          <w:rFonts w:hint="eastAsia" w:ascii="仿宋" w:hAnsi="仿宋" w:eastAsia="仿宋" w:cs="仿宋"/>
          <w:b/>
          <w:color w:val="000000" w:themeColor="text1"/>
          <w:sz w:val="24"/>
          <w:highlight w:val="none"/>
          <w14:textFill>
            <w14:solidFill>
              <w14:schemeClr w14:val="tx1"/>
            </w14:solidFill>
          </w14:textFill>
        </w:rPr>
      </w:pPr>
    </w:p>
    <w:p w14:paraId="7107C982">
      <w:pPr>
        <w:widowControl/>
        <w:adjustRightInd/>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br w:type="page"/>
      </w:r>
    </w:p>
    <w:p w14:paraId="170EBFB8">
      <w:pPr>
        <w:spacing w:line="360" w:lineRule="auto"/>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附件3：</w:t>
      </w:r>
    </w:p>
    <w:p w14:paraId="05061F1B">
      <w:pPr>
        <w:spacing w:line="360" w:lineRule="auto"/>
        <w:jc w:val="center"/>
        <w:rPr>
          <w:rFonts w:hint="eastAsia" w:ascii="仿宋" w:hAnsi="仿宋" w:eastAsia="仿宋" w:cs="仿宋"/>
          <w:b/>
          <w:color w:val="000000" w:themeColor="text1"/>
          <w:spacing w:val="6"/>
          <w:sz w:val="32"/>
          <w:szCs w:val="32"/>
          <w:highlight w:val="none"/>
          <w14:textFill>
            <w14:solidFill>
              <w14:schemeClr w14:val="tx1"/>
            </w14:solidFill>
          </w14:textFill>
        </w:rPr>
      </w:pPr>
      <w:bookmarkStart w:id="687" w:name="OLE_LINK13"/>
      <w:bookmarkStart w:id="688" w:name="OLE_LINK14"/>
      <w:r>
        <w:rPr>
          <w:rFonts w:hint="eastAsia" w:ascii="仿宋" w:hAnsi="仿宋" w:eastAsia="仿宋" w:cs="仿宋"/>
          <w:b/>
          <w:color w:val="000000" w:themeColor="text1"/>
          <w:spacing w:val="6"/>
          <w:sz w:val="32"/>
          <w:szCs w:val="32"/>
          <w:highlight w:val="none"/>
          <w14:textFill>
            <w14:solidFill>
              <w14:schemeClr w14:val="tx1"/>
            </w14:solidFill>
          </w14:textFill>
        </w:rPr>
        <w:t>残疾人福利性单位声明函</w:t>
      </w:r>
    </w:p>
    <w:bookmarkEnd w:id="687"/>
    <w:bookmarkEnd w:id="688"/>
    <w:p w14:paraId="792C97CF">
      <w:pPr>
        <w:spacing w:line="360" w:lineRule="auto"/>
        <w:rPr>
          <w:rFonts w:hint="eastAsia" w:ascii="仿宋" w:hAnsi="仿宋" w:eastAsia="仿宋" w:cs="仿宋"/>
          <w:b/>
          <w:color w:val="000000" w:themeColor="text1"/>
          <w:spacing w:val="6"/>
          <w:sz w:val="30"/>
          <w:szCs w:val="30"/>
          <w:highlight w:val="none"/>
          <w14:textFill>
            <w14:solidFill>
              <w14:schemeClr w14:val="tx1"/>
            </w14:solidFill>
          </w14:textFill>
        </w:rPr>
      </w:pPr>
    </w:p>
    <w:p w14:paraId="6B253204">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D110325">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本单位对上述声明的真实性负责。如有虚假，将依法承担相应责任。</w:t>
      </w:r>
    </w:p>
    <w:p w14:paraId="06CB75D1">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p>
    <w:p w14:paraId="1CB4E1A2">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p>
    <w:p w14:paraId="6E1CDCFA">
      <w:pPr>
        <w:tabs>
          <w:tab w:val="left" w:pos="4860"/>
        </w:tabs>
        <w:spacing w:line="360" w:lineRule="auto"/>
        <w:ind w:right="1560" w:firstLine="492" w:firstLineChars="2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r>
        <w:rPr>
          <w:rFonts w:hint="eastAsia" w:ascii="仿宋" w:hAnsi="仿宋" w:eastAsia="仿宋" w:cs="仿宋"/>
          <w:color w:val="000000" w:themeColor="text1"/>
          <w:sz w:val="24"/>
          <w:highlight w:val="none"/>
          <w14:textFill>
            <w14:solidFill>
              <w14:schemeClr w14:val="tx1"/>
            </w14:solidFill>
          </w14:textFill>
        </w:rPr>
        <w:t>：</w:t>
      </w:r>
    </w:p>
    <w:p w14:paraId="2D0901F7">
      <w:pPr>
        <w:tabs>
          <w:tab w:val="left" w:pos="4860"/>
        </w:tabs>
        <w:spacing w:line="360" w:lineRule="auto"/>
        <w:ind w:right="1560" w:firstLine="492" w:firstLineChars="2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  期：</w:t>
      </w:r>
    </w:p>
    <w:p w14:paraId="6EC26B16">
      <w:pPr>
        <w:pStyle w:val="22"/>
        <w:rPr>
          <w:rFonts w:hint="eastAsia" w:ascii="仿宋" w:hAnsi="仿宋" w:eastAsia="仿宋" w:cs="仿宋"/>
          <w:color w:val="000000" w:themeColor="text1"/>
          <w:highlight w:val="none"/>
          <w14:textFill>
            <w14:solidFill>
              <w14:schemeClr w14:val="tx1"/>
            </w14:solidFill>
          </w14:textFill>
        </w:rPr>
      </w:pPr>
    </w:p>
    <w:p w14:paraId="344E2E56">
      <w:pP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br w:type="page"/>
      </w:r>
    </w:p>
    <w:p w14:paraId="3F68AF32">
      <w:pPr>
        <w:autoSpaceDE w:val="0"/>
        <w:autoSpaceDN w:val="0"/>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附件4：</w:t>
      </w:r>
    </w:p>
    <w:p w14:paraId="54BB979C">
      <w:pPr>
        <w:autoSpaceDE w:val="0"/>
        <w:autoSpaceDN w:val="0"/>
        <w:rPr>
          <w:rFonts w:hint="eastAsia" w:ascii="仿宋" w:hAnsi="仿宋" w:eastAsia="仿宋" w:cs="仿宋"/>
          <w:b/>
          <w:color w:val="000000" w:themeColor="text1"/>
          <w:spacing w:val="6"/>
          <w:sz w:val="32"/>
          <w:szCs w:val="32"/>
          <w:highlight w:val="none"/>
          <w14:textFill>
            <w14:solidFill>
              <w14:schemeClr w14:val="tx1"/>
            </w14:solidFill>
          </w14:textFill>
        </w:rPr>
      </w:pPr>
    </w:p>
    <w:p w14:paraId="64D68214">
      <w:pPr>
        <w:autoSpaceDE w:val="0"/>
        <w:autoSpaceDN w:val="0"/>
        <w:jc w:val="center"/>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业务专用章使用说明函</w:t>
      </w:r>
    </w:p>
    <w:p w14:paraId="273E30B2">
      <w:pPr>
        <w:spacing w:line="360" w:lineRule="auto"/>
        <w:rPr>
          <w:rFonts w:hint="eastAsia" w:ascii="仿宋" w:hAnsi="仿宋" w:eastAsia="仿宋" w:cs="仿宋"/>
          <w:color w:val="000000" w:themeColor="text1"/>
          <w:sz w:val="24"/>
          <w:highlight w:val="none"/>
          <w:u w:val="single"/>
          <w14:textFill>
            <w14:solidFill>
              <w14:schemeClr w14:val="tx1"/>
            </w14:solidFill>
          </w14:textFill>
        </w:rPr>
      </w:pPr>
    </w:p>
    <w:p w14:paraId="1D7645B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p>
    <w:p w14:paraId="6E8D88E7">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我方</w:t>
      </w:r>
      <w:r>
        <w:rPr>
          <w:rFonts w:hint="eastAsia" w:ascii="仿宋" w:hAnsi="仿宋" w:eastAsia="仿宋" w:cs="仿宋"/>
          <w:color w:val="000000" w:themeColor="text1"/>
          <w:kern w:val="0"/>
          <w:sz w:val="24"/>
          <w:highlight w:val="none"/>
          <w:u w:val="single"/>
          <w:lang w:val="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(供应商全称)是中华人民共和国依法登记注册的合法企业，</w:t>
      </w:r>
      <w:r>
        <w:rPr>
          <w:rFonts w:hint="eastAsia" w:ascii="仿宋" w:hAnsi="仿宋" w:eastAsia="仿宋" w:cs="仿宋"/>
          <w:bCs/>
          <w:color w:val="000000" w:themeColor="text1"/>
          <w:sz w:val="24"/>
          <w:highlight w:val="none"/>
          <w14:textFill>
            <w14:solidFill>
              <w14:schemeClr w14:val="tx1"/>
            </w14:solidFill>
          </w14:textFill>
        </w:rPr>
        <w:t>在参加</w:t>
      </w:r>
      <w:r>
        <w:rPr>
          <w:rFonts w:hint="eastAsia" w:ascii="仿宋" w:hAnsi="仿宋" w:eastAsia="仿宋" w:cs="仿宋"/>
          <w:color w:val="000000" w:themeColor="text1"/>
          <w:sz w:val="24"/>
          <w:highlight w:val="none"/>
          <w14:textFill>
            <w14:solidFill>
              <w14:schemeClr w14:val="tx1"/>
            </w14:solidFill>
          </w14:textFill>
        </w:rPr>
        <w:t>贵方组织的（项目名称）项目【编号：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14:textFill>
            <w14:solidFill>
              <w14:schemeClr w14:val="tx1"/>
            </w14:solidFill>
          </w14:textFill>
        </w:rPr>
        <w:t>】采购</w:t>
      </w:r>
      <w:r>
        <w:rPr>
          <w:rFonts w:hint="eastAsia" w:ascii="仿宋" w:hAnsi="仿宋" w:eastAsia="仿宋" w:cs="仿宋"/>
          <w:bCs/>
          <w:color w:val="000000" w:themeColor="text1"/>
          <w:sz w:val="24"/>
          <w:highlight w:val="none"/>
          <w14:textFill>
            <w14:solidFill>
              <w14:schemeClr w14:val="tx1"/>
            </w14:solidFill>
          </w14:textFill>
        </w:rPr>
        <w:t>活动中作如下说明：</w:t>
      </w:r>
      <w:r>
        <w:rPr>
          <w:rFonts w:hint="eastAsia" w:ascii="仿宋" w:hAnsi="仿宋" w:eastAsia="仿宋" w:cs="仿宋"/>
          <w:color w:val="000000" w:themeColor="text1"/>
          <w:sz w:val="24"/>
          <w:highlight w:val="none"/>
          <w14:textFill>
            <w14:solidFill>
              <w14:schemeClr w14:val="tx1"/>
            </w14:solidFill>
          </w14:textFill>
        </w:rPr>
        <w:t xml:space="preserve">我方所使用的“XX专用章”与法定名称章具有同等的法律效力，对使用“XX专用章”的行为予以完全承认，并愿意承担相应责任。   </w:t>
      </w:r>
    </w:p>
    <w:p w14:paraId="50904EC6">
      <w:pPr>
        <w:spacing w:line="360" w:lineRule="auto"/>
        <w:ind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特此说明。</w:t>
      </w:r>
    </w:p>
    <w:p w14:paraId="79C7C8F3">
      <w:pPr>
        <w:spacing w:line="360" w:lineRule="auto"/>
        <w:ind w:firstLine="494"/>
        <w:rPr>
          <w:rFonts w:hint="eastAsia" w:ascii="仿宋" w:hAnsi="仿宋" w:eastAsia="仿宋" w:cs="仿宋"/>
          <w:color w:val="000000" w:themeColor="text1"/>
          <w:sz w:val="24"/>
          <w:highlight w:val="none"/>
          <w14:textFill>
            <w14:solidFill>
              <w14:schemeClr w14:val="tx1"/>
            </w14:solidFill>
          </w14:textFill>
        </w:rPr>
      </w:pPr>
    </w:p>
    <w:p w14:paraId="1C9AEDA2">
      <w:pPr>
        <w:spacing w:line="360" w:lineRule="auto"/>
        <w:ind w:firstLine="494"/>
        <w:rPr>
          <w:rFonts w:hint="eastAsia" w:ascii="仿宋" w:hAnsi="仿宋" w:eastAsia="仿宋" w:cs="仿宋"/>
          <w:color w:val="000000" w:themeColor="text1"/>
          <w:sz w:val="24"/>
          <w:highlight w:val="none"/>
          <w14:textFill>
            <w14:solidFill>
              <w14:schemeClr w14:val="tx1"/>
            </w14:solidFill>
          </w14:textFill>
        </w:rPr>
      </w:pPr>
    </w:p>
    <w:p w14:paraId="504827D7">
      <w:pPr>
        <w:spacing w:line="360" w:lineRule="auto"/>
        <w:ind w:right="480" w:firstLine="4182" w:firstLineChars="17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供应商（法定名称章）：</w:t>
      </w:r>
    </w:p>
    <w:p w14:paraId="1DAF50DE">
      <w:pPr>
        <w:ind w:right="1440" w:firstLine="494"/>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日期：       年     月     日</w:t>
      </w:r>
    </w:p>
    <w:p w14:paraId="5395B14C">
      <w:pPr>
        <w:rPr>
          <w:rFonts w:hint="eastAsia" w:ascii="仿宋" w:hAnsi="仿宋" w:eastAsia="仿宋" w:cs="仿宋"/>
          <w:b/>
          <w:bCs/>
          <w:color w:val="000000" w:themeColor="text1"/>
          <w:sz w:val="24"/>
          <w:highlight w:val="none"/>
          <w14:textFill>
            <w14:solidFill>
              <w14:schemeClr w14:val="tx1"/>
            </w14:solidFill>
          </w14:textFill>
        </w:rPr>
      </w:pPr>
    </w:p>
    <w:p w14:paraId="67B897DF">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附：</w:t>
      </w:r>
    </w:p>
    <w:p w14:paraId="7A7A2595">
      <w:pPr>
        <w:spacing w:line="360" w:lineRule="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000000" w:themeColor="text1"/>
          <w:sz w:val="24"/>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2"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BO+fS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tBO+f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仿宋"/>
          <w:b/>
          <w:bCs/>
          <w:color w:val="000000" w:themeColor="text1"/>
          <w:sz w:val="24"/>
          <w:highlight w:val="none"/>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法定名称章（印模）                供应商“XX专用章”（印模）</w:t>
      </w:r>
    </w:p>
    <w:p w14:paraId="4D4369A7">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1D38963B">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7F19E3AF">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4079DC10">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40FB1182">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1778E398">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406BFA29">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0B002FC4">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2AC37E18">
      <w:pPr>
        <w:autoSpaceDE w:val="0"/>
        <w:autoSpaceDN w:val="0"/>
        <w:jc w:val="center"/>
        <w:rPr>
          <w:rFonts w:hint="eastAsia" w:ascii="仿宋" w:hAnsi="仿宋" w:eastAsia="仿宋" w:cs="仿宋"/>
          <w:b/>
          <w:color w:val="000000" w:themeColor="text1"/>
          <w:spacing w:val="6"/>
          <w:sz w:val="32"/>
          <w:szCs w:val="32"/>
          <w:highlight w:val="none"/>
          <w14:textFill>
            <w14:solidFill>
              <w14:schemeClr w14:val="tx1"/>
            </w14:solidFill>
          </w14:textFill>
        </w:rPr>
      </w:pPr>
    </w:p>
    <w:p w14:paraId="59CA87F9">
      <w:pPr>
        <w:tabs>
          <w:tab w:val="left" w:pos="2761"/>
          <w:tab w:val="center" w:pos="4595"/>
        </w:tabs>
        <w:autoSpaceDE w:val="0"/>
        <w:autoSpaceDN w:val="0"/>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附件5</w:t>
      </w:r>
    </w:p>
    <w:p w14:paraId="739F83E3">
      <w:pPr>
        <w:spacing w:line="360" w:lineRule="auto"/>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联合协议（如果有）</w:t>
      </w:r>
    </w:p>
    <w:p w14:paraId="0E456D65">
      <w:pPr>
        <w:widowControl/>
        <w:spacing w:line="360" w:lineRule="auto"/>
        <w:ind w:firstLine="492" w:firstLineChars="200"/>
        <w:jc w:val="lef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（以联合体形式响应的，提供联合协议；本项目不接受联合体响应或者供应商不以联合体形式响应的，则不需要提供）</w:t>
      </w:r>
    </w:p>
    <w:p w14:paraId="617F2F2C">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（联合体所有成员名称）</w:t>
      </w:r>
      <w:r>
        <w:rPr>
          <w:rFonts w:hint="eastAsia" w:ascii="仿宋" w:hAnsi="仿宋" w:eastAsia="仿宋" w:cs="仿宋"/>
          <w:color w:val="000000" w:themeColor="text1"/>
          <w:kern w:val="0"/>
          <w:sz w:val="24"/>
          <w:highlight w:val="none"/>
          <w14:textFill>
            <w14:solidFill>
              <w14:schemeClr w14:val="tx1"/>
            </w14:solidFill>
          </w14:textFill>
        </w:rPr>
        <w:t>自愿</w:t>
      </w:r>
      <w:r>
        <w:rPr>
          <w:rFonts w:hint="eastAsia" w:ascii="仿宋" w:hAnsi="仿宋" w:eastAsia="仿宋" w:cs="仿宋"/>
          <w:color w:val="000000" w:themeColor="text1"/>
          <w:kern w:val="0"/>
          <w:sz w:val="24"/>
          <w:highlight w:val="none"/>
          <w:lang w:val="zh-CN"/>
          <w14:textFill>
            <w14:solidFill>
              <w14:schemeClr w14:val="tx1"/>
            </w14:solidFill>
          </w14:textFill>
        </w:rPr>
        <w:t>组成一个联合体，以一个供应商的身份</w:t>
      </w:r>
      <w:r>
        <w:rPr>
          <w:rFonts w:hint="eastAsia" w:ascii="仿宋" w:hAnsi="仿宋" w:eastAsia="仿宋" w:cs="仿宋"/>
          <w:color w:val="000000" w:themeColor="text1"/>
          <w:kern w:val="0"/>
          <w:sz w:val="24"/>
          <w:highlight w:val="none"/>
          <w14:textFill>
            <w14:solidFill>
              <w14:schemeClr w14:val="tx1"/>
            </w14:solidFill>
          </w14:textFill>
        </w:rPr>
        <w:t>参加</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kern w:val="0"/>
          <w:sz w:val="24"/>
          <w:highlight w:val="none"/>
          <w:lang w:val="zh-CN"/>
          <w14:textFill>
            <w14:solidFill>
              <w14:schemeClr w14:val="tx1"/>
            </w14:solidFill>
          </w14:textFill>
        </w:rPr>
        <w:t>【项目编号：ZJ-2463292</w:t>
      </w:r>
      <w:r>
        <w:rPr>
          <w:rFonts w:hint="eastAsia" w:ascii="仿宋" w:hAnsi="仿宋" w:eastAsia="仿宋" w:cs="仿宋"/>
          <w:color w:val="000000" w:themeColor="text1"/>
          <w:kern w:val="0"/>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标项一/标项二</w:t>
      </w:r>
      <w:r>
        <w:rPr>
          <w:rFonts w:hint="eastAsia" w:ascii="仿宋" w:hAnsi="仿宋" w:eastAsia="仿宋" w:cs="仿宋"/>
          <w:color w:val="000000" w:themeColor="text1"/>
          <w:kern w:val="0"/>
          <w:sz w:val="24"/>
          <w:highlight w:val="none"/>
          <w:lang w:val="zh-CN"/>
          <w14:textFill>
            <w14:solidFill>
              <w14:schemeClr w14:val="tx1"/>
            </w14:solidFill>
          </w14:textFill>
        </w:rPr>
        <w:t xml:space="preserve">】响应。 </w:t>
      </w:r>
    </w:p>
    <w:p w14:paraId="5A3A7DD0">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一、各方一致决定，</w:t>
      </w:r>
      <w:r>
        <w:rPr>
          <w:rFonts w:hint="eastAsia" w:ascii="仿宋" w:hAnsi="仿宋" w:eastAsia="仿宋" w:cs="仿宋"/>
          <w:color w:val="000000" w:themeColor="text1"/>
          <w:kern w:val="0"/>
          <w:sz w:val="24"/>
          <w:highlight w:val="none"/>
          <w:u w:val="single"/>
          <w14:textFill>
            <w14:solidFill>
              <w14:schemeClr w14:val="tx1"/>
            </w14:solidFill>
          </w14:textFill>
        </w:rPr>
        <w:t>（某联合体成员名称）</w:t>
      </w:r>
      <w:r>
        <w:rPr>
          <w:rFonts w:hint="eastAsia" w:ascii="仿宋" w:hAnsi="仿宋" w:eastAsia="仿宋" w:cs="仿宋"/>
          <w:color w:val="000000" w:themeColor="text1"/>
          <w:kern w:val="0"/>
          <w:sz w:val="24"/>
          <w:highlight w:val="none"/>
          <w14:textFill>
            <w14:solidFill>
              <w14:schemeClr w14:val="tx1"/>
            </w14:solidFill>
          </w14:textFill>
        </w:rPr>
        <w:t>为联合体</w:t>
      </w:r>
      <w:r>
        <w:rPr>
          <w:rFonts w:hint="eastAsia" w:ascii="仿宋" w:hAnsi="仿宋" w:eastAsia="仿宋" w:cs="仿宋"/>
          <w:color w:val="000000" w:themeColor="text1"/>
          <w:kern w:val="0"/>
          <w:sz w:val="24"/>
          <w:highlight w:val="none"/>
          <w:lang w:val="zh-CN"/>
          <w14:textFill>
            <w14:solidFill>
              <w14:schemeClr w14:val="tx1"/>
            </w14:solidFill>
          </w14:textFill>
        </w:rPr>
        <w:t>牵头人</w:t>
      </w:r>
      <w:r>
        <w:rPr>
          <w:rFonts w:hint="eastAsia" w:ascii="仿宋" w:hAnsi="仿宋" w:eastAsia="仿宋" w:cs="仿宋"/>
          <w:color w:val="000000" w:themeColor="text1"/>
          <w:sz w:val="24"/>
          <w:highlight w:val="none"/>
          <w14:textFill>
            <w14:solidFill>
              <w14:schemeClr w14:val="tx1"/>
            </w14:solidFill>
          </w14:textFill>
        </w:rPr>
        <w:t>，代表所有联合体成员负责响应和合同实施阶段的主办、协调工作</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698CBBD0">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二、</w:t>
      </w:r>
      <w:r>
        <w:rPr>
          <w:rFonts w:hint="eastAsia" w:ascii="仿宋" w:hAnsi="仿宋" w:eastAsia="仿宋" w:cs="仿宋"/>
          <w:color w:val="000000" w:themeColor="text1"/>
          <w:sz w:val="24"/>
          <w:highlight w:val="none"/>
          <w14:textFill>
            <w14:solidFill>
              <w14:schemeClr w14:val="tx1"/>
            </w14:solidFill>
          </w14:textFill>
        </w:rPr>
        <w:t>所有联合体成员各方签署授权书，授权书载明的</w:t>
      </w:r>
      <w:r>
        <w:rPr>
          <w:rFonts w:hint="eastAsia" w:ascii="仿宋" w:hAnsi="仿宋" w:eastAsia="仿宋" w:cs="仿宋"/>
          <w:color w:val="000000" w:themeColor="text1"/>
          <w:kern w:val="0"/>
          <w:sz w:val="24"/>
          <w:highlight w:val="none"/>
          <w:lang w:val="zh-CN"/>
          <w14:textFill>
            <w14:solidFill>
              <w14:schemeClr w14:val="tx1"/>
            </w14:solidFill>
          </w14:textFill>
        </w:rPr>
        <w:t>授权代表根据磋商文件规定及采购内容而对采购人、采购代理机构所作的任何合法承诺，包括书面澄清及相应等均对联合体各方产生约束力。</w:t>
      </w:r>
    </w:p>
    <w:p w14:paraId="50D038EF">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三、本次联合响应中，分工如下：</w:t>
      </w:r>
    </w:p>
    <w:p w14:paraId="5B0F2F9B">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（联合体成员1）</w:t>
      </w:r>
      <w:r>
        <w:rPr>
          <w:rFonts w:hint="eastAsia" w:ascii="仿宋" w:hAnsi="仿宋" w:eastAsia="仿宋" w:cs="仿宋"/>
          <w:color w:val="000000" w:themeColor="text1"/>
          <w:kern w:val="0"/>
          <w:sz w:val="24"/>
          <w:highlight w:val="none"/>
          <w:lang w:val="zh-CN"/>
          <w14:textFill>
            <w14:solidFill>
              <w14:schemeClr w14:val="tx1"/>
            </w14:solidFill>
          </w14:textFill>
        </w:rPr>
        <w:t>承担的工作和义务为：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0502035F">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（联合体成员2）</w:t>
      </w:r>
      <w:r>
        <w:rPr>
          <w:rFonts w:hint="eastAsia" w:ascii="仿宋" w:hAnsi="仿宋" w:eastAsia="仿宋" w:cs="仿宋"/>
          <w:color w:val="000000" w:themeColor="text1"/>
          <w:kern w:val="0"/>
          <w:sz w:val="24"/>
          <w:highlight w:val="none"/>
          <w:lang w:val="zh-CN"/>
          <w14:textFill>
            <w14:solidFill>
              <w14:schemeClr w14:val="tx1"/>
            </w14:solidFill>
          </w14:textFill>
        </w:rPr>
        <w:t>承担的工作和义务为：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75E6F7CB">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32A2B086">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四、联合体成员中小企业合同份额（如果有）。</w:t>
      </w:r>
    </w:p>
    <w:p w14:paraId="62180C10">
      <w:pPr>
        <w:snapToGrid w:val="0"/>
        <w:spacing w:line="360" w:lineRule="auto"/>
        <w:ind w:firstLine="576"/>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1、</w:t>
      </w:r>
      <w:r>
        <w:rPr>
          <w:rFonts w:hint="eastAsia" w:ascii="仿宋" w:hAnsi="仿宋" w:eastAsia="仿宋" w:cs="仿宋"/>
          <w:color w:val="000000" w:themeColor="text1"/>
          <w:kern w:val="0"/>
          <w:sz w:val="24"/>
          <w:highlight w:val="none"/>
          <w:u w:val="single"/>
          <w14:textFill>
            <w14:solidFill>
              <w14:schemeClr w14:val="tx1"/>
            </w14:solidFill>
          </w14:textFill>
        </w:rPr>
        <w:t>（</w:t>
      </w:r>
      <w:bookmarkStart w:id="689" w:name="_Hlk101131882"/>
      <w:r>
        <w:rPr>
          <w:rFonts w:hint="eastAsia" w:ascii="仿宋" w:hAnsi="仿宋" w:eastAsia="仿宋" w:cs="仿宋"/>
          <w:color w:val="000000" w:themeColor="text1"/>
          <w:kern w:val="0"/>
          <w:sz w:val="24"/>
          <w:highlight w:val="none"/>
          <w:u w:val="single"/>
          <w14:textFill>
            <w14:solidFill>
              <w14:schemeClr w14:val="tx1"/>
            </w14:solidFill>
          </w14:textFill>
        </w:rPr>
        <w:t>联合体成员X,……</w:t>
      </w:r>
      <w:bookmarkEnd w:id="689"/>
      <w:r>
        <w:rPr>
          <w:rFonts w:hint="eastAsia" w:ascii="仿宋" w:hAnsi="仿宋" w:eastAsia="仿宋" w:cs="仿宋"/>
          <w:color w:val="000000" w:themeColor="text1"/>
          <w:kern w:val="0"/>
          <w:sz w:val="24"/>
          <w:highlight w:val="none"/>
          <w:u w:val="single"/>
          <w14:textFill>
            <w14:solidFill>
              <w14:schemeClr w14:val="tx1"/>
            </w14:solidFill>
          </w14:textFill>
        </w:rPr>
        <w:t>）</w:t>
      </w:r>
      <w:r>
        <w:rPr>
          <w:rFonts w:hint="eastAsia" w:ascii="仿宋" w:hAnsi="仿宋" w:eastAsia="仿宋" w:cs="仿宋"/>
          <w:color w:val="000000" w:themeColor="text1"/>
          <w:kern w:val="0"/>
          <w:sz w:val="24"/>
          <w:highlight w:val="none"/>
          <w14:textFill>
            <w14:solidFill>
              <w14:schemeClr w14:val="tx1"/>
            </w14:solidFill>
          </w14:textFill>
        </w:rPr>
        <w:t>提供的工程全部由小微企业承建，其合同份额占到合同总金额</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%以上</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color w:val="000000" w:themeColor="text1"/>
          <w:kern w:val="0"/>
          <w:sz w:val="24"/>
          <w:highlight w:val="none"/>
          <w:lang w:val="zh-CN"/>
          <w14:textFill>
            <w14:solidFill>
              <w14:schemeClr w14:val="tx1"/>
            </w14:solidFill>
          </w14:textFill>
        </w:rPr>
        <w:t>（</w:t>
      </w:r>
      <w:bookmarkStart w:id="690" w:name="_Hlk101133598"/>
      <w:r>
        <w:rPr>
          <w:rFonts w:hint="eastAsia" w:ascii="仿宋" w:hAnsi="仿宋" w:eastAsia="仿宋" w:cs="仿宋"/>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仿宋" w:hAnsi="仿宋" w:eastAsia="仿宋" w:cs="仿宋"/>
          <w:b/>
          <w:color w:val="000000" w:themeColor="text1"/>
          <w:sz w:val="24"/>
          <w:highlight w:val="none"/>
          <w14:textFill>
            <w14:solidFill>
              <w14:schemeClr w14:val="tx1"/>
            </w14:solidFill>
          </w14:textFill>
        </w:rPr>
        <w:t>拟享受以上价格扣除政策的，填写有关内容。</w:t>
      </w:r>
      <w:bookmarkEnd w:id="690"/>
      <w:r>
        <w:rPr>
          <w:rFonts w:hint="eastAsia" w:ascii="仿宋" w:hAnsi="仿宋" w:eastAsia="仿宋" w:cs="仿宋"/>
          <w:b/>
          <w:color w:val="000000" w:themeColor="text1"/>
          <w:kern w:val="0"/>
          <w:sz w:val="24"/>
          <w:highlight w:val="none"/>
          <w:lang w:val="zh-CN"/>
          <w14:textFill>
            <w14:solidFill>
              <w14:schemeClr w14:val="tx1"/>
            </w14:solidFill>
          </w14:textFill>
        </w:rPr>
        <w:t>）</w:t>
      </w:r>
    </w:p>
    <w:p w14:paraId="6949553B">
      <w:pPr>
        <w:spacing w:line="360" w:lineRule="auto"/>
        <w:ind w:firstLine="492" w:firstLineChars="200"/>
        <w:rPr>
          <w:rFonts w:hint="eastAsia"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bookmarkStart w:id="691" w:name="_Hlk101133173"/>
      <w:r>
        <w:rPr>
          <w:rFonts w:hint="eastAsia" w:ascii="仿宋" w:hAnsi="仿宋" w:eastAsia="仿宋" w:cs="仿宋"/>
          <w:color w:val="000000" w:themeColor="text1"/>
          <w:sz w:val="24"/>
          <w:highlight w:val="none"/>
          <w14:textFill>
            <w14:solidFill>
              <w14:schemeClr w14:val="tx1"/>
            </w14:solidFill>
          </w14:textFill>
        </w:rPr>
        <w:t>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要求以联合体形式参加的项目或采购包，供应商按磋商文件第一部分竞争性磋商邀请公告申请人的资格要求中规定的联合协议中中小企业、小微企业合同金额应当达到的比例要求填写。</w:t>
      </w:r>
      <w:r>
        <w:rPr>
          <w:rFonts w:hint="eastAsia" w:ascii="仿宋" w:hAnsi="仿宋" w:eastAsia="仿宋" w:cs="仿宋"/>
          <w:b/>
          <w:bCs/>
          <w:color w:val="000000" w:themeColor="text1"/>
          <w:kern w:val="0"/>
          <w:sz w:val="24"/>
          <w:highlight w:val="none"/>
          <w:lang w:val="zh-CN"/>
          <w14:textFill>
            <w14:solidFill>
              <w14:schemeClr w14:val="tx1"/>
            </w14:solidFill>
          </w14:textFill>
        </w:rPr>
        <w:t>）</w:t>
      </w:r>
      <w:bookmarkEnd w:id="691"/>
    </w:p>
    <w:p w14:paraId="2D472483">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五、如果成交，</w:t>
      </w:r>
      <w:r>
        <w:rPr>
          <w:rFonts w:hint="eastAsia" w:ascii="仿宋" w:hAnsi="仿宋" w:eastAsia="仿宋" w:cs="仿宋"/>
          <w:color w:val="000000" w:themeColor="text1"/>
          <w:sz w:val="24"/>
          <w:highlight w:val="none"/>
          <w14:textFill>
            <w14:solidFill>
              <w14:schemeClr w14:val="tx1"/>
            </w14:solidFill>
          </w14:textFill>
        </w:rPr>
        <w:t>联合体各成员方共同与采购人签订合同，并就采购合同约定的事项对采购人承担连带责任。</w:t>
      </w:r>
    </w:p>
    <w:p w14:paraId="2D091218">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六、有关本次联合响应的其他事宜：</w:t>
      </w:r>
    </w:p>
    <w:p w14:paraId="2C81EBDB">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1、联合体各方不再单独参加或者与其他供应商另外组成联合体参加同一合同项下的政府采购活动。</w:t>
      </w:r>
    </w:p>
    <w:p w14:paraId="25E107DD">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2、联合体中有同类资质的各方按照联合体分工承担相同工作的，按照资质等级较低的供应商确定资质等级。</w:t>
      </w:r>
    </w:p>
    <w:p w14:paraId="05189620">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3、本协议提交采购人、采购代理机构后，联合体各方不得以任何形式对上述内容进行修改或撤销。</w:t>
      </w:r>
    </w:p>
    <w:p w14:paraId="757F7D48">
      <w:pPr>
        <w:snapToGrid w:val="0"/>
        <w:spacing w:line="360" w:lineRule="auto"/>
        <w:ind w:firstLine="5166" w:firstLine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33CF1206">
      <w:pPr>
        <w:snapToGrid w:val="0"/>
        <w:spacing w:line="360" w:lineRule="auto"/>
        <w:ind w:firstLine="5166" w:firstLineChars="21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331C1A19">
      <w:pPr>
        <w:snapToGrid w:val="0"/>
        <w:spacing w:line="360" w:lineRule="auto"/>
        <w:ind w:firstLine="5904" w:firstLineChars="24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72DD94E1">
      <w:pPr>
        <w:snapToGrid w:val="0"/>
        <w:spacing w:line="360" w:lineRule="auto"/>
        <w:jc w:val="righ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日期：  年  月   日</w:t>
      </w:r>
    </w:p>
    <w:p w14:paraId="65F9C3A1">
      <w:pPr>
        <w:spacing w:line="360" w:lineRule="auto"/>
        <w:ind w:right="42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注：按本格式和要求提供。</w:t>
      </w:r>
    </w:p>
    <w:p w14:paraId="00E8885D">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22B6F94E">
      <w:pPr>
        <w:rPr>
          <w:rFonts w:hint="eastAsia" w:ascii="仿宋" w:hAnsi="仿宋" w:eastAsia="仿宋" w:cs="仿宋"/>
          <w:color w:val="000000" w:themeColor="text1"/>
          <w:highlight w:val="none"/>
          <w14:textFill>
            <w14:solidFill>
              <w14:schemeClr w14:val="tx1"/>
            </w14:solidFill>
          </w14:textFill>
        </w:rPr>
      </w:pPr>
    </w:p>
    <w:p w14:paraId="08BE2294">
      <w:pPr>
        <w:tabs>
          <w:tab w:val="left" w:pos="2761"/>
          <w:tab w:val="center" w:pos="4595"/>
        </w:tabs>
        <w:autoSpaceDE w:val="0"/>
        <w:autoSpaceDN w:val="0"/>
        <w:jc w:val="lef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附件6</w:t>
      </w:r>
    </w:p>
    <w:p w14:paraId="70134229">
      <w:pPr>
        <w:snapToGrid w:val="0"/>
        <w:spacing w:line="360" w:lineRule="auto"/>
        <w:ind w:firstLine="3586" w:firstLineChars="1100"/>
        <w:rPr>
          <w:rFonts w:hint="eastAsia"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分包意向协议（如果有）</w:t>
      </w:r>
    </w:p>
    <w:p w14:paraId="2273D4A1">
      <w:pPr>
        <w:widowControl/>
        <w:spacing w:line="360" w:lineRule="auto"/>
        <w:ind w:firstLine="123" w:firstLineChars="5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color w:val="000000" w:themeColor="text1"/>
          <w:sz w:val="24"/>
          <w:highlight w:val="none"/>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仿宋" w:hAnsi="仿宋" w:eastAsia="仿宋" w:cs="仿宋"/>
          <w:color w:val="000000" w:themeColor="text1"/>
          <w:sz w:val="24"/>
          <w:highlight w:val="none"/>
          <w14:textFill>
            <w14:solidFill>
              <w14:schemeClr w14:val="tx1"/>
            </w14:solidFill>
          </w14:textFill>
        </w:rPr>
        <w:t>）</w:t>
      </w:r>
    </w:p>
    <w:p w14:paraId="1D29CD43">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若成为</w:t>
      </w:r>
      <w:r>
        <w:rPr>
          <w:rFonts w:hint="eastAsia" w:ascii="仿宋" w:hAnsi="仿宋" w:eastAsia="仿宋" w:cs="仿宋"/>
          <w:color w:val="000000" w:themeColor="text1"/>
          <w:sz w:val="24"/>
          <w:highlight w:val="none"/>
          <w14:textFill>
            <w14:solidFill>
              <w14:schemeClr w14:val="tx1"/>
            </w14:solidFill>
          </w14:textFill>
        </w:rPr>
        <w:t>（项目名称）【项目编号：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标项一/标项二</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的成交供应商，将依法采取分包方式履行合同。</w:t>
      </w: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14:textFill>
            <w14:solidFill>
              <w14:schemeClr w14:val="tx1"/>
            </w14:solidFill>
          </w14:textFill>
        </w:rPr>
        <w:t>与</w:t>
      </w:r>
      <w:r>
        <w:rPr>
          <w:rFonts w:hint="eastAsia" w:ascii="仿宋" w:hAnsi="仿宋" w:eastAsia="仿宋" w:cs="仿宋"/>
          <w:color w:val="000000" w:themeColor="text1"/>
          <w:kern w:val="0"/>
          <w:sz w:val="24"/>
          <w:highlight w:val="none"/>
          <w:u w:val="single"/>
          <w14:textFill>
            <w14:solidFill>
              <w14:schemeClr w14:val="tx1"/>
            </w14:solidFill>
          </w14:textFill>
        </w:rPr>
        <w:t>（所有分包供应商名称）</w:t>
      </w:r>
      <w:r>
        <w:rPr>
          <w:rFonts w:hint="eastAsia" w:ascii="仿宋" w:hAnsi="仿宋" w:eastAsia="仿宋" w:cs="仿宋"/>
          <w:color w:val="000000" w:themeColor="text1"/>
          <w:kern w:val="0"/>
          <w:sz w:val="24"/>
          <w:highlight w:val="none"/>
          <w14:textFill>
            <w14:solidFill>
              <w14:schemeClr w14:val="tx1"/>
            </w14:solidFill>
          </w14:textFill>
        </w:rPr>
        <w:t>达成分包意向协议</w:t>
      </w: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p>
    <w:p w14:paraId="08B49AFD">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一、分包标的及数量</w:t>
      </w:r>
    </w:p>
    <w:p w14:paraId="2C9239F6">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将</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u w:val="single"/>
          <w14:textFill>
            <w14:solidFill>
              <w14:schemeClr w14:val="tx1"/>
            </w14:solidFill>
          </w14:textFill>
        </w:rPr>
        <w:t xml:space="preserve"> XX工作内容   </w:t>
      </w:r>
      <w:r>
        <w:rPr>
          <w:rFonts w:hint="eastAsia" w:ascii="仿宋" w:hAnsi="仿宋" w:eastAsia="仿宋" w:cs="仿宋"/>
          <w:color w:val="000000" w:themeColor="text1"/>
          <w:sz w:val="24"/>
          <w:highlight w:val="none"/>
          <w14:textFill>
            <w14:solidFill>
              <w14:schemeClr w14:val="tx1"/>
            </w14:solidFill>
          </w14:textFill>
        </w:rPr>
        <w:t>分包给</w:t>
      </w:r>
      <w:r>
        <w:rPr>
          <w:rFonts w:hint="eastAsia" w:ascii="仿宋" w:hAnsi="仿宋" w:eastAsia="仿宋" w:cs="仿宋"/>
          <w:color w:val="000000" w:themeColor="text1"/>
          <w:kern w:val="0"/>
          <w:sz w:val="24"/>
          <w:highlight w:val="none"/>
          <w:u w:val="single"/>
          <w14:textFill>
            <w14:solidFill>
              <w14:schemeClr w14:val="tx1"/>
            </w14:solidFill>
          </w14:textFill>
        </w:rPr>
        <w:t>（分包供应商1名称）</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（分包供应商2名称），</w:t>
      </w:r>
      <w:r>
        <w:rPr>
          <w:rFonts w:hint="eastAsia" w:ascii="仿宋" w:hAnsi="仿宋" w:eastAsia="仿宋" w:cs="仿宋"/>
          <w:color w:val="000000" w:themeColor="text1"/>
          <w:kern w:val="0"/>
          <w:sz w:val="24"/>
          <w:highlight w:val="none"/>
          <w:lang w:val="zh-CN"/>
          <w14:textFill>
            <w14:solidFill>
              <w14:schemeClr w14:val="tx1"/>
            </w14:solidFill>
          </w14:textFill>
        </w:rPr>
        <w:t>具备承</w:t>
      </w:r>
      <w:r>
        <w:rPr>
          <w:rFonts w:hint="eastAsia" w:ascii="仿宋" w:hAnsi="仿宋" w:eastAsia="仿宋" w:cs="仿宋"/>
          <w:color w:val="000000" w:themeColor="text1"/>
          <w:kern w:val="0"/>
          <w:sz w:val="24"/>
          <w:highlight w:val="none"/>
          <w14:textFill>
            <w14:solidFill>
              <w14:schemeClr w14:val="tx1"/>
            </w14:solidFill>
          </w14:textFill>
        </w:rPr>
        <w:t>担</w:t>
      </w:r>
      <w:r>
        <w:rPr>
          <w:rFonts w:hint="eastAsia" w:ascii="仿宋" w:hAnsi="仿宋" w:eastAsia="仿宋" w:cs="仿宋"/>
          <w:color w:val="000000" w:themeColor="text1"/>
          <w:kern w:val="0"/>
          <w:sz w:val="24"/>
          <w:highlight w:val="none"/>
          <w:u w:val="single"/>
          <w:lang w:val="zh-CN"/>
          <w14:textFill>
            <w14:solidFill>
              <w14:schemeClr w14:val="tx1"/>
            </w14:solidFill>
          </w14:textFill>
        </w:rPr>
        <w:t>XX工作内容</w:t>
      </w:r>
      <w:r>
        <w:rPr>
          <w:rFonts w:hint="eastAsia" w:ascii="仿宋" w:hAnsi="仿宋" w:eastAsia="仿宋" w:cs="仿宋"/>
          <w:color w:val="000000" w:themeColor="text1"/>
          <w:kern w:val="0"/>
          <w:sz w:val="24"/>
          <w:highlight w:val="none"/>
          <w:lang w:val="zh-CN"/>
          <w14:textFill>
            <w14:solidFill>
              <w14:schemeClr w14:val="tx1"/>
            </w14:solidFill>
          </w14:textFill>
        </w:rPr>
        <w:t>相应资质条件且不得再次分包；</w:t>
      </w:r>
    </w:p>
    <w:p w14:paraId="508E33D3">
      <w:pPr>
        <w:pStyle w:val="3"/>
        <w:ind w:left="682" w:leftChars="316" w:firstLine="233" w:firstLineChars="95"/>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w:t>
      </w:r>
    </w:p>
    <w:p w14:paraId="232C1A6D">
      <w:pPr>
        <w:ind w:firstLine="305"/>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zh-CN"/>
          <w14:textFill>
            <w14:solidFill>
              <w14:schemeClr w14:val="tx1"/>
            </w14:solidFill>
          </w14:textFill>
        </w:rPr>
        <w:t xml:space="preserve"> </w:t>
      </w:r>
    </w:p>
    <w:p w14:paraId="09930542">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二、分包供应商中小企业合同份额（如果有）</w:t>
      </w:r>
    </w:p>
    <w:p w14:paraId="2825E280">
      <w:pPr>
        <w:snapToGrid w:val="0"/>
        <w:spacing w:line="360" w:lineRule="auto"/>
        <w:ind w:firstLine="576"/>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w:t>
      </w:r>
      <w:r>
        <w:rPr>
          <w:rFonts w:hint="eastAsia" w:ascii="仿宋" w:hAnsi="仿宋" w:eastAsia="仿宋" w:cs="仿宋"/>
          <w:color w:val="000000" w:themeColor="text1"/>
          <w:kern w:val="0"/>
          <w:sz w:val="24"/>
          <w:highlight w:val="none"/>
          <w:u w:val="single"/>
          <w14:textFill>
            <w14:solidFill>
              <w14:schemeClr w14:val="tx1"/>
            </w14:solidFill>
          </w14:textFill>
        </w:rPr>
        <w:t>（分包供应商X,……）提供的工程全部由小微企业承建，</w:t>
      </w:r>
      <w:r>
        <w:rPr>
          <w:rFonts w:hint="eastAsia" w:ascii="仿宋" w:hAnsi="仿宋" w:eastAsia="仿宋" w:cs="仿宋"/>
          <w:color w:val="000000" w:themeColor="text1"/>
          <w:kern w:val="0"/>
          <w:sz w:val="24"/>
          <w:highlight w:val="none"/>
          <w14:textFill>
            <w14:solidFill>
              <w14:schemeClr w14:val="tx1"/>
            </w14:solidFill>
          </w14:textFill>
        </w:rPr>
        <w:t>其合同份额占到合同总金额</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%以上</w:t>
      </w: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color w:val="000000" w:themeColor="text1"/>
          <w:sz w:val="24"/>
          <w:highlight w:val="none"/>
          <w14:textFill>
            <w14:solidFill>
              <w14:schemeClr w14:val="tx1"/>
            </w14:solidFill>
          </w14:textFill>
        </w:rPr>
        <w:t>拟享受以上价格扣除政策的，填写有关内容。</w:t>
      </w:r>
      <w:r>
        <w:rPr>
          <w:rFonts w:hint="eastAsia" w:ascii="仿宋" w:hAnsi="仿宋" w:eastAsia="仿宋" w:cs="仿宋"/>
          <w:b/>
          <w:color w:val="000000" w:themeColor="text1"/>
          <w:kern w:val="0"/>
          <w:sz w:val="24"/>
          <w:highlight w:val="none"/>
          <w:lang w:val="zh-CN"/>
          <w14:textFill>
            <w14:solidFill>
              <w14:schemeClr w14:val="tx1"/>
            </w14:solidFill>
          </w14:textFill>
        </w:rPr>
        <w:t>）</w:t>
      </w:r>
    </w:p>
    <w:p w14:paraId="370132CE">
      <w:pPr>
        <w:spacing w:line="360" w:lineRule="auto"/>
        <w:ind w:firstLine="492" w:firstLineChars="200"/>
        <w:rPr>
          <w:rFonts w:hint="eastAsia"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要求合同分包形式参加的项目或采购包，供应商按磋商文件第一部分竞争性磋商邀请公告申请人的资格要求中规定的</w:t>
      </w:r>
      <w:r>
        <w:rPr>
          <w:rFonts w:hint="eastAsia" w:ascii="仿宋" w:hAnsi="仿宋" w:eastAsia="仿宋" w:cs="仿宋"/>
          <w:b/>
          <w:color w:val="000000" w:themeColor="text1"/>
          <w:kern w:val="0"/>
          <w:sz w:val="24"/>
          <w:highlight w:val="none"/>
          <w:lang w:val="zh-CN"/>
          <w14:textFill>
            <w14:solidFill>
              <w14:schemeClr w14:val="tx1"/>
            </w14:solidFill>
          </w14:textFill>
        </w:rPr>
        <w:t>分包意向协议</w:t>
      </w:r>
      <w:r>
        <w:rPr>
          <w:rFonts w:hint="eastAsia" w:ascii="仿宋" w:hAnsi="仿宋" w:eastAsia="仿宋" w:cs="仿宋"/>
          <w:b/>
          <w:bCs/>
          <w:color w:val="000000" w:themeColor="text1"/>
          <w:sz w:val="24"/>
          <w:highlight w:val="none"/>
          <w14:textFill>
            <w14:solidFill>
              <w14:schemeClr w14:val="tx1"/>
            </w14:solidFill>
          </w14:textFill>
        </w:rPr>
        <w:t>中中小企业、小微企业合同金额应当达到的比例要求填写。</w:t>
      </w:r>
      <w:r>
        <w:rPr>
          <w:rFonts w:hint="eastAsia" w:ascii="仿宋" w:hAnsi="仿宋" w:eastAsia="仿宋" w:cs="仿宋"/>
          <w:b/>
          <w:bCs/>
          <w:color w:val="000000" w:themeColor="text1"/>
          <w:kern w:val="0"/>
          <w:sz w:val="24"/>
          <w:highlight w:val="none"/>
          <w:lang w:val="zh-CN"/>
          <w14:textFill>
            <w14:solidFill>
              <w14:schemeClr w14:val="tx1"/>
            </w14:solidFill>
          </w14:textFill>
        </w:rPr>
        <w:t>）</w:t>
      </w:r>
    </w:p>
    <w:p w14:paraId="20EA393D">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三、分包工作履行期限、地点、方式</w:t>
      </w:r>
    </w:p>
    <w:p w14:paraId="5B0E6D85">
      <w:pPr>
        <w:snapToGrid w:val="0"/>
        <w:spacing w:line="360" w:lineRule="auto"/>
        <w:ind w:firstLine="576"/>
        <w:rPr>
          <w:rFonts w:hint="eastAsia"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4DAA89FD">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四、质量</w:t>
      </w:r>
    </w:p>
    <w:p w14:paraId="5EC46D76">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49C62B08">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五、价款或者报酬</w:t>
      </w:r>
    </w:p>
    <w:p w14:paraId="564EA566">
      <w:pPr>
        <w:snapToGrid w:val="0"/>
        <w:spacing w:line="360" w:lineRule="auto"/>
        <w:ind w:left="589" w:leftChars="273"/>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6FCDC9E6">
      <w:pPr>
        <w:snapToGrid w:val="0"/>
        <w:spacing w:line="360" w:lineRule="auto"/>
        <w:ind w:left="589" w:leftChars="273"/>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六、违约责任</w:t>
      </w:r>
    </w:p>
    <w:p w14:paraId="39E64516">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4195ECB9">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七、争议解决的办法</w:t>
      </w:r>
    </w:p>
    <w:p w14:paraId="476EA0D2">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1619F263">
      <w:pPr>
        <w:snapToGrid w:val="0"/>
        <w:spacing w:line="360" w:lineRule="auto"/>
        <w:ind w:firstLine="576"/>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八、其他</w:t>
      </w:r>
    </w:p>
    <w:p w14:paraId="5040FD75">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3C18404">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2683C92F">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p>
    <w:p w14:paraId="30A820DB">
      <w:pPr>
        <w:snapToGrid w:val="0"/>
        <w:spacing w:line="360" w:lineRule="auto"/>
        <w:ind w:left="5904" w:leftChars="342"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w:t>
      </w:r>
    </w:p>
    <w:p w14:paraId="5DD7708B">
      <w:pPr>
        <w:snapToGrid w:val="0"/>
        <w:spacing w:line="360" w:lineRule="auto"/>
        <w:jc w:val="righ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分包供应商名称(电子签名/公章)：</w:t>
      </w:r>
    </w:p>
    <w:p w14:paraId="7195FD22">
      <w:pPr>
        <w:snapToGrid w:val="0"/>
        <w:spacing w:line="360" w:lineRule="auto"/>
        <w:ind w:firstLine="5904" w:firstLineChars="24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05122A5C">
      <w:pPr>
        <w:pStyle w:val="24"/>
        <w:ind w:left="0" w:leftChars="0" w:firstLine="0" w:firstLineChars="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414B406B">
      <w:pPr>
        <w:tabs>
          <w:tab w:val="left" w:pos="2761"/>
          <w:tab w:val="center" w:pos="4595"/>
        </w:tabs>
        <w:autoSpaceDE w:val="0"/>
        <w:autoSpaceDN w:val="0"/>
        <w:jc w:val="left"/>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ab/>
      </w:r>
    </w:p>
    <w:p w14:paraId="0ACC8C7A">
      <w:pPr>
        <w:rPr>
          <w:rFonts w:hint="eastAsia" w:ascii="仿宋" w:hAnsi="仿宋" w:eastAsia="仿宋" w:cs="仿宋"/>
          <w:b/>
          <w:color w:val="000000" w:themeColor="text1"/>
          <w:spacing w:val="6"/>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br w:type="page"/>
      </w:r>
    </w:p>
    <w:p w14:paraId="17C196C7">
      <w:pPr>
        <w:tabs>
          <w:tab w:val="left" w:pos="2761"/>
          <w:tab w:val="center" w:pos="4595"/>
        </w:tabs>
        <w:autoSpaceDE w:val="0"/>
        <w:autoSpaceDN w:val="0"/>
        <w:jc w:val="left"/>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pacing w:val="6"/>
          <w:sz w:val="32"/>
          <w:szCs w:val="32"/>
          <w:highlight w:val="none"/>
          <w14:textFill>
            <w14:solidFill>
              <w14:schemeClr w14:val="tx1"/>
            </w14:solidFill>
          </w14:textFill>
        </w:rPr>
        <w:t>附件7：</w:t>
      </w:r>
      <w:r>
        <w:rPr>
          <w:rFonts w:hint="eastAsia" w:ascii="仿宋" w:hAnsi="仿宋" w:eastAsia="仿宋" w:cs="仿宋"/>
          <w:b/>
          <w:color w:val="000000" w:themeColor="text1"/>
          <w:sz w:val="32"/>
          <w:szCs w:val="32"/>
          <w:highlight w:val="none"/>
          <w14:textFill>
            <w14:solidFill>
              <w14:schemeClr w14:val="tx1"/>
            </w14:solidFill>
          </w14:textFill>
        </w:rPr>
        <w:t>中小企业声明函</w:t>
      </w:r>
    </w:p>
    <w:p w14:paraId="2B46CB3E">
      <w:pPr>
        <w:spacing w:line="360" w:lineRule="auto"/>
        <w:jc w:val="center"/>
        <w:rPr>
          <w:rFonts w:hint="eastAsia" w:ascii="仿宋" w:hAnsi="仿宋" w:eastAsia="仿宋" w:cs="仿宋"/>
          <w:color w:val="000000" w:themeColor="text1"/>
          <w:sz w:val="24"/>
          <w:highlight w:val="none"/>
          <w:u w:val="single"/>
          <w14:textFill>
            <w14:solidFill>
              <w14:schemeClr w14:val="tx1"/>
            </w14:solidFill>
          </w14:textFill>
        </w:rPr>
      </w:pPr>
    </w:p>
    <w:p w14:paraId="79CC4C27">
      <w:pPr>
        <w:spacing w:line="360" w:lineRule="auto"/>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中小企业声明函（工程、服务）</w:t>
      </w:r>
    </w:p>
    <w:p w14:paraId="25D7C402">
      <w:pPr>
        <w:spacing w:line="360" w:lineRule="auto"/>
        <w:rPr>
          <w:rFonts w:hint="eastAsia" w:ascii="仿宋" w:hAnsi="仿宋" w:eastAsia="仿宋" w:cs="仿宋"/>
          <w:color w:val="000000" w:themeColor="text1"/>
          <w:highlight w:val="none"/>
          <w14:textFill>
            <w14:solidFill>
              <w14:schemeClr w14:val="tx1"/>
            </w14:solidFill>
          </w14:textFill>
        </w:rPr>
      </w:pPr>
    </w:p>
    <w:p w14:paraId="7B14B562">
      <w:pPr>
        <w:spacing w:line="360" w:lineRule="auto"/>
        <w:ind w:firstLine="369" w:firstLineChars="15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本公司（联合体）郑重声明，根据《政府采购促进中小企业发展管理办法》（财库﹝2020﹞46 号）的规定，本公司（联合体）参加 （采购人） 的 （项目名称） 采购活动，工程的施工单位全部为符合政策要求的中小企业（或者：服务全部由符合政策要求的中小企业承接）。相关企业（含联合体中的中小企业、签订分包意向协议的中小企业）的具体情况如下：</w:t>
      </w:r>
    </w:p>
    <w:p w14:paraId="61AEEDE8">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b/>
          <w:bCs/>
          <w:color w:val="000000" w:themeColor="text1"/>
          <w:sz w:val="24"/>
          <w:highlight w:val="none"/>
          <w:u w:val="single"/>
          <w:lang w:val="en-US" w:eastAsia="zh-CN"/>
          <w14:textFill>
            <w14:solidFill>
              <w14:schemeClr w14:val="tx1"/>
            </w14:solidFill>
          </w14:textFill>
        </w:rPr>
        <w:t>（标项一：浙江财经大学5号楼高压配电房改造工程/标项二：浙江财经大学图书馆高压配电房改造工程，各供应商根据报名标项填写）</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，属于 </w:t>
      </w:r>
      <w:r>
        <w:rPr>
          <w:rFonts w:hint="eastAsia" w:ascii="仿宋" w:hAnsi="仿宋" w:eastAsia="仿宋" w:cs="仿宋"/>
          <w:color w:val="000000" w:themeColor="text1"/>
          <w:sz w:val="24"/>
          <w:highlight w:val="none"/>
          <w:u w:val="single"/>
          <w:lang w:eastAsia="zh-CN"/>
          <w14:textFill>
            <w14:solidFill>
              <w14:schemeClr w14:val="tx1"/>
            </w14:solidFill>
          </w14:textFill>
        </w:rPr>
        <w:t>建筑业</w:t>
      </w:r>
      <w:r>
        <w:rPr>
          <w:rFonts w:hint="eastAsia" w:ascii="仿宋" w:hAnsi="仿宋" w:eastAsia="仿宋" w:cs="仿宋"/>
          <w:color w:val="000000" w:themeColor="text1"/>
          <w:sz w:val="24"/>
          <w:highlight w:val="none"/>
          <w14:textFill>
            <w14:solidFill>
              <w14:schemeClr w14:val="tx1"/>
            </w14:solidFill>
          </w14:textFill>
        </w:rPr>
        <w:t xml:space="preserve"> ；承建（承接）企业为 </w:t>
      </w:r>
      <w:r>
        <w:rPr>
          <w:rFonts w:hint="eastAsia" w:ascii="仿宋" w:hAnsi="仿宋" w:eastAsia="仿宋" w:cs="仿宋"/>
          <w:color w:val="000000" w:themeColor="text1"/>
          <w:sz w:val="24"/>
          <w:highlight w:val="none"/>
          <w:u w:val="single"/>
          <w14:textFill>
            <w14:solidFill>
              <w14:schemeClr w14:val="tx1"/>
            </w14:solidFill>
          </w14:textFill>
        </w:rPr>
        <w:t>（企业名称）</w:t>
      </w:r>
      <w:r>
        <w:rPr>
          <w:rFonts w:hint="eastAsia" w:ascii="仿宋" w:hAnsi="仿宋" w:eastAsia="仿宋" w:cs="仿宋"/>
          <w:color w:val="000000" w:themeColor="text1"/>
          <w:sz w:val="24"/>
          <w:highlight w:val="none"/>
          <w14:textFill>
            <w14:solidFill>
              <w14:schemeClr w14:val="tx1"/>
            </w14:solidFill>
          </w14:textFill>
        </w:rPr>
        <w:t xml:space="preserve"> ，从业人员</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人，营业收入为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万元，资产总额为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万元属于</w:t>
      </w:r>
      <w:r>
        <w:rPr>
          <w:rFonts w:hint="eastAsia" w:ascii="仿宋" w:hAnsi="仿宋" w:eastAsia="仿宋" w:cs="仿宋"/>
          <w:color w:val="000000" w:themeColor="text1"/>
          <w:sz w:val="24"/>
          <w:highlight w:val="none"/>
          <w:u w:val="single"/>
          <w14:textFill>
            <w14:solidFill>
              <w14:schemeClr w14:val="tx1"/>
            </w14:solidFill>
          </w14:textFill>
        </w:rPr>
        <w:t xml:space="preserve"> （中型企业、小型企业、微型企业） </w:t>
      </w:r>
      <w:r>
        <w:rPr>
          <w:rFonts w:hint="eastAsia" w:ascii="仿宋" w:hAnsi="仿宋" w:eastAsia="仿宋" w:cs="仿宋"/>
          <w:color w:val="000000" w:themeColor="text1"/>
          <w:sz w:val="24"/>
          <w:highlight w:val="none"/>
          <w14:textFill>
            <w14:solidFill>
              <w14:schemeClr w14:val="tx1"/>
            </w14:solidFill>
          </w14:textFill>
        </w:rPr>
        <w:t>；</w:t>
      </w:r>
    </w:p>
    <w:p w14:paraId="25BA5C0C">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r>
        <w:rPr>
          <w:rFonts w:hint="eastAsia" w:ascii="仿宋" w:hAnsi="仿宋" w:eastAsia="仿宋" w:cs="仿宋"/>
          <w:color w:val="000000" w:themeColor="text1"/>
          <w:highlight w:val="non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（标的名称）</w:t>
      </w:r>
      <w:r>
        <w:rPr>
          <w:rFonts w:hint="eastAsia" w:ascii="仿宋" w:hAnsi="仿宋" w:eastAsia="仿宋" w:cs="仿宋"/>
          <w:color w:val="000000" w:themeColor="text1"/>
          <w:sz w:val="24"/>
          <w:highlight w:val="none"/>
          <w14:textFill>
            <w14:solidFill>
              <w14:schemeClr w14:val="tx1"/>
            </w14:solidFill>
          </w14:textFill>
        </w:rPr>
        <w:t xml:space="preserve">，属于 </w:t>
      </w:r>
      <w:r>
        <w:rPr>
          <w:rFonts w:hint="eastAsia" w:ascii="仿宋" w:hAnsi="仿宋" w:eastAsia="仿宋" w:cs="仿宋"/>
          <w:color w:val="000000" w:themeColor="text1"/>
          <w:sz w:val="24"/>
          <w:highlight w:val="none"/>
          <w:u w:val="single"/>
          <w14:textFill>
            <w14:solidFill>
              <w14:schemeClr w14:val="tx1"/>
            </w14:solidFill>
          </w14:textFill>
        </w:rPr>
        <w:t>（采购文件中明确的所属行业）</w:t>
      </w:r>
      <w:r>
        <w:rPr>
          <w:rFonts w:hint="eastAsia" w:ascii="仿宋" w:hAnsi="仿宋" w:eastAsia="仿宋" w:cs="仿宋"/>
          <w:color w:val="000000" w:themeColor="text1"/>
          <w:sz w:val="24"/>
          <w:highlight w:val="none"/>
          <w14:textFill>
            <w14:solidFill>
              <w14:schemeClr w14:val="tx1"/>
            </w14:solidFill>
          </w14:textFill>
        </w:rPr>
        <w:t xml:space="preserve"> ；承建（承接）企业为 </w:t>
      </w:r>
      <w:r>
        <w:rPr>
          <w:rFonts w:hint="eastAsia" w:ascii="仿宋" w:hAnsi="仿宋" w:eastAsia="仿宋" w:cs="仿宋"/>
          <w:color w:val="000000" w:themeColor="text1"/>
          <w:sz w:val="24"/>
          <w:highlight w:val="none"/>
          <w:u w:val="single"/>
          <w14:textFill>
            <w14:solidFill>
              <w14:schemeClr w14:val="tx1"/>
            </w14:solidFill>
          </w14:textFill>
        </w:rPr>
        <w:t>（企业名称）</w:t>
      </w:r>
      <w:r>
        <w:rPr>
          <w:rFonts w:hint="eastAsia" w:ascii="仿宋" w:hAnsi="仿宋" w:eastAsia="仿宋" w:cs="仿宋"/>
          <w:color w:val="000000" w:themeColor="text1"/>
          <w:sz w:val="24"/>
          <w:highlight w:val="none"/>
          <w14:textFill>
            <w14:solidFill>
              <w14:schemeClr w14:val="tx1"/>
            </w14:solidFill>
          </w14:textFill>
        </w:rPr>
        <w:t xml:space="preserve"> ，从业人员</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人，营业收入为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万元，资产总额为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万元属于</w:t>
      </w:r>
      <w:r>
        <w:rPr>
          <w:rFonts w:hint="eastAsia" w:ascii="仿宋" w:hAnsi="仿宋" w:eastAsia="仿宋" w:cs="仿宋"/>
          <w:color w:val="000000" w:themeColor="text1"/>
          <w:sz w:val="24"/>
          <w:highlight w:val="none"/>
          <w:u w:val="single"/>
          <w14:textFill>
            <w14:solidFill>
              <w14:schemeClr w14:val="tx1"/>
            </w14:solidFill>
          </w14:textFill>
        </w:rPr>
        <w:t xml:space="preserve"> （中型企业、小型企业、微型企业） </w:t>
      </w:r>
      <w:r>
        <w:rPr>
          <w:rFonts w:hint="eastAsia" w:ascii="仿宋" w:hAnsi="仿宋" w:eastAsia="仿宋" w:cs="仿宋"/>
          <w:color w:val="000000" w:themeColor="text1"/>
          <w:sz w:val="24"/>
          <w:highlight w:val="none"/>
          <w14:textFill>
            <w14:solidFill>
              <w14:schemeClr w14:val="tx1"/>
            </w14:solidFill>
          </w14:textFill>
        </w:rPr>
        <w:t>；</w:t>
      </w:r>
    </w:p>
    <w:p w14:paraId="5F9CC6F4">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p w14:paraId="621CFAE6">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以上企业，不属于大企业的分支机构，不存在控股股东为大企业的情形，也不存在与大企业的负责人为同一人的情形。</w:t>
      </w:r>
    </w:p>
    <w:p w14:paraId="2743C4D1">
      <w:pPr>
        <w:spacing w:line="360" w:lineRule="auto"/>
        <w:ind w:firstLine="492"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本企业对上述声明内容的真实性负责。如有虚假，将依法承担相应责任。</w:t>
      </w:r>
    </w:p>
    <w:p w14:paraId="3D6D6B7E">
      <w:pPr>
        <w:spacing w:line="360" w:lineRule="auto"/>
        <w:ind w:right="1760"/>
        <w:jc w:val="righ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供应商名称（电子签名）：</w:t>
      </w:r>
    </w:p>
    <w:p w14:paraId="22EF67CE">
      <w:pPr>
        <w:spacing w:line="360" w:lineRule="auto"/>
        <w:ind w:right="1120" w:firstLine="4797" w:firstLineChars="19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p w14:paraId="14DB07AD">
      <w:pPr>
        <w:spacing w:line="360" w:lineRule="auto"/>
        <w:ind w:firstLine="316" w:firstLineChars="147"/>
        <w:jc w:val="left"/>
        <w:rPr>
          <w:rFonts w:hint="eastAsia" w:ascii="仿宋" w:hAnsi="仿宋" w:eastAsia="仿宋" w:cs="仿宋"/>
          <w:b/>
          <w:color w:val="000000" w:themeColor="text1"/>
          <w:szCs w:val="21"/>
          <w:highlight w:val="none"/>
          <w14:textFill>
            <w14:solidFill>
              <w14:schemeClr w14:val="tx1"/>
            </w14:solidFill>
          </w14:textFill>
        </w:rPr>
      </w:pPr>
    </w:p>
    <w:p w14:paraId="6381D5B3">
      <w:pPr>
        <w:spacing w:line="360" w:lineRule="auto"/>
        <w:ind w:right="42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注：</w:t>
      </w:r>
      <w:r>
        <w:rPr>
          <w:rFonts w:hint="eastAsia" w:ascii="仿宋" w:hAnsi="仿宋" w:eastAsia="仿宋" w:cs="仿宋"/>
          <w:b/>
          <w:bCs/>
          <w:color w:val="000000" w:themeColor="text1"/>
          <w:sz w:val="24"/>
          <w:highlight w:val="none"/>
          <w14:textFill>
            <w14:solidFill>
              <w14:schemeClr w14:val="tx1"/>
            </w14:solidFill>
          </w14:textFill>
        </w:rPr>
        <w:t>1.填写要求：①“标的名称”、“采购文件中明确的所属行业”依据磋商文件第三部分供应商须知前附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w:t>
      </w:r>
      <w:r>
        <w:rPr>
          <w:rFonts w:hint="eastAsia" w:ascii="仿宋" w:hAnsi="仿宋" w:eastAsia="仿宋" w:cs="仿宋"/>
          <w:b/>
          <w:bCs/>
          <w:color w:val="000000" w:themeColor="text1"/>
          <w:sz w:val="24"/>
          <w:highlight w:val="none"/>
          <w:lang w:eastAsia="zh-CN"/>
          <w14:textFill>
            <w14:solidFill>
              <w14:schemeClr w14:val="tx1"/>
            </w14:solidFill>
          </w14:textFill>
        </w:rPr>
        <w:t>。</w:t>
      </w:r>
    </w:p>
    <w:p w14:paraId="44EB434E">
      <w:pPr>
        <w:spacing w:line="360" w:lineRule="auto"/>
        <w:ind w:right="420" w:firstLine="49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4F2DFF7D">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7F2B8C46">
      <w:pPr>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第八部分  最后报价格式</w:t>
      </w:r>
    </w:p>
    <w:p w14:paraId="7F3632F1">
      <w:pPr>
        <w:pStyle w:val="115"/>
        <w:keepNext w:val="0"/>
        <w:pageBreakBefore w:val="0"/>
        <w:tabs>
          <w:tab w:val="clear" w:pos="720"/>
        </w:tabs>
        <w:ind w:firstLine="640"/>
        <w:outlineLvl w:val="9"/>
        <w:rPr>
          <w:rFonts w:hint="eastAsia" w:ascii="仿宋" w:hAnsi="仿宋" w:eastAsia="仿宋" w:cs="仿宋"/>
          <w:color w:val="000000" w:themeColor="text1"/>
          <w:kern w:val="2"/>
          <w:sz w:val="32"/>
          <w:szCs w:val="32"/>
          <w:highlight w:val="none"/>
          <w14:textFill>
            <w14:solidFill>
              <w14:schemeClr w14:val="tx1"/>
            </w14:solidFill>
          </w14:textFill>
        </w:rPr>
      </w:pPr>
      <w:r>
        <w:rPr>
          <w:rFonts w:hint="eastAsia" w:ascii="仿宋" w:hAnsi="仿宋" w:eastAsia="仿宋" w:cs="仿宋"/>
          <w:color w:val="000000" w:themeColor="text1"/>
          <w:kern w:val="2"/>
          <w:sz w:val="32"/>
          <w:szCs w:val="32"/>
          <w:highlight w:val="none"/>
          <w14:textFill>
            <w14:solidFill>
              <w14:schemeClr w14:val="tx1"/>
            </w14:solidFill>
          </w14:textFill>
        </w:rPr>
        <w:t>（一）最后报价一览表</w:t>
      </w:r>
    </w:p>
    <w:p w14:paraId="5D2413BC">
      <w:pPr>
        <w:autoSpaceDE w:val="0"/>
        <w:autoSpaceDN w:val="0"/>
        <w:spacing w:line="360" w:lineRule="auto"/>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（采购人）、（采购代理机构）</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7E56A90D">
      <w:pPr>
        <w:spacing w:line="360" w:lineRule="auto"/>
        <w:ind w:firstLine="72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按你方磋商文件要求，</w:t>
      </w:r>
      <w:r>
        <w:rPr>
          <w:rFonts w:hint="eastAsia" w:ascii="仿宋" w:hAnsi="仿宋" w:eastAsia="仿宋" w:cs="仿宋"/>
          <w:color w:val="000000" w:themeColor="text1"/>
          <w:sz w:val="24"/>
          <w:highlight w:val="none"/>
          <w14:textFill>
            <w14:solidFill>
              <w14:schemeClr w14:val="tx1"/>
            </w14:solidFill>
          </w14:textFill>
        </w:rPr>
        <w:t>我们即</w:t>
      </w:r>
      <w:r>
        <w:rPr>
          <w:rFonts w:hint="eastAsia" w:ascii="仿宋" w:hAnsi="仿宋" w:eastAsia="仿宋" w:cs="仿宋"/>
          <w:color w:val="000000" w:themeColor="text1"/>
          <w:kern w:val="0"/>
          <w:sz w:val="24"/>
          <w:highlight w:val="none"/>
          <w:lang w:val="zh-CN"/>
          <w14:textFill>
            <w14:solidFill>
              <w14:schemeClr w14:val="tx1"/>
            </w14:solidFill>
          </w14:textFill>
        </w:rPr>
        <w:t>本响应文件签字方，谨此向你方发出要约如下：如你方接受本响应，我方承诺按照如下最后报价一览表的价格完成</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kern w:val="0"/>
          <w:sz w:val="24"/>
          <w:highlight w:val="none"/>
          <w:lang w:val="zh-CN"/>
          <w14:textFill>
            <w14:solidFill>
              <w14:schemeClr w14:val="tx1"/>
            </w14:solidFill>
          </w14:textFill>
        </w:rPr>
        <w:t>【编号：</w:t>
      </w:r>
      <w:r>
        <w:rPr>
          <w:rFonts w:hint="eastAsia" w:ascii="仿宋" w:hAnsi="仿宋" w:eastAsia="仿宋" w:cs="仿宋"/>
          <w:color w:val="000000" w:themeColor="text1"/>
          <w:sz w:val="24"/>
          <w:highlight w:val="none"/>
          <w:lang w:eastAsia="zh-CN"/>
          <w14:textFill>
            <w14:solidFill>
              <w14:schemeClr w14:val="tx1"/>
            </w14:solidFill>
          </w14:textFill>
        </w:rPr>
        <w:t>ZJ-2463292</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标项一/标项二</w:t>
      </w:r>
      <w:r>
        <w:rPr>
          <w:rFonts w:hint="eastAsia" w:ascii="仿宋" w:hAnsi="仿宋" w:eastAsia="仿宋" w:cs="仿宋"/>
          <w:color w:val="000000" w:themeColor="text1"/>
          <w:sz w:val="24"/>
          <w:highlight w:val="none"/>
          <w14:textFill>
            <w14:solidFill>
              <w14:schemeClr w14:val="tx1"/>
            </w14:solidFill>
          </w14:textFill>
        </w:rPr>
        <w:t>】的实施</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3F614578">
      <w:pPr>
        <w:snapToGrid w:val="0"/>
        <w:spacing w:line="360" w:lineRule="auto"/>
        <w:ind w:left="480"/>
        <w:jc w:val="center"/>
        <w:rPr>
          <w:rFonts w:hint="eastAsia"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最后报价一览表(单位均为人民币元)</w:t>
      </w:r>
    </w:p>
    <w:tbl>
      <w:tblPr>
        <w:tblStyle w:val="60"/>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637"/>
        <w:gridCol w:w="1282"/>
        <w:gridCol w:w="1943"/>
        <w:gridCol w:w="1927"/>
        <w:gridCol w:w="1411"/>
        <w:gridCol w:w="2073"/>
      </w:tblGrid>
      <w:tr w14:paraId="3EE0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 w:type="pct"/>
            <w:vAlign w:val="center"/>
          </w:tcPr>
          <w:p w14:paraId="29237202">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序号</w:t>
            </w:r>
          </w:p>
        </w:tc>
        <w:tc>
          <w:tcPr>
            <w:tcW w:w="328" w:type="pct"/>
            <w:vAlign w:val="center"/>
          </w:tcPr>
          <w:p w14:paraId="564F4191">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项目名称</w:t>
            </w:r>
          </w:p>
        </w:tc>
        <w:tc>
          <w:tcPr>
            <w:tcW w:w="659" w:type="pct"/>
          </w:tcPr>
          <w:p w14:paraId="2F6E6FB1">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0095CE18">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施工范围</w:t>
            </w:r>
          </w:p>
        </w:tc>
        <w:tc>
          <w:tcPr>
            <w:tcW w:w="997" w:type="pct"/>
            <w:vAlign w:val="center"/>
          </w:tcPr>
          <w:p w14:paraId="2A95CF73">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施工工期</w:t>
            </w:r>
          </w:p>
        </w:tc>
        <w:tc>
          <w:tcPr>
            <w:tcW w:w="990" w:type="pct"/>
            <w:vAlign w:val="center"/>
          </w:tcPr>
          <w:p w14:paraId="78313282">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项目负责人</w:t>
            </w:r>
          </w:p>
        </w:tc>
        <w:tc>
          <w:tcPr>
            <w:tcW w:w="725" w:type="pct"/>
            <w:vAlign w:val="center"/>
          </w:tcPr>
          <w:p w14:paraId="16CC5876">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执业证书信息</w:t>
            </w:r>
          </w:p>
        </w:tc>
        <w:tc>
          <w:tcPr>
            <w:tcW w:w="1064" w:type="pct"/>
            <w:vAlign w:val="center"/>
          </w:tcPr>
          <w:p w14:paraId="62C623D0">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156E4728">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备注（如果有）</w:t>
            </w:r>
          </w:p>
          <w:p w14:paraId="545FBE07">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tc>
      </w:tr>
      <w:tr w14:paraId="13D44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34" w:type="pct"/>
            <w:vAlign w:val="center"/>
          </w:tcPr>
          <w:p w14:paraId="21402A21">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328" w:type="pct"/>
            <w:vAlign w:val="center"/>
          </w:tcPr>
          <w:p w14:paraId="1D6E8DD9">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659" w:type="pct"/>
          </w:tcPr>
          <w:p w14:paraId="1531E5AD">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997" w:type="pct"/>
            <w:vAlign w:val="center"/>
          </w:tcPr>
          <w:p w14:paraId="1DE73B3F">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990" w:type="pct"/>
            <w:vAlign w:val="center"/>
          </w:tcPr>
          <w:p w14:paraId="6E24F5F8">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725" w:type="pct"/>
            <w:vAlign w:val="center"/>
          </w:tcPr>
          <w:p w14:paraId="14BEA404">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1064" w:type="pct"/>
            <w:vAlign w:val="center"/>
          </w:tcPr>
          <w:p w14:paraId="0DD3A745">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r>
      <w:tr w14:paraId="7178E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4" w:type="pct"/>
            <w:vAlign w:val="center"/>
          </w:tcPr>
          <w:p w14:paraId="12312419">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328" w:type="pct"/>
            <w:vAlign w:val="center"/>
          </w:tcPr>
          <w:p w14:paraId="71A293BC">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659" w:type="pct"/>
          </w:tcPr>
          <w:p w14:paraId="5806A2A2">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997" w:type="pct"/>
            <w:vAlign w:val="center"/>
          </w:tcPr>
          <w:p w14:paraId="0C26D2DD">
            <w:pPr>
              <w:snapToGrid w:val="0"/>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990" w:type="pct"/>
            <w:vAlign w:val="center"/>
          </w:tcPr>
          <w:p w14:paraId="6CD68F5A">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725" w:type="pct"/>
            <w:vAlign w:val="center"/>
          </w:tcPr>
          <w:p w14:paraId="79DEE799">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c>
          <w:tcPr>
            <w:tcW w:w="1064" w:type="pct"/>
            <w:vAlign w:val="center"/>
          </w:tcPr>
          <w:p w14:paraId="147D3F4F">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tc>
      </w:tr>
      <w:tr w14:paraId="0AB32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219" w:type="pct"/>
            <w:gridSpan w:val="4"/>
            <w:vAlign w:val="center"/>
          </w:tcPr>
          <w:p w14:paraId="739D8F0F">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eastAsia="zh-CN"/>
                <w14:textFill>
                  <w14:solidFill>
                    <w14:schemeClr w14:val="tx1"/>
                  </w14:solidFill>
                </w14:textFill>
              </w:rPr>
              <w:t>磋商</w:t>
            </w:r>
            <w:r>
              <w:rPr>
                <w:rFonts w:hint="eastAsia" w:ascii="仿宋" w:hAnsi="仿宋" w:eastAsia="仿宋" w:cs="仿宋"/>
                <w:b/>
                <w:color w:val="000000" w:themeColor="text1"/>
                <w:sz w:val="24"/>
                <w:highlight w:val="none"/>
                <w14:textFill>
                  <w14:solidFill>
                    <w14:schemeClr w14:val="tx1"/>
                  </w14:solidFill>
                </w14:textFill>
              </w:rPr>
              <w:t>报价（小写）</w:t>
            </w:r>
          </w:p>
        </w:tc>
        <w:tc>
          <w:tcPr>
            <w:tcW w:w="2780" w:type="pct"/>
            <w:gridSpan w:val="3"/>
            <w:vAlign w:val="center"/>
          </w:tcPr>
          <w:p w14:paraId="574BA07F">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4C56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219" w:type="pct"/>
            <w:gridSpan w:val="4"/>
            <w:vAlign w:val="center"/>
          </w:tcPr>
          <w:p w14:paraId="2774D26A">
            <w:pPr>
              <w:snapToGrid w:val="0"/>
              <w:spacing w:line="360" w:lineRule="exact"/>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磋商报价（大写）</w:t>
            </w:r>
          </w:p>
        </w:tc>
        <w:tc>
          <w:tcPr>
            <w:tcW w:w="2780" w:type="pct"/>
            <w:gridSpan w:val="3"/>
            <w:vAlign w:val="center"/>
          </w:tcPr>
          <w:p w14:paraId="210D74A3">
            <w:pPr>
              <w:snapToGrid w:val="0"/>
              <w:spacing w:line="400" w:lineRule="exact"/>
              <w:jc w:val="center"/>
              <w:rPr>
                <w:rFonts w:hint="eastAsia" w:ascii="仿宋" w:hAnsi="仿宋" w:eastAsia="仿宋" w:cs="仿宋"/>
                <w:color w:val="000000" w:themeColor="text1"/>
                <w:sz w:val="24"/>
                <w:highlight w:val="none"/>
                <w14:textFill>
                  <w14:solidFill>
                    <w14:schemeClr w14:val="tx1"/>
                  </w14:solidFill>
                </w14:textFill>
              </w:rPr>
            </w:pPr>
          </w:p>
        </w:tc>
      </w:tr>
    </w:tbl>
    <w:p w14:paraId="15A718FD">
      <w:pPr>
        <w:spacing w:line="360" w:lineRule="auto"/>
        <w:ind w:left="-2" w:leftChars="-1" w:firstLine="492"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w:t>
      </w:r>
      <w:r>
        <w:rPr>
          <w:rFonts w:hint="eastAsia" w:ascii="仿宋" w:hAnsi="仿宋" w:eastAsia="仿宋" w:cs="仿宋"/>
          <w:color w:val="000000" w:themeColor="text1"/>
          <w:kern w:val="0"/>
          <w:sz w:val="24"/>
          <w:highlight w:val="none"/>
          <w:lang w:val="zh-CN"/>
          <w14:textFill>
            <w14:solidFill>
              <w14:schemeClr w14:val="tx1"/>
            </w14:solidFill>
          </w14:textFill>
        </w:rPr>
        <w:t>1、供应商需按本表格式填写，</w:t>
      </w:r>
      <w:r>
        <w:rPr>
          <w:rFonts w:hint="eastAsia" w:ascii="仿宋" w:hAnsi="仿宋" w:eastAsia="仿宋" w:cs="仿宋"/>
          <w:b/>
          <w:bCs/>
          <w:color w:val="000000" w:themeColor="text1"/>
          <w:kern w:val="0"/>
          <w:sz w:val="24"/>
          <w:highlight w:val="none"/>
          <w:lang w:val="zh-CN"/>
          <w14:textFill>
            <w14:solidFill>
              <w14:schemeClr w14:val="tx1"/>
            </w14:solidFill>
          </w14:textFill>
        </w:rPr>
        <w:t>否则视为响应文件含有采购人不能接受的附加条件，响应无效。</w:t>
      </w:r>
    </w:p>
    <w:p w14:paraId="13D68435">
      <w:pPr>
        <w:snapToGrid w:val="0"/>
        <w:spacing w:line="360" w:lineRule="auto"/>
        <w:ind w:firstLine="492"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2</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有关本项目实施所涉及的一切费用均计入报价。</w:t>
      </w:r>
      <w:r>
        <w:rPr>
          <w:rFonts w:hint="eastAsia" w:ascii="仿宋" w:hAnsi="仿宋" w:eastAsia="仿宋" w:cs="仿宋"/>
          <w:b/>
          <w:bCs/>
          <w:color w:val="000000" w:themeColor="text1"/>
          <w:kern w:val="0"/>
          <w:sz w:val="24"/>
          <w:highlight w:val="none"/>
          <w:lang w:val="zh-CN"/>
          <w14:textFill>
            <w14:solidFill>
              <w14:schemeClr w14:val="tx1"/>
            </w14:solidFill>
          </w14:textFill>
        </w:rPr>
        <w:t>采购人将以合同形式有偿取得货物或服务，不接受供应商给予的赠品、回扣或者与采购无关的其他商品、服务，不得出现“0元”“免费赠送”等形式的无偿报价，否则视为最后报价文件含有采购人不能接受的附加条件，响应无效；采购内容未包含在《最后报价一览表》名称栏中，供应商不能作出合理解释的，视为响应文件含有采购人不能接受的附加条件的，响应无效。</w:t>
      </w:r>
    </w:p>
    <w:p w14:paraId="18CBE8BB">
      <w:pPr>
        <w:snapToGrid w:val="0"/>
        <w:spacing w:line="360" w:lineRule="auto"/>
        <w:ind w:firstLine="492" w:firstLineChars="200"/>
        <w:jc w:val="left"/>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3</w:t>
      </w:r>
      <w:r>
        <w:rPr>
          <w:rFonts w:hint="eastAsia" w:ascii="仿宋" w:hAnsi="仿宋" w:eastAsia="仿宋" w:cs="仿宋"/>
          <w:color w:val="000000" w:themeColor="text1"/>
          <w:kern w:val="0"/>
          <w:sz w:val="24"/>
          <w:highlight w:val="none"/>
          <w:lang w:val="zh-CN"/>
          <w14:textFill>
            <w14:solidFill>
              <w14:schemeClr w14:val="tx1"/>
            </w14:solidFill>
          </w14:textFill>
        </w:rPr>
        <w:t>、特别提示：采购代理机构将对项目名称和项目编号，成交供应商名称、地址和成交金额，施工范围、施工工期、项目经理、执业证书信息等予以公示。</w:t>
      </w:r>
    </w:p>
    <w:p w14:paraId="36E6EEBA">
      <w:pPr>
        <w:spacing w:line="360" w:lineRule="auto"/>
        <w:ind w:firstLine="492"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4</w:t>
      </w:r>
      <w:r>
        <w:rPr>
          <w:rFonts w:hint="eastAsia" w:ascii="仿宋" w:hAnsi="仿宋" w:eastAsia="仿宋" w:cs="仿宋"/>
          <w:color w:val="000000" w:themeColor="text1"/>
          <w:kern w:val="0"/>
          <w:sz w:val="24"/>
          <w:highlight w:val="none"/>
          <w:lang w:val="zh-CN"/>
          <w14:textFill>
            <w14:solidFill>
              <w14:schemeClr w14:val="tx1"/>
            </w14:solidFill>
          </w14:textFill>
        </w:rPr>
        <w:t>、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0A196976">
      <w:pPr>
        <w:snapToGrid w:val="0"/>
        <w:spacing w:line="360" w:lineRule="auto"/>
        <w:ind w:firstLine="492" w:firstLineChars="200"/>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5、供应商填报折扣，如供应商下浮10%，则投标报价折扣填写90%，小数点保留2位。</w:t>
      </w:r>
    </w:p>
    <w:p w14:paraId="6DCF4E08">
      <w:pPr>
        <w:snapToGrid w:val="0"/>
        <w:spacing w:line="360" w:lineRule="auto"/>
        <w:jc w:val="left"/>
        <w:rPr>
          <w:rFonts w:hint="eastAsia" w:ascii="仿宋" w:hAnsi="仿宋" w:eastAsia="仿宋" w:cs="仿宋"/>
          <w:color w:val="000000" w:themeColor="text1"/>
          <w:kern w:val="0"/>
          <w:sz w:val="24"/>
          <w:highlight w:val="none"/>
          <w14:textFill>
            <w14:solidFill>
              <w14:schemeClr w14:val="tx1"/>
            </w14:solidFill>
          </w14:textFill>
        </w:rPr>
      </w:pPr>
    </w:p>
    <w:p w14:paraId="38D29ADC">
      <w:pPr>
        <w:spacing w:line="360" w:lineRule="auto"/>
        <w:rPr>
          <w:rFonts w:hint="eastAsia" w:ascii="仿宋" w:hAnsi="仿宋" w:eastAsia="仿宋" w:cs="仿宋"/>
          <w:color w:val="000000" w:themeColor="text1"/>
          <w:kern w:val="0"/>
          <w:sz w:val="24"/>
          <w:highlight w:val="none"/>
          <w:lang w:val="zh-CN"/>
          <w14:textFill>
            <w14:solidFill>
              <w14:schemeClr w14:val="tx1"/>
            </w14:solidFill>
          </w14:textFill>
        </w:rPr>
      </w:pPr>
    </w:p>
    <w:p w14:paraId="3FD26768">
      <w:pPr>
        <w:spacing w:line="360" w:lineRule="auto"/>
        <w:ind w:right="-898" w:rightChars="-416"/>
        <w:rPr>
          <w:rFonts w:hint="eastAsia" w:ascii="仿宋" w:hAnsi="仿宋" w:eastAsia="仿宋" w:cs="仿宋"/>
          <w:color w:val="000000" w:themeColor="text1"/>
          <w:sz w:val="24"/>
          <w:highlight w:val="none"/>
          <w14:textFill>
            <w14:solidFill>
              <w14:schemeClr w14:val="tx1"/>
            </w14:solidFill>
          </w14:textFill>
        </w:rPr>
      </w:pPr>
    </w:p>
    <w:p w14:paraId="325BE71D">
      <w:pPr>
        <w:spacing w:line="360" w:lineRule="auto"/>
        <w:ind w:right="-898" w:rightChars="-416"/>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供应商名称（电子签名）：</w:t>
      </w:r>
    </w:p>
    <w:p w14:paraId="189B5007">
      <w:pPr>
        <w:autoSpaceDE w:val="0"/>
        <w:autoSpaceDN w:val="0"/>
        <w:spacing w:line="360" w:lineRule="auto"/>
        <w:ind w:left="5175" w:hanging="5166" w:hangingChars="2100"/>
        <w:rPr>
          <w:rFonts w:hint="eastAsia" w:ascii="仿宋" w:hAnsi="仿宋" w:eastAsia="仿宋" w:cs="仿宋"/>
          <w:color w:val="000000" w:themeColor="text1"/>
          <w:kern w:val="0"/>
          <w:sz w:val="24"/>
          <w:highlight w:val="none"/>
          <w:lang w:val="zh-CN"/>
          <w14:textFill>
            <w14:solidFill>
              <w14:schemeClr w14:val="tx1"/>
            </w14:solidFill>
          </w14:textFill>
        </w:rPr>
        <w:sectPr>
          <w:pgSz w:w="11906" w:h="16838"/>
          <w:pgMar w:top="1361" w:right="1191" w:bottom="1361" w:left="1191" w:header="851" w:footer="992" w:gutter="0"/>
          <w:cols w:space="0" w:num="1"/>
          <w:docGrid w:type="linesAndChars" w:linePitch="317" w:charSpace="1321"/>
        </w:sect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3933B3FB">
      <w:pPr>
        <w:pStyle w:val="22"/>
        <w:rPr>
          <w:rFonts w:hint="eastAsia" w:ascii="仿宋" w:hAnsi="仿宋" w:eastAsia="仿宋" w:cs="仿宋"/>
          <w:color w:val="000000" w:themeColor="text1"/>
          <w:highlight w:val="none"/>
          <w14:textFill>
            <w14:solidFill>
              <w14:schemeClr w14:val="tx1"/>
            </w14:solidFill>
          </w14:textFill>
        </w:rPr>
      </w:pPr>
    </w:p>
    <w:sectPr>
      <w:pgSz w:w="11906" w:h="16838"/>
      <w:pgMar w:top="1361" w:right="1191" w:bottom="1361" w:left="1191" w:header="851" w:footer="992" w:gutter="0"/>
      <w:cols w:space="0" w:num="1"/>
      <w:docGrid w:type="linesAndChars" w:linePitch="317" w:charSpace="13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auto"/>
    <w:pitch w:val="default"/>
    <w:sig w:usb0="A10006FF" w:usb1="4000205B" w:usb2="00000010" w:usb3="00000000" w:csb0="2000019F" w:csb1="0000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Helvetica">
    <w:altName w:val="Arial"/>
    <w:panose1 w:val="020B0604020202020204"/>
    <w:charset w:val="00"/>
    <w:family w:val="swiss"/>
    <w:pitch w:val="default"/>
    <w:sig w:usb0="00000000" w:usb1="00000000" w:usb2="00000000" w:usb3="00000000" w:csb0="00000000" w:csb1="00000000"/>
  </w:font>
  <w:font w:name="Arial Narrow">
    <w:altName w:val="Arial"/>
    <w:panose1 w:val="020B0606020202030204"/>
    <w:charset w:val="00"/>
    <w:family w:val="swiss"/>
    <w:pitch w:val="default"/>
    <w:sig w:usb0="00000000" w:usb1="00000000" w:usb2="00000000" w:usb3="00000000" w:csb0="2000009F" w:csb1="DFD70000"/>
  </w:font>
  <w:font w:name="Lucida Sans">
    <w:altName w:val="Lucida Sans Unicode"/>
    <w:panose1 w:val="020B0602030504020204"/>
    <w:charset w:val="00"/>
    <w:family w:val="swiss"/>
    <w:pitch w:val="default"/>
    <w:sig w:usb0="00000000" w:usb1="00000000" w:usb2="00000000" w:usb3="00000000" w:csb0="20000001" w:csb1="00000000"/>
  </w:font>
  <w:font w:name="Lucida Sans Unicode">
    <w:panose1 w:val="020B0602030504020204"/>
    <w:charset w:val="00"/>
    <w:family w:val="auto"/>
    <w:pitch w:val="default"/>
    <w:sig w:usb0="80001AFF" w:usb1="0000396B" w:usb2="00000000" w:usb3="00000000" w:csb0="200000BF" w:csb1="D7F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10022FF" w:usb1="C000E47F" w:usb2="00000029" w:usb3="00000000" w:csb0="200001DF" w:csb1="20000000"/>
  </w:font>
  <w:font w:name="Latha">
    <w:panose1 w:val="020B0604020202020204"/>
    <w:charset w:val="00"/>
    <w:family w:val="swiss"/>
    <w:pitch w:val="default"/>
    <w:sig w:usb0="00100003" w:usb1="00000000" w:usb2="00000000" w:usb3="00000000" w:csb0="00000001" w:csb1="00000000"/>
  </w:font>
  <w:font w:name="Futura Hv">
    <w:altName w:val="Segoe Print"/>
    <w:panose1 w:val="00000000000000000000"/>
    <w:charset w:val="00"/>
    <w:family w:val="swiss"/>
    <w:pitch w:val="default"/>
    <w:sig w:usb0="00000000" w:usb1="00000000" w:usb2="00000000" w:usb3="00000000" w:csb0="000001FB" w:csb1="00000000"/>
  </w:font>
  <w:font w:name="楷体">
    <w:panose1 w:val="02010609060101010101"/>
    <w:charset w:val="86"/>
    <w:family w:val="modern"/>
    <w:pitch w:val="default"/>
    <w:sig w:usb0="800002BF" w:usb1="38CF7CFA" w:usb2="00000016" w:usb3="00000000" w:csb0="0004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幼圆">
    <w:altName w:val="宋体"/>
    <w:panose1 w:val="02010509060101010101"/>
    <w:charset w:val="86"/>
    <w:family w:val="modern"/>
    <w:pitch w:val="default"/>
    <w:sig w:usb0="00000000" w:usb1="00000000" w:usb2="00000000" w:usb3="00000000" w:csb0="00040000" w:csb1="00000000"/>
  </w:font>
  <w:font w:name="Aldine401 BT">
    <w:altName w:val="Segoe Print"/>
    <w:panose1 w:val="00000000000000000000"/>
    <w:charset w:val="00"/>
    <w:family w:val="roman"/>
    <w:pitch w:val="default"/>
    <w:sig w:usb0="00000000" w:usb1="00000000" w:usb2="00000000" w:usb3="00000000" w:csb0="00000011" w:csb1="00000000"/>
  </w:font>
  <w:font w:name="Century Gothic">
    <w:altName w:val="NumberOnly"/>
    <w:panose1 w:val="020B0502020202020204"/>
    <w:charset w:val="00"/>
    <w:family w:val="swiss"/>
    <w:pitch w:val="default"/>
    <w:sig w:usb0="00000000" w:usb1="00000000" w:usb2="00000000" w:usb3="00000000" w:csb0="2000009F" w:csb1="DFD70000"/>
  </w:font>
  <w:font w:name="NumberOnly">
    <w:panose1 w:val="020B0500000000000000"/>
    <w:charset w:val="00"/>
    <w:family w:val="auto"/>
    <w:pitch w:val="default"/>
    <w:sig w:usb0="8000002F" w:usb1="10000048" w:usb2="00000000" w:usb3="00000000" w:csb0="00000111" w:csb1="40000000"/>
  </w:font>
  <w:font w:name="ˎ̥">
    <w:altName w:val="微软雅黑"/>
    <w:panose1 w:val="00000000000000000000"/>
    <w:charset w:val="01"/>
    <w:family w:val="roman"/>
    <w:pitch w:val="default"/>
    <w:sig w:usb0="00000000" w:usb1="00000000" w:usb2="00000000" w:usb3="00000000" w:csb0="00040001" w:csb1="00000000"/>
  </w:font>
  <w:font w:name="MS Sans Serif">
    <w:altName w:val="Segoe Print"/>
    <w:panose1 w:val="000000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等线 Light">
    <w:altName w:val="宋体"/>
    <w:panose1 w:val="02010600030101010101"/>
    <w:charset w:val="86"/>
    <w:family w:val="auto"/>
    <w:pitch w:val="default"/>
    <w:sig w:usb0="00000000" w:usb1="00000000" w:usb2="00000016" w:usb3="00000000" w:csb0="0004000F"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22CD3">
    <w:pPr>
      <w:pStyle w:val="38"/>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39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112</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79C6E">
    <w:pPr>
      <w:pStyle w:val="38"/>
      <w:framePr w:wrap="around" w:vAnchor="text" w:hAnchor="margin" w:xAlign="right" w:y="1"/>
      <w:rPr>
        <w:rStyle w:val="64"/>
      </w:rPr>
    </w:pPr>
    <w:r>
      <w:fldChar w:fldCharType="begin"/>
    </w:r>
    <w:r>
      <w:rPr>
        <w:rStyle w:val="64"/>
      </w:rPr>
      <w:instrText xml:space="preserve">PAGE  </w:instrText>
    </w:r>
    <w:r>
      <w:fldChar w:fldCharType="end"/>
    </w:r>
  </w:p>
  <w:p w14:paraId="243C112D">
    <w:pPr>
      <w:pStyle w:val="3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77201">
    <w:pPr>
      <w:pStyle w:val="38"/>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112</w:t>
    </w:r>
    <w:r>
      <w:rPr>
        <w:rFonts w:hint="eastAsia" w:ascii="仿宋_GB2312" w:eastAsia="仿宋_GB2312"/>
        <w:kern w:val="0"/>
        <w:szCs w:val="21"/>
      </w:rPr>
      <w:fldChar w:fldCharType="end"/>
    </w:r>
    <w:bookmarkStart w:id="692" w:name="_Toc91899912"/>
    <w:bookmarkStart w:id="693" w:name="_Toc164085800"/>
    <w:bookmarkStart w:id="694" w:name="_Toc131845147"/>
    <w:bookmarkStart w:id="695" w:name="_Toc36110187"/>
    <w:r>
      <w:rPr>
        <w:rFonts w:hint="eastAsia" w:ascii="仿宋_GB2312" w:eastAsia="仿宋_GB2312"/>
        <w:kern w:val="0"/>
        <w:szCs w:val="21"/>
      </w:rPr>
      <w:t xml:space="preserve"> 页</w:t>
    </w:r>
    <w:bookmarkEnd w:id="692"/>
    <w:bookmarkEnd w:id="693"/>
    <w:bookmarkEnd w:id="694"/>
    <w:bookmarkEnd w:id="695"/>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4AEE">
    <w:pPr>
      <w:pStyle w:val="38"/>
      <w:framePr w:wrap="around" w:vAnchor="text" w:hAnchor="margin" w:xAlign="center" w:y="1"/>
      <w:rPr>
        <w:rStyle w:val="64"/>
      </w:rPr>
    </w:pPr>
    <w:r>
      <w:fldChar w:fldCharType="begin"/>
    </w:r>
    <w:r>
      <w:rPr>
        <w:rStyle w:val="64"/>
      </w:rPr>
      <w:instrText xml:space="preserve">PAGE  </w:instrText>
    </w:r>
    <w:r>
      <w:fldChar w:fldCharType="separate"/>
    </w:r>
    <w:r>
      <w:rPr>
        <w:rStyle w:val="64"/>
      </w:rPr>
      <w:t>112</w:t>
    </w:r>
    <w:r>
      <w:fldChar w:fldCharType="end"/>
    </w:r>
  </w:p>
  <w:p w14:paraId="58CCF16A">
    <w:pPr>
      <w:pStyle w:val="3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7FB4">
    <w:pPr>
      <w:pStyle w:val="57"/>
      <w:ind w:firstLine="180" w:firstLineChars="100"/>
      <w:jc w:val="right"/>
      <w:rPr>
        <w:rFonts w:ascii="仿宋_GB2312" w:eastAsia="仿宋_GB2312"/>
        <w:b w:val="0"/>
        <w:i/>
        <w:iCs/>
        <w:sz w:val="18"/>
        <w:szCs w:val="18"/>
        <w:u w:val="single"/>
      </w:rPr>
    </w:pPr>
    <w:r>
      <w:rPr>
        <w:rFonts w:hint="eastAsia" w:eastAsia="仿宋_GB2312"/>
        <w:b w:val="0"/>
        <w:i/>
        <w:iCs/>
        <w:sz w:val="18"/>
        <w:szCs w:val="18"/>
        <w:u w:val="single"/>
      </w:rPr>
      <w:t xml:space="preserve">                                                             政府采购竞争性磋商文件（工程类）</w:t>
    </w:r>
    <w:r>
      <w:rPr>
        <w:rFonts w:hint="eastAsia"/>
        <w:b w:val="0"/>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A83B9">
    <w:pPr>
      <w:pStyle w:val="39"/>
      <w:jc w:val="right"/>
      <w:rPr>
        <w:rFonts w:eastAsia="仿宋_GB2312"/>
      </w:rPr>
    </w:pPr>
    <w:r>
      <w:rPr>
        <w:rFonts w:hint="eastAsia" w:eastAsia="仿宋_GB2312"/>
        <w:i/>
        <w:iCs/>
      </w:rPr>
      <w:t>政府采购竞争性磋商文件（工程类）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0E34"/>
    <w:multiLevelType w:val="singleLevel"/>
    <w:tmpl w:val="80660E34"/>
    <w:lvl w:ilvl="0" w:tentative="0">
      <w:start w:val="1"/>
      <w:numFmt w:val="decimal"/>
      <w:lvlText w:val="%1."/>
      <w:lvlJc w:val="left"/>
      <w:pPr>
        <w:tabs>
          <w:tab w:val="left" w:pos="397"/>
        </w:tabs>
        <w:ind w:left="-62" w:hanging="340"/>
      </w:pPr>
      <w:rPr>
        <w:rFonts w:hint="default"/>
      </w:rPr>
    </w:lvl>
  </w:abstractNum>
  <w:abstractNum w:abstractNumId="1">
    <w:nsid w:val="8178DA0E"/>
    <w:multiLevelType w:val="singleLevel"/>
    <w:tmpl w:val="8178DA0E"/>
    <w:lvl w:ilvl="0" w:tentative="0">
      <w:start w:val="3"/>
      <w:numFmt w:val="chineseCounting"/>
      <w:suff w:val="nothing"/>
      <w:lvlText w:val="%1、"/>
      <w:lvlJc w:val="left"/>
      <w:rPr>
        <w:rFonts w:hint="eastAsia"/>
      </w:rPr>
    </w:lvl>
  </w:abstractNum>
  <w:abstractNum w:abstractNumId="2">
    <w:nsid w:val="8639FDB6"/>
    <w:multiLevelType w:val="singleLevel"/>
    <w:tmpl w:val="8639FDB6"/>
    <w:lvl w:ilvl="0" w:tentative="0">
      <w:start w:val="1"/>
      <w:numFmt w:val="chineseCounting"/>
      <w:suff w:val="space"/>
      <w:lvlText w:val="第%1部分"/>
      <w:lvlJc w:val="left"/>
      <w:rPr>
        <w:rFonts w:hint="eastAsia"/>
      </w:rPr>
    </w:lvl>
  </w:abstractNum>
  <w:abstractNum w:abstractNumId="3">
    <w:nsid w:val="8F9A0097"/>
    <w:multiLevelType w:val="multilevel"/>
    <w:tmpl w:val="8F9A0097"/>
    <w:lvl w:ilvl="0" w:tentative="0">
      <w:start w:val="5"/>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7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98E679FC"/>
    <w:multiLevelType w:val="singleLevel"/>
    <w:tmpl w:val="98E679FC"/>
    <w:lvl w:ilvl="0" w:tentative="0">
      <w:start w:val="1"/>
      <w:numFmt w:val="decimal"/>
      <w:lvlText w:val="(%1)"/>
      <w:lvlJc w:val="left"/>
      <w:pPr>
        <w:ind w:left="425" w:hanging="425"/>
      </w:pPr>
      <w:rPr>
        <w:rFonts w:hint="default"/>
      </w:rPr>
    </w:lvl>
  </w:abstractNum>
  <w:abstractNum w:abstractNumId="5">
    <w:nsid w:val="B1E04445"/>
    <w:multiLevelType w:val="multilevel"/>
    <w:tmpl w:val="B1E04445"/>
    <w:lvl w:ilvl="0" w:tentative="0">
      <w:start w:val="2"/>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BB45F322"/>
    <w:multiLevelType w:val="singleLevel"/>
    <w:tmpl w:val="BB45F322"/>
    <w:lvl w:ilvl="0" w:tentative="0">
      <w:start w:val="1"/>
      <w:numFmt w:val="decimal"/>
      <w:lvlText w:val="(%1)"/>
      <w:lvlJc w:val="left"/>
      <w:pPr>
        <w:ind w:left="425" w:hanging="425"/>
      </w:pPr>
      <w:rPr>
        <w:rFonts w:hint="default"/>
      </w:rPr>
    </w:lvl>
  </w:abstractNum>
  <w:abstractNum w:abstractNumId="7">
    <w:nsid w:val="C3422329"/>
    <w:multiLevelType w:val="multilevel"/>
    <w:tmpl w:val="C342232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8">
    <w:nsid w:val="C3EDAC8E"/>
    <w:multiLevelType w:val="singleLevel"/>
    <w:tmpl w:val="C3EDAC8E"/>
    <w:lvl w:ilvl="0" w:tentative="0">
      <w:start w:val="1"/>
      <w:numFmt w:val="decimal"/>
      <w:lvlText w:val="(%1)"/>
      <w:lvlJc w:val="left"/>
      <w:pPr>
        <w:ind w:left="425" w:hanging="425"/>
      </w:pPr>
      <w:rPr>
        <w:rFonts w:hint="default"/>
        <w:b/>
        <w:bCs/>
      </w:rPr>
    </w:lvl>
  </w:abstractNum>
  <w:abstractNum w:abstractNumId="9">
    <w:nsid w:val="C86D8AAB"/>
    <w:multiLevelType w:val="singleLevel"/>
    <w:tmpl w:val="C86D8AAB"/>
    <w:lvl w:ilvl="0" w:tentative="0">
      <w:start w:val="1"/>
      <w:numFmt w:val="decimal"/>
      <w:lvlText w:val="(%1)"/>
      <w:lvlJc w:val="left"/>
      <w:pPr>
        <w:ind w:left="425" w:hanging="425"/>
      </w:pPr>
      <w:rPr>
        <w:rFonts w:hint="default"/>
      </w:rPr>
    </w:lvl>
  </w:abstractNum>
  <w:abstractNum w:abstractNumId="10">
    <w:nsid w:val="CAC07571"/>
    <w:multiLevelType w:val="singleLevel"/>
    <w:tmpl w:val="CAC07571"/>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11">
    <w:nsid w:val="DFDB276E"/>
    <w:multiLevelType w:val="singleLevel"/>
    <w:tmpl w:val="DFDB276E"/>
    <w:lvl w:ilvl="0" w:tentative="0">
      <w:start w:val="1"/>
      <w:numFmt w:val="chineseCounting"/>
      <w:suff w:val="nothing"/>
      <w:lvlText w:val="%1、"/>
      <w:lvlJc w:val="left"/>
      <w:pPr>
        <w:ind w:left="0" w:firstLine="420"/>
      </w:pPr>
      <w:rPr>
        <w:rFonts w:hint="eastAsia"/>
      </w:rPr>
    </w:lvl>
  </w:abstractNum>
  <w:abstractNum w:abstractNumId="12">
    <w:nsid w:val="E20630FF"/>
    <w:multiLevelType w:val="multilevel"/>
    <w:tmpl w:val="E20630FF"/>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3">
    <w:nsid w:val="E58775C7"/>
    <w:multiLevelType w:val="singleLevel"/>
    <w:tmpl w:val="E58775C7"/>
    <w:lvl w:ilvl="0" w:tentative="0">
      <w:start w:val="1"/>
      <w:numFmt w:val="decimal"/>
      <w:lvlText w:val="(%1)"/>
      <w:lvlJc w:val="left"/>
      <w:pPr>
        <w:ind w:left="425" w:hanging="425"/>
      </w:pPr>
      <w:rPr>
        <w:rFonts w:hint="default"/>
      </w:rPr>
    </w:lvl>
  </w:abstractNum>
  <w:abstractNum w:abstractNumId="14">
    <w:nsid w:val="EC6B8095"/>
    <w:multiLevelType w:val="multilevel"/>
    <w:tmpl w:val="EC6B8095"/>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108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5">
    <w:nsid w:val="FFFFFF81"/>
    <w:multiLevelType w:val="singleLevel"/>
    <w:tmpl w:val="FFFFFF81"/>
    <w:lvl w:ilvl="0" w:tentative="0">
      <w:start w:val="1"/>
      <w:numFmt w:val="bullet"/>
      <w:pStyle w:val="13"/>
      <w:lvlText w:val=""/>
      <w:lvlJc w:val="left"/>
      <w:pPr>
        <w:tabs>
          <w:tab w:val="left" w:pos="1440"/>
        </w:tabs>
        <w:ind w:left="1440" w:hanging="360"/>
      </w:pPr>
      <w:rPr>
        <w:rFonts w:hint="default" w:ascii="Symbol" w:hAnsi="Symbol" w:eastAsia="Symbol"/>
      </w:rPr>
    </w:lvl>
  </w:abstractNum>
  <w:abstractNum w:abstractNumId="16">
    <w:nsid w:val="00000007"/>
    <w:multiLevelType w:val="multilevel"/>
    <w:tmpl w:val="00000007"/>
    <w:lvl w:ilvl="0" w:tentative="0">
      <w:start w:val="1"/>
      <w:numFmt w:val="bullet"/>
      <w:pStyle w:val="101"/>
      <w:lvlText w:val=""/>
      <w:lvlJc w:val="left"/>
      <w:pPr>
        <w:tabs>
          <w:tab w:val="left" w:pos="840"/>
        </w:tabs>
        <w:ind w:left="840" w:hanging="420"/>
      </w:pPr>
      <w:rPr>
        <w:rFonts w:hint="default" w:ascii="Wingdings" w:hAnsi="Wingdings"/>
      </w:rPr>
    </w:lvl>
    <w:lvl w:ilvl="1" w:tentative="0">
      <w:start w:val="1"/>
      <w:numFmt w:val="bullet"/>
      <w:pStyle w:val="83"/>
      <w:lvlText w:val=""/>
      <w:lvlJc w:val="left"/>
      <w:pPr>
        <w:tabs>
          <w:tab w:val="left" w:pos="1260"/>
        </w:tabs>
        <w:ind w:left="1260" w:hanging="420"/>
      </w:pPr>
      <w:rPr>
        <w:rFonts w:hint="default" w:ascii="Wingdings" w:hAnsi="Wingdings"/>
      </w:rPr>
    </w:lvl>
    <w:lvl w:ilvl="2" w:tentative="0">
      <w:start w:val="1"/>
      <w:numFmt w:val="bullet"/>
      <w:pStyle w:val="340"/>
      <w:lvlText w:val=""/>
      <w:lvlJc w:val="left"/>
      <w:pPr>
        <w:tabs>
          <w:tab w:val="left" w:pos="1680"/>
        </w:tabs>
        <w:ind w:left="1680" w:hanging="420"/>
      </w:pPr>
      <w:rPr>
        <w:rFonts w:hint="default" w:ascii="Wingdings" w:hAnsi="Wingdings"/>
      </w:rPr>
    </w:lvl>
    <w:lvl w:ilvl="3" w:tentative="0">
      <w:start w:val="1"/>
      <w:numFmt w:val="bullet"/>
      <w:pStyle w:val="173"/>
      <w:lvlText w:val=""/>
      <w:lvlJc w:val="left"/>
      <w:pPr>
        <w:tabs>
          <w:tab w:val="left" w:pos="2100"/>
        </w:tabs>
        <w:ind w:left="2100" w:hanging="420"/>
      </w:pPr>
      <w:rPr>
        <w:rFonts w:hint="default" w:ascii="Wingdings" w:hAnsi="Wingdings"/>
      </w:rPr>
    </w:lvl>
    <w:lvl w:ilvl="4" w:tentative="0">
      <w:start w:val="1"/>
      <w:numFmt w:val="bullet"/>
      <w:pStyle w:val="409"/>
      <w:lvlText w:val=""/>
      <w:lvlJc w:val="left"/>
      <w:pPr>
        <w:tabs>
          <w:tab w:val="left" w:pos="2520"/>
        </w:tabs>
        <w:ind w:left="2520" w:hanging="420"/>
      </w:pPr>
      <w:rPr>
        <w:rFonts w:hint="default" w:ascii="Wingdings" w:hAnsi="Wingdings"/>
      </w:rPr>
    </w:lvl>
    <w:lvl w:ilvl="5" w:tentative="0">
      <w:start w:val="1"/>
      <w:numFmt w:val="bullet"/>
      <w:pStyle w:val="171"/>
      <w:lvlText w:val=""/>
      <w:lvlJc w:val="left"/>
      <w:pPr>
        <w:tabs>
          <w:tab w:val="left" w:pos="2940"/>
        </w:tabs>
        <w:ind w:left="2940" w:hanging="420"/>
      </w:pPr>
      <w:rPr>
        <w:rFonts w:hint="default" w:ascii="Wingdings" w:hAnsi="Wingdings"/>
      </w:rPr>
    </w:lvl>
    <w:lvl w:ilvl="6" w:tentative="0">
      <w:start w:val="1"/>
      <w:numFmt w:val="bullet"/>
      <w:pStyle w:val="398"/>
      <w:lvlText w:val=""/>
      <w:lvlJc w:val="left"/>
      <w:pPr>
        <w:tabs>
          <w:tab w:val="left" w:pos="3360"/>
        </w:tabs>
        <w:ind w:left="3360" w:hanging="420"/>
      </w:pPr>
      <w:rPr>
        <w:rFonts w:hint="default" w:ascii="Wingdings" w:hAnsi="Wingdings"/>
      </w:rPr>
    </w:lvl>
    <w:lvl w:ilvl="7" w:tentative="0">
      <w:start w:val="1"/>
      <w:numFmt w:val="bullet"/>
      <w:pStyle w:val="278"/>
      <w:lvlText w:val=""/>
      <w:lvlJc w:val="left"/>
      <w:pPr>
        <w:tabs>
          <w:tab w:val="left" w:pos="3780"/>
        </w:tabs>
        <w:ind w:left="3780" w:hanging="420"/>
      </w:pPr>
      <w:rPr>
        <w:rFonts w:hint="default" w:ascii="Wingdings" w:hAnsi="Wingdings"/>
      </w:rPr>
    </w:lvl>
    <w:lvl w:ilvl="8" w:tentative="0">
      <w:start w:val="1"/>
      <w:numFmt w:val="bullet"/>
      <w:pStyle w:val="371"/>
      <w:lvlText w:val=""/>
      <w:lvlJc w:val="left"/>
      <w:pPr>
        <w:tabs>
          <w:tab w:val="left" w:pos="4200"/>
        </w:tabs>
        <w:ind w:left="4200" w:hanging="420"/>
      </w:pPr>
      <w:rPr>
        <w:rFonts w:hint="default" w:ascii="Wingdings" w:hAnsi="Wingdings"/>
      </w:rPr>
    </w:lvl>
  </w:abstractNum>
  <w:abstractNum w:abstractNumId="17">
    <w:nsid w:val="0000000A"/>
    <w:multiLevelType w:val="multilevel"/>
    <w:tmpl w:val="0000000A"/>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8">
    <w:nsid w:val="04C46C8E"/>
    <w:multiLevelType w:val="multilevel"/>
    <w:tmpl w:val="04C46C8E"/>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9">
    <w:nsid w:val="11744E57"/>
    <w:multiLevelType w:val="multilevel"/>
    <w:tmpl w:val="11744E57"/>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900"/>
        </w:tabs>
        <w:ind w:left="90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0">
    <w:nsid w:val="16764330"/>
    <w:multiLevelType w:val="singleLevel"/>
    <w:tmpl w:val="16764330"/>
    <w:lvl w:ilvl="0" w:tentative="0">
      <w:start w:val="1"/>
      <w:numFmt w:val="decimal"/>
      <w:lvlText w:val="(%1)"/>
      <w:lvlJc w:val="left"/>
      <w:pPr>
        <w:ind w:left="425" w:hanging="425"/>
      </w:pPr>
      <w:rPr>
        <w:rFonts w:hint="default"/>
      </w:rPr>
    </w:lvl>
  </w:abstractNum>
  <w:abstractNum w:abstractNumId="21">
    <w:nsid w:val="207439DD"/>
    <w:multiLevelType w:val="multilevel"/>
    <w:tmpl w:val="207439DD"/>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2">
    <w:nsid w:val="21FB805B"/>
    <w:multiLevelType w:val="singleLevel"/>
    <w:tmpl w:val="21FB805B"/>
    <w:lvl w:ilvl="0" w:tentative="0">
      <w:start w:val="1"/>
      <w:numFmt w:val="decimal"/>
      <w:lvlText w:val="(%1)"/>
      <w:lvlJc w:val="left"/>
      <w:pPr>
        <w:ind w:left="425" w:hanging="425"/>
      </w:pPr>
      <w:rPr>
        <w:rFonts w:hint="default"/>
      </w:rPr>
    </w:lvl>
  </w:abstractNum>
  <w:abstractNum w:abstractNumId="23">
    <w:nsid w:val="2ED9EEBE"/>
    <w:multiLevelType w:val="multilevel"/>
    <w:tmpl w:val="2ED9EEB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4">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5">
    <w:nsid w:val="3742DF7F"/>
    <w:multiLevelType w:val="singleLevel"/>
    <w:tmpl w:val="3742DF7F"/>
    <w:lvl w:ilvl="0" w:tentative="0">
      <w:start w:val="1"/>
      <w:numFmt w:val="decimal"/>
      <w:lvlText w:val="(%1)"/>
      <w:lvlJc w:val="left"/>
      <w:pPr>
        <w:ind w:left="425" w:hanging="425"/>
      </w:pPr>
      <w:rPr>
        <w:rFonts w:hint="default"/>
      </w:rPr>
    </w:lvl>
  </w:abstractNum>
  <w:abstractNum w:abstractNumId="26">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27">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8">
    <w:nsid w:val="53BE00A2"/>
    <w:multiLevelType w:val="singleLevel"/>
    <w:tmpl w:val="53BE00A2"/>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29">
    <w:nsid w:val="5737B475"/>
    <w:multiLevelType w:val="multilevel"/>
    <w:tmpl w:val="5737B475"/>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0">
    <w:nsid w:val="578B3BD2"/>
    <w:multiLevelType w:val="multilevel"/>
    <w:tmpl w:val="578B3BD2"/>
    <w:lvl w:ilvl="0" w:tentative="0">
      <w:start w:val="1"/>
      <w:numFmt w:val="decimal"/>
      <w:pStyle w:val="412"/>
      <w:lvlText w:val="%1"/>
      <w:lvlJc w:val="left"/>
      <w:pPr>
        <w:tabs>
          <w:tab w:val="left" w:pos="480"/>
        </w:tabs>
        <w:ind w:left="480" w:hanging="480"/>
      </w:pPr>
      <w:rPr>
        <w:rFonts w:hint="eastAsia"/>
        <w:sz w:val="44"/>
        <w:szCs w:val="44"/>
      </w:rPr>
    </w:lvl>
    <w:lvl w:ilvl="1" w:tentative="0">
      <w:start w:val="1"/>
      <w:numFmt w:val="decimal"/>
      <w:pStyle w:val="333"/>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401"/>
      <w:lvlText w:val="%1.%2.%3.%4.%5"/>
      <w:lvlJc w:val="left"/>
      <w:pPr>
        <w:tabs>
          <w:tab w:val="left" w:pos="1080"/>
        </w:tabs>
        <w:ind w:left="1080" w:hanging="1080"/>
      </w:pPr>
      <w:rPr>
        <w:rFonts w:hint="default"/>
      </w:rPr>
    </w:lvl>
    <w:lvl w:ilvl="5" w:tentative="0">
      <w:start w:val="1"/>
      <w:numFmt w:val="decimal"/>
      <w:pStyle w:val="215"/>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1">
    <w:nsid w:val="58AA8B0D"/>
    <w:multiLevelType w:val="singleLevel"/>
    <w:tmpl w:val="58AA8B0D"/>
    <w:lvl w:ilvl="0" w:tentative="0">
      <w:start w:val="2"/>
      <w:numFmt w:val="chineseCounting"/>
      <w:suff w:val="nothing"/>
      <w:lvlText w:val="%1、"/>
      <w:lvlJc w:val="left"/>
    </w:lvl>
  </w:abstractNum>
  <w:abstractNum w:abstractNumId="32">
    <w:nsid w:val="631C506F"/>
    <w:multiLevelType w:val="singleLevel"/>
    <w:tmpl w:val="631C506F"/>
    <w:lvl w:ilvl="0" w:tentative="0">
      <w:start w:val="1"/>
      <w:numFmt w:val="decimal"/>
      <w:lvlText w:val="(%1)"/>
      <w:lvlJc w:val="left"/>
      <w:pPr>
        <w:ind w:left="425" w:hanging="425"/>
      </w:pPr>
      <w:rPr>
        <w:rFonts w:hint="default"/>
      </w:rPr>
    </w:lvl>
  </w:abstractNum>
  <w:abstractNum w:abstractNumId="33">
    <w:nsid w:val="6A8067FF"/>
    <w:multiLevelType w:val="multilevel"/>
    <w:tmpl w:val="6A8067FF"/>
    <w:lvl w:ilvl="0" w:tentative="0">
      <w:start w:val="5"/>
      <w:numFmt w:val="decimal"/>
      <w:lvlText w:val="%1."/>
      <w:lvlJc w:val="left"/>
      <w:pPr>
        <w:ind w:left="323" w:hanging="323"/>
      </w:pPr>
      <w:rPr>
        <w:rFonts w:hint="default" w:ascii="宋体" w:hAnsi="宋体" w:eastAsia="宋体" w:cs="宋体"/>
      </w:rPr>
    </w:lvl>
    <w:lvl w:ilvl="1" w:tentative="0">
      <w:start w:val="4"/>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850" w:hanging="850"/>
      </w:pPr>
      <w:rPr>
        <w:rFonts w:hint="default" w:ascii="宋体" w:hAnsi="宋体" w:eastAsia="宋体"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4">
    <w:nsid w:val="6D24840C"/>
    <w:multiLevelType w:val="singleLevel"/>
    <w:tmpl w:val="6D24840C"/>
    <w:lvl w:ilvl="0" w:tentative="0">
      <w:start w:val="1"/>
      <w:numFmt w:val="decimal"/>
      <w:lvlText w:val="(%1)"/>
      <w:lvlJc w:val="left"/>
      <w:pPr>
        <w:ind w:left="425" w:hanging="425"/>
      </w:pPr>
      <w:rPr>
        <w:rFonts w:hint="default"/>
      </w:rPr>
    </w:lvl>
  </w:abstractNum>
  <w:abstractNum w:abstractNumId="35">
    <w:nsid w:val="6DB9E28E"/>
    <w:multiLevelType w:val="singleLevel"/>
    <w:tmpl w:val="6DB9E28E"/>
    <w:lvl w:ilvl="0" w:tentative="0">
      <w:start w:val="1"/>
      <w:numFmt w:val="chineseCounting"/>
      <w:suff w:val="space"/>
      <w:lvlText w:val="第%1部分"/>
      <w:lvlJc w:val="left"/>
      <w:rPr>
        <w:rFonts w:hint="eastAsia"/>
      </w:rPr>
    </w:lvl>
  </w:abstractNum>
  <w:abstractNum w:abstractNumId="36">
    <w:nsid w:val="7047FC81"/>
    <w:multiLevelType w:val="singleLevel"/>
    <w:tmpl w:val="7047FC81"/>
    <w:lvl w:ilvl="0" w:tentative="0">
      <w:start w:val="4"/>
      <w:numFmt w:val="decimal"/>
      <w:lvlText w:val="%1."/>
      <w:lvlJc w:val="left"/>
      <w:pPr>
        <w:tabs>
          <w:tab w:val="left" w:pos="312"/>
        </w:tabs>
      </w:pPr>
    </w:lvl>
  </w:abstractNum>
  <w:abstractNum w:abstractNumId="37">
    <w:nsid w:val="71689E10"/>
    <w:multiLevelType w:val="singleLevel"/>
    <w:tmpl w:val="71689E10"/>
    <w:lvl w:ilvl="0" w:tentative="0">
      <w:start w:val="1"/>
      <w:numFmt w:val="decimal"/>
      <w:lvlText w:val="(%1)"/>
      <w:lvlJc w:val="left"/>
      <w:pPr>
        <w:ind w:left="425" w:hanging="425"/>
      </w:pPr>
      <w:rPr>
        <w:rFonts w:hint="default"/>
      </w:rPr>
    </w:lvl>
  </w:abstractNum>
  <w:abstractNum w:abstractNumId="38">
    <w:nsid w:val="73596DCC"/>
    <w:multiLevelType w:val="multilevel"/>
    <w:tmpl w:val="73596DCC"/>
    <w:lvl w:ilvl="0" w:tentative="0">
      <w:start w:val="1"/>
      <w:numFmt w:val="bullet"/>
      <w:pStyle w:val="319"/>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19"/>
  </w:num>
  <w:num w:numId="2">
    <w:abstractNumId w:val="17"/>
  </w:num>
  <w:num w:numId="3">
    <w:abstractNumId w:val="15"/>
  </w:num>
  <w:num w:numId="4">
    <w:abstractNumId w:val="16"/>
  </w:num>
  <w:num w:numId="5">
    <w:abstractNumId w:val="30"/>
  </w:num>
  <w:num w:numId="6">
    <w:abstractNumId w:val="38"/>
  </w:num>
  <w:num w:numId="7">
    <w:abstractNumId w:val="36"/>
  </w:num>
  <w:num w:numId="8">
    <w:abstractNumId w:val="0"/>
  </w:num>
  <w:num w:numId="9">
    <w:abstractNumId w:val="14"/>
  </w:num>
  <w:num w:numId="10">
    <w:abstractNumId w:val="7"/>
  </w:num>
  <w:num w:numId="11">
    <w:abstractNumId w:val="29"/>
  </w:num>
  <w:num w:numId="12">
    <w:abstractNumId w:val="18"/>
  </w:num>
  <w:num w:numId="13">
    <w:abstractNumId w:val="21"/>
  </w:num>
  <w:num w:numId="14">
    <w:abstractNumId w:val="3"/>
  </w:num>
  <w:num w:numId="15">
    <w:abstractNumId w:val="33"/>
  </w:num>
  <w:num w:numId="16">
    <w:abstractNumId w:val="28"/>
  </w:num>
  <w:num w:numId="17">
    <w:abstractNumId w:val="22"/>
  </w:num>
  <w:num w:numId="18">
    <w:abstractNumId w:val="8"/>
  </w:num>
  <w:num w:numId="19">
    <w:abstractNumId w:val="10"/>
  </w:num>
  <w:num w:numId="20">
    <w:abstractNumId w:val="5"/>
  </w:num>
  <w:num w:numId="21">
    <w:abstractNumId w:val="9"/>
  </w:num>
  <w:num w:numId="22">
    <w:abstractNumId w:val="35"/>
  </w:num>
  <w:num w:numId="23">
    <w:abstractNumId w:val="23"/>
  </w:num>
  <w:num w:numId="24">
    <w:abstractNumId w:val="6"/>
  </w:num>
  <w:num w:numId="25">
    <w:abstractNumId w:val="20"/>
  </w:num>
  <w:num w:numId="26">
    <w:abstractNumId w:val="25"/>
  </w:num>
  <w:num w:numId="27">
    <w:abstractNumId w:val="31"/>
  </w:num>
  <w:num w:numId="28">
    <w:abstractNumId w:val="11"/>
  </w:num>
  <w:num w:numId="29">
    <w:abstractNumId w:val="12"/>
  </w:num>
  <w:num w:numId="30">
    <w:abstractNumId w:val="37"/>
  </w:num>
  <w:num w:numId="31">
    <w:abstractNumId w:val="13"/>
  </w:num>
  <w:num w:numId="32">
    <w:abstractNumId w:val="32"/>
  </w:num>
  <w:num w:numId="33">
    <w:abstractNumId w:val="2"/>
  </w:num>
  <w:num w:numId="34">
    <w:abstractNumId w:val="34"/>
  </w:num>
  <w:num w:numId="35">
    <w:abstractNumId w:val="26"/>
  </w:num>
  <w:num w:numId="36">
    <w:abstractNumId w:val="27"/>
  </w:num>
  <w:num w:numId="37">
    <w:abstractNumId w:val="24"/>
  </w:num>
  <w:num w:numId="38">
    <w:abstractNumId w:val="4"/>
  </w:num>
  <w:num w:numId="3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冰雪雨叶">
    <w15:presenceInfo w15:providerId="None" w15:userId="冰雪雨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8"/>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A2Mjg2NjI4NTMwMmNkYThkZGMxOGRmNGU2MjExYjkifQ=="/>
    <w:docVar w:name="KSO_WPS_MARK_KEY" w:val="54b03fe4-d3d9-4499-afe4-4e8fc201ee44"/>
  </w:docVars>
  <w:rsids>
    <w:rsidRoot w:val="00172A27"/>
    <w:rsid w:val="0000133D"/>
    <w:rsid w:val="0000488B"/>
    <w:rsid w:val="00005CAC"/>
    <w:rsid w:val="00006109"/>
    <w:rsid w:val="00006725"/>
    <w:rsid w:val="0000675E"/>
    <w:rsid w:val="00007CAA"/>
    <w:rsid w:val="00010FE9"/>
    <w:rsid w:val="0001122F"/>
    <w:rsid w:val="00012BE8"/>
    <w:rsid w:val="00013F31"/>
    <w:rsid w:val="00015FD7"/>
    <w:rsid w:val="000170C8"/>
    <w:rsid w:val="000173F4"/>
    <w:rsid w:val="000217DE"/>
    <w:rsid w:val="00022853"/>
    <w:rsid w:val="00025776"/>
    <w:rsid w:val="00026A27"/>
    <w:rsid w:val="00026C24"/>
    <w:rsid w:val="000270F2"/>
    <w:rsid w:val="0002729F"/>
    <w:rsid w:val="00027540"/>
    <w:rsid w:val="00030572"/>
    <w:rsid w:val="00030CB3"/>
    <w:rsid w:val="0003206A"/>
    <w:rsid w:val="00032EA0"/>
    <w:rsid w:val="00034FA7"/>
    <w:rsid w:val="000357E4"/>
    <w:rsid w:val="00042533"/>
    <w:rsid w:val="00042E65"/>
    <w:rsid w:val="0004347C"/>
    <w:rsid w:val="00043907"/>
    <w:rsid w:val="00044F48"/>
    <w:rsid w:val="0004651A"/>
    <w:rsid w:val="00050656"/>
    <w:rsid w:val="00054D39"/>
    <w:rsid w:val="0005501B"/>
    <w:rsid w:val="000554C7"/>
    <w:rsid w:val="00055A61"/>
    <w:rsid w:val="00056118"/>
    <w:rsid w:val="000578A3"/>
    <w:rsid w:val="00057FC8"/>
    <w:rsid w:val="000600BA"/>
    <w:rsid w:val="00061A3C"/>
    <w:rsid w:val="000620B0"/>
    <w:rsid w:val="000646CA"/>
    <w:rsid w:val="00064D05"/>
    <w:rsid w:val="00065868"/>
    <w:rsid w:val="0006645C"/>
    <w:rsid w:val="000665C4"/>
    <w:rsid w:val="00066FA7"/>
    <w:rsid w:val="00067821"/>
    <w:rsid w:val="0006785E"/>
    <w:rsid w:val="00070825"/>
    <w:rsid w:val="00072AED"/>
    <w:rsid w:val="00072D2B"/>
    <w:rsid w:val="000730B1"/>
    <w:rsid w:val="00073860"/>
    <w:rsid w:val="00074528"/>
    <w:rsid w:val="00074B1F"/>
    <w:rsid w:val="00075D0E"/>
    <w:rsid w:val="00075F6A"/>
    <w:rsid w:val="000763F3"/>
    <w:rsid w:val="000768B4"/>
    <w:rsid w:val="00077607"/>
    <w:rsid w:val="00077756"/>
    <w:rsid w:val="00080970"/>
    <w:rsid w:val="00083DDA"/>
    <w:rsid w:val="0008580E"/>
    <w:rsid w:val="00085A0E"/>
    <w:rsid w:val="00086F8A"/>
    <w:rsid w:val="000904F6"/>
    <w:rsid w:val="00090ED8"/>
    <w:rsid w:val="0009145F"/>
    <w:rsid w:val="00091B4E"/>
    <w:rsid w:val="00091D89"/>
    <w:rsid w:val="00092FE9"/>
    <w:rsid w:val="00094342"/>
    <w:rsid w:val="000960BA"/>
    <w:rsid w:val="0009662A"/>
    <w:rsid w:val="000A1A52"/>
    <w:rsid w:val="000A1F98"/>
    <w:rsid w:val="000A23CE"/>
    <w:rsid w:val="000A49BB"/>
    <w:rsid w:val="000A5674"/>
    <w:rsid w:val="000A5A46"/>
    <w:rsid w:val="000B0E04"/>
    <w:rsid w:val="000B4B56"/>
    <w:rsid w:val="000B53F1"/>
    <w:rsid w:val="000B54C1"/>
    <w:rsid w:val="000B62AC"/>
    <w:rsid w:val="000B6BDF"/>
    <w:rsid w:val="000C0A43"/>
    <w:rsid w:val="000C1ADE"/>
    <w:rsid w:val="000C1C38"/>
    <w:rsid w:val="000C222C"/>
    <w:rsid w:val="000C2264"/>
    <w:rsid w:val="000C4727"/>
    <w:rsid w:val="000C47AE"/>
    <w:rsid w:val="000C51AD"/>
    <w:rsid w:val="000C5374"/>
    <w:rsid w:val="000C5EC0"/>
    <w:rsid w:val="000C6688"/>
    <w:rsid w:val="000C7BEB"/>
    <w:rsid w:val="000D11E5"/>
    <w:rsid w:val="000D1D28"/>
    <w:rsid w:val="000D34C8"/>
    <w:rsid w:val="000D34FD"/>
    <w:rsid w:val="000D3BB6"/>
    <w:rsid w:val="000D3BE5"/>
    <w:rsid w:val="000D3C37"/>
    <w:rsid w:val="000D5EA6"/>
    <w:rsid w:val="000D6C9F"/>
    <w:rsid w:val="000D6E3B"/>
    <w:rsid w:val="000D7902"/>
    <w:rsid w:val="000D7CE0"/>
    <w:rsid w:val="000E1DD9"/>
    <w:rsid w:val="000E2785"/>
    <w:rsid w:val="000E27BB"/>
    <w:rsid w:val="000E3153"/>
    <w:rsid w:val="000E386F"/>
    <w:rsid w:val="000E4051"/>
    <w:rsid w:val="000E5B7E"/>
    <w:rsid w:val="000E5FF9"/>
    <w:rsid w:val="000E6AE1"/>
    <w:rsid w:val="000E7142"/>
    <w:rsid w:val="000E7632"/>
    <w:rsid w:val="000E7739"/>
    <w:rsid w:val="000E77EE"/>
    <w:rsid w:val="000F05D5"/>
    <w:rsid w:val="000F0789"/>
    <w:rsid w:val="000F159D"/>
    <w:rsid w:val="000F2940"/>
    <w:rsid w:val="000F3D08"/>
    <w:rsid w:val="000F505B"/>
    <w:rsid w:val="000F5837"/>
    <w:rsid w:val="000F68A0"/>
    <w:rsid w:val="0010118C"/>
    <w:rsid w:val="0010125E"/>
    <w:rsid w:val="00101967"/>
    <w:rsid w:val="00104CAD"/>
    <w:rsid w:val="00104E5B"/>
    <w:rsid w:val="00104EEC"/>
    <w:rsid w:val="001050DC"/>
    <w:rsid w:val="001052A9"/>
    <w:rsid w:val="00105482"/>
    <w:rsid w:val="001055F5"/>
    <w:rsid w:val="00105BA9"/>
    <w:rsid w:val="00107BBD"/>
    <w:rsid w:val="00107E1B"/>
    <w:rsid w:val="00111C7D"/>
    <w:rsid w:val="00112038"/>
    <w:rsid w:val="00112467"/>
    <w:rsid w:val="001127FF"/>
    <w:rsid w:val="00112B0B"/>
    <w:rsid w:val="00112B42"/>
    <w:rsid w:val="00114847"/>
    <w:rsid w:val="0011585B"/>
    <w:rsid w:val="00115B1A"/>
    <w:rsid w:val="00116605"/>
    <w:rsid w:val="001168F8"/>
    <w:rsid w:val="00117D8D"/>
    <w:rsid w:val="001228C8"/>
    <w:rsid w:val="0012419E"/>
    <w:rsid w:val="001243E9"/>
    <w:rsid w:val="001248EF"/>
    <w:rsid w:val="00124F76"/>
    <w:rsid w:val="00124FC4"/>
    <w:rsid w:val="001259B8"/>
    <w:rsid w:val="00127DAB"/>
    <w:rsid w:val="00131C2D"/>
    <w:rsid w:val="001350F7"/>
    <w:rsid w:val="00135141"/>
    <w:rsid w:val="00135769"/>
    <w:rsid w:val="00135BE9"/>
    <w:rsid w:val="001374DC"/>
    <w:rsid w:val="0013773D"/>
    <w:rsid w:val="00140D7A"/>
    <w:rsid w:val="001430C3"/>
    <w:rsid w:val="00144649"/>
    <w:rsid w:val="001451BB"/>
    <w:rsid w:val="00145662"/>
    <w:rsid w:val="00145C6D"/>
    <w:rsid w:val="00146151"/>
    <w:rsid w:val="00147EA7"/>
    <w:rsid w:val="00151B2F"/>
    <w:rsid w:val="001524DC"/>
    <w:rsid w:val="001525E5"/>
    <w:rsid w:val="00153859"/>
    <w:rsid w:val="00153ED0"/>
    <w:rsid w:val="00157432"/>
    <w:rsid w:val="00161185"/>
    <w:rsid w:val="00161853"/>
    <w:rsid w:val="00161C7D"/>
    <w:rsid w:val="00167594"/>
    <w:rsid w:val="001702BE"/>
    <w:rsid w:val="001706E4"/>
    <w:rsid w:val="0017105C"/>
    <w:rsid w:val="00171622"/>
    <w:rsid w:val="001721CF"/>
    <w:rsid w:val="001728FD"/>
    <w:rsid w:val="00172A27"/>
    <w:rsid w:val="00172F02"/>
    <w:rsid w:val="00173631"/>
    <w:rsid w:val="0017372D"/>
    <w:rsid w:val="00173E59"/>
    <w:rsid w:val="00176BC8"/>
    <w:rsid w:val="00180244"/>
    <w:rsid w:val="00180A47"/>
    <w:rsid w:val="00181272"/>
    <w:rsid w:val="001823B6"/>
    <w:rsid w:val="001827B7"/>
    <w:rsid w:val="001827EF"/>
    <w:rsid w:val="00182982"/>
    <w:rsid w:val="00182D68"/>
    <w:rsid w:val="0018397E"/>
    <w:rsid w:val="00183BA7"/>
    <w:rsid w:val="00186D20"/>
    <w:rsid w:val="00187243"/>
    <w:rsid w:val="001878FE"/>
    <w:rsid w:val="00187C29"/>
    <w:rsid w:val="00187F55"/>
    <w:rsid w:val="00190942"/>
    <w:rsid w:val="00191459"/>
    <w:rsid w:val="0019174E"/>
    <w:rsid w:val="00191EF8"/>
    <w:rsid w:val="00192690"/>
    <w:rsid w:val="00193B94"/>
    <w:rsid w:val="001940A7"/>
    <w:rsid w:val="00194BB1"/>
    <w:rsid w:val="00195070"/>
    <w:rsid w:val="00195D82"/>
    <w:rsid w:val="0019602C"/>
    <w:rsid w:val="001A07F8"/>
    <w:rsid w:val="001A1D48"/>
    <w:rsid w:val="001A1F0E"/>
    <w:rsid w:val="001A1F2D"/>
    <w:rsid w:val="001A473A"/>
    <w:rsid w:val="001A4996"/>
    <w:rsid w:val="001A5785"/>
    <w:rsid w:val="001A66A6"/>
    <w:rsid w:val="001A6BBB"/>
    <w:rsid w:val="001A79A2"/>
    <w:rsid w:val="001B13BF"/>
    <w:rsid w:val="001B16F5"/>
    <w:rsid w:val="001B1C1F"/>
    <w:rsid w:val="001B219B"/>
    <w:rsid w:val="001B2703"/>
    <w:rsid w:val="001B2ABD"/>
    <w:rsid w:val="001B46B2"/>
    <w:rsid w:val="001B4CA8"/>
    <w:rsid w:val="001B572D"/>
    <w:rsid w:val="001B738E"/>
    <w:rsid w:val="001B7B69"/>
    <w:rsid w:val="001C0DD2"/>
    <w:rsid w:val="001C10BD"/>
    <w:rsid w:val="001C1F01"/>
    <w:rsid w:val="001C232F"/>
    <w:rsid w:val="001C31F5"/>
    <w:rsid w:val="001C44BC"/>
    <w:rsid w:val="001C5885"/>
    <w:rsid w:val="001C6698"/>
    <w:rsid w:val="001D1D55"/>
    <w:rsid w:val="001D21EF"/>
    <w:rsid w:val="001D330D"/>
    <w:rsid w:val="001D4AD3"/>
    <w:rsid w:val="001D5A94"/>
    <w:rsid w:val="001E1ABC"/>
    <w:rsid w:val="001E41D1"/>
    <w:rsid w:val="001E44B6"/>
    <w:rsid w:val="001E5531"/>
    <w:rsid w:val="001E59FB"/>
    <w:rsid w:val="001E787E"/>
    <w:rsid w:val="001F087C"/>
    <w:rsid w:val="001F0DA4"/>
    <w:rsid w:val="001F0FD1"/>
    <w:rsid w:val="001F1F18"/>
    <w:rsid w:val="001F2F92"/>
    <w:rsid w:val="001F6095"/>
    <w:rsid w:val="00200E37"/>
    <w:rsid w:val="00202D33"/>
    <w:rsid w:val="00202F99"/>
    <w:rsid w:val="00203C85"/>
    <w:rsid w:val="00205298"/>
    <w:rsid w:val="002054F4"/>
    <w:rsid w:val="00210B9C"/>
    <w:rsid w:val="00212E87"/>
    <w:rsid w:val="00214028"/>
    <w:rsid w:val="002141C3"/>
    <w:rsid w:val="002141DC"/>
    <w:rsid w:val="00214479"/>
    <w:rsid w:val="002144F3"/>
    <w:rsid w:val="00215A2A"/>
    <w:rsid w:val="00216387"/>
    <w:rsid w:val="00217427"/>
    <w:rsid w:val="002204BC"/>
    <w:rsid w:val="0022234D"/>
    <w:rsid w:val="002223FA"/>
    <w:rsid w:val="00222C78"/>
    <w:rsid w:val="00223CF4"/>
    <w:rsid w:val="00224B9B"/>
    <w:rsid w:val="0022555A"/>
    <w:rsid w:val="0023114A"/>
    <w:rsid w:val="0023205A"/>
    <w:rsid w:val="0023265B"/>
    <w:rsid w:val="00233538"/>
    <w:rsid w:val="002344F5"/>
    <w:rsid w:val="0023454D"/>
    <w:rsid w:val="002345FC"/>
    <w:rsid w:val="00234679"/>
    <w:rsid w:val="00236127"/>
    <w:rsid w:val="002361A2"/>
    <w:rsid w:val="00236690"/>
    <w:rsid w:val="0023669D"/>
    <w:rsid w:val="002366B2"/>
    <w:rsid w:val="00237755"/>
    <w:rsid w:val="00237FA2"/>
    <w:rsid w:val="00240F67"/>
    <w:rsid w:val="00241144"/>
    <w:rsid w:val="00242009"/>
    <w:rsid w:val="00242510"/>
    <w:rsid w:val="00243F5D"/>
    <w:rsid w:val="0024415B"/>
    <w:rsid w:val="00247422"/>
    <w:rsid w:val="00247BA2"/>
    <w:rsid w:val="00250032"/>
    <w:rsid w:val="00251CB4"/>
    <w:rsid w:val="002531BD"/>
    <w:rsid w:val="002533FE"/>
    <w:rsid w:val="002537FC"/>
    <w:rsid w:val="002543EF"/>
    <w:rsid w:val="00255146"/>
    <w:rsid w:val="0025631F"/>
    <w:rsid w:val="00256986"/>
    <w:rsid w:val="00257246"/>
    <w:rsid w:val="00263044"/>
    <w:rsid w:val="00263759"/>
    <w:rsid w:val="0026385E"/>
    <w:rsid w:val="002645DB"/>
    <w:rsid w:val="0026470B"/>
    <w:rsid w:val="0026486D"/>
    <w:rsid w:val="00264CEB"/>
    <w:rsid w:val="002660C3"/>
    <w:rsid w:val="00266DE1"/>
    <w:rsid w:val="00266E08"/>
    <w:rsid w:val="00267E43"/>
    <w:rsid w:val="00273C5F"/>
    <w:rsid w:val="00274C6D"/>
    <w:rsid w:val="002751CA"/>
    <w:rsid w:val="0027544D"/>
    <w:rsid w:val="002778AB"/>
    <w:rsid w:val="002802A5"/>
    <w:rsid w:val="00281BCB"/>
    <w:rsid w:val="00282CA4"/>
    <w:rsid w:val="0028583E"/>
    <w:rsid w:val="00285FF3"/>
    <w:rsid w:val="0028744E"/>
    <w:rsid w:val="00287527"/>
    <w:rsid w:val="0028766A"/>
    <w:rsid w:val="00287936"/>
    <w:rsid w:val="002903C5"/>
    <w:rsid w:val="00290A99"/>
    <w:rsid w:val="00290EAF"/>
    <w:rsid w:val="0029159A"/>
    <w:rsid w:val="00292AA1"/>
    <w:rsid w:val="0029499D"/>
    <w:rsid w:val="00294A13"/>
    <w:rsid w:val="00295073"/>
    <w:rsid w:val="0029704D"/>
    <w:rsid w:val="002979C5"/>
    <w:rsid w:val="00297AF5"/>
    <w:rsid w:val="002A02D6"/>
    <w:rsid w:val="002A07C4"/>
    <w:rsid w:val="002A0921"/>
    <w:rsid w:val="002A2001"/>
    <w:rsid w:val="002A4EB3"/>
    <w:rsid w:val="002A51D9"/>
    <w:rsid w:val="002A5275"/>
    <w:rsid w:val="002B2906"/>
    <w:rsid w:val="002B35C5"/>
    <w:rsid w:val="002B5AEE"/>
    <w:rsid w:val="002B5CD6"/>
    <w:rsid w:val="002B6177"/>
    <w:rsid w:val="002B68E6"/>
    <w:rsid w:val="002B6985"/>
    <w:rsid w:val="002B7242"/>
    <w:rsid w:val="002C0032"/>
    <w:rsid w:val="002C0301"/>
    <w:rsid w:val="002C0326"/>
    <w:rsid w:val="002C0A9F"/>
    <w:rsid w:val="002C0AF7"/>
    <w:rsid w:val="002C1BB7"/>
    <w:rsid w:val="002C1CC2"/>
    <w:rsid w:val="002C28E1"/>
    <w:rsid w:val="002C3890"/>
    <w:rsid w:val="002C643D"/>
    <w:rsid w:val="002C70E7"/>
    <w:rsid w:val="002C77AC"/>
    <w:rsid w:val="002D22A6"/>
    <w:rsid w:val="002D2496"/>
    <w:rsid w:val="002D2C71"/>
    <w:rsid w:val="002D2CD6"/>
    <w:rsid w:val="002D2F81"/>
    <w:rsid w:val="002D3BA3"/>
    <w:rsid w:val="002D4892"/>
    <w:rsid w:val="002D4D06"/>
    <w:rsid w:val="002D4E19"/>
    <w:rsid w:val="002D4EE7"/>
    <w:rsid w:val="002D4EED"/>
    <w:rsid w:val="002D6782"/>
    <w:rsid w:val="002D7DB2"/>
    <w:rsid w:val="002D7FB2"/>
    <w:rsid w:val="002E0542"/>
    <w:rsid w:val="002E0E87"/>
    <w:rsid w:val="002E1EC1"/>
    <w:rsid w:val="002E201C"/>
    <w:rsid w:val="002E28A0"/>
    <w:rsid w:val="002E2E79"/>
    <w:rsid w:val="002E3956"/>
    <w:rsid w:val="002E672A"/>
    <w:rsid w:val="002E6853"/>
    <w:rsid w:val="002E7EE5"/>
    <w:rsid w:val="002F0323"/>
    <w:rsid w:val="002F0939"/>
    <w:rsid w:val="002F134F"/>
    <w:rsid w:val="002F1D0B"/>
    <w:rsid w:val="002F1F02"/>
    <w:rsid w:val="002F2048"/>
    <w:rsid w:val="002F2D81"/>
    <w:rsid w:val="002F44D0"/>
    <w:rsid w:val="002F47A6"/>
    <w:rsid w:val="002F541B"/>
    <w:rsid w:val="002F6EFF"/>
    <w:rsid w:val="002F7DF0"/>
    <w:rsid w:val="002F7FAF"/>
    <w:rsid w:val="00300AFA"/>
    <w:rsid w:val="00301A22"/>
    <w:rsid w:val="00303959"/>
    <w:rsid w:val="00303AB6"/>
    <w:rsid w:val="00304455"/>
    <w:rsid w:val="00304640"/>
    <w:rsid w:val="00304AC1"/>
    <w:rsid w:val="00305454"/>
    <w:rsid w:val="003066C6"/>
    <w:rsid w:val="00307DC7"/>
    <w:rsid w:val="00310078"/>
    <w:rsid w:val="003102E8"/>
    <w:rsid w:val="00310EDB"/>
    <w:rsid w:val="00312378"/>
    <w:rsid w:val="00312DFC"/>
    <w:rsid w:val="0031318C"/>
    <w:rsid w:val="00313C9D"/>
    <w:rsid w:val="00314C5A"/>
    <w:rsid w:val="0031531A"/>
    <w:rsid w:val="00315394"/>
    <w:rsid w:val="00315A0E"/>
    <w:rsid w:val="00315D77"/>
    <w:rsid w:val="00316CDE"/>
    <w:rsid w:val="00317012"/>
    <w:rsid w:val="0032226B"/>
    <w:rsid w:val="00324B2F"/>
    <w:rsid w:val="00326106"/>
    <w:rsid w:val="003269B7"/>
    <w:rsid w:val="003272E4"/>
    <w:rsid w:val="003301D9"/>
    <w:rsid w:val="00331461"/>
    <w:rsid w:val="003316A8"/>
    <w:rsid w:val="00331CC9"/>
    <w:rsid w:val="003320D7"/>
    <w:rsid w:val="00332D52"/>
    <w:rsid w:val="00333337"/>
    <w:rsid w:val="00333A28"/>
    <w:rsid w:val="0033631D"/>
    <w:rsid w:val="003365CB"/>
    <w:rsid w:val="00341225"/>
    <w:rsid w:val="00341CEB"/>
    <w:rsid w:val="0034396F"/>
    <w:rsid w:val="0034458E"/>
    <w:rsid w:val="00344BBF"/>
    <w:rsid w:val="00344F3C"/>
    <w:rsid w:val="00345644"/>
    <w:rsid w:val="00345D7A"/>
    <w:rsid w:val="00346B6D"/>
    <w:rsid w:val="00346BA3"/>
    <w:rsid w:val="00347356"/>
    <w:rsid w:val="00350896"/>
    <w:rsid w:val="00350C31"/>
    <w:rsid w:val="003519CD"/>
    <w:rsid w:val="00351A3A"/>
    <w:rsid w:val="00352A88"/>
    <w:rsid w:val="0035455F"/>
    <w:rsid w:val="00355D8F"/>
    <w:rsid w:val="00357437"/>
    <w:rsid w:val="003577EF"/>
    <w:rsid w:val="00360304"/>
    <w:rsid w:val="00365427"/>
    <w:rsid w:val="003669C8"/>
    <w:rsid w:val="00366CEB"/>
    <w:rsid w:val="00366D8A"/>
    <w:rsid w:val="003679D3"/>
    <w:rsid w:val="00367A87"/>
    <w:rsid w:val="003703CE"/>
    <w:rsid w:val="00371C6D"/>
    <w:rsid w:val="003726FA"/>
    <w:rsid w:val="00372C89"/>
    <w:rsid w:val="00372E9A"/>
    <w:rsid w:val="00374677"/>
    <w:rsid w:val="0037632F"/>
    <w:rsid w:val="00377B26"/>
    <w:rsid w:val="00381014"/>
    <w:rsid w:val="00381F60"/>
    <w:rsid w:val="00382C74"/>
    <w:rsid w:val="00382F6C"/>
    <w:rsid w:val="00383AB0"/>
    <w:rsid w:val="00384814"/>
    <w:rsid w:val="00384C0A"/>
    <w:rsid w:val="00385B16"/>
    <w:rsid w:val="0038637D"/>
    <w:rsid w:val="00386C07"/>
    <w:rsid w:val="00386F58"/>
    <w:rsid w:val="0038700D"/>
    <w:rsid w:val="0038701B"/>
    <w:rsid w:val="00390C0D"/>
    <w:rsid w:val="00391447"/>
    <w:rsid w:val="003922DE"/>
    <w:rsid w:val="00393B84"/>
    <w:rsid w:val="00393C6A"/>
    <w:rsid w:val="003944EA"/>
    <w:rsid w:val="00394639"/>
    <w:rsid w:val="003962E6"/>
    <w:rsid w:val="00396831"/>
    <w:rsid w:val="003A0324"/>
    <w:rsid w:val="003A03EF"/>
    <w:rsid w:val="003A12B6"/>
    <w:rsid w:val="003A20D5"/>
    <w:rsid w:val="003A24CC"/>
    <w:rsid w:val="003A2EE8"/>
    <w:rsid w:val="003A373C"/>
    <w:rsid w:val="003A5378"/>
    <w:rsid w:val="003A5567"/>
    <w:rsid w:val="003A7E2B"/>
    <w:rsid w:val="003A7E40"/>
    <w:rsid w:val="003B0336"/>
    <w:rsid w:val="003B0A3A"/>
    <w:rsid w:val="003B4810"/>
    <w:rsid w:val="003B514E"/>
    <w:rsid w:val="003B5E0A"/>
    <w:rsid w:val="003B613B"/>
    <w:rsid w:val="003B636A"/>
    <w:rsid w:val="003C011C"/>
    <w:rsid w:val="003C0EB6"/>
    <w:rsid w:val="003C1E25"/>
    <w:rsid w:val="003C435B"/>
    <w:rsid w:val="003C4EBE"/>
    <w:rsid w:val="003C685A"/>
    <w:rsid w:val="003C6E9C"/>
    <w:rsid w:val="003C7F12"/>
    <w:rsid w:val="003D03D6"/>
    <w:rsid w:val="003D04C3"/>
    <w:rsid w:val="003D14C8"/>
    <w:rsid w:val="003D1517"/>
    <w:rsid w:val="003D2DA0"/>
    <w:rsid w:val="003D34C3"/>
    <w:rsid w:val="003D5ADB"/>
    <w:rsid w:val="003D663E"/>
    <w:rsid w:val="003D6793"/>
    <w:rsid w:val="003D6B03"/>
    <w:rsid w:val="003D75D8"/>
    <w:rsid w:val="003E0746"/>
    <w:rsid w:val="003E0E7C"/>
    <w:rsid w:val="003E336A"/>
    <w:rsid w:val="003E60DA"/>
    <w:rsid w:val="003E61F6"/>
    <w:rsid w:val="003E6439"/>
    <w:rsid w:val="003E6E00"/>
    <w:rsid w:val="003E7940"/>
    <w:rsid w:val="003F01BD"/>
    <w:rsid w:val="003F048E"/>
    <w:rsid w:val="003F0AFF"/>
    <w:rsid w:val="003F2C48"/>
    <w:rsid w:val="003F3D90"/>
    <w:rsid w:val="003F53BB"/>
    <w:rsid w:val="003F56B8"/>
    <w:rsid w:val="00400CCB"/>
    <w:rsid w:val="00401373"/>
    <w:rsid w:val="00401386"/>
    <w:rsid w:val="00401E31"/>
    <w:rsid w:val="004035D0"/>
    <w:rsid w:val="00403795"/>
    <w:rsid w:val="00405764"/>
    <w:rsid w:val="00406745"/>
    <w:rsid w:val="00406B32"/>
    <w:rsid w:val="004074FA"/>
    <w:rsid w:val="00407A56"/>
    <w:rsid w:val="00407FC3"/>
    <w:rsid w:val="00407FCC"/>
    <w:rsid w:val="004113C9"/>
    <w:rsid w:val="0041461A"/>
    <w:rsid w:val="00414909"/>
    <w:rsid w:val="00415034"/>
    <w:rsid w:val="00415B1A"/>
    <w:rsid w:val="00415F72"/>
    <w:rsid w:val="004160C1"/>
    <w:rsid w:val="0041690F"/>
    <w:rsid w:val="00416D41"/>
    <w:rsid w:val="00417264"/>
    <w:rsid w:val="004210C0"/>
    <w:rsid w:val="004211DD"/>
    <w:rsid w:val="00421442"/>
    <w:rsid w:val="00421762"/>
    <w:rsid w:val="00421D4B"/>
    <w:rsid w:val="00421ED8"/>
    <w:rsid w:val="004233AD"/>
    <w:rsid w:val="0042435A"/>
    <w:rsid w:val="00424E1D"/>
    <w:rsid w:val="00425724"/>
    <w:rsid w:val="00426B2C"/>
    <w:rsid w:val="00427FA8"/>
    <w:rsid w:val="004306D4"/>
    <w:rsid w:val="00432ECA"/>
    <w:rsid w:val="004357B1"/>
    <w:rsid w:val="00436CCE"/>
    <w:rsid w:val="004379BB"/>
    <w:rsid w:val="00440262"/>
    <w:rsid w:val="00440814"/>
    <w:rsid w:val="00440844"/>
    <w:rsid w:val="004452FE"/>
    <w:rsid w:val="0044739A"/>
    <w:rsid w:val="004475F7"/>
    <w:rsid w:val="00447DFB"/>
    <w:rsid w:val="00450B22"/>
    <w:rsid w:val="004533CE"/>
    <w:rsid w:val="004543AB"/>
    <w:rsid w:val="00454BF5"/>
    <w:rsid w:val="00455F71"/>
    <w:rsid w:val="00456272"/>
    <w:rsid w:val="00457CF7"/>
    <w:rsid w:val="00457D37"/>
    <w:rsid w:val="00460E68"/>
    <w:rsid w:val="00461F80"/>
    <w:rsid w:val="0046240D"/>
    <w:rsid w:val="00463576"/>
    <w:rsid w:val="0046399D"/>
    <w:rsid w:val="00465264"/>
    <w:rsid w:val="00465781"/>
    <w:rsid w:val="00465A21"/>
    <w:rsid w:val="00466ABA"/>
    <w:rsid w:val="0046775D"/>
    <w:rsid w:val="00471387"/>
    <w:rsid w:val="00471963"/>
    <w:rsid w:val="00473308"/>
    <w:rsid w:val="004749DA"/>
    <w:rsid w:val="004749DC"/>
    <w:rsid w:val="00474DEF"/>
    <w:rsid w:val="004750B9"/>
    <w:rsid w:val="004754AC"/>
    <w:rsid w:val="004758E7"/>
    <w:rsid w:val="004764C6"/>
    <w:rsid w:val="00477247"/>
    <w:rsid w:val="004776BB"/>
    <w:rsid w:val="00480DC0"/>
    <w:rsid w:val="00480DC5"/>
    <w:rsid w:val="00481886"/>
    <w:rsid w:val="00482288"/>
    <w:rsid w:val="00483984"/>
    <w:rsid w:val="00483BC7"/>
    <w:rsid w:val="00483CF0"/>
    <w:rsid w:val="00484D4D"/>
    <w:rsid w:val="0048664F"/>
    <w:rsid w:val="004868AD"/>
    <w:rsid w:val="00486D00"/>
    <w:rsid w:val="00487FE1"/>
    <w:rsid w:val="00490707"/>
    <w:rsid w:val="00490815"/>
    <w:rsid w:val="004914E8"/>
    <w:rsid w:val="00492B76"/>
    <w:rsid w:val="0049333E"/>
    <w:rsid w:val="0049418F"/>
    <w:rsid w:val="00495DC6"/>
    <w:rsid w:val="00497AAD"/>
    <w:rsid w:val="00497D1A"/>
    <w:rsid w:val="00497FE6"/>
    <w:rsid w:val="004A1DBC"/>
    <w:rsid w:val="004A1EA7"/>
    <w:rsid w:val="004A2C96"/>
    <w:rsid w:val="004A4125"/>
    <w:rsid w:val="004A7364"/>
    <w:rsid w:val="004B026C"/>
    <w:rsid w:val="004B0271"/>
    <w:rsid w:val="004B0A2B"/>
    <w:rsid w:val="004B0BE8"/>
    <w:rsid w:val="004B0E4A"/>
    <w:rsid w:val="004B2463"/>
    <w:rsid w:val="004B305F"/>
    <w:rsid w:val="004B34C4"/>
    <w:rsid w:val="004B3981"/>
    <w:rsid w:val="004B3AD7"/>
    <w:rsid w:val="004B419F"/>
    <w:rsid w:val="004B7317"/>
    <w:rsid w:val="004B75B2"/>
    <w:rsid w:val="004C11A9"/>
    <w:rsid w:val="004C27CF"/>
    <w:rsid w:val="004C2CA7"/>
    <w:rsid w:val="004C45C8"/>
    <w:rsid w:val="004C612E"/>
    <w:rsid w:val="004C6C0A"/>
    <w:rsid w:val="004C7180"/>
    <w:rsid w:val="004C77FF"/>
    <w:rsid w:val="004D0223"/>
    <w:rsid w:val="004D12E8"/>
    <w:rsid w:val="004D16A3"/>
    <w:rsid w:val="004D1E41"/>
    <w:rsid w:val="004D6F29"/>
    <w:rsid w:val="004D7F9C"/>
    <w:rsid w:val="004D7FF2"/>
    <w:rsid w:val="004E1D6F"/>
    <w:rsid w:val="004E1F19"/>
    <w:rsid w:val="004E3A2A"/>
    <w:rsid w:val="004E3AB1"/>
    <w:rsid w:val="004E4003"/>
    <w:rsid w:val="004E6746"/>
    <w:rsid w:val="004E75C1"/>
    <w:rsid w:val="004F045E"/>
    <w:rsid w:val="004F07F2"/>
    <w:rsid w:val="004F0E82"/>
    <w:rsid w:val="004F1017"/>
    <w:rsid w:val="004F1847"/>
    <w:rsid w:val="004F2982"/>
    <w:rsid w:val="004F2B46"/>
    <w:rsid w:val="004F2C40"/>
    <w:rsid w:val="004F2CB6"/>
    <w:rsid w:val="004F313F"/>
    <w:rsid w:val="004F3EEF"/>
    <w:rsid w:val="004F447B"/>
    <w:rsid w:val="004F4FE8"/>
    <w:rsid w:val="004F531B"/>
    <w:rsid w:val="004F5395"/>
    <w:rsid w:val="004F560C"/>
    <w:rsid w:val="004F6CF7"/>
    <w:rsid w:val="004F728A"/>
    <w:rsid w:val="004F7B47"/>
    <w:rsid w:val="005003ED"/>
    <w:rsid w:val="005010BC"/>
    <w:rsid w:val="005020F1"/>
    <w:rsid w:val="005039B8"/>
    <w:rsid w:val="00504CCC"/>
    <w:rsid w:val="0050537D"/>
    <w:rsid w:val="005079F5"/>
    <w:rsid w:val="0051037C"/>
    <w:rsid w:val="0051050F"/>
    <w:rsid w:val="00510DDC"/>
    <w:rsid w:val="00511427"/>
    <w:rsid w:val="005131A2"/>
    <w:rsid w:val="0051440E"/>
    <w:rsid w:val="00514F0B"/>
    <w:rsid w:val="005160EA"/>
    <w:rsid w:val="005173F3"/>
    <w:rsid w:val="00517AC8"/>
    <w:rsid w:val="00517C3E"/>
    <w:rsid w:val="005212F4"/>
    <w:rsid w:val="00521305"/>
    <w:rsid w:val="0052178F"/>
    <w:rsid w:val="00521908"/>
    <w:rsid w:val="00523606"/>
    <w:rsid w:val="005256D6"/>
    <w:rsid w:val="00525AD8"/>
    <w:rsid w:val="00525C01"/>
    <w:rsid w:val="00526429"/>
    <w:rsid w:val="005266C1"/>
    <w:rsid w:val="005267F4"/>
    <w:rsid w:val="00527317"/>
    <w:rsid w:val="00527ED6"/>
    <w:rsid w:val="00531064"/>
    <w:rsid w:val="005335A2"/>
    <w:rsid w:val="00533DEC"/>
    <w:rsid w:val="00536B03"/>
    <w:rsid w:val="00537917"/>
    <w:rsid w:val="005405B2"/>
    <w:rsid w:val="00540EE7"/>
    <w:rsid w:val="00541A22"/>
    <w:rsid w:val="005426B2"/>
    <w:rsid w:val="00543640"/>
    <w:rsid w:val="005444C6"/>
    <w:rsid w:val="00544F05"/>
    <w:rsid w:val="005454B8"/>
    <w:rsid w:val="00545B56"/>
    <w:rsid w:val="00545DB9"/>
    <w:rsid w:val="00546BF8"/>
    <w:rsid w:val="00550B7E"/>
    <w:rsid w:val="00551B96"/>
    <w:rsid w:val="005524ED"/>
    <w:rsid w:val="00554C03"/>
    <w:rsid w:val="005550F9"/>
    <w:rsid w:val="0055525C"/>
    <w:rsid w:val="00556386"/>
    <w:rsid w:val="00556441"/>
    <w:rsid w:val="00561903"/>
    <w:rsid w:val="00561A9B"/>
    <w:rsid w:val="00562FB1"/>
    <w:rsid w:val="00563068"/>
    <w:rsid w:val="00564DA7"/>
    <w:rsid w:val="00564EFA"/>
    <w:rsid w:val="00565204"/>
    <w:rsid w:val="00565473"/>
    <w:rsid w:val="00565DAC"/>
    <w:rsid w:val="00565F0D"/>
    <w:rsid w:val="005662DC"/>
    <w:rsid w:val="00566329"/>
    <w:rsid w:val="005701C2"/>
    <w:rsid w:val="0057117C"/>
    <w:rsid w:val="00573560"/>
    <w:rsid w:val="0057438C"/>
    <w:rsid w:val="00574E7B"/>
    <w:rsid w:val="00576B5C"/>
    <w:rsid w:val="00580DFC"/>
    <w:rsid w:val="00581EC5"/>
    <w:rsid w:val="00581F85"/>
    <w:rsid w:val="00583D43"/>
    <w:rsid w:val="005846C3"/>
    <w:rsid w:val="00584F04"/>
    <w:rsid w:val="005857F7"/>
    <w:rsid w:val="0058767F"/>
    <w:rsid w:val="00587D7B"/>
    <w:rsid w:val="005901B7"/>
    <w:rsid w:val="005904DB"/>
    <w:rsid w:val="00592825"/>
    <w:rsid w:val="005931BD"/>
    <w:rsid w:val="00594437"/>
    <w:rsid w:val="005955EB"/>
    <w:rsid w:val="00596CFA"/>
    <w:rsid w:val="005975CE"/>
    <w:rsid w:val="005A1A31"/>
    <w:rsid w:val="005A36C2"/>
    <w:rsid w:val="005A3719"/>
    <w:rsid w:val="005A3A4F"/>
    <w:rsid w:val="005A3DD7"/>
    <w:rsid w:val="005A418C"/>
    <w:rsid w:val="005A48B5"/>
    <w:rsid w:val="005A4F48"/>
    <w:rsid w:val="005A5036"/>
    <w:rsid w:val="005A56BB"/>
    <w:rsid w:val="005A733D"/>
    <w:rsid w:val="005A7A32"/>
    <w:rsid w:val="005A7F85"/>
    <w:rsid w:val="005B102C"/>
    <w:rsid w:val="005B1AAB"/>
    <w:rsid w:val="005B2930"/>
    <w:rsid w:val="005B2B87"/>
    <w:rsid w:val="005B387B"/>
    <w:rsid w:val="005B3B01"/>
    <w:rsid w:val="005B4333"/>
    <w:rsid w:val="005B4534"/>
    <w:rsid w:val="005B4F0B"/>
    <w:rsid w:val="005B5603"/>
    <w:rsid w:val="005B5994"/>
    <w:rsid w:val="005B61F4"/>
    <w:rsid w:val="005B667A"/>
    <w:rsid w:val="005B6FA1"/>
    <w:rsid w:val="005C0372"/>
    <w:rsid w:val="005C039B"/>
    <w:rsid w:val="005C059F"/>
    <w:rsid w:val="005C07CE"/>
    <w:rsid w:val="005C0B8F"/>
    <w:rsid w:val="005C2294"/>
    <w:rsid w:val="005C3344"/>
    <w:rsid w:val="005C4C71"/>
    <w:rsid w:val="005C4E4D"/>
    <w:rsid w:val="005C5A97"/>
    <w:rsid w:val="005C679D"/>
    <w:rsid w:val="005C6D5D"/>
    <w:rsid w:val="005C707D"/>
    <w:rsid w:val="005D01C3"/>
    <w:rsid w:val="005D2578"/>
    <w:rsid w:val="005D266D"/>
    <w:rsid w:val="005D3327"/>
    <w:rsid w:val="005D4666"/>
    <w:rsid w:val="005D5BCF"/>
    <w:rsid w:val="005D6D84"/>
    <w:rsid w:val="005D70A1"/>
    <w:rsid w:val="005D79F2"/>
    <w:rsid w:val="005E09CA"/>
    <w:rsid w:val="005E1D0D"/>
    <w:rsid w:val="005E32B9"/>
    <w:rsid w:val="005E4543"/>
    <w:rsid w:val="005E4717"/>
    <w:rsid w:val="005E4B55"/>
    <w:rsid w:val="005E565C"/>
    <w:rsid w:val="005E56C9"/>
    <w:rsid w:val="005E5CF7"/>
    <w:rsid w:val="005E704E"/>
    <w:rsid w:val="005E721E"/>
    <w:rsid w:val="005E75E3"/>
    <w:rsid w:val="005F0857"/>
    <w:rsid w:val="005F2CD5"/>
    <w:rsid w:val="005F403D"/>
    <w:rsid w:val="005F5A0D"/>
    <w:rsid w:val="005F61DF"/>
    <w:rsid w:val="005F77F8"/>
    <w:rsid w:val="00600FF9"/>
    <w:rsid w:val="006011E3"/>
    <w:rsid w:val="0060150C"/>
    <w:rsid w:val="00601F66"/>
    <w:rsid w:val="00601F8F"/>
    <w:rsid w:val="00603373"/>
    <w:rsid w:val="006036D0"/>
    <w:rsid w:val="006042CD"/>
    <w:rsid w:val="006054A5"/>
    <w:rsid w:val="006059E4"/>
    <w:rsid w:val="006062A0"/>
    <w:rsid w:val="0061098D"/>
    <w:rsid w:val="00611AC8"/>
    <w:rsid w:val="00611B59"/>
    <w:rsid w:val="00611FBA"/>
    <w:rsid w:val="0061272A"/>
    <w:rsid w:val="00613AA2"/>
    <w:rsid w:val="006155F1"/>
    <w:rsid w:val="00615FAB"/>
    <w:rsid w:val="00617398"/>
    <w:rsid w:val="00620055"/>
    <w:rsid w:val="006212D3"/>
    <w:rsid w:val="0062213A"/>
    <w:rsid w:val="00623A5E"/>
    <w:rsid w:val="00625008"/>
    <w:rsid w:val="00626930"/>
    <w:rsid w:val="00626BAC"/>
    <w:rsid w:val="00626F04"/>
    <w:rsid w:val="006271C3"/>
    <w:rsid w:val="0063001E"/>
    <w:rsid w:val="00630D58"/>
    <w:rsid w:val="00631005"/>
    <w:rsid w:val="00632727"/>
    <w:rsid w:val="00632B99"/>
    <w:rsid w:val="00633EF3"/>
    <w:rsid w:val="00634AA8"/>
    <w:rsid w:val="00635B73"/>
    <w:rsid w:val="006368A8"/>
    <w:rsid w:val="00636CC7"/>
    <w:rsid w:val="00637F27"/>
    <w:rsid w:val="00643F89"/>
    <w:rsid w:val="00644BED"/>
    <w:rsid w:val="00644E2E"/>
    <w:rsid w:val="00645CB4"/>
    <w:rsid w:val="006461DF"/>
    <w:rsid w:val="006470DC"/>
    <w:rsid w:val="00651F59"/>
    <w:rsid w:val="00652CF5"/>
    <w:rsid w:val="0065343E"/>
    <w:rsid w:val="00653C7C"/>
    <w:rsid w:val="00655792"/>
    <w:rsid w:val="006558CD"/>
    <w:rsid w:val="00656D49"/>
    <w:rsid w:val="00656E4D"/>
    <w:rsid w:val="006576BA"/>
    <w:rsid w:val="00662401"/>
    <w:rsid w:val="00662D3D"/>
    <w:rsid w:val="00662F1F"/>
    <w:rsid w:val="00664936"/>
    <w:rsid w:val="00664CF8"/>
    <w:rsid w:val="006673B9"/>
    <w:rsid w:val="0066790C"/>
    <w:rsid w:val="006700F1"/>
    <w:rsid w:val="006720BC"/>
    <w:rsid w:val="00672D0F"/>
    <w:rsid w:val="00673B64"/>
    <w:rsid w:val="00673FC1"/>
    <w:rsid w:val="00675430"/>
    <w:rsid w:val="00675749"/>
    <w:rsid w:val="00677382"/>
    <w:rsid w:val="0067772D"/>
    <w:rsid w:val="00680714"/>
    <w:rsid w:val="0068071D"/>
    <w:rsid w:val="00680C6B"/>
    <w:rsid w:val="00683068"/>
    <w:rsid w:val="00683DAD"/>
    <w:rsid w:val="0068443C"/>
    <w:rsid w:val="00684727"/>
    <w:rsid w:val="00684963"/>
    <w:rsid w:val="00684F04"/>
    <w:rsid w:val="00685033"/>
    <w:rsid w:val="00685D65"/>
    <w:rsid w:val="0068644F"/>
    <w:rsid w:val="00687031"/>
    <w:rsid w:val="0068790B"/>
    <w:rsid w:val="00687AF2"/>
    <w:rsid w:val="00687DA2"/>
    <w:rsid w:val="00687E87"/>
    <w:rsid w:val="006901AC"/>
    <w:rsid w:val="00691890"/>
    <w:rsid w:val="006945A1"/>
    <w:rsid w:val="00694982"/>
    <w:rsid w:val="00695EAC"/>
    <w:rsid w:val="00697062"/>
    <w:rsid w:val="006971F8"/>
    <w:rsid w:val="00697D5F"/>
    <w:rsid w:val="006A060C"/>
    <w:rsid w:val="006A150D"/>
    <w:rsid w:val="006A1526"/>
    <w:rsid w:val="006A39D0"/>
    <w:rsid w:val="006A4321"/>
    <w:rsid w:val="006A61EE"/>
    <w:rsid w:val="006B0580"/>
    <w:rsid w:val="006B0F30"/>
    <w:rsid w:val="006B1D06"/>
    <w:rsid w:val="006B2823"/>
    <w:rsid w:val="006B33DB"/>
    <w:rsid w:val="006B4CF8"/>
    <w:rsid w:val="006B5FBC"/>
    <w:rsid w:val="006B6ED2"/>
    <w:rsid w:val="006C0230"/>
    <w:rsid w:val="006C078D"/>
    <w:rsid w:val="006C09CC"/>
    <w:rsid w:val="006C09F4"/>
    <w:rsid w:val="006C3EFE"/>
    <w:rsid w:val="006C4D29"/>
    <w:rsid w:val="006C5D5D"/>
    <w:rsid w:val="006C6303"/>
    <w:rsid w:val="006C6D6B"/>
    <w:rsid w:val="006C6EBD"/>
    <w:rsid w:val="006D0681"/>
    <w:rsid w:val="006D0A80"/>
    <w:rsid w:val="006D312B"/>
    <w:rsid w:val="006D43C1"/>
    <w:rsid w:val="006D5442"/>
    <w:rsid w:val="006D6E4E"/>
    <w:rsid w:val="006E00E3"/>
    <w:rsid w:val="006E045C"/>
    <w:rsid w:val="006E065E"/>
    <w:rsid w:val="006E189B"/>
    <w:rsid w:val="006E2902"/>
    <w:rsid w:val="006E2F9D"/>
    <w:rsid w:val="006E37C6"/>
    <w:rsid w:val="006E3B3D"/>
    <w:rsid w:val="006E41ED"/>
    <w:rsid w:val="006E4667"/>
    <w:rsid w:val="006E60AC"/>
    <w:rsid w:val="006F1F1F"/>
    <w:rsid w:val="006F2046"/>
    <w:rsid w:val="006F41F4"/>
    <w:rsid w:val="006F5813"/>
    <w:rsid w:val="006F59A8"/>
    <w:rsid w:val="006F5A1D"/>
    <w:rsid w:val="006F71A6"/>
    <w:rsid w:val="006F7974"/>
    <w:rsid w:val="006F7C2C"/>
    <w:rsid w:val="00700D18"/>
    <w:rsid w:val="007010CB"/>
    <w:rsid w:val="0070168D"/>
    <w:rsid w:val="00701C36"/>
    <w:rsid w:val="0070283C"/>
    <w:rsid w:val="0070353F"/>
    <w:rsid w:val="0070415E"/>
    <w:rsid w:val="00704D34"/>
    <w:rsid w:val="00705060"/>
    <w:rsid w:val="00705351"/>
    <w:rsid w:val="0070603E"/>
    <w:rsid w:val="007069AE"/>
    <w:rsid w:val="00706C89"/>
    <w:rsid w:val="00707967"/>
    <w:rsid w:val="00710257"/>
    <w:rsid w:val="007119DC"/>
    <w:rsid w:val="00711CC7"/>
    <w:rsid w:val="00712063"/>
    <w:rsid w:val="0071294A"/>
    <w:rsid w:val="00712BDD"/>
    <w:rsid w:val="00712E1E"/>
    <w:rsid w:val="00712F37"/>
    <w:rsid w:val="00713A6B"/>
    <w:rsid w:val="0071499C"/>
    <w:rsid w:val="0071604D"/>
    <w:rsid w:val="00716DE6"/>
    <w:rsid w:val="0071724E"/>
    <w:rsid w:val="0071732D"/>
    <w:rsid w:val="00720AEE"/>
    <w:rsid w:val="007210F6"/>
    <w:rsid w:val="0072139F"/>
    <w:rsid w:val="00721FC3"/>
    <w:rsid w:val="00722A86"/>
    <w:rsid w:val="00722C69"/>
    <w:rsid w:val="0072388C"/>
    <w:rsid w:val="00726665"/>
    <w:rsid w:val="007266B9"/>
    <w:rsid w:val="00726B00"/>
    <w:rsid w:val="007278FE"/>
    <w:rsid w:val="00727AC5"/>
    <w:rsid w:val="00727C65"/>
    <w:rsid w:val="00731872"/>
    <w:rsid w:val="00731EA1"/>
    <w:rsid w:val="00732D9F"/>
    <w:rsid w:val="00734932"/>
    <w:rsid w:val="007364A3"/>
    <w:rsid w:val="007378FD"/>
    <w:rsid w:val="007413EB"/>
    <w:rsid w:val="00742D32"/>
    <w:rsid w:val="00742E9B"/>
    <w:rsid w:val="007444E6"/>
    <w:rsid w:val="0074592C"/>
    <w:rsid w:val="00747578"/>
    <w:rsid w:val="00751073"/>
    <w:rsid w:val="00752188"/>
    <w:rsid w:val="0075281E"/>
    <w:rsid w:val="00752CC6"/>
    <w:rsid w:val="00754A29"/>
    <w:rsid w:val="00755BCF"/>
    <w:rsid w:val="00756C5F"/>
    <w:rsid w:val="00756D69"/>
    <w:rsid w:val="00757029"/>
    <w:rsid w:val="0076093D"/>
    <w:rsid w:val="00760C5C"/>
    <w:rsid w:val="0076161B"/>
    <w:rsid w:val="00761CB5"/>
    <w:rsid w:val="0076228C"/>
    <w:rsid w:val="00763137"/>
    <w:rsid w:val="00763278"/>
    <w:rsid w:val="0076404E"/>
    <w:rsid w:val="0076417E"/>
    <w:rsid w:val="007675DD"/>
    <w:rsid w:val="007705F0"/>
    <w:rsid w:val="00770A16"/>
    <w:rsid w:val="0077150D"/>
    <w:rsid w:val="00771CAC"/>
    <w:rsid w:val="00772036"/>
    <w:rsid w:val="007739A3"/>
    <w:rsid w:val="00773BD9"/>
    <w:rsid w:val="00773CB0"/>
    <w:rsid w:val="00773D71"/>
    <w:rsid w:val="007752EB"/>
    <w:rsid w:val="00775526"/>
    <w:rsid w:val="0077765A"/>
    <w:rsid w:val="00780032"/>
    <w:rsid w:val="00780E86"/>
    <w:rsid w:val="00781727"/>
    <w:rsid w:val="00781F96"/>
    <w:rsid w:val="007823F9"/>
    <w:rsid w:val="00782D32"/>
    <w:rsid w:val="007830E9"/>
    <w:rsid w:val="00783959"/>
    <w:rsid w:val="0078585F"/>
    <w:rsid w:val="00786CBB"/>
    <w:rsid w:val="0079038E"/>
    <w:rsid w:val="00792909"/>
    <w:rsid w:val="00792A00"/>
    <w:rsid w:val="00792C3F"/>
    <w:rsid w:val="00792EE2"/>
    <w:rsid w:val="00793105"/>
    <w:rsid w:val="007931E8"/>
    <w:rsid w:val="00793333"/>
    <w:rsid w:val="00794E46"/>
    <w:rsid w:val="007952DE"/>
    <w:rsid w:val="00795479"/>
    <w:rsid w:val="00796292"/>
    <w:rsid w:val="007972D5"/>
    <w:rsid w:val="007978E8"/>
    <w:rsid w:val="007A0789"/>
    <w:rsid w:val="007A130E"/>
    <w:rsid w:val="007A18B1"/>
    <w:rsid w:val="007A1BBD"/>
    <w:rsid w:val="007A1F08"/>
    <w:rsid w:val="007A25FA"/>
    <w:rsid w:val="007A3520"/>
    <w:rsid w:val="007A3878"/>
    <w:rsid w:val="007A3D85"/>
    <w:rsid w:val="007A54F6"/>
    <w:rsid w:val="007A5950"/>
    <w:rsid w:val="007A6D91"/>
    <w:rsid w:val="007B0306"/>
    <w:rsid w:val="007B2705"/>
    <w:rsid w:val="007B3A8E"/>
    <w:rsid w:val="007B3C9B"/>
    <w:rsid w:val="007B54B7"/>
    <w:rsid w:val="007B54C7"/>
    <w:rsid w:val="007B5DC5"/>
    <w:rsid w:val="007B63FC"/>
    <w:rsid w:val="007B6708"/>
    <w:rsid w:val="007B6E8D"/>
    <w:rsid w:val="007B722F"/>
    <w:rsid w:val="007B755E"/>
    <w:rsid w:val="007C029E"/>
    <w:rsid w:val="007C0636"/>
    <w:rsid w:val="007C10E4"/>
    <w:rsid w:val="007C2434"/>
    <w:rsid w:val="007C27E0"/>
    <w:rsid w:val="007C3590"/>
    <w:rsid w:val="007C387A"/>
    <w:rsid w:val="007C43D6"/>
    <w:rsid w:val="007C660F"/>
    <w:rsid w:val="007C69AE"/>
    <w:rsid w:val="007C7688"/>
    <w:rsid w:val="007C76E3"/>
    <w:rsid w:val="007C7DD9"/>
    <w:rsid w:val="007D128D"/>
    <w:rsid w:val="007D1667"/>
    <w:rsid w:val="007D2606"/>
    <w:rsid w:val="007D2836"/>
    <w:rsid w:val="007D2932"/>
    <w:rsid w:val="007D2C31"/>
    <w:rsid w:val="007D445F"/>
    <w:rsid w:val="007D4DED"/>
    <w:rsid w:val="007D5BA2"/>
    <w:rsid w:val="007D5ED3"/>
    <w:rsid w:val="007D6FB9"/>
    <w:rsid w:val="007E0A63"/>
    <w:rsid w:val="007E0C63"/>
    <w:rsid w:val="007E1DF8"/>
    <w:rsid w:val="007E404E"/>
    <w:rsid w:val="007E4CA1"/>
    <w:rsid w:val="007E4EB3"/>
    <w:rsid w:val="007E4F1A"/>
    <w:rsid w:val="007E50B4"/>
    <w:rsid w:val="007E54B8"/>
    <w:rsid w:val="007E54DB"/>
    <w:rsid w:val="007E6B25"/>
    <w:rsid w:val="007E7BF9"/>
    <w:rsid w:val="007F2C38"/>
    <w:rsid w:val="007F30C6"/>
    <w:rsid w:val="007F3651"/>
    <w:rsid w:val="007F3752"/>
    <w:rsid w:val="007F4318"/>
    <w:rsid w:val="007F47DA"/>
    <w:rsid w:val="007F4E52"/>
    <w:rsid w:val="007F4F84"/>
    <w:rsid w:val="007F55A4"/>
    <w:rsid w:val="007F661E"/>
    <w:rsid w:val="007F75BB"/>
    <w:rsid w:val="00800766"/>
    <w:rsid w:val="00801D90"/>
    <w:rsid w:val="0080348B"/>
    <w:rsid w:val="00803EB0"/>
    <w:rsid w:val="00803EEF"/>
    <w:rsid w:val="008052CE"/>
    <w:rsid w:val="008052DB"/>
    <w:rsid w:val="0080705B"/>
    <w:rsid w:val="0081000F"/>
    <w:rsid w:val="0081264E"/>
    <w:rsid w:val="00812A1A"/>
    <w:rsid w:val="00812DFF"/>
    <w:rsid w:val="0081383A"/>
    <w:rsid w:val="00814DE6"/>
    <w:rsid w:val="00814FC7"/>
    <w:rsid w:val="00816146"/>
    <w:rsid w:val="00816FE0"/>
    <w:rsid w:val="00817416"/>
    <w:rsid w:val="00817583"/>
    <w:rsid w:val="00817FAD"/>
    <w:rsid w:val="00821306"/>
    <w:rsid w:val="00821D85"/>
    <w:rsid w:val="0082207E"/>
    <w:rsid w:val="00823FFD"/>
    <w:rsid w:val="0082427D"/>
    <w:rsid w:val="0082646C"/>
    <w:rsid w:val="00830052"/>
    <w:rsid w:val="008300D0"/>
    <w:rsid w:val="0083257C"/>
    <w:rsid w:val="00833307"/>
    <w:rsid w:val="00833583"/>
    <w:rsid w:val="00833B5B"/>
    <w:rsid w:val="00833E9A"/>
    <w:rsid w:val="00834FEF"/>
    <w:rsid w:val="00836323"/>
    <w:rsid w:val="008366FE"/>
    <w:rsid w:val="008404AA"/>
    <w:rsid w:val="00841F29"/>
    <w:rsid w:val="00842A0D"/>
    <w:rsid w:val="008460D2"/>
    <w:rsid w:val="00850013"/>
    <w:rsid w:val="008500DD"/>
    <w:rsid w:val="00851F4D"/>
    <w:rsid w:val="00852426"/>
    <w:rsid w:val="00852FA5"/>
    <w:rsid w:val="0085476F"/>
    <w:rsid w:val="0085562D"/>
    <w:rsid w:val="00856154"/>
    <w:rsid w:val="00856286"/>
    <w:rsid w:val="008576B0"/>
    <w:rsid w:val="00861948"/>
    <w:rsid w:val="00862011"/>
    <w:rsid w:val="0086213D"/>
    <w:rsid w:val="00862410"/>
    <w:rsid w:val="0086290B"/>
    <w:rsid w:val="00862A15"/>
    <w:rsid w:val="00862D8E"/>
    <w:rsid w:val="00862EF2"/>
    <w:rsid w:val="00866453"/>
    <w:rsid w:val="0086707F"/>
    <w:rsid w:val="00867501"/>
    <w:rsid w:val="0087099A"/>
    <w:rsid w:val="00871333"/>
    <w:rsid w:val="00873128"/>
    <w:rsid w:val="00873AAC"/>
    <w:rsid w:val="00873C61"/>
    <w:rsid w:val="008749BF"/>
    <w:rsid w:val="00875542"/>
    <w:rsid w:val="00875E14"/>
    <w:rsid w:val="0087677E"/>
    <w:rsid w:val="0087712C"/>
    <w:rsid w:val="00877C5D"/>
    <w:rsid w:val="0088093C"/>
    <w:rsid w:val="00882474"/>
    <w:rsid w:val="008824DF"/>
    <w:rsid w:val="00884371"/>
    <w:rsid w:val="00884D47"/>
    <w:rsid w:val="00887392"/>
    <w:rsid w:val="00890C40"/>
    <w:rsid w:val="008911F7"/>
    <w:rsid w:val="00893F41"/>
    <w:rsid w:val="00894BBD"/>
    <w:rsid w:val="00894C79"/>
    <w:rsid w:val="0089558A"/>
    <w:rsid w:val="008972B6"/>
    <w:rsid w:val="008977E1"/>
    <w:rsid w:val="008A2F5A"/>
    <w:rsid w:val="008A47CE"/>
    <w:rsid w:val="008A5CBF"/>
    <w:rsid w:val="008A6BAE"/>
    <w:rsid w:val="008A7350"/>
    <w:rsid w:val="008B16E6"/>
    <w:rsid w:val="008B2042"/>
    <w:rsid w:val="008B25F1"/>
    <w:rsid w:val="008B3737"/>
    <w:rsid w:val="008B3F4B"/>
    <w:rsid w:val="008B69B8"/>
    <w:rsid w:val="008C094A"/>
    <w:rsid w:val="008C1570"/>
    <w:rsid w:val="008C2059"/>
    <w:rsid w:val="008C58E7"/>
    <w:rsid w:val="008C65F4"/>
    <w:rsid w:val="008C7368"/>
    <w:rsid w:val="008D0E65"/>
    <w:rsid w:val="008D1FAF"/>
    <w:rsid w:val="008D2259"/>
    <w:rsid w:val="008D33FE"/>
    <w:rsid w:val="008D3B9F"/>
    <w:rsid w:val="008D3D02"/>
    <w:rsid w:val="008D54C0"/>
    <w:rsid w:val="008D5760"/>
    <w:rsid w:val="008D5ED9"/>
    <w:rsid w:val="008D7567"/>
    <w:rsid w:val="008E0BEC"/>
    <w:rsid w:val="008E1C24"/>
    <w:rsid w:val="008E2626"/>
    <w:rsid w:val="008E27A9"/>
    <w:rsid w:val="008E323C"/>
    <w:rsid w:val="008E35A6"/>
    <w:rsid w:val="008E3A5C"/>
    <w:rsid w:val="008E3A9A"/>
    <w:rsid w:val="008E429E"/>
    <w:rsid w:val="008E5452"/>
    <w:rsid w:val="008E7EAE"/>
    <w:rsid w:val="008F2F11"/>
    <w:rsid w:val="008F33A6"/>
    <w:rsid w:val="008F35EC"/>
    <w:rsid w:val="008F4FE8"/>
    <w:rsid w:val="008F4FED"/>
    <w:rsid w:val="008F6200"/>
    <w:rsid w:val="008F62F8"/>
    <w:rsid w:val="008F7292"/>
    <w:rsid w:val="009000F2"/>
    <w:rsid w:val="0090079D"/>
    <w:rsid w:val="00900D2C"/>
    <w:rsid w:val="00901F0E"/>
    <w:rsid w:val="0090408F"/>
    <w:rsid w:val="0090446A"/>
    <w:rsid w:val="00904DC3"/>
    <w:rsid w:val="00905469"/>
    <w:rsid w:val="0090629C"/>
    <w:rsid w:val="009065C6"/>
    <w:rsid w:val="00906EA2"/>
    <w:rsid w:val="00907278"/>
    <w:rsid w:val="009128B8"/>
    <w:rsid w:val="00915679"/>
    <w:rsid w:val="009159C2"/>
    <w:rsid w:val="009175AF"/>
    <w:rsid w:val="00920A06"/>
    <w:rsid w:val="009221CB"/>
    <w:rsid w:val="00922320"/>
    <w:rsid w:val="00923643"/>
    <w:rsid w:val="009261DB"/>
    <w:rsid w:val="0092623E"/>
    <w:rsid w:val="00931C63"/>
    <w:rsid w:val="00931D10"/>
    <w:rsid w:val="0093386D"/>
    <w:rsid w:val="00935194"/>
    <w:rsid w:val="0094015D"/>
    <w:rsid w:val="009441DB"/>
    <w:rsid w:val="0094424D"/>
    <w:rsid w:val="0094568E"/>
    <w:rsid w:val="0094633F"/>
    <w:rsid w:val="009468C5"/>
    <w:rsid w:val="00947BA5"/>
    <w:rsid w:val="009504B5"/>
    <w:rsid w:val="00950805"/>
    <w:rsid w:val="009518D4"/>
    <w:rsid w:val="009520BC"/>
    <w:rsid w:val="00953573"/>
    <w:rsid w:val="00957499"/>
    <w:rsid w:val="00957ED2"/>
    <w:rsid w:val="0096049C"/>
    <w:rsid w:val="00960DE4"/>
    <w:rsid w:val="00961A4F"/>
    <w:rsid w:val="00963F03"/>
    <w:rsid w:val="00964007"/>
    <w:rsid w:val="009643F4"/>
    <w:rsid w:val="00964F5A"/>
    <w:rsid w:val="00966AD2"/>
    <w:rsid w:val="00967FC5"/>
    <w:rsid w:val="009716D8"/>
    <w:rsid w:val="00971F54"/>
    <w:rsid w:val="00972057"/>
    <w:rsid w:val="0097227B"/>
    <w:rsid w:val="0097262E"/>
    <w:rsid w:val="00974022"/>
    <w:rsid w:val="0097564A"/>
    <w:rsid w:val="0097710D"/>
    <w:rsid w:val="009772F2"/>
    <w:rsid w:val="009778CF"/>
    <w:rsid w:val="009810BE"/>
    <w:rsid w:val="009819A7"/>
    <w:rsid w:val="009851F5"/>
    <w:rsid w:val="0098534B"/>
    <w:rsid w:val="0098764E"/>
    <w:rsid w:val="00987D58"/>
    <w:rsid w:val="009906D4"/>
    <w:rsid w:val="00990EB7"/>
    <w:rsid w:val="00990F5F"/>
    <w:rsid w:val="00993135"/>
    <w:rsid w:val="00993AC7"/>
    <w:rsid w:val="00997044"/>
    <w:rsid w:val="0099792B"/>
    <w:rsid w:val="009A106B"/>
    <w:rsid w:val="009A2B9F"/>
    <w:rsid w:val="009A2BF3"/>
    <w:rsid w:val="009A3C3E"/>
    <w:rsid w:val="009A7E7C"/>
    <w:rsid w:val="009B2BF1"/>
    <w:rsid w:val="009B3564"/>
    <w:rsid w:val="009B3D38"/>
    <w:rsid w:val="009B7505"/>
    <w:rsid w:val="009C0020"/>
    <w:rsid w:val="009C19FC"/>
    <w:rsid w:val="009C242F"/>
    <w:rsid w:val="009C27F7"/>
    <w:rsid w:val="009C3BC4"/>
    <w:rsid w:val="009C424E"/>
    <w:rsid w:val="009C4708"/>
    <w:rsid w:val="009C4870"/>
    <w:rsid w:val="009C4C4E"/>
    <w:rsid w:val="009C4D37"/>
    <w:rsid w:val="009C4D3B"/>
    <w:rsid w:val="009C5455"/>
    <w:rsid w:val="009C574C"/>
    <w:rsid w:val="009C5753"/>
    <w:rsid w:val="009C620F"/>
    <w:rsid w:val="009C7F2B"/>
    <w:rsid w:val="009D1654"/>
    <w:rsid w:val="009D1BDB"/>
    <w:rsid w:val="009D24D5"/>
    <w:rsid w:val="009D2F9C"/>
    <w:rsid w:val="009D4E4A"/>
    <w:rsid w:val="009D5130"/>
    <w:rsid w:val="009D6081"/>
    <w:rsid w:val="009D678C"/>
    <w:rsid w:val="009D7BC7"/>
    <w:rsid w:val="009D7FAC"/>
    <w:rsid w:val="009E0342"/>
    <w:rsid w:val="009E09AB"/>
    <w:rsid w:val="009E19BB"/>
    <w:rsid w:val="009E38D1"/>
    <w:rsid w:val="009E5701"/>
    <w:rsid w:val="009E5711"/>
    <w:rsid w:val="009E6249"/>
    <w:rsid w:val="009E6D26"/>
    <w:rsid w:val="009E758E"/>
    <w:rsid w:val="009E7A4C"/>
    <w:rsid w:val="009E7D6B"/>
    <w:rsid w:val="009F1109"/>
    <w:rsid w:val="009F2EDB"/>
    <w:rsid w:val="009F2F52"/>
    <w:rsid w:val="009F56C0"/>
    <w:rsid w:val="009F5C76"/>
    <w:rsid w:val="00A00E00"/>
    <w:rsid w:val="00A01221"/>
    <w:rsid w:val="00A012A8"/>
    <w:rsid w:val="00A016FF"/>
    <w:rsid w:val="00A0207F"/>
    <w:rsid w:val="00A04337"/>
    <w:rsid w:val="00A044AA"/>
    <w:rsid w:val="00A04D99"/>
    <w:rsid w:val="00A078F6"/>
    <w:rsid w:val="00A102F8"/>
    <w:rsid w:val="00A10A20"/>
    <w:rsid w:val="00A116AC"/>
    <w:rsid w:val="00A117D5"/>
    <w:rsid w:val="00A131F5"/>
    <w:rsid w:val="00A133C1"/>
    <w:rsid w:val="00A13F2D"/>
    <w:rsid w:val="00A14225"/>
    <w:rsid w:val="00A14F81"/>
    <w:rsid w:val="00A1535F"/>
    <w:rsid w:val="00A15CB1"/>
    <w:rsid w:val="00A15E84"/>
    <w:rsid w:val="00A16021"/>
    <w:rsid w:val="00A16F3E"/>
    <w:rsid w:val="00A22C3E"/>
    <w:rsid w:val="00A22C4D"/>
    <w:rsid w:val="00A24EA9"/>
    <w:rsid w:val="00A254AB"/>
    <w:rsid w:val="00A266CC"/>
    <w:rsid w:val="00A26DB4"/>
    <w:rsid w:val="00A3023E"/>
    <w:rsid w:val="00A305C5"/>
    <w:rsid w:val="00A30919"/>
    <w:rsid w:val="00A31FD2"/>
    <w:rsid w:val="00A33A02"/>
    <w:rsid w:val="00A33BDB"/>
    <w:rsid w:val="00A341AB"/>
    <w:rsid w:val="00A355F9"/>
    <w:rsid w:val="00A35AA9"/>
    <w:rsid w:val="00A364BC"/>
    <w:rsid w:val="00A3786A"/>
    <w:rsid w:val="00A402ED"/>
    <w:rsid w:val="00A40685"/>
    <w:rsid w:val="00A41123"/>
    <w:rsid w:val="00A41819"/>
    <w:rsid w:val="00A41C9A"/>
    <w:rsid w:val="00A42F49"/>
    <w:rsid w:val="00A433DA"/>
    <w:rsid w:val="00A433E8"/>
    <w:rsid w:val="00A44A45"/>
    <w:rsid w:val="00A4534D"/>
    <w:rsid w:val="00A46C6D"/>
    <w:rsid w:val="00A472B8"/>
    <w:rsid w:val="00A502F5"/>
    <w:rsid w:val="00A504F4"/>
    <w:rsid w:val="00A51577"/>
    <w:rsid w:val="00A51B47"/>
    <w:rsid w:val="00A526CE"/>
    <w:rsid w:val="00A54DC0"/>
    <w:rsid w:val="00A550C9"/>
    <w:rsid w:val="00A55228"/>
    <w:rsid w:val="00A55896"/>
    <w:rsid w:val="00A564DE"/>
    <w:rsid w:val="00A61B91"/>
    <w:rsid w:val="00A63335"/>
    <w:rsid w:val="00A63685"/>
    <w:rsid w:val="00A63DDD"/>
    <w:rsid w:val="00A66473"/>
    <w:rsid w:val="00A66E28"/>
    <w:rsid w:val="00A70590"/>
    <w:rsid w:val="00A71542"/>
    <w:rsid w:val="00A71FA0"/>
    <w:rsid w:val="00A72C1A"/>
    <w:rsid w:val="00A74021"/>
    <w:rsid w:val="00A7463E"/>
    <w:rsid w:val="00A765B1"/>
    <w:rsid w:val="00A772F2"/>
    <w:rsid w:val="00A77828"/>
    <w:rsid w:val="00A8073D"/>
    <w:rsid w:val="00A807A2"/>
    <w:rsid w:val="00A80D02"/>
    <w:rsid w:val="00A812A8"/>
    <w:rsid w:val="00A82D32"/>
    <w:rsid w:val="00A82EAE"/>
    <w:rsid w:val="00A839DC"/>
    <w:rsid w:val="00A84BA2"/>
    <w:rsid w:val="00A84F27"/>
    <w:rsid w:val="00A8519C"/>
    <w:rsid w:val="00A8733A"/>
    <w:rsid w:val="00A87669"/>
    <w:rsid w:val="00A90B66"/>
    <w:rsid w:val="00A91D4B"/>
    <w:rsid w:val="00A920B2"/>
    <w:rsid w:val="00A92A96"/>
    <w:rsid w:val="00A92AF0"/>
    <w:rsid w:val="00A930F2"/>
    <w:rsid w:val="00A937D5"/>
    <w:rsid w:val="00A93C70"/>
    <w:rsid w:val="00A94700"/>
    <w:rsid w:val="00A970CE"/>
    <w:rsid w:val="00A974A9"/>
    <w:rsid w:val="00A974ED"/>
    <w:rsid w:val="00A97718"/>
    <w:rsid w:val="00AA08F3"/>
    <w:rsid w:val="00AA0F23"/>
    <w:rsid w:val="00AA1DA8"/>
    <w:rsid w:val="00AA238E"/>
    <w:rsid w:val="00AA2EB9"/>
    <w:rsid w:val="00AA3243"/>
    <w:rsid w:val="00AA388F"/>
    <w:rsid w:val="00AA4F6D"/>
    <w:rsid w:val="00AA536B"/>
    <w:rsid w:val="00AA57D7"/>
    <w:rsid w:val="00AA5A6F"/>
    <w:rsid w:val="00AA5C40"/>
    <w:rsid w:val="00AA6BB8"/>
    <w:rsid w:val="00AA7519"/>
    <w:rsid w:val="00AB02EA"/>
    <w:rsid w:val="00AB22BF"/>
    <w:rsid w:val="00AB256E"/>
    <w:rsid w:val="00AB32AD"/>
    <w:rsid w:val="00AB3466"/>
    <w:rsid w:val="00AB3BBB"/>
    <w:rsid w:val="00AB408C"/>
    <w:rsid w:val="00AB460E"/>
    <w:rsid w:val="00AB5030"/>
    <w:rsid w:val="00AB759A"/>
    <w:rsid w:val="00AB7B06"/>
    <w:rsid w:val="00AB7EAA"/>
    <w:rsid w:val="00AC0432"/>
    <w:rsid w:val="00AC4094"/>
    <w:rsid w:val="00AC42B6"/>
    <w:rsid w:val="00AC4AB7"/>
    <w:rsid w:val="00AC60EC"/>
    <w:rsid w:val="00AC6CD9"/>
    <w:rsid w:val="00AC6CE3"/>
    <w:rsid w:val="00AD2679"/>
    <w:rsid w:val="00AD3F3C"/>
    <w:rsid w:val="00AD5F0A"/>
    <w:rsid w:val="00AD6741"/>
    <w:rsid w:val="00AD6B4F"/>
    <w:rsid w:val="00AD7CFA"/>
    <w:rsid w:val="00AE11C1"/>
    <w:rsid w:val="00AE163D"/>
    <w:rsid w:val="00AE1C5C"/>
    <w:rsid w:val="00AE2918"/>
    <w:rsid w:val="00AE315E"/>
    <w:rsid w:val="00AE31D9"/>
    <w:rsid w:val="00AE3CF0"/>
    <w:rsid w:val="00AE4337"/>
    <w:rsid w:val="00AE52E7"/>
    <w:rsid w:val="00AE71EE"/>
    <w:rsid w:val="00AF03CF"/>
    <w:rsid w:val="00AF06B6"/>
    <w:rsid w:val="00AF0A0A"/>
    <w:rsid w:val="00AF1ED2"/>
    <w:rsid w:val="00AF1F4E"/>
    <w:rsid w:val="00AF3557"/>
    <w:rsid w:val="00AF4CEE"/>
    <w:rsid w:val="00AF5D84"/>
    <w:rsid w:val="00AF672C"/>
    <w:rsid w:val="00AF6D69"/>
    <w:rsid w:val="00AF6F5E"/>
    <w:rsid w:val="00B00378"/>
    <w:rsid w:val="00B00E41"/>
    <w:rsid w:val="00B018BD"/>
    <w:rsid w:val="00B04678"/>
    <w:rsid w:val="00B04A04"/>
    <w:rsid w:val="00B04F00"/>
    <w:rsid w:val="00B05A66"/>
    <w:rsid w:val="00B05EFD"/>
    <w:rsid w:val="00B066FE"/>
    <w:rsid w:val="00B06912"/>
    <w:rsid w:val="00B10971"/>
    <w:rsid w:val="00B10B04"/>
    <w:rsid w:val="00B10CC6"/>
    <w:rsid w:val="00B12082"/>
    <w:rsid w:val="00B13389"/>
    <w:rsid w:val="00B1364C"/>
    <w:rsid w:val="00B141A5"/>
    <w:rsid w:val="00B15286"/>
    <w:rsid w:val="00B1550D"/>
    <w:rsid w:val="00B1631F"/>
    <w:rsid w:val="00B163E8"/>
    <w:rsid w:val="00B1767E"/>
    <w:rsid w:val="00B203B6"/>
    <w:rsid w:val="00B203CE"/>
    <w:rsid w:val="00B21676"/>
    <w:rsid w:val="00B241D5"/>
    <w:rsid w:val="00B26677"/>
    <w:rsid w:val="00B26C57"/>
    <w:rsid w:val="00B274E3"/>
    <w:rsid w:val="00B27B92"/>
    <w:rsid w:val="00B30563"/>
    <w:rsid w:val="00B30A76"/>
    <w:rsid w:val="00B3412E"/>
    <w:rsid w:val="00B356B8"/>
    <w:rsid w:val="00B37B8E"/>
    <w:rsid w:val="00B40222"/>
    <w:rsid w:val="00B404C3"/>
    <w:rsid w:val="00B40BA6"/>
    <w:rsid w:val="00B43381"/>
    <w:rsid w:val="00B448BF"/>
    <w:rsid w:val="00B45F9F"/>
    <w:rsid w:val="00B4627C"/>
    <w:rsid w:val="00B46793"/>
    <w:rsid w:val="00B46953"/>
    <w:rsid w:val="00B46A7F"/>
    <w:rsid w:val="00B47A59"/>
    <w:rsid w:val="00B51520"/>
    <w:rsid w:val="00B5169E"/>
    <w:rsid w:val="00B517C2"/>
    <w:rsid w:val="00B518CE"/>
    <w:rsid w:val="00B52234"/>
    <w:rsid w:val="00B53623"/>
    <w:rsid w:val="00B536F5"/>
    <w:rsid w:val="00B53E98"/>
    <w:rsid w:val="00B5634D"/>
    <w:rsid w:val="00B56ECA"/>
    <w:rsid w:val="00B57093"/>
    <w:rsid w:val="00B60613"/>
    <w:rsid w:val="00B616E6"/>
    <w:rsid w:val="00B630F2"/>
    <w:rsid w:val="00B63E7A"/>
    <w:rsid w:val="00B65582"/>
    <w:rsid w:val="00B66054"/>
    <w:rsid w:val="00B672EA"/>
    <w:rsid w:val="00B6747B"/>
    <w:rsid w:val="00B70200"/>
    <w:rsid w:val="00B72CF0"/>
    <w:rsid w:val="00B740F6"/>
    <w:rsid w:val="00B74615"/>
    <w:rsid w:val="00B75035"/>
    <w:rsid w:val="00B755B6"/>
    <w:rsid w:val="00B76B55"/>
    <w:rsid w:val="00B804F8"/>
    <w:rsid w:val="00B815D3"/>
    <w:rsid w:val="00B83E76"/>
    <w:rsid w:val="00B8506D"/>
    <w:rsid w:val="00B86289"/>
    <w:rsid w:val="00B8742F"/>
    <w:rsid w:val="00B87F1C"/>
    <w:rsid w:val="00B91B61"/>
    <w:rsid w:val="00B93849"/>
    <w:rsid w:val="00B944E9"/>
    <w:rsid w:val="00B94896"/>
    <w:rsid w:val="00B949D8"/>
    <w:rsid w:val="00B94CDD"/>
    <w:rsid w:val="00B965F4"/>
    <w:rsid w:val="00B96F52"/>
    <w:rsid w:val="00B97C76"/>
    <w:rsid w:val="00BA07F3"/>
    <w:rsid w:val="00BA15DC"/>
    <w:rsid w:val="00BA1ED9"/>
    <w:rsid w:val="00BA2C82"/>
    <w:rsid w:val="00BA2E8A"/>
    <w:rsid w:val="00BA583B"/>
    <w:rsid w:val="00BA5EC7"/>
    <w:rsid w:val="00BA6319"/>
    <w:rsid w:val="00BA63CE"/>
    <w:rsid w:val="00BA6551"/>
    <w:rsid w:val="00BA6791"/>
    <w:rsid w:val="00BA7227"/>
    <w:rsid w:val="00BA7CD7"/>
    <w:rsid w:val="00BA7D1F"/>
    <w:rsid w:val="00BB2E4E"/>
    <w:rsid w:val="00BB2E62"/>
    <w:rsid w:val="00BB36C9"/>
    <w:rsid w:val="00BB5886"/>
    <w:rsid w:val="00BB7EC0"/>
    <w:rsid w:val="00BC0A5A"/>
    <w:rsid w:val="00BC0B2F"/>
    <w:rsid w:val="00BC0E64"/>
    <w:rsid w:val="00BC0F07"/>
    <w:rsid w:val="00BC25D1"/>
    <w:rsid w:val="00BC3BCB"/>
    <w:rsid w:val="00BC427C"/>
    <w:rsid w:val="00BC428A"/>
    <w:rsid w:val="00BC4C40"/>
    <w:rsid w:val="00BC5BAD"/>
    <w:rsid w:val="00BC76C5"/>
    <w:rsid w:val="00BD138A"/>
    <w:rsid w:val="00BD164A"/>
    <w:rsid w:val="00BD2B4D"/>
    <w:rsid w:val="00BD2DAE"/>
    <w:rsid w:val="00BD2FB9"/>
    <w:rsid w:val="00BD31C2"/>
    <w:rsid w:val="00BD450A"/>
    <w:rsid w:val="00BD4717"/>
    <w:rsid w:val="00BD48BC"/>
    <w:rsid w:val="00BD48EA"/>
    <w:rsid w:val="00BD4BA8"/>
    <w:rsid w:val="00BD6B0E"/>
    <w:rsid w:val="00BD7941"/>
    <w:rsid w:val="00BE0C55"/>
    <w:rsid w:val="00BE11A2"/>
    <w:rsid w:val="00BE246C"/>
    <w:rsid w:val="00BE2657"/>
    <w:rsid w:val="00BE37AE"/>
    <w:rsid w:val="00BE73C3"/>
    <w:rsid w:val="00BF03C0"/>
    <w:rsid w:val="00BF21D4"/>
    <w:rsid w:val="00BF4A15"/>
    <w:rsid w:val="00BF4E27"/>
    <w:rsid w:val="00BF6D77"/>
    <w:rsid w:val="00C0378E"/>
    <w:rsid w:val="00C04258"/>
    <w:rsid w:val="00C05AFD"/>
    <w:rsid w:val="00C0724C"/>
    <w:rsid w:val="00C07AEF"/>
    <w:rsid w:val="00C07C11"/>
    <w:rsid w:val="00C10015"/>
    <w:rsid w:val="00C12ECB"/>
    <w:rsid w:val="00C1373A"/>
    <w:rsid w:val="00C13AD4"/>
    <w:rsid w:val="00C14ABD"/>
    <w:rsid w:val="00C151E0"/>
    <w:rsid w:val="00C20051"/>
    <w:rsid w:val="00C20B86"/>
    <w:rsid w:val="00C21145"/>
    <w:rsid w:val="00C239A8"/>
    <w:rsid w:val="00C24381"/>
    <w:rsid w:val="00C249D9"/>
    <w:rsid w:val="00C24C2E"/>
    <w:rsid w:val="00C24C7A"/>
    <w:rsid w:val="00C24FFB"/>
    <w:rsid w:val="00C25CFF"/>
    <w:rsid w:val="00C261C1"/>
    <w:rsid w:val="00C30B0B"/>
    <w:rsid w:val="00C31339"/>
    <w:rsid w:val="00C332D4"/>
    <w:rsid w:val="00C33E51"/>
    <w:rsid w:val="00C34848"/>
    <w:rsid w:val="00C349B4"/>
    <w:rsid w:val="00C34C47"/>
    <w:rsid w:val="00C368F9"/>
    <w:rsid w:val="00C405C8"/>
    <w:rsid w:val="00C41E09"/>
    <w:rsid w:val="00C4360C"/>
    <w:rsid w:val="00C4414C"/>
    <w:rsid w:val="00C452DC"/>
    <w:rsid w:val="00C46564"/>
    <w:rsid w:val="00C50A02"/>
    <w:rsid w:val="00C512D1"/>
    <w:rsid w:val="00C51856"/>
    <w:rsid w:val="00C51B5E"/>
    <w:rsid w:val="00C5518B"/>
    <w:rsid w:val="00C5531B"/>
    <w:rsid w:val="00C55375"/>
    <w:rsid w:val="00C57120"/>
    <w:rsid w:val="00C575D4"/>
    <w:rsid w:val="00C57873"/>
    <w:rsid w:val="00C61246"/>
    <w:rsid w:val="00C634F9"/>
    <w:rsid w:val="00C64534"/>
    <w:rsid w:val="00C64767"/>
    <w:rsid w:val="00C65200"/>
    <w:rsid w:val="00C655E0"/>
    <w:rsid w:val="00C65649"/>
    <w:rsid w:val="00C665DE"/>
    <w:rsid w:val="00C667C3"/>
    <w:rsid w:val="00C6728B"/>
    <w:rsid w:val="00C71528"/>
    <w:rsid w:val="00C71F09"/>
    <w:rsid w:val="00C72588"/>
    <w:rsid w:val="00C727B9"/>
    <w:rsid w:val="00C73670"/>
    <w:rsid w:val="00C73DE0"/>
    <w:rsid w:val="00C741D9"/>
    <w:rsid w:val="00C74609"/>
    <w:rsid w:val="00C749AB"/>
    <w:rsid w:val="00C75A8F"/>
    <w:rsid w:val="00C81716"/>
    <w:rsid w:val="00C82795"/>
    <w:rsid w:val="00C832CB"/>
    <w:rsid w:val="00C84085"/>
    <w:rsid w:val="00C8722F"/>
    <w:rsid w:val="00C8779E"/>
    <w:rsid w:val="00C87850"/>
    <w:rsid w:val="00C87BD0"/>
    <w:rsid w:val="00C90B95"/>
    <w:rsid w:val="00C90CA9"/>
    <w:rsid w:val="00C921F7"/>
    <w:rsid w:val="00C9354F"/>
    <w:rsid w:val="00C93B40"/>
    <w:rsid w:val="00C93D48"/>
    <w:rsid w:val="00C93DB5"/>
    <w:rsid w:val="00C97DD7"/>
    <w:rsid w:val="00CA0492"/>
    <w:rsid w:val="00CA0A04"/>
    <w:rsid w:val="00CA3CAB"/>
    <w:rsid w:val="00CA6A2E"/>
    <w:rsid w:val="00CB52A4"/>
    <w:rsid w:val="00CB537C"/>
    <w:rsid w:val="00CB6675"/>
    <w:rsid w:val="00CC0915"/>
    <w:rsid w:val="00CC1AF5"/>
    <w:rsid w:val="00CC1B74"/>
    <w:rsid w:val="00CC2EB0"/>
    <w:rsid w:val="00CC2F38"/>
    <w:rsid w:val="00CC44F5"/>
    <w:rsid w:val="00CC5F95"/>
    <w:rsid w:val="00CD1255"/>
    <w:rsid w:val="00CD1484"/>
    <w:rsid w:val="00CD1892"/>
    <w:rsid w:val="00CD1D00"/>
    <w:rsid w:val="00CD26B8"/>
    <w:rsid w:val="00CD2A82"/>
    <w:rsid w:val="00CD32C2"/>
    <w:rsid w:val="00CD347C"/>
    <w:rsid w:val="00CD3CAB"/>
    <w:rsid w:val="00CD3FF0"/>
    <w:rsid w:val="00CD4E50"/>
    <w:rsid w:val="00CD64E1"/>
    <w:rsid w:val="00CD699D"/>
    <w:rsid w:val="00CD701B"/>
    <w:rsid w:val="00CD70DB"/>
    <w:rsid w:val="00CD7466"/>
    <w:rsid w:val="00CD7C49"/>
    <w:rsid w:val="00CE2E2E"/>
    <w:rsid w:val="00CE3A51"/>
    <w:rsid w:val="00CE59F6"/>
    <w:rsid w:val="00CE5C2F"/>
    <w:rsid w:val="00CE71C3"/>
    <w:rsid w:val="00CE7ECB"/>
    <w:rsid w:val="00CF0AF0"/>
    <w:rsid w:val="00CF1834"/>
    <w:rsid w:val="00CF2ACF"/>
    <w:rsid w:val="00CF345B"/>
    <w:rsid w:val="00CF475F"/>
    <w:rsid w:val="00CF5069"/>
    <w:rsid w:val="00CF69E1"/>
    <w:rsid w:val="00D0336E"/>
    <w:rsid w:val="00D04F01"/>
    <w:rsid w:val="00D04F8B"/>
    <w:rsid w:val="00D054EF"/>
    <w:rsid w:val="00D05637"/>
    <w:rsid w:val="00D05BA9"/>
    <w:rsid w:val="00D06E71"/>
    <w:rsid w:val="00D0764E"/>
    <w:rsid w:val="00D07D82"/>
    <w:rsid w:val="00D10BE1"/>
    <w:rsid w:val="00D11FE3"/>
    <w:rsid w:val="00D13D50"/>
    <w:rsid w:val="00D14919"/>
    <w:rsid w:val="00D14E25"/>
    <w:rsid w:val="00D152D6"/>
    <w:rsid w:val="00D16525"/>
    <w:rsid w:val="00D165D8"/>
    <w:rsid w:val="00D1724E"/>
    <w:rsid w:val="00D17C81"/>
    <w:rsid w:val="00D206F6"/>
    <w:rsid w:val="00D237E0"/>
    <w:rsid w:val="00D25676"/>
    <w:rsid w:val="00D25F78"/>
    <w:rsid w:val="00D27129"/>
    <w:rsid w:val="00D2738C"/>
    <w:rsid w:val="00D279E7"/>
    <w:rsid w:val="00D3046D"/>
    <w:rsid w:val="00D31B07"/>
    <w:rsid w:val="00D32FA0"/>
    <w:rsid w:val="00D33112"/>
    <w:rsid w:val="00D331CB"/>
    <w:rsid w:val="00D3426E"/>
    <w:rsid w:val="00D40217"/>
    <w:rsid w:val="00D40385"/>
    <w:rsid w:val="00D404CE"/>
    <w:rsid w:val="00D417C6"/>
    <w:rsid w:val="00D43FAE"/>
    <w:rsid w:val="00D44259"/>
    <w:rsid w:val="00D44895"/>
    <w:rsid w:val="00D5064C"/>
    <w:rsid w:val="00D5098E"/>
    <w:rsid w:val="00D51B02"/>
    <w:rsid w:val="00D539DA"/>
    <w:rsid w:val="00D55C81"/>
    <w:rsid w:val="00D56B56"/>
    <w:rsid w:val="00D56BF5"/>
    <w:rsid w:val="00D56F99"/>
    <w:rsid w:val="00D5743F"/>
    <w:rsid w:val="00D605C2"/>
    <w:rsid w:val="00D60733"/>
    <w:rsid w:val="00D61E1D"/>
    <w:rsid w:val="00D62BDF"/>
    <w:rsid w:val="00D64F1C"/>
    <w:rsid w:val="00D6570C"/>
    <w:rsid w:val="00D675B0"/>
    <w:rsid w:val="00D70552"/>
    <w:rsid w:val="00D70D42"/>
    <w:rsid w:val="00D71285"/>
    <w:rsid w:val="00D71ABC"/>
    <w:rsid w:val="00D72175"/>
    <w:rsid w:val="00D72454"/>
    <w:rsid w:val="00D72A5B"/>
    <w:rsid w:val="00D73F06"/>
    <w:rsid w:val="00D74160"/>
    <w:rsid w:val="00D74247"/>
    <w:rsid w:val="00D753A9"/>
    <w:rsid w:val="00D804C5"/>
    <w:rsid w:val="00D81A28"/>
    <w:rsid w:val="00D82AB8"/>
    <w:rsid w:val="00D82B00"/>
    <w:rsid w:val="00D82BE4"/>
    <w:rsid w:val="00D82E05"/>
    <w:rsid w:val="00D82F67"/>
    <w:rsid w:val="00D83A05"/>
    <w:rsid w:val="00D83C0D"/>
    <w:rsid w:val="00D869C1"/>
    <w:rsid w:val="00D86EC6"/>
    <w:rsid w:val="00D87418"/>
    <w:rsid w:val="00D87FE6"/>
    <w:rsid w:val="00D90BC3"/>
    <w:rsid w:val="00D90DB9"/>
    <w:rsid w:val="00D91337"/>
    <w:rsid w:val="00D915C9"/>
    <w:rsid w:val="00D9198F"/>
    <w:rsid w:val="00D92A87"/>
    <w:rsid w:val="00D9384E"/>
    <w:rsid w:val="00D94C8D"/>
    <w:rsid w:val="00D95AEB"/>
    <w:rsid w:val="00D96876"/>
    <w:rsid w:val="00D96B12"/>
    <w:rsid w:val="00D96F59"/>
    <w:rsid w:val="00DA061C"/>
    <w:rsid w:val="00DA099C"/>
    <w:rsid w:val="00DA2125"/>
    <w:rsid w:val="00DA24DE"/>
    <w:rsid w:val="00DA281F"/>
    <w:rsid w:val="00DA289D"/>
    <w:rsid w:val="00DA3E06"/>
    <w:rsid w:val="00DA6EE2"/>
    <w:rsid w:val="00DA6FD4"/>
    <w:rsid w:val="00DA78CF"/>
    <w:rsid w:val="00DA7A89"/>
    <w:rsid w:val="00DA7BF4"/>
    <w:rsid w:val="00DA7F8B"/>
    <w:rsid w:val="00DB03E8"/>
    <w:rsid w:val="00DB08F0"/>
    <w:rsid w:val="00DB154B"/>
    <w:rsid w:val="00DB3490"/>
    <w:rsid w:val="00DB4F12"/>
    <w:rsid w:val="00DB5256"/>
    <w:rsid w:val="00DB53A2"/>
    <w:rsid w:val="00DB6F96"/>
    <w:rsid w:val="00DB71B9"/>
    <w:rsid w:val="00DC0B56"/>
    <w:rsid w:val="00DC1395"/>
    <w:rsid w:val="00DC1BCB"/>
    <w:rsid w:val="00DC32FC"/>
    <w:rsid w:val="00DC43C4"/>
    <w:rsid w:val="00DC4F47"/>
    <w:rsid w:val="00DC6747"/>
    <w:rsid w:val="00DC6AF3"/>
    <w:rsid w:val="00DC740D"/>
    <w:rsid w:val="00DC7608"/>
    <w:rsid w:val="00DC761E"/>
    <w:rsid w:val="00DC7CFC"/>
    <w:rsid w:val="00DD0090"/>
    <w:rsid w:val="00DD2C42"/>
    <w:rsid w:val="00DD4344"/>
    <w:rsid w:val="00DD5B8C"/>
    <w:rsid w:val="00DD5DFA"/>
    <w:rsid w:val="00DD67EC"/>
    <w:rsid w:val="00DD6F7F"/>
    <w:rsid w:val="00DE1A9D"/>
    <w:rsid w:val="00DE1CB1"/>
    <w:rsid w:val="00DE2073"/>
    <w:rsid w:val="00DE30AC"/>
    <w:rsid w:val="00DE368A"/>
    <w:rsid w:val="00DE3CF3"/>
    <w:rsid w:val="00DE4106"/>
    <w:rsid w:val="00DE5563"/>
    <w:rsid w:val="00DE6E4D"/>
    <w:rsid w:val="00DF05A0"/>
    <w:rsid w:val="00DF1BA8"/>
    <w:rsid w:val="00DF1F63"/>
    <w:rsid w:val="00DF25FE"/>
    <w:rsid w:val="00DF28F2"/>
    <w:rsid w:val="00DF2BFF"/>
    <w:rsid w:val="00DF4FF1"/>
    <w:rsid w:val="00DF6FD2"/>
    <w:rsid w:val="00DF7724"/>
    <w:rsid w:val="00DF7C43"/>
    <w:rsid w:val="00E00C1E"/>
    <w:rsid w:val="00E00F5F"/>
    <w:rsid w:val="00E014E7"/>
    <w:rsid w:val="00E026A9"/>
    <w:rsid w:val="00E02C24"/>
    <w:rsid w:val="00E0356F"/>
    <w:rsid w:val="00E03B42"/>
    <w:rsid w:val="00E041AA"/>
    <w:rsid w:val="00E0479F"/>
    <w:rsid w:val="00E04D6A"/>
    <w:rsid w:val="00E06100"/>
    <w:rsid w:val="00E06E97"/>
    <w:rsid w:val="00E07767"/>
    <w:rsid w:val="00E10DD1"/>
    <w:rsid w:val="00E1254C"/>
    <w:rsid w:val="00E12BDF"/>
    <w:rsid w:val="00E13326"/>
    <w:rsid w:val="00E14961"/>
    <w:rsid w:val="00E14D76"/>
    <w:rsid w:val="00E17712"/>
    <w:rsid w:val="00E20CE7"/>
    <w:rsid w:val="00E217B1"/>
    <w:rsid w:val="00E222FA"/>
    <w:rsid w:val="00E24A62"/>
    <w:rsid w:val="00E24F52"/>
    <w:rsid w:val="00E279B2"/>
    <w:rsid w:val="00E30BD5"/>
    <w:rsid w:val="00E31143"/>
    <w:rsid w:val="00E31812"/>
    <w:rsid w:val="00E3533E"/>
    <w:rsid w:val="00E35A45"/>
    <w:rsid w:val="00E43006"/>
    <w:rsid w:val="00E43551"/>
    <w:rsid w:val="00E43C59"/>
    <w:rsid w:val="00E50809"/>
    <w:rsid w:val="00E510CF"/>
    <w:rsid w:val="00E52AAB"/>
    <w:rsid w:val="00E533B0"/>
    <w:rsid w:val="00E5448E"/>
    <w:rsid w:val="00E54E0D"/>
    <w:rsid w:val="00E56795"/>
    <w:rsid w:val="00E57932"/>
    <w:rsid w:val="00E57DA3"/>
    <w:rsid w:val="00E60811"/>
    <w:rsid w:val="00E61D07"/>
    <w:rsid w:val="00E64050"/>
    <w:rsid w:val="00E6514D"/>
    <w:rsid w:val="00E65161"/>
    <w:rsid w:val="00E652C9"/>
    <w:rsid w:val="00E65700"/>
    <w:rsid w:val="00E6593B"/>
    <w:rsid w:val="00E672C6"/>
    <w:rsid w:val="00E71809"/>
    <w:rsid w:val="00E71D1E"/>
    <w:rsid w:val="00E728E2"/>
    <w:rsid w:val="00E74976"/>
    <w:rsid w:val="00E75667"/>
    <w:rsid w:val="00E756D3"/>
    <w:rsid w:val="00E769CC"/>
    <w:rsid w:val="00E80AF8"/>
    <w:rsid w:val="00E827BB"/>
    <w:rsid w:val="00E82D24"/>
    <w:rsid w:val="00E8308F"/>
    <w:rsid w:val="00E8317B"/>
    <w:rsid w:val="00E8357D"/>
    <w:rsid w:val="00E84C04"/>
    <w:rsid w:val="00E84E4F"/>
    <w:rsid w:val="00E856A2"/>
    <w:rsid w:val="00E85AD2"/>
    <w:rsid w:val="00E9036E"/>
    <w:rsid w:val="00E917B6"/>
    <w:rsid w:val="00E92D0B"/>
    <w:rsid w:val="00E93195"/>
    <w:rsid w:val="00E93F21"/>
    <w:rsid w:val="00E95C2A"/>
    <w:rsid w:val="00E963BC"/>
    <w:rsid w:val="00E97F7A"/>
    <w:rsid w:val="00EA0143"/>
    <w:rsid w:val="00EA089B"/>
    <w:rsid w:val="00EA2E21"/>
    <w:rsid w:val="00EA380C"/>
    <w:rsid w:val="00EA47B5"/>
    <w:rsid w:val="00EA7308"/>
    <w:rsid w:val="00EA7833"/>
    <w:rsid w:val="00EB089C"/>
    <w:rsid w:val="00EB0BB0"/>
    <w:rsid w:val="00EB0C65"/>
    <w:rsid w:val="00EB169F"/>
    <w:rsid w:val="00EB2961"/>
    <w:rsid w:val="00EB2E1A"/>
    <w:rsid w:val="00EB3268"/>
    <w:rsid w:val="00EB3298"/>
    <w:rsid w:val="00EB3CE6"/>
    <w:rsid w:val="00EB3E92"/>
    <w:rsid w:val="00EB68E6"/>
    <w:rsid w:val="00EB69AB"/>
    <w:rsid w:val="00EB6D1C"/>
    <w:rsid w:val="00EB7B67"/>
    <w:rsid w:val="00EC328C"/>
    <w:rsid w:val="00EC3BEC"/>
    <w:rsid w:val="00EC5241"/>
    <w:rsid w:val="00EC594C"/>
    <w:rsid w:val="00EC5C7B"/>
    <w:rsid w:val="00EC66AA"/>
    <w:rsid w:val="00EC6B8F"/>
    <w:rsid w:val="00EC7B48"/>
    <w:rsid w:val="00ED0257"/>
    <w:rsid w:val="00ED1339"/>
    <w:rsid w:val="00ED3E65"/>
    <w:rsid w:val="00ED4EDF"/>
    <w:rsid w:val="00ED517B"/>
    <w:rsid w:val="00ED5981"/>
    <w:rsid w:val="00ED66B2"/>
    <w:rsid w:val="00ED71BA"/>
    <w:rsid w:val="00ED73A1"/>
    <w:rsid w:val="00ED7CA2"/>
    <w:rsid w:val="00EE13DA"/>
    <w:rsid w:val="00EE332A"/>
    <w:rsid w:val="00EE5324"/>
    <w:rsid w:val="00EE55FA"/>
    <w:rsid w:val="00EE56E2"/>
    <w:rsid w:val="00EE6D45"/>
    <w:rsid w:val="00EE6E89"/>
    <w:rsid w:val="00EF0FE6"/>
    <w:rsid w:val="00EF11AA"/>
    <w:rsid w:val="00EF1C44"/>
    <w:rsid w:val="00EF1F9B"/>
    <w:rsid w:val="00EF2B18"/>
    <w:rsid w:val="00EF3AC4"/>
    <w:rsid w:val="00EF3BB9"/>
    <w:rsid w:val="00EF4008"/>
    <w:rsid w:val="00EF547C"/>
    <w:rsid w:val="00EF55E9"/>
    <w:rsid w:val="00EF5B41"/>
    <w:rsid w:val="00EF611C"/>
    <w:rsid w:val="00EF7462"/>
    <w:rsid w:val="00EF768D"/>
    <w:rsid w:val="00F00630"/>
    <w:rsid w:val="00F00922"/>
    <w:rsid w:val="00F011FF"/>
    <w:rsid w:val="00F01BE6"/>
    <w:rsid w:val="00F0217A"/>
    <w:rsid w:val="00F0251B"/>
    <w:rsid w:val="00F03E4C"/>
    <w:rsid w:val="00F0665D"/>
    <w:rsid w:val="00F06D42"/>
    <w:rsid w:val="00F07134"/>
    <w:rsid w:val="00F07378"/>
    <w:rsid w:val="00F10B81"/>
    <w:rsid w:val="00F11353"/>
    <w:rsid w:val="00F14CD1"/>
    <w:rsid w:val="00F15115"/>
    <w:rsid w:val="00F15D8C"/>
    <w:rsid w:val="00F16E1A"/>
    <w:rsid w:val="00F20197"/>
    <w:rsid w:val="00F20607"/>
    <w:rsid w:val="00F208BB"/>
    <w:rsid w:val="00F20D7A"/>
    <w:rsid w:val="00F210BE"/>
    <w:rsid w:val="00F211FC"/>
    <w:rsid w:val="00F21A5D"/>
    <w:rsid w:val="00F21C13"/>
    <w:rsid w:val="00F21DEA"/>
    <w:rsid w:val="00F22796"/>
    <w:rsid w:val="00F238F7"/>
    <w:rsid w:val="00F23BA0"/>
    <w:rsid w:val="00F25641"/>
    <w:rsid w:val="00F26065"/>
    <w:rsid w:val="00F30313"/>
    <w:rsid w:val="00F303BC"/>
    <w:rsid w:val="00F318A1"/>
    <w:rsid w:val="00F321DD"/>
    <w:rsid w:val="00F3265C"/>
    <w:rsid w:val="00F343EE"/>
    <w:rsid w:val="00F3547E"/>
    <w:rsid w:val="00F35494"/>
    <w:rsid w:val="00F3619D"/>
    <w:rsid w:val="00F3722A"/>
    <w:rsid w:val="00F37366"/>
    <w:rsid w:val="00F41642"/>
    <w:rsid w:val="00F419B8"/>
    <w:rsid w:val="00F41C0F"/>
    <w:rsid w:val="00F42856"/>
    <w:rsid w:val="00F43390"/>
    <w:rsid w:val="00F43EF6"/>
    <w:rsid w:val="00F4482B"/>
    <w:rsid w:val="00F44F02"/>
    <w:rsid w:val="00F4526B"/>
    <w:rsid w:val="00F462DF"/>
    <w:rsid w:val="00F4662D"/>
    <w:rsid w:val="00F468AC"/>
    <w:rsid w:val="00F47316"/>
    <w:rsid w:val="00F47507"/>
    <w:rsid w:val="00F5052D"/>
    <w:rsid w:val="00F50BF0"/>
    <w:rsid w:val="00F51A82"/>
    <w:rsid w:val="00F5254B"/>
    <w:rsid w:val="00F53A44"/>
    <w:rsid w:val="00F54B29"/>
    <w:rsid w:val="00F551DB"/>
    <w:rsid w:val="00F559BE"/>
    <w:rsid w:val="00F56417"/>
    <w:rsid w:val="00F56EE7"/>
    <w:rsid w:val="00F56FEF"/>
    <w:rsid w:val="00F57521"/>
    <w:rsid w:val="00F57AC4"/>
    <w:rsid w:val="00F60938"/>
    <w:rsid w:val="00F61606"/>
    <w:rsid w:val="00F62BD1"/>
    <w:rsid w:val="00F62CA8"/>
    <w:rsid w:val="00F63BF4"/>
    <w:rsid w:val="00F63C60"/>
    <w:rsid w:val="00F64991"/>
    <w:rsid w:val="00F65BA9"/>
    <w:rsid w:val="00F6630F"/>
    <w:rsid w:val="00F67E81"/>
    <w:rsid w:val="00F719B2"/>
    <w:rsid w:val="00F71C68"/>
    <w:rsid w:val="00F724E2"/>
    <w:rsid w:val="00F72A89"/>
    <w:rsid w:val="00F74103"/>
    <w:rsid w:val="00F7425F"/>
    <w:rsid w:val="00F75BB5"/>
    <w:rsid w:val="00F7604C"/>
    <w:rsid w:val="00F81623"/>
    <w:rsid w:val="00F81D25"/>
    <w:rsid w:val="00F83045"/>
    <w:rsid w:val="00F83615"/>
    <w:rsid w:val="00F85329"/>
    <w:rsid w:val="00F878CD"/>
    <w:rsid w:val="00F8794A"/>
    <w:rsid w:val="00F90C1F"/>
    <w:rsid w:val="00F93231"/>
    <w:rsid w:val="00F950B5"/>
    <w:rsid w:val="00F953D5"/>
    <w:rsid w:val="00F97A34"/>
    <w:rsid w:val="00F97EA1"/>
    <w:rsid w:val="00FA05C8"/>
    <w:rsid w:val="00FA0678"/>
    <w:rsid w:val="00FA107F"/>
    <w:rsid w:val="00FA23F7"/>
    <w:rsid w:val="00FA27EB"/>
    <w:rsid w:val="00FA2D00"/>
    <w:rsid w:val="00FA4117"/>
    <w:rsid w:val="00FA672F"/>
    <w:rsid w:val="00FA7792"/>
    <w:rsid w:val="00FB11FA"/>
    <w:rsid w:val="00FB18F8"/>
    <w:rsid w:val="00FB2F8E"/>
    <w:rsid w:val="00FB39B0"/>
    <w:rsid w:val="00FB5183"/>
    <w:rsid w:val="00FB5A71"/>
    <w:rsid w:val="00FB6DF2"/>
    <w:rsid w:val="00FB7823"/>
    <w:rsid w:val="00FC08B3"/>
    <w:rsid w:val="00FC09D7"/>
    <w:rsid w:val="00FC1998"/>
    <w:rsid w:val="00FC391E"/>
    <w:rsid w:val="00FC3AB7"/>
    <w:rsid w:val="00FC448A"/>
    <w:rsid w:val="00FC453D"/>
    <w:rsid w:val="00FC4A89"/>
    <w:rsid w:val="00FC665F"/>
    <w:rsid w:val="00FC6D59"/>
    <w:rsid w:val="00FC78F5"/>
    <w:rsid w:val="00FD10B3"/>
    <w:rsid w:val="00FD11C3"/>
    <w:rsid w:val="00FD154E"/>
    <w:rsid w:val="00FD3AE2"/>
    <w:rsid w:val="00FD5546"/>
    <w:rsid w:val="00FD5975"/>
    <w:rsid w:val="00FD5AE4"/>
    <w:rsid w:val="00FD5F25"/>
    <w:rsid w:val="00FD60BE"/>
    <w:rsid w:val="00FD6894"/>
    <w:rsid w:val="00FD6980"/>
    <w:rsid w:val="00FD6AF0"/>
    <w:rsid w:val="00FD79B8"/>
    <w:rsid w:val="00FE0AD1"/>
    <w:rsid w:val="00FE0BBF"/>
    <w:rsid w:val="00FE0C6C"/>
    <w:rsid w:val="00FE33DB"/>
    <w:rsid w:val="00FE37DD"/>
    <w:rsid w:val="00FE3C31"/>
    <w:rsid w:val="00FE4015"/>
    <w:rsid w:val="00FE44F5"/>
    <w:rsid w:val="00FE480D"/>
    <w:rsid w:val="00FE5CEB"/>
    <w:rsid w:val="00FE6227"/>
    <w:rsid w:val="00FF0B4F"/>
    <w:rsid w:val="00FF1AD3"/>
    <w:rsid w:val="00FF49F4"/>
    <w:rsid w:val="00FF651D"/>
    <w:rsid w:val="00FF68CA"/>
    <w:rsid w:val="010651D9"/>
    <w:rsid w:val="017B3C02"/>
    <w:rsid w:val="019B3634"/>
    <w:rsid w:val="01AA1480"/>
    <w:rsid w:val="022C2B30"/>
    <w:rsid w:val="02DA0C0E"/>
    <w:rsid w:val="03B9487A"/>
    <w:rsid w:val="03DD35E4"/>
    <w:rsid w:val="04074DA8"/>
    <w:rsid w:val="04633274"/>
    <w:rsid w:val="049D3412"/>
    <w:rsid w:val="04C74740"/>
    <w:rsid w:val="05765A5A"/>
    <w:rsid w:val="059F3847"/>
    <w:rsid w:val="05B80C59"/>
    <w:rsid w:val="065A6178"/>
    <w:rsid w:val="07506C6F"/>
    <w:rsid w:val="075562B7"/>
    <w:rsid w:val="07CF4038"/>
    <w:rsid w:val="07EF35D9"/>
    <w:rsid w:val="085A69CC"/>
    <w:rsid w:val="08844E22"/>
    <w:rsid w:val="08D76D8D"/>
    <w:rsid w:val="08FF7AB1"/>
    <w:rsid w:val="091E1885"/>
    <w:rsid w:val="096B2097"/>
    <w:rsid w:val="09FD66D9"/>
    <w:rsid w:val="0A5B7E63"/>
    <w:rsid w:val="0B335FE1"/>
    <w:rsid w:val="0BA902C3"/>
    <w:rsid w:val="0C087B18"/>
    <w:rsid w:val="0C6048D0"/>
    <w:rsid w:val="0C87121B"/>
    <w:rsid w:val="0C9A023C"/>
    <w:rsid w:val="0CAD06C0"/>
    <w:rsid w:val="0DC12A1D"/>
    <w:rsid w:val="0DF702FE"/>
    <w:rsid w:val="0E3F698B"/>
    <w:rsid w:val="0E6B4690"/>
    <w:rsid w:val="0EA370F2"/>
    <w:rsid w:val="0EB86D3D"/>
    <w:rsid w:val="0F21508F"/>
    <w:rsid w:val="0F2C31E8"/>
    <w:rsid w:val="0F816ACD"/>
    <w:rsid w:val="0FAD1102"/>
    <w:rsid w:val="103C0F1F"/>
    <w:rsid w:val="10B00808"/>
    <w:rsid w:val="10B047CF"/>
    <w:rsid w:val="10F460E3"/>
    <w:rsid w:val="10FB4339"/>
    <w:rsid w:val="10FC16EA"/>
    <w:rsid w:val="115A62AE"/>
    <w:rsid w:val="118963A1"/>
    <w:rsid w:val="11A53FCF"/>
    <w:rsid w:val="11B360B7"/>
    <w:rsid w:val="11B51667"/>
    <w:rsid w:val="126E2D94"/>
    <w:rsid w:val="127723A9"/>
    <w:rsid w:val="12E62E16"/>
    <w:rsid w:val="13072A44"/>
    <w:rsid w:val="132D6640"/>
    <w:rsid w:val="135B2C24"/>
    <w:rsid w:val="13D334C9"/>
    <w:rsid w:val="140806DC"/>
    <w:rsid w:val="144E1691"/>
    <w:rsid w:val="145044FA"/>
    <w:rsid w:val="15475B55"/>
    <w:rsid w:val="15BA4A1A"/>
    <w:rsid w:val="15E239A7"/>
    <w:rsid w:val="172D3193"/>
    <w:rsid w:val="178763DD"/>
    <w:rsid w:val="17C92852"/>
    <w:rsid w:val="18506FA4"/>
    <w:rsid w:val="193A1D33"/>
    <w:rsid w:val="19CF3A2E"/>
    <w:rsid w:val="1A472B8C"/>
    <w:rsid w:val="1A521255"/>
    <w:rsid w:val="1A756CC1"/>
    <w:rsid w:val="1B2A271F"/>
    <w:rsid w:val="1B644B05"/>
    <w:rsid w:val="1B890139"/>
    <w:rsid w:val="1C157672"/>
    <w:rsid w:val="1C3B4DEA"/>
    <w:rsid w:val="1C4E71BE"/>
    <w:rsid w:val="1D266CE1"/>
    <w:rsid w:val="1D3963AF"/>
    <w:rsid w:val="1D526A56"/>
    <w:rsid w:val="1D6C566D"/>
    <w:rsid w:val="1E5906A7"/>
    <w:rsid w:val="1E610255"/>
    <w:rsid w:val="1E714A66"/>
    <w:rsid w:val="1EC4411D"/>
    <w:rsid w:val="1EFFF24E"/>
    <w:rsid w:val="1F090C74"/>
    <w:rsid w:val="1F2E5690"/>
    <w:rsid w:val="1F5B65F2"/>
    <w:rsid w:val="1FD1489B"/>
    <w:rsid w:val="1FE868A9"/>
    <w:rsid w:val="20F87059"/>
    <w:rsid w:val="211E26D6"/>
    <w:rsid w:val="21283D08"/>
    <w:rsid w:val="218379BF"/>
    <w:rsid w:val="21BD3409"/>
    <w:rsid w:val="21ED0458"/>
    <w:rsid w:val="22133780"/>
    <w:rsid w:val="22185FAF"/>
    <w:rsid w:val="22274D44"/>
    <w:rsid w:val="22A733A6"/>
    <w:rsid w:val="23A233FC"/>
    <w:rsid w:val="24BD6A5A"/>
    <w:rsid w:val="25902676"/>
    <w:rsid w:val="2593624D"/>
    <w:rsid w:val="25B440B3"/>
    <w:rsid w:val="260929B3"/>
    <w:rsid w:val="26716845"/>
    <w:rsid w:val="26896F93"/>
    <w:rsid w:val="273774F6"/>
    <w:rsid w:val="27BC197A"/>
    <w:rsid w:val="27D80193"/>
    <w:rsid w:val="28BB6AE5"/>
    <w:rsid w:val="28F02526"/>
    <w:rsid w:val="295649D8"/>
    <w:rsid w:val="295E519C"/>
    <w:rsid w:val="29ED52F5"/>
    <w:rsid w:val="2AA1365A"/>
    <w:rsid w:val="2AEF6D85"/>
    <w:rsid w:val="2B3B40F8"/>
    <w:rsid w:val="2BE91131"/>
    <w:rsid w:val="2C067EBA"/>
    <w:rsid w:val="2C390E61"/>
    <w:rsid w:val="2C3D5164"/>
    <w:rsid w:val="2D987DF6"/>
    <w:rsid w:val="2DD06BBA"/>
    <w:rsid w:val="2DD15014"/>
    <w:rsid w:val="2E03680A"/>
    <w:rsid w:val="2E316DB7"/>
    <w:rsid w:val="2E4A4884"/>
    <w:rsid w:val="2E923807"/>
    <w:rsid w:val="2F157F23"/>
    <w:rsid w:val="2FD25781"/>
    <w:rsid w:val="30241C12"/>
    <w:rsid w:val="317A30E3"/>
    <w:rsid w:val="319C6071"/>
    <w:rsid w:val="31B0682C"/>
    <w:rsid w:val="31E9231A"/>
    <w:rsid w:val="32935A2E"/>
    <w:rsid w:val="32DB72BE"/>
    <w:rsid w:val="32FA013D"/>
    <w:rsid w:val="33171A58"/>
    <w:rsid w:val="332C1CA5"/>
    <w:rsid w:val="33B65F28"/>
    <w:rsid w:val="342E63AB"/>
    <w:rsid w:val="344A157B"/>
    <w:rsid w:val="345D260B"/>
    <w:rsid w:val="357F67EE"/>
    <w:rsid w:val="35D703D8"/>
    <w:rsid w:val="36141B4E"/>
    <w:rsid w:val="365302AE"/>
    <w:rsid w:val="36CB0CA8"/>
    <w:rsid w:val="3739094D"/>
    <w:rsid w:val="3775665A"/>
    <w:rsid w:val="37AC5335"/>
    <w:rsid w:val="37B36DFF"/>
    <w:rsid w:val="37D526F5"/>
    <w:rsid w:val="37FAA084"/>
    <w:rsid w:val="39224DAA"/>
    <w:rsid w:val="3986639D"/>
    <w:rsid w:val="39A13F14"/>
    <w:rsid w:val="3A19387C"/>
    <w:rsid w:val="3A1E5D66"/>
    <w:rsid w:val="3A3B384F"/>
    <w:rsid w:val="3AF10C17"/>
    <w:rsid w:val="3B1E6D38"/>
    <w:rsid w:val="3B6C511E"/>
    <w:rsid w:val="3C042E8D"/>
    <w:rsid w:val="3C5F759A"/>
    <w:rsid w:val="3CA84C0C"/>
    <w:rsid w:val="3D5C78D4"/>
    <w:rsid w:val="3D5E83DC"/>
    <w:rsid w:val="3D9D5A63"/>
    <w:rsid w:val="3DCD6A49"/>
    <w:rsid w:val="3EA175B2"/>
    <w:rsid w:val="3EC96174"/>
    <w:rsid w:val="3ECD340B"/>
    <w:rsid w:val="411B48E7"/>
    <w:rsid w:val="4145338C"/>
    <w:rsid w:val="416D1378"/>
    <w:rsid w:val="41933EF2"/>
    <w:rsid w:val="41BA35D0"/>
    <w:rsid w:val="41E95E9C"/>
    <w:rsid w:val="42284D2A"/>
    <w:rsid w:val="423F5F51"/>
    <w:rsid w:val="4270081D"/>
    <w:rsid w:val="42E1381E"/>
    <w:rsid w:val="43112896"/>
    <w:rsid w:val="43FB717C"/>
    <w:rsid w:val="44177142"/>
    <w:rsid w:val="4488714B"/>
    <w:rsid w:val="44D53BD7"/>
    <w:rsid w:val="451E447A"/>
    <w:rsid w:val="45345B76"/>
    <w:rsid w:val="453A4352"/>
    <w:rsid w:val="46054BCA"/>
    <w:rsid w:val="47307808"/>
    <w:rsid w:val="47857C94"/>
    <w:rsid w:val="486F747C"/>
    <w:rsid w:val="49C371CF"/>
    <w:rsid w:val="4A634417"/>
    <w:rsid w:val="4A7D6517"/>
    <w:rsid w:val="4AF55FDF"/>
    <w:rsid w:val="4AF733A9"/>
    <w:rsid w:val="4B086F1E"/>
    <w:rsid w:val="4CA0731E"/>
    <w:rsid w:val="4CE01FFE"/>
    <w:rsid w:val="4D666735"/>
    <w:rsid w:val="4D861CF6"/>
    <w:rsid w:val="4DD65C91"/>
    <w:rsid w:val="4DE26957"/>
    <w:rsid w:val="4F0771E0"/>
    <w:rsid w:val="4F3F1A48"/>
    <w:rsid w:val="4F76521D"/>
    <w:rsid w:val="4FD70497"/>
    <w:rsid w:val="505C5CDE"/>
    <w:rsid w:val="50983A7B"/>
    <w:rsid w:val="50985ABB"/>
    <w:rsid w:val="50E772C9"/>
    <w:rsid w:val="51A0432A"/>
    <w:rsid w:val="527140E5"/>
    <w:rsid w:val="5292508F"/>
    <w:rsid w:val="52A96B6F"/>
    <w:rsid w:val="52C11F8B"/>
    <w:rsid w:val="53444904"/>
    <w:rsid w:val="53995313"/>
    <w:rsid w:val="53A55DD6"/>
    <w:rsid w:val="53DFCC1D"/>
    <w:rsid w:val="54096788"/>
    <w:rsid w:val="545126F0"/>
    <w:rsid w:val="545311AD"/>
    <w:rsid w:val="54CC7EAC"/>
    <w:rsid w:val="55027C53"/>
    <w:rsid w:val="550764A4"/>
    <w:rsid w:val="550A1644"/>
    <w:rsid w:val="551261CC"/>
    <w:rsid w:val="551926E0"/>
    <w:rsid w:val="55441CFF"/>
    <w:rsid w:val="55AA7742"/>
    <w:rsid w:val="56161F37"/>
    <w:rsid w:val="563A7E9B"/>
    <w:rsid w:val="56515F3B"/>
    <w:rsid w:val="566273F2"/>
    <w:rsid w:val="56B87358"/>
    <w:rsid w:val="56F271EE"/>
    <w:rsid w:val="572B71CA"/>
    <w:rsid w:val="582E3A30"/>
    <w:rsid w:val="58AE4F0C"/>
    <w:rsid w:val="598C3104"/>
    <w:rsid w:val="5A2A7C7B"/>
    <w:rsid w:val="5A5D05FC"/>
    <w:rsid w:val="5AA72E77"/>
    <w:rsid w:val="5ADF1011"/>
    <w:rsid w:val="5B527A35"/>
    <w:rsid w:val="5C80234E"/>
    <w:rsid w:val="5D3B2B6D"/>
    <w:rsid w:val="5D9407D9"/>
    <w:rsid w:val="5DB34EE4"/>
    <w:rsid w:val="5E261785"/>
    <w:rsid w:val="5E9D36BD"/>
    <w:rsid w:val="5EC31348"/>
    <w:rsid w:val="5EC5365A"/>
    <w:rsid w:val="5F7FE176"/>
    <w:rsid w:val="5FCC5339"/>
    <w:rsid w:val="60732927"/>
    <w:rsid w:val="60E53485"/>
    <w:rsid w:val="61054A27"/>
    <w:rsid w:val="611D2366"/>
    <w:rsid w:val="611F03B9"/>
    <w:rsid w:val="614044EB"/>
    <w:rsid w:val="61E57855"/>
    <w:rsid w:val="620664C4"/>
    <w:rsid w:val="62494122"/>
    <w:rsid w:val="62885958"/>
    <w:rsid w:val="631D6D57"/>
    <w:rsid w:val="632D5BB8"/>
    <w:rsid w:val="6346571D"/>
    <w:rsid w:val="63F65D66"/>
    <w:rsid w:val="63F73D10"/>
    <w:rsid w:val="647A77A9"/>
    <w:rsid w:val="64CE2EAA"/>
    <w:rsid w:val="662001A3"/>
    <w:rsid w:val="662E75B1"/>
    <w:rsid w:val="66342C2E"/>
    <w:rsid w:val="663E784C"/>
    <w:rsid w:val="66CC0FE5"/>
    <w:rsid w:val="66EC2A67"/>
    <w:rsid w:val="674B0C82"/>
    <w:rsid w:val="6828049B"/>
    <w:rsid w:val="685867EC"/>
    <w:rsid w:val="686E167F"/>
    <w:rsid w:val="68A66960"/>
    <w:rsid w:val="69B0699A"/>
    <w:rsid w:val="6A051F0D"/>
    <w:rsid w:val="6A501D95"/>
    <w:rsid w:val="6A763BAE"/>
    <w:rsid w:val="6AF262AD"/>
    <w:rsid w:val="6C292F3D"/>
    <w:rsid w:val="6CDF186C"/>
    <w:rsid w:val="6D071793"/>
    <w:rsid w:val="6DB69AF5"/>
    <w:rsid w:val="6DF866A7"/>
    <w:rsid w:val="6E1E17AC"/>
    <w:rsid w:val="6E8E12EF"/>
    <w:rsid w:val="6E9C69BF"/>
    <w:rsid w:val="6ECE1671"/>
    <w:rsid w:val="6EFB7725"/>
    <w:rsid w:val="6FB60CB8"/>
    <w:rsid w:val="6FDB3567"/>
    <w:rsid w:val="6FFB2258"/>
    <w:rsid w:val="6FFFCFFB"/>
    <w:rsid w:val="70AD70EB"/>
    <w:rsid w:val="70F74749"/>
    <w:rsid w:val="718874D8"/>
    <w:rsid w:val="71D43752"/>
    <w:rsid w:val="72762A5C"/>
    <w:rsid w:val="72A450F3"/>
    <w:rsid w:val="739C3AEB"/>
    <w:rsid w:val="73DD6243"/>
    <w:rsid w:val="7413559A"/>
    <w:rsid w:val="742E34AA"/>
    <w:rsid w:val="749C4185"/>
    <w:rsid w:val="74F4030A"/>
    <w:rsid w:val="752700A9"/>
    <w:rsid w:val="75585395"/>
    <w:rsid w:val="758F74DF"/>
    <w:rsid w:val="75DA2C18"/>
    <w:rsid w:val="766042A3"/>
    <w:rsid w:val="76CD7981"/>
    <w:rsid w:val="76CF2976"/>
    <w:rsid w:val="7733722C"/>
    <w:rsid w:val="775319EF"/>
    <w:rsid w:val="776B2153"/>
    <w:rsid w:val="77F7D6F5"/>
    <w:rsid w:val="77FC6EA2"/>
    <w:rsid w:val="77FF8840"/>
    <w:rsid w:val="7810161C"/>
    <w:rsid w:val="7892070E"/>
    <w:rsid w:val="78FA19E0"/>
    <w:rsid w:val="790F1C77"/>
    <w:rsid w:val="79132DE8"/>
    <w:rsid w:val="79384A2B"/>
    <w:rsid w:val="79C27F0E"/>
    <w:rsid w:val="7A67303B"/>
    <w:rsid w:val="7AAB1D04"/>
    <w:rsid w:val="7ABA4368"/>
    <w:rsid w:val="7B257FFD"/>
    <w:rsid w:val="7B3797EA"/>
    <w:rsid w:val="7B4B7D30"/>
    <w:rsid w:val="7BC24B9B"/>
    <w:rsid w:val="7BD858DD"/>
    <w:rsid w:val="7BEF06C4"/>
    <w:rsid w:val="7C2B1DA5"/>
    <w:rsid w:val="7CA96764"/>
    <w:rsid w:val="7CBD3869"/>
    <w:rsid w:val="7CE64383"/>
    <w:rsid w:val="7D6D639B"/>
    <w:rsid w:val="7DDD2831"/>
    <w:rsid w:val="7DF4317E"/>
    <w:rsid w:val="7E02635F"/>
    <w:rsid w:val="7E64308B"/>
    <w:rsid w:val="7E6C171F"/>
    <w:rsid w:val="7F5D75C4"/>
    <w:rsid w:val="7F857B2A"/>
    <w:rsid w:val="7FEF35AE"/>
    <w:rsid w:val="7FF719D4"/>
    <w:rsid w:val="7FFFE68E"/>
    <w:rsid w:val="9FBF2465"/>
    <w:rsid w:val="B7E34AFE"/>
    <w:rsid w:val="B86FCF78"/>
    <w:rsid w:val="BDB6E1D8"/>
    <w:rsid w:val="C67D492E"/>
    <w:rsid w:val="D2FF2DD6"/>
    <w:rsid w:val="DF7F40AA"/>
    <w:rsid w:val="DFD5B22A"/>
    <w:rsid w:val="EB6D0E8D"/>
    <w:rsid w:val="FD76B963"/>
    <w:rsid w:val="FDFF6CC4"/>
    <w:rsid w:val="FEFF8C4C"/>
    <w:rsid w:val="FF3F5A41"/>
    <w:rsid w:val="FFCF5623"/>
    <w:rsid w:val="FFFFED7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36"/>
    <w:qFormat/>
    <w:uiPriority w:val="0"/>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629"/>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4">
    <w:name w:val="heading 3"/>
    <w:basedOn w:val="1"/>
    <w:next w:val="1"/>
    <w:link w:val="630"/>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634"/>
    <w:qFormat/>
    <w:uiPriority w:val="0"/>
    <w:pPr>
      <w:keepNext/>
      <w:keepLines/>
      <w:numPr>
        <w:ilvl w:val="3"/>
        <w:numId w:val="1"/>
      </w:numPr>
      <w:spacing w:before="280" w:after="290" w:line="376" w:lineRule="auto"/>
      <w:outlineLvl w:val="3"/>
    </w:pPr>
    <w:rPr>
      <w:rFonts w:ascii="Arial" w:hAnsi="Arial" w:eastAsia="黑体"/>
      <w:b/>
      <w:bCs/>
      <w:sz w:val="28"/>
      <w:szCs w:val="28"/>
      <w:lang w:val="zh-CN"/>
    </w:rPr>
  </w:style>
  <w:style w:type="paragraph" w:styleId="6">
    <w:name w:val="heading 5"/>
    <w:basedOn w:val="1"/>
    <w:next w:val="1"/>
    <w:link w:val="572"/>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61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480"/>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470"/>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518"/>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3">
    <w:name w:val="List Bullet 4"/>
    <w:basedOn w:val="1"/>
    <w:unhideWhenUsed/>
    <w:qFormat/>
    <w:uiPriority w:val="99"/>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4">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5">
    <w:name w:val="Normal Indent"/>
    <w:basedOn w:val="1"/>
    <w:link w:val="612"/>
    <w:qFormat/>
    <w:uiPriority w:val="0"/>
    <w:pPr>
      <w:widowControl/>
      <w:snapToGrid w:val="0"/>
      <w:spacing w:line="480" w:lineRule="exact"/>
      <w:ind w:firstLine="567"/>
    </w:pPr>
    <w:rPr>
      <w:rFonts w:ascii="宋体"/>
      <w:snapToGrid w:val="0"/>
      <w:color w:val="000000"/>
      <w:kern w:val="28"/>
      <w:sz w:val="28"/>
      <w:szCs w:val="20"/>
    </w:rPr>
  </w:style>
  <w:style w:type="paragraph" w:styleId="16">
    <w:name w:val="caption"/>
    <w:basedOn w:val="1"/>
    <w:next w:val="1"/>
    <w:qFormat/>
    <w:uiPriority w:val="0"/>
    <w:rPr>
      <w:b/>
      <w:sz w:val="28"/>
      <w:szCs w:val="20"/>
    </w:rPr>
  </w:style>
  <w:style w:type="paragraph" w:styleId="17">
    <w:name w:val="index 5"/>
    <w:basedOn w:val="1"/>
    <w:next w:val="1"/>
    <w:qFormat/>
    <w:uiPriority w:val="0"/>
    <w:pPr>
      <w:adjustRightInd/>
      <w:ind w:left="800" w:leftChars="800" w:firstLine="200" w:firstLineChars="200"/>
    </w:pPr>
  </w:style>
  <w:style w:type="paragraph" w:styleId="18">
    <w:name w:val="Document Map"/>
    <w:basedOn w:val="1"/>
    <w:semiHidden/>
    <w:qFormat/>
    <w:uiPriority w:val="0"/>
    <w:pPr>
      <w:shd w:val="clear" w:color="auto" w:fill="000080"/>
    </w:pPr>
  </w:style>
  <w:style w:type="paragraph" w:styleId="19">
    <w:name w:val="annotation text"/>
    <w:basedOn w:val="1"/>
    <w:link w:val="637"/>
    <w:qFormat/>
    <w:uiPriority w:val="99"/>
    <w:pPr>
      <w:jc w:val="left"/>
    </w:pPr>
    <w:rPr>
      <w:szCs w:val="20"/>
    </w:rPr>
  </w:style>
  <w:style w:type="paragraph" w:styleId="20">
    <w:name w:val="Salutation"/>
    <w:basedOn w:val="1"/>
    <w:next w:val="1"/>
    <w:link w:val="481"/>
    <w:qFormat/>
    <w:uiPriority w:val="0"/>
    <w:rPr>
      <w:rFonts w:ascii="仿宋_GB2312" w:eastAsia="仿宋_GB2312"/>
      <w:sz w:val="28"/>
      <w:szCs w:val="20"/>
    </w:rPr>
  </w:style>
  <w:style w:type="paragraph" w:styleId="21">
    <w:name w:val="Body Text 3"/>
    <w:basedOn w:val="1"/>
    <w:link w:val="580"/>
    <w:qFormat/>
    <w:uiPriority w:val="0"/>
    <w:pPr>
      <w:jc w:val="center"/>
    </w:pPr>
    <w:rPr>
      <w:szCs w:val="20"/>
    </w:rPr>
  </w:style>
  <w:style w:type="paragraph" w:styleId="22">
    <w:name w:val="Body Text"/>
    <w:basedOn w:val="1"/>
    <w:next w:val="1"/>
    <w:link w:val="635"/>
    <w:qFormat/>
    <w:uiPriority w:val="0"/>
    <w:pPr>
      <w:autoSpaceDE w:val="0"/>
      <w:autoSpaceDN w:val="0"/>
      <w:spacing w:line="360" w:lineRule="auto"/>
    </w:pPr>
    <w:rPr>
      <w:rFonts w:ascii="宋体"/>
      <w:sz w:val="24"/>
      <w:szCs w:val="21"/>
      <w:lang w:val="zh-CN"/>
    </w:rPr>
  </w:style>
  <w:style w:type="paragraph" w:styleId="23">
    <w:name w:val="Body Text Indent"/>
    <w:basedOn w:val="1"/>
    <w:next w:val="24"/>
    <w:link w:val="633"/>
    <w:qFormat/>
    <w:uiPriority w:val="0"/>
    <w:pPr>
      <w:spacing w:line="480" w:lineRule="exact"/>
      <w:ind w:firstLine="480" w:firstLineChars="200"/>
    </w:pPr>
    <w:rPr>
      <w:rFonts w:ascii="宋体" w:hAnsi="宋体"/>
      <w:sz w:val="24"/>
    </w:rPr>
  </w:style>
  <w:style w:type="paragraph" w:styleId="24">
    <w:name w:val="Body Text First Indent 2"/>
    <w:basedOn w:val="23"/>
    <w:link w:val="501"/>
    <w:qFormat/>
    <w:uiPriority w:val="0"/>
    <w:pPr>
      <w:adjustRightInd/>
      <w:spacing w:after="120" w:line="240" w:lineRule="auto"/>
      <w:ind w:left="420" w:leftChars="200" w:firstLine="210"/>
    </w:pPr>
    <w:rPr>
      <w:sz w:val="21"/>
    </w:rPr>
  </w:style>
  <w:style w:type="paragraph" w:styleId="25">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6">
    <w:name w:val="List 2"/>
    <w:basedOn w:val="1"/>
    <w:qFormat/>
    <w:uiPriority w:val="0"/>
    <w:pPr>
      <w:adjustRightInd/>
      <w:spacing w:line="360" w:lineRule="auto"/>
      <w:ind w:left="100" w:leftChars="200" w:hanging="200" w:hangingChars="200"/>
    </w:pPr>
    <w:rPr>
      <w:rFonts w:eastAsia="微软雅黑"/>
    </w:rPr>
  </w:style>
  <w:style w:type="paragraph" w:styleId="27">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570"/>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488"/>
    <w:qFormat/>
    <w:uiPriority w:val="0"/>
    <w:rPr>
      <w:rFonts w:ascii="宋体" w:hAnsi="Courier New"/>
      <w:szCs w:val="20"/>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597"/>
    <w:qFormat/>
    <w:uiPriority w:val="0"/>
    <w:pPr>
      <w:ind w:left="100" w:leftChars="2500"/>
    </w:pPr>
    <w:rPr>
      <w:rFonts w:ascii="宋体"/>
      <w:sz w:val="24"/>
      <w:szCs w:val="21"/>
      <w:lang w:val="zh-CN"/>
    </w:rPr>
  </w:style>
  <w:style w:type="paragraph" w:styleId="36">
    <w:name w:val="Body Text Indent 2"/>
    <w:basedOn w:val="1"/>
    <w:link w:val="502"/>
    <w:qFormat/>
    <w:uiPriority w:val="0"/>
    <w:pPr>
      <w:spacing w:line="360" w:lineRule="auto"/>
      <w:ind w:firstLine="601"/>
      <w:textAlignment w:val="baseline"/>
    </w:pPr>
    <w:rPr>
      <w:rFonts w:ascii="宋体"/>
      <w:kern w:val="0"/>
      <w:sz w:val="28"/>
      <w:szCs w:val="20"/>
    </w:rPr>
  </w:style>
  <w:style w:type="paragraph" w:styleId="37">
    <w:name w:val="Balloon Text"/>
    <w:basedOn w:val="1"/>
    <w:link w:val="614"/>
    <w:semiHidden/>
    <w:qFormat/>
    <w:uiPriority w:val="0"/>
    <w:rPr>
      <w:sz w:val="18"/>
      <w:szCs w:val="18"/>
    </w:rPr>
  </w:style>
  <w:style w:type="paragraph" w:styleId="38">
    <w:name w:val="footer"/>
    <w:basedOn w:val="1"/>
    <w:qFormat/>
    <w:uiPriority w:val="0"/>
    <w:pPr>
      <w:tabs>
        <w:tab w:val="center" w:pos="4153"/>
        <w:tab w:val="right" w:pos="8306"/>
      </w:tabs>
      <w:snapToGrid w:val="0"/>
      <w:jc w:val="left"/>
    </w:pPr>
    <w:rPr>
      <w:sz w:val="18"/>
      <w:szCs w:val="18"/>
    </w:rPr>
  </w:style>
  <w:style w:type="paragraph" w:styleId="3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0">
    <w:name w:val="Signature"/>
    <w:basedOn w:val="1"/>
    <w:link w:val="434"/>
    <w:qFormat/>
    <w:uiPriority w:val="0"/>
    <w:pPr>
      <w:spacing w:after="600" w:line="312" w:lineRule="atLeast"/>
      <w:jc w:val="center"/>
      <w:textAlignment w:val="baseline"/>
    </w:pPr>
    <w:rPr>
      <w:rFonts w:eastAsia="仿宋_GB2312"/>
      <w:kern w:val="0"/>
      <w:sz w:val="24"/>
      <w:szCs w:val="20"/>
    </w:rPr>
  </w:style>
  <w:style w:type="paragraph" w:styleId="41">
    <w:name w:val="toc 1"/>
    <w:basedOn w:val="1"/>
    <w:next w:val="1"/>
    <w:qFormat/>
    <w:uiPriority w:val="0"/>
  </w:style>
  <w:style w:type="paragraph" w:styleId="42">
    <w:name w:val="toc 4"/>
    <w:basedOn w:val="1"/>
    <w:next w:val="1"/>
    <w:qFormat/>
    <w:uiPriority w:val="0"/>
    <w:pPr>
      <w:ind w:left="1260" w:leftChars="600"/>
    </w:pPr>
  </w:style>
  <w:style w:type="paragraph" w:styleId="43">
    <w:name w:val="index heading"/>
    <w:basedOn w:val="1"/>
    <w:next w:val="44"/>
    <w:qFormat/>
    <w:uiPriority w:val="0"/>
    <w:pPr>
      <w:adjustRightInd/>
      <w:ind w:firstLine="200" w:firstLineChars="200"/>
    </w:pPr>
  </w:style>
  <w:style w:type="paragraph" w:styleId="44">
    <w:name w:val="index 1"/>
    <w:basedOn w:val="1"/>
    <w:next w:val="1"/>
    <w:qFormat/>
    <w:uiPriority w:val="0"/>
    <w:pPr>
      <w:adjustRightInd/>
      <w:spacing w:line="360" w:lineRule="auto"/>
      <w:ind w:firstLine="200" w:firstLineChars="200"/>
      <w:jc w:val="center"/>
    </w:pPr>
    <w:rPr>
      <w:sz w:val="24"/>
      <w:szCs w:val="20"/>
    </w:rPr>
  </w:style>
  <w:style w:type="paragraph" w:styleId="45">
    <w:name w:val="Subtitle"/>
    <w:link w:val="487"/>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6">
    <w:name w:val="List Number 5"/>
    <w:basedOn w:val="1"/>
    <w:qFormat/>
    <w:uiPriority w:val="0"/>
    <w:pPr>
      <w:tabs>
        <w:tab w:val="left" w:pos="902"/>
      </w:tabs>
      <w:adjustRightInd/>
      <w:spacing w:line="400" w:lineRule="exact"/>
      <w:ind w:left="902" w:hanging="420"/>
    </w:pPr>
    <w:rPr>
      <w:sz w:val="24"/>
      <w:szCs w:val="20"/>
    </w:rPr>
  </w:style>
  <w:style w:type="paragraph" w:styleId="47">
    <w:name w:val="List"/>
    <w:basedOn w:val="1"/>
    <w:qFormat/>
    <w:uiPriority w:val="0"/>
    <w:pPr>
      <w:ind w:left="200" w:hanging="200" w:hangingChars="200"/>
    </w:pPr>
  </w:style>
  <w:style w:type="paragraph" w:styleId="48">
    <w:name w:val="footnote text"/>
    <w:basedOn w:val="15"/>
    <w:link w:val="472"/>
    <w:qFormat/>
    <w:uiPriority w:val="0"/>
    <w:pPr>
      <w:adjustRightInd/>
      <w:snapToGrid/>
      <w:spacing w:before="60" w:after="60" w:line="300" w:lineRule="exact"/>
      <w:ind w:firstLine="0"/>
    </w:pPr>
    <w:rPr>
      <w:rFonts w:ascii="Times New Roman"/>
      <w:snapToGrid/>
      <w:color w:val="0000FF"/>
      <w:kern w:val="0"/>
      <w:sz w:val="21"/>
    </w:rPr>
  </w:style>
  <w:style w:type="paragraph" w:styleId="49">
    <w:name w:val="toc 6"/>
    <w:basedOn w:val="1"/>
    <w:next w:val="1"/>
    <w:qFormat/>
    <w:uiPriority w:val="0"/>
    <w:pPr>
      <w:ind w:left="2100" w:leftChars="1000"/>
    </w:pPr>
  </w:style>
  <w:style w:type="paragraph" w:styleId="50">
    <w:name w:val="List 5"/>
    <w:basedOn w:val="1"/>
    <w:qFormat/>
    <w:uiPriority w:val="0"/>
    <w:pPr>
      <w:adjustRightInd/>
      <w:ind w:left="100" w:leftChars="800" w:hanging="200" w:hangingChars="200"/>
    </w:pPr>
  </w:style>
  <w:style w:type="paragraph" w:styleId="51">
    <w:name w:val="Body Text Indent 3"/>
    <w:basedOn w:val="1"/>
    <w:link w:val="587"/>
    <w:qFormat/>
    <w:uiPriority w:val="0"/>
    <w:pPr>
      <w:spacing w:line="360" w:lineRule="auto"/>
      <w:ind w:firstLine="420"/>
    </w:pPr>
    <w:rPr>
      <w:sz w:val="24"/>
      <w:szCs w:val="20"/>
    </w:rPr>
  </w:style>
  <w:style w:type="paragraph" w:styleId="52">
    <w:name w:val="toc 2"/>
    <w:basedOn w:val="1"/>
    <w:next w:val="1"/>
    <w:qFormat/>
    <w:uiPriority w:val="0"/>
    <w:pPr>
      <w:ind w:left="420" w:leftChars="200"/>
    </w:pPr>
  </w:style>
  <w:style w:type="paragraph" w:styleId="53">
    <w:name w:val="toc 9"/>
    <w:basedOn w:val="1"/>
    <w:next w:val="1"/>
    <w:qFormat/>
    <w:uiPriority w:val="0"/>
    <w:pPr>
      <w:ind w:left="3360" w:leftChars="1600"/>
    </w:pPr>
  </w:style>
  <w:style w:type="paragraph" w:styleId="54">
    <w:name w:val="Body Text 2"/>
    <w:basedOn w:val="1"/>
    <w:qFormat/>
    <w:uiPriority w:val="0"/>
    <w:pPr>
      <w:spacing w:after="120" w:line="480" w:lineRule="auto"/>
    </w:pPr>
  </w:style>
  <w:style w:type="paragraph" w:styleId="55">
    <w:name w:val="HTML Preformatted"/>
    <w:basedOn w:val="1"/>
    <w:link w:val="5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6">
    <w:name w:val="Normal (Web)"/>
    <w:basedOn w:val="1"/>
    <w:qFormat/>
    <w:uiPriority w:val="99"/>
    <w:pPr>
      <w:widowControl/>
      <w:spacing w:before="100" w:beforeAutospacing="1" w:after="100" w:afterAutospacing="1"/>
      <w:jc w:val="left"/>
    </w:pPr>
    <w:rPr>
      <w:rFonts w:ascii="宋体" w:hAnsi="宋体"/>
      <w:kern w:val="0"/>
      <w:sz w:val="24"/>
    </w:rPr>
  </w:style>
  <w:style w:type="paragraph" w:styleId="57">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58">
    <w:name w:val="annotation subject"/>
    <w:basedOn w:val="19"/>
    <w:next w:val="19"/>
    <w:semiHidden/>
    <w:qFormat/>
    <w:uiPriority w:val="0"/>
    <w:rPr>
      <w:b/>
      <w:bCs/>
    </w:rPr>
  </w:style>
  <w:style w:type="paragraph" w:styleId="59">
    <w:name w:val="Body Text First Indent"/>
    <w:basedOn w:val="22"/>
    <w:next w:val="49"/>
    <w:link w:val="544"/>
    <w:qFormat/>
    <w:uiPriority w:val="0"/>
    <w:pPr>
      <w:ind w:firstLine="420"/>
    </w:pPr>
    <w:rPr>
      <w:szCs w:val="20"/>
    </w:rPr>
  </w:style>
  <w:style w:type="table" w:styleId="61">
    <w:name w:val="Table Grid"/>
    <w:basedOn w:val="6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22"/>
    <w:rPr>
      <w:b/>
      <w:bCs/>
    </w:rPr>
  </w:style>
  <w:style w:type="character" w:styleId="64">
    <w:name w:val="page number"/>
    <w:basedOn w:val="62"/>
    <w:qFormat/>
    <w:uiPriority w:val="0"/>
  </w:style>
  <w:style w:type="character" w:styleId="65">
    <w:name w:val="FollowedHyperlink"/>
    <w:qFormat/>
    <w:uiPriority w:val="0"/>
    <w:rPr>
      <w:rFonts w:ascii="Arial" w:hAnsi="Arial" w:eastAsia="黑体" w:cs="Arial"/>
      <w:snapToGrid w:val="0"/>
      <w:color w:val="000000"/>
      <w:kern w:val="0"/>
      <w:sz w:val="18"/>
      <w:szCs w:val="18"/>
      <w:u w:val="none"/>
    </w:rPr>
  </w:style>
  <w:style w:type="character" w:styleId="66">
    <w:name w:val="Emphasis"/>
    <w:qFormat/>
    <w:uiPriority w:val="0"/>
    <w:rPr>
      <w:color w:val="CC0033"/>
    </w:rPr>
  </w:style>
  <w:style w:type="character" w:styleId="67">
    <w:name w:val="line number"/>
    <w:basedOn w:val="62"/>
    <w:qFormat/>
    <w:uiPriority w:val="0"/>
  </w:style>
  <w:style w:type="character" w:styleId="68">
    <w:name w:val="Hyperlink"/>
    <w:qFormat/>
    <w:uiPriority w:val="0"/>
    <w:rPr>
      <w:rFonts w:ascii="Arial" w:hAnsi="Arial" w:eastAsia="黑体" w:cs="Arial"/>
      <w:snapToGrid w:val="0"/>
      <w:color w:val="000000"/>
      <w:kern w:val="0"/>
      <w:sz w:val="18"/>
      <w:szCs w:val="18"/>
      <w:u w:val="none"/>
    </w:rPr>
  </w:style>
  <w:style w:type="character" w:styleId="69">
    <w:name w:val="HTML Code"/>
    <w:qFormat/>
    <w:uiPriority w:val="0"/>
    <w:rPr>
      <w:rFonts w:ascii="黑体" w:hAnsi="Courier New" w:eastAsia="黑体" w:cs="楷体_GB2312"/>
      <w:sz w:val="20"/>
      <w:szCs w:val="20"/>
    </w:rPr>
  </w:style>
  <w:style w:type="character" w:styleId="70">
    <w:name w:val="annotation reference"/>
    <w:qFormat/>
    <w:uiPriority w:val="99"/>
    <w:rPr>
      <w:sz w:val="21"/>
      <w:szCs w:val="21"/>
    </w:rPr>
  </w:style>
  <w:style w:type="paragraph" w:customStyle="1" w:styleId="71">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72">
    <w:name w:val="冯"/>
    <w:basedOn w:val="1"/>
    <w:link w:val="515"/>
    <w:qFormat/>
    <w:uiPriority w:val="0"/>
    <w:pPr>
      <w:widowControl/>
      <w:adjustRightInd/>
      <w:spacing w:line="360" w:lineRule="auto"/>
      <w:ind w:firstLine="480" w:firstLineChars="200"/>
    </w:pPr>
    <w:rPr>
      <w:rFonts w:ascii="宋体" w:hAnsi="宋体"/>
      <w:color w:val="000000"/>
      <w:kern w:val="0"/>
      <w:sz w:val="24"/>
    </w:rPr>
  </w:style>
  <w:style w:type="paragraph" w:customStyle="1" w:styleId="73">
    <w:name w:val="样式3"/>
    <w:basedOn w:val="74"/>
    <w:qFormat/>
    <w:uiPriority w:val="0"/>
    <w:pPr>
      <w:tabs>
        <w:tab w:val="left" w:pos="2790"/>
        <w:tab w:val="left" w:pos="4230"/>
      </w:tabs>
      <w:spacing w:before="312" w:beforeLines="100"/>
      <w:jc w:val="left"/>
    </w:pPr>
  </w:style>
  <w:style w:type="paragraph" w:customStyle="1" w:styleId="74">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75">
    <w:name w:val="P1"/>
    <w:basedOn w:val="1"/>
    <w:qFormat/>
    <w:uiPriority w:val="0"/>
    <w:pPr>
      <w:adjustRightInd/>
      <w:spacing w:line="288" w:lineRule="auto"/>
      <w:ind w:firstLine="425" w:firstLineChars="200"/>
    </w:pPr>
  </w:style>
  <w:style w:type="paragraph" w:customStyle="1" w:styleId="76">
    <w:name w:val="Char1 Char Char Char"/>
    <w:basedOn w:val="1"/>
    <w:qFormat/>
    <w:uiPriority w:val="0"/>
    <w:rPr>
      <w:rFonts w:ascii="Tahoma" w:hAnsi="Tahoma"/>
      <w:sz w:val="24"/>
      <w:szCs w:val="20"/>
    </w:rPr>
  </w:style>
  <w:style w:type="paragraph" w:customStyle="1" w:styleId="77">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78">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80">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1">
    <w:name w:val="样式7"/>
    <w:basedOn w:val="82"/>
    <w:next w:val="1"/>
    <w:qFormat/>
    <w:uiPriority w:val="0"/>
    <w:pPr>
      <w:spacing w:after="156" w:afterLines="50"/>
      <w:jc w:val="left"/>
      <w:outlineLvl w:val="3"/>
    </w:pPr>
    <w:rPr>
      <w:sz w:val="24"/>
      <w:szCs w:val="24"/>
    </w:rPr>
  </w:style>
  <w:style w:type="paragraph" w:customStyle="1" w:styleId="82">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83">
    <w:name w:val="Bulleted List"/>
    <w:basedOn w:val="1"/>
    <w:qFormat/>
    <w:uiPriority w:val="0"/>
    <w:pPr>
      <w:numPr>
        <w:ilvl w:val="1"/>
        <w:numId w:val="4"/>
      </w:numPr>
      <w:adjustRightInd/>
    </w:pPr>
  </w:style>
  <w:style w:type="paragraph" w:customStyle="1" w:styleId="84">
    <w:name w:val="Char3"/>
    <w:basedOn w:val="1"/>
    <w:qFormat/>
    <w:uiPriority w:val="0"/>
    <w:pPr>
      <w:adjustRightInd/>
    </w:pPr>
    <w:rPr>
      <w:rFonts w:ascii="仿宋_GB2312" w:eastAsia="仿宋_GB2312"/>
      <w:b/>
      <w:sz w:val="32"/>
      <w:szCs w:val="32"/>
    </w:rPr>
  </w:style>
  <w:style w:type="paragraph" w:customStyle="1" w:styleId="85">
    <w:name w:val="Char Char1 Char Char Char Char Char Char"/>
    <w:basedOn w:val="1"/>
    <w:qFormat/>
    <w:uiPriority w:val="0"/>
    <w:rPr>
      <w:rFonts w:ascii="仿宋_GB2312" w:eastAsia="仿宋_GB2312"/>
      <w:b/>
      <w:sz w:val="32"/>
      <w:szCs w:val="20"/>
    </w:rPr>
  </w:style>
  <w:style w:type="paragraph" w:customStyle="1" w:styleId="86">
    <w:name w:val="文本正文 Char"/>
    <w:basedOn w:val="1"/>
    <w:qFormat/>
    <w:uiPriority w:val="0"/>
    <w:pPr>
      <w:spacing w:line="360" w:lineRule="auto"/>
      <w:ind w:firstLine="200" w:firstLineChars="200"/>
    </w:pPr>
    <w:rPr>
      <w:kern w:val="0"/>
      <w:sz w:val="24"/>
      <w:szCs w:val="20"/>
    </w:rPr>
  </w:style>
  <w:style w:type="paragraph" w:customStyle="1" w:styleId="87">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88">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89">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0">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91">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92">
    <w:name w:val="样式 标题 22h2L1 Heading 2H2sect 1.2H21sect 1.21H22sect 1.2..."/>
    <w:basedOn w:val="3"/>
    <w:next w:val="1"/>
    <w:qFormat/>
    <w:uiPriority w:val="0"/>
    <w:pPr>
      <w:numPr>
        <w:numId w:val="0"/>
      </w:num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93">
    <w:name w:val="正文首行缩进1"/>
    <w:basedOn w:val="22"/>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4">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95">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96">
    <w:name w:val="Char1"/>
    <w:basedOn w:val="1"/>
    <w:qFormat/>
    <w:uiPriority w:val="0"/>
    <w:rPr>
      <w:rFonts w:ascii="仿宋_GB2312" w:eastAsia="仿宋_GB2312"/>
      <w:b/>
      <w:sz w:val="32"/>
      <w:szCs w:val="32"/>
    </w:rPr>
  </w:style>
  <w:style w:type="paragraph" w:customStyle="1" w:styleId="97">
    <w:name w:val="CM14"/>
    <w:basedOn w:val="98"/>
    <w:next w:val="98"/>
    <w:qFormat/>
    <w:uiPriority w:val="0"/>
    <w:pPr>
      <w:spacing w:after="68"/>
    </w:pPr>
    <w:rPr>
      <w:rFonts w:ascii="FHLHE E+ Futura Bk" w:eastAsia="FHLHE E+ Futura Bk" w:cs="Times New Roman"/>
      <w:color w:val="auto"/>
    </w:rPr>
  </w:style>
  <w:style w:type="paragraph" w:customStyle="1" w:styleId="98">
    <w:name w:val="Default"/>
    <w:next w:val="99"/>
    <w:link w:val="62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9">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00">
    <w:name w:val="正文文字缩进2字"/>
    <w:basedOn w:val="22"/>
    <w:qFormat/>
    <w:uiPriority w:val="0"/>
    <w:pPr>
      <w:autoSpaceDE/>
      <w:autoSpaceDN/>
      <w:adjustRightInd/>
      <w:spacing w:before="60" w:after="60"/>
      <w:ind w:firstLine="200" w:firstLineChars="200"/>
    </w:pPr>
    <w:rPr>
      <w:rFonts w:ascii="Times New Roman"/>
      <w:szCs w:val="20"/>
      <w:lang w:val="en-US"/>
    </w:rPr>
  </w:style>
  <w:style w:type="paragraph" w:customStyle="1" w:styleId="101">
    <w:name w:val="正文 编号"/>
    <w:basedOn w:val="1"/>
    <w:qFormat/>
    <w:uiPriority w:val="0"/>
    <w:pPr>
      <w:widowControl/>
      <w:numPr>
        <w:ilvl w:val="0"/>
        <w:numId w:val="4"/>
      </w:numPr>
      <w:spacing w:after="120" w:line="440" w:lineRule="exact"/>
      <w:jc w:val="left"/>
    </w:pPr>
    <w:rPr>
      <w:rFonts w:ascii="仿宋_GB2312" w:hAnsi="仿宋_GB2312" w:eastAsia="仿宋_GB2312"/>
      <w:sz w:val="24"/>
      <w:szCs w:val="20"/>
    </w:rPr>
  </w:style>
  <w:style w:type="paragraph" w:customStyle="1" w:styleId="10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103">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04">
    <w:name w:val="标书标题4"/>
    <w:basedOn w:val="5"/>
    <w:qFormat/>
    <w:uiPriority w:val="0"/>
    <w:pPr>
      <w:keepLines w:val="0"/>
      <w:numPr>
        <w:numId w:val="0"/>
      </w:numPr>
      <w:snapToGrid w:val="0"/>
      <w:spacing w:before="0" w:after="0" w:line="300" w:lineRule="auto"/>
    </w:pPr>
    <w:rPr>
      <w:rFonts w:ascii="Arial Narrow" w:hAnsi="Arial Narrow" w:eastAsia="仿宋_GB2312"/>
      <w:bCs w:val="0"/>
      <w:color w:val="000000"/>
      <w:kern w:val="0"/>
      <w:szCs w:val="32"/>
      <w:lang w:val="en-US"/>
    </w:rPr>
  </w:style>
  <w:style w:type="paragraph" w:styleId="105">
    <w:name w:val="List Paragraph"/>
    <w:basedOn w:val="1"/>
    <w:qFormat/>
    <w:uiPriority w:val="0"/>
    <w:pPr>
      <w:spacing w:line="360" w:lineRule="auto"/>
      <w:ind w:firstLine="200" w:firstLineChars="200"/>
    </w:pPr>
    <w:rPr>
      <w:rFonts w:eastAsia="楷体_GB2312" w:cs="Lucida Sans"/>
      <w:sz w:val="24"/>
    </w:rPr>
  </w:style>
  <w:style w:type="paragraph" w:customStyle="1" w:styleId="106">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107">
    <w:name w:val="Char2 Char Char Char"/>
    <w:basedOn w:val="1"/>
    <w:qFormat/>
    <w:uiPriority w:val="0"/>
    <w:rPr>
      <w:rFonts w:ascii="仿宋_GB2312" w:eastAsia="仿宋_GB2312"/>
      <w:b/>
      <w:sz w:val="32"/>
      <w:szCs w:val="32"/>
    </w:rPr>
  </w:style>
  <w:style w:type="paragraph" w:customStyle="1" w:styleId="108">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09">
    <w:name w:val="样式 正文文本缩进 + 左侧:  2 字符 首行缩进:  2 字符"/>
    <w:basedOn w:val="23"/>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110">
    <w:name w:val="Char Char Char"/>
    <w:basedOn w:val="1"/>
    <w:qFormat/>
    <w:uiPriority w:val="0"/>
    <w:rPr>
      <w:rFonts w:ascii="Tahoma" w:hAnsi="Tahoma"/>
      <w:sz w:val="24"/>
      <w:szCs w:val="20"/>
    </w:rPr>
  </w:style>
  <w:style w:type="paragraph" w:customStyle="1" w:styleId="111">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11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113">
    <w:name w:val="样式 正文缩进 + 首行缩进:  2 字符"/>
    <w:basedOn w:val="15"/>
    <w:qFormat/>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114">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115">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16">
    <w:name w:val="浅色底纹 - 强调文字颜色 51"/>
    <w:semiHidden/>
    <w:qFormat/>
    <w:uiPriority w:val="0"/>
    <w:rPr>
      <w:rFonts w:ascii="Times New Roman" w:hAnsi="Times New Roman" w:eastAsia="宋体" w:cs="Times New Roman"/>
      <w:kern w:val="2"/>
      <w:sz w:val="21"/>
      <w:szCs w:val="24"/>
      <w:lang w:val="en-US" w:eastAsia="zh-CN" w:bidi="ar-SA"/>
    </w:rPr>
  </w:style>
  <w:style w:type="paragraph" w:customStyle="1" w:styleId="117">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118">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119">
    <w:name w:val="FA正文"/>
    <w:basedOn w:val="1"/>
    <w:qFormat/>
    <w:uiPriority w:val="0"/>
    <w:pPr>
      <w:spacing w:line="360" w:lineRule="auto"/>
      <w:ind w:firstLine="480" w:firstLineChars="200"/>
    </w:pPr>
    <w:rPr>
      <w:rFonts w:hAnsi="宋体"/>
      <w:sz w:val="24"/>
      <w:szCs w:val="20"/>
    </w:rPr>
  </w:style>
  <w:style w:type="paragraph" w:customStyle="1" w:styleId="120">
    <w:name w:val="MM Topic 4"/>
    <w:basedOn w:val="5"/>
    <w:qFormat/>
    <w:uiPriority w:val="0"/>
    <w:pPr>
      <w:numPr>
        <w:ilvl w:val="0"/>
        <w:numId w:val="0"/>
      </w:numPr>
      <w:tabs>
        <w:tab w:val="left" w:pos="2100"/>
        <w:tab w:val="clear" w:pos="864"/>
      </w:tabs>
      <w:adjustRightInd/>
      <w:ind w:left="2100" w:hanging="420"/>
    </w:pPr>
    <w:rPr>
      <w:lang w:val="en-US"/>
    </w:rPr>
  </w:style>
  <w:style w:type="paragraph" w:customStyle="1" w:styleId="121">
    <w:name w:val="Char Char1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22">
    <w:name w:val="有符号正文"/>
    <w:basedOn w:val="1"/>
    <w:qFormat/>
    <w:uiPriority w:val="0"/>
    <w:pPr>
      <w:adjustRightInd/>
      <w:spacing w:line="400" w:lineRule="exact"/>
      <w:ind w:firstLine="200" w:firstLineChars="200"/>
    </w:pPr>
    <w:rPr>
      <w:rFonts w:ascii="Arial" w:hAnsi="Arial"/>
    </w:rPr>
  </w:style>
  <w:style w:type="paragraph" w:customStyle="1" w:styleId="123">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124">
    <w:name w:val="默认段落字体 Para Char"/>
    <w:basedOn w:val="1"/>
    <w:qFormat/>
    <w:uiPriority w:val="0"/>
    <w:rPr>
      <w:rFonts w:ascii="Tahoma" w:hAnsi="Tahoma"/>
      <w:sz w:val="24"/>
      <w:szCs w:val="20"/>
    </w:rPr>
  </w:style>
  <w:style w:type="paragraph" w:customStyle="1" w:styleId="125">
    <w:name w:val="Char1 Char Char Char2"/>
    <w:basedOn w:val="1"/>
    <w:qFormat/>
    <w:uiPriority w:val="0"/>
    <w:pPr>
      <w:adjustRightInd/>
      <w:ind w:firstLine="200" w:firstLineChars="200"/>
    </w:pPr>
    <w:rPr>
      <w:rFonts w:ascii="Tahoma" w:hAnsi="Tahoma"/>
      <w:sz w:val="24"/>
      <w:szCs w:val="20"/>
    </w:rPr>
  </w:style>
  <w:style w:type="paragraph" w:customStyle="1" w:styleId="126">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27">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128">
    <w:name w:val="注释"/>
    <w:basedOn w:val="1"/>
    <w:qFormat/>
    <w:uiPriority w:val="0"/>
    <w:pPr>
      <w:adjustRightInd/>
      <w:spacing w:line="360" w:lineRule="auto"/>
      <w:ind w:firstLine="480"/>
    </w:pPr>
    <w:rPr>
      <w:sz w:val="24"/>
    </w:rPr>
  </w:style>
  <w:style w:type="paragraph" w:customStyle="1" w:styleId="12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130">
    <w:name w:val="Char1 Char Char Char Char Char Char Char Char Char"/>
    <w:basedOn w:val="1"/>
    <w:semiHidden/>
    <w:qFormat/>
    <w:uiPriority w:val="0"/>
    <w:pPr>
      <w:adjustRightInd/>
      <w:spacing w:before="240" w:after="120" w:line="288" w:lineRule="auto"/>
      <w:ind w:firstLine="200" w:firstLineChars="200"/>
      <w:jc w:val="left"/>
    </w:pPr>
    <w:rPr>
      <w:rFonts w:ascii="Tahoma" w:hAnsi="Tahoma"/>
      <w:sz w:val="24"/>
    </w:rPr>
  </w:style>
  <w:style w:type="paragraph" w:customStyle="1" w:styleId="131">
    <w:name w:val="trademark"/>
    <w:qFormat/>
    <w:uiPriority w:val="0"/>
    <w:pPr>
      <w:spacing w:after="60"/>
    </w:pPr>
    <w:rPr>
      <w:rFonts w:ascii="Futura Bk" w:hAnsi="Futura Bk" w:eastAsia="宋体" w:cs="Times New Roman"/>
      <w:sz w:val="15"/>
      <w:lang w:val="en-US" w:eastAsia="en-US" w:bidi="ar-SA"/>
    </w:rPr>
  </w:style>
  <w:style w:type="paragraph" w:customStyle="1" w:styleId="132">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133">
    <w:name w:val="EB_表格"/>
    <w:basedOn w:val="1"/>
    <w:qFormat/>
    <w:uiPriority w:val="0"/>
    <w:pPr>
      <w:adjustRightInd/>
      <w:spacing w:line="300" w:lineRule="auto"/>
      <w:jc w:val="center"/>
    </w:pPr>
  </w:style>
  <w:style w:type="paragraph" w:customStyle="1" w:styleId="134">
    <w:name w:val="Char Char Char1 Char"/>
    <w:basedOn w:val="1"/>
    <w:qFormat/>
    <w:uiPriority w:val="0"/>
    <w:rPr>
      <w:szCs w:val="20"/>
    </w:rPr>
  </w:style>
  <w:style w:type="paragraph" w:customStyle="1" w:styleId="135">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36">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137">
    <w:name w:val="章标题"/>
    <w:next w:val="138"/>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13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140">
    <w:name w:val="标准有序列表（L1）"/>
    <w:basedOn w:val="15"/>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41">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142">
    <w:name w:val="表文字"/>
    <w:qFormat/>
    <w:uiPriority w:val="0"/>
    <w:rPr>
      <w:rFonts w:ascii="宋体" w:hAnsi="Times New Roman" w:eastAsia="宋体" w:cs="Times New Roman"/>
      <w:kern w:val="2"/>
      <w:lang w:val="en-US" w:eastAsia="zh-CN" w:bidi="ar-SA"/>
    </w:rPr>
  </w:style>
  <w:style w:type="paragraph" w:customStyle="1" w:styleId="143">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14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5">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46">
    <w:name w:val="列表内容"/>
    <w:basedOn w:val="1"/>
    <w:next w:val="1"/>
    <w:qFormat/>
    <w:uiPriority w:val="0"/>
    <w:pPr>
      <w:widowControl/>
      <w:tabs>
        <w:tab w:val="left" w:pos="840"/>
      </w:tabs>
      <w:ind w:left="840" w:hanging="420"/>
      <w:jc w:val="left"/>
    </w:pPr>
    <w:rPr>
      <w:kern w:val="0"/>
      <w:sz w:val="18"/>
    </w:rPr>
  </w:style>
  <w:style w:type="paragraph" w:customStyle="1" w:styleId="147">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148">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49">
    <w:name w:val="body text bold"/>
    <w:basedOn w:val="22"/>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150">
    <w:name w:val="Char2 Char Char"/>
    <w:basedOn w:val="1"/>
    <w:qFormat/>
    <w:uiPriority w:val="0"/>
    <w:pPr>
      <w:adjustRightInd/>
    </w:pPr>
    <w:rPr>
      <w:rFonts w:ascii="Tahoma" w:hAnsi="Tahoma"/>
      <w:sz w:val="24"/>
      <w:szCs w:val="20"/>
    </w:rPr>
  </w:style>
  <w:style w:type="paragraph" w:customStyle="1" w:styleId="15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152">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53">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154">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55">
    <w:name w:val="Char Char1 Char Char Char"/>
    <w:basedOn w:val="1"/>
    <w:qFormat/>
    <w:uiPriority w:val="0"/>
    <w:rPr>
      <w:rFonts w:ascii="仿宋_GB2312" w:eastAsia="仿宋_GB2312"/>
      <w:b/>
      <w:sz w:val="32"/>
      <w:szCs w:val="20"/>
    </w:rPr>
  </w:style>
  <w:style w:type="paragraph" w:customStyle="1" w:styleId="156">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157">
    <w:name w:val="WW-正文文字缩进 2"/>
    <w:basedOn w:val="1"/>
    <w:qFormat/>
    <w:uiPriority w:val="0"/>
    <w:pPr>
      <w:suppressAutoHyphens/>
      <w:adjustRightInd/>
      <w:ind w:firstLine="420"/>
    </w:pPr>
    <w:rPr>
      <w:kern w:val="1"/>
      <w:szCs w:val="20"/>
    </w:rPr>
  </w:style>
  <w:style w:type="paragraph" w:customStyle="1" w:styleId="158">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159">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160">
    <w:name w:val="默认段落字体 Para Char Char Char Char"/>
    <w:basedOn w:val="1"/>
    <w:qFormat/>
    <w:uiPriority w:val="0"/>
    <w:pPr>
      <w:spacing w:line="360" w:lineRule="auto"/>
    </w:pPr>
    <w:rPr>
      <w:szCs w:val="20"/>
    </w:rPr>
  </w:style>
  <w:style w:type="paragraph" w:customStyle="1" w:styleId="161">
    <w:name w:val="Char Char11 Char Char Char"/>
    <w:basedOn w:val="1"/>
    <w:qFormat/>
    <w:uiPriority w:val="0"/>
    <w:pPr>
      <w:spacing w:line="360" w:lineRule="auto"/>
    </w:pPr>
    <w:rPr>
      <w:szCs w:val="20"/>
    </w:rPr>
  </w:style>
  <w:style w:type="paragraph" w:customStyle="1" w:styleId="162">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63">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164">
    <w:name w:val="左对齐表格文字"/>
    <w:basedOn w:val="1"/>
    <w:qFormat/>
    <w:uiPriority w:val="0"/>
    <w:pPr>
      <w:adjustRightInd/>
      <w:ind w:firstLine="200" w:firstLineChars="200"/>
      <w:jc w:val="right"/>
    </w:pPr>
  </w:style>
  <w:style w:type="paragraph" w:customStyle="1" w:styleId="165">
    <w:name w:val="Picture"/>
    <w:basedOn w:val="1"/>
    <w:next w:val="16"/>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66">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167">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168">
    <w:name w:val="无间隔1"/>
    <w:link w:val="530"/>
    <w:qFormat/>
    <w:uiPriority w:val="1"/>
    <w:rPr>
      <w:rFonts w:ascii="Calibri" w:hAnsi="Calibri" w:eastAsia="宋体" w:cs="Times New Roman"/>
      <w:sz w:val="22"/>
      <w:szCs w:val="22"/>
      <w:lang w:val="en-US" w:eastAsia="zh-CN" w:bidi="ar-SA"/>
    </w:rPr>
  </w:style>
  <w:style w:type="paragraph" w:customStyle="1" w:styleId="169">
    <w:name w:val="样式 样式 标题 4h4H4Fab-4T5Ref Heading 1rh1Heading sqlsect 1.2.3.... +..."/>
    <w:basedOn w:val="170"/>
    <w:link w:val="608"/>
    <w:qFormat/>
    <w:uiPriority w:val="0"/>
    <w:pPr>
      <w:tabs>
        <w:tab w:val="left" w:pos="2356"/>
      </w:tabs>
    </w:pPr>
  </w:style>
  <w:style w:type="paragraph" w:customStyle="1" w:styleId="170">
    <w:name w:val="样式 标题 4h4H4Fab-4T5Ref Heading 1rh1Heading sqlsect 1.2.3...."/>
    <w:basedOn w:val="5"/>
    <w:link w:val="558"/>
    <w:qFormat/>
    <w:uiPriority w:val="0"/>
    <w:pPr>
      <w:numPr>
        <w:numId w:val="0"/>
      </w:num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paragraph" w:customStyle="1" w:styleId="171">
    <w:name w:val="四级条标题"/>
    <w:basedOn w:val="172"/>
    <w:next w:val="138"/>
    <w:qFormat/>
    <w:uiPriority w:val="0"/>
    <w:pPr>
      <w:numPr>
        <w:ilvl w:val="5"/>
        <w:numId w:val="4"/>
      </w:numPr>
      <w:tabs>
        <w:tab w:val="left" w:pos="1680"/>
        <w:tab w:val="left" w:pos="2100"/>
        <w:tab w:val="left" w:pos="2520"/>
      </w:tabs>
      <w:outlineLvl w:val="5"/>
    </w:pPr>
  </w:style>
  <w:style w:type="paragraph" w:customStyle="1" w:styleId="172">
    <w:name w:val="三级条标题"/>
    <w:basedOn w:val="173"/>
    <w:next w:val="138"/>
    <w:qFormat/>
    <w:uiPriority w:val="0"/>
    <w:pPr>
      <w:numPr>
        <w:ilvl w:val="0"/>
        <w:numId w:val="0"/>
      </w:numPr>
      <w:tabs>
        <w:tab w:val="left" w:pos="1680"/>
        <w:tab w:val="left" w:pos="2100"/>
        <w:tab w:val="left" w:pos="2520"/>
      </w:tabs>
      <w:ind w:left="2520" w:hanging="420"/>
      <w:outlineLvl w:val="4"/>
    </w:pPr>
  </w:style>
  <w:style w:type="paragraph" w:customStyle="1" w:styleId="173">
    <w:name w:val="二级条标题"/>
    <w:basedOn w:val="174"/>
    <w:next w:val="138"/>
    <w:qFormat/>
    <w:uiPriority w:val="0"/>
    <w:pPr>
      <w:numPr>
        <w:ilvl w:val="3"/>
        <w:numId w:val="4"/>
      </w:numPr>
      <w:tabs>
        <w:tab w:val="left" w:pos="1680"/>
      </w:tabs>
      <w:ind w:left="0"/>
      <w:outlineLvl w:val="3"/>
    </w:pPr>
  </w:style>
  <w:style w:type="paragraph" w:customStyle="1" w:styleId="174">
    <w:name w:val="一级条标题"/>
    <w:basedOn w:val="137"/>
    <w:next w:val="138"/>
    <w:qFormat/>
    <w:uiPriority w:val="0"/>
    <w:pPr>
      <w:tabs>
        <w:tab w:val="left" w:pos="1680"/>
        <w:tab w:val="clear" w:pos="1260"/>
      </w:tabs>
      <w:spacing w:before="0" w:beforeLines="0" w:after="0" w:afterLines="0"/>
      <w:ind w:left="1680"/>
      <w:outlineLvl w:val="2"/>
    </w:pPr>
  </w:style>
  <w:style w:type="paragraph" w:customStyle="1" w:styleId="175">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76">
    <w:name w:val="标准小四"/>
    <w:basedOn w:val="1"/>
    <w:qFormat/>
    <w:uiPriority w:val="0"/>
    <w:pPr>
      <w:spacing w:line="360" w:lineRule="auto"/>
      <w:ind w:firstLine="480" w:firstLineChars="200"/>
    </w:pPr>
    <w:rPr>
      <w:rFonts w:ascii="Arial" w:hAnsi="Arial"/>
      <w:sz w:val="24"/>
      <w:szCs w:val="21"/>
    </w:rPr>
  </w:style>
  <w:style w:type="paragraph" w:customStyle="1" w:styleId="177">
    <w:name w:val="表格"/>
    <w:basedOn w:val="1"/>
    <w:qFormat/>
    <w:uiPriority w:val="0"/>
    <w:pPr>
      <w:snapToGrid w:val="0"/>
      <w:ind w:firstLine="42" w:firstLineChars="21"/>
    </w:pPr>
    <w:rPr>
      <w:rFonts w:ascii="宋体" w:hAnsi="宋体"/>
      <w:kern w:val="0"/>
      <w:sz w:val="20"/>
      <w:szCs w:val="20"/>
    </w:rPr>
  </w:style>
  <w:style w:type="paragraph" w:customStyle="1" w:styleId="178">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79">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0">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181">
    <w:name w:val="封面公司名"/>
    <w:qFormat/>
    <w:uiPriority w:val="0"/>
    <w:pPr>
      <w:jc w:val="center"/>
    </w:pPr>
    <w:rPr>
      <w:rFonts w:ascii="Arial" w:hAnsi="Arial" w:eastAsia="楷体_GB2312" w:cs="宋体"/>
      <w:bCs/>
      <w:kern w:val="2"/>
      <w:sz w:val="28"/>
      <w:lang w:val="en-US" w:eastAsia="zh-CN" w:bidi="ar-SA"/>
    </w:rPr>
  </w:style>
  <w:style w:type="paragraph" w:customStyle="1" w:styleId="182">
    <w:name w:val="Char2 Char Char Char1"/>
    <w:basedOn w:val="1"/>
    <w:qFormat/>
    <w:uiPriority w:val="0"/>
    <w:rPr>
      <w:rFonts w:ascii="仿宋_GB2312" w:eastAsia="仿宋_GB2312"/>
      <w:b/>
      <w:sz w:val="32"/>
      <w:szCs w:val="32"/>
    </w:rPr>
  </w:style>
  <w:style w:type="paragraph" w:customStyle="1" w:styleId="183">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84">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185">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186">
    <w:name w:val="Char2"/>
    <w:basedOn w:val="1"/>
    <w:qFormat/>
    <w:uiPriority w:val="0"/>
    <w:rPr>
      <w:rFonts w:ascii="仿宋_GB2312" w:eastAsia="仿宋_GB2312"/>
      <w:b/>
      <w:sz w:val="32"/>
      <w:szCs w:val="32"/>
    </w:rPr>
  </w:style>
  <w:style w:type="paragraph" w:customStyle="1" w:styleId="18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88">
    <w:name w:val="小节"/>
    <w:basedOn w:val="4"/>
    <w:qFormat/>
    <w:uiPriority w:val="0"/>
    <w:pPr>
      <w:numPr>
        <w:numId w:val="0"/>
      </w:numPr>
      <w:adjustRightInd/>
      <w:spacing w:before="200" w:after="200" w:line="560" w:lineRule="exact"/>
      <w:jc w:val="left"/>
    </w:pPr>
    <w:rPr>
      <w:rFonts w:ascii="宋体" w:hAnsi="宋体"/>
      <w:bCs w:val="0"/>
      <w:color w:val="000000"/>
      <w:spacing w:val="10"/>
      <w:kern w:val="24"/>
      <w:sz w:val="28"/>
    </w:rPr>
  </w:style>
  <w:style w:type="paragraph" w:customStyle="1" w:styleId="189">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90">
    <w:name w:val="Char Char Char Char Char Char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191">
    <w:name w:val="!大节"/>
    <w:basedOn w:val="3"/>
    <w:qFormat/>
    <w:uiPriority w:val="0"/>
    <w:pPr>
      <w:numPr>
        <w:numId w:val="0"/>
      </w:numPr>
      <w:spacing w:before="260" w:after="260" w:line="415" w:lineRule="auto"/>
      <w:ind w:left="420" w:hanging="420"/>
    </w:pPr>
    <w:rPr>
      <w:rFonts w:ascii="Arial" w:hAnsi="Arial" w:eastAsia="微软雅黑"/>
      <w:lang w:val="en-US"/>
    </w:rPr>
  </w:style>
  <w:style w:type="paragraph" w:customStyle="1" w:styleId="192">
    <w:name w:val="Char Char4 Char Char"/>
    <w:basedOn w:val="1"/>
    <w:qFormat/>
    <w:uiPriority w:val="0"/>
    <w:pPr>
      <w:widowControl/>
      <w:adjustRightInd/>
      <w:spacing w:after="160" w:line="240" w:lineRule="exact"/>
      <w:jc w:val="left"/>
    </w:pPr>
  </w:style>
  <w:style w:type="paragraph" w:customStyle="1" w:styleId="193">
    <w:name w:val="Char2 Char Char1"/>
    <w:basedOn w:val="1"/>
    <w:qFormat/>
    <w:uiPriority w:val="0"/>
    <w:pPr>
      <w:adjustRightInd/>
    </w:pPr>
    <w:rPr>
      <w:rFonts w:ascii="Tahoma" w:hAnsi="Tahoma"/>
      <w:sz w:val="24"/>
      <w:szCs w:val="20"/>
    </w:rPr>
  </w:style>
  <w:style w:type="paragraph" w:customStyle="1" w:styleId="194">
    <w:name w:val="默认段落字体 Para Char Char Char Char Char Char Char"/>
    <w:basedOn w:val="1"/>
    <w:qFormat/>
    <w:uiPriority w:val="0"/>
    <w:rPr>
      <w:rFonts w:eastAsia="仿宋_GB2312"/>
      <w:sz w:val="28"/>
      <w:szCs w:val="20"/>
    </w:rPr>
  </w:style>
  <w:style w:type="paragraph" w:customStyle="1" w:styleId="195">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196">
    <w:name w:val="正文21"/>
    <w:basedOn w:val="1"/>
    <w:qFormat/>
    <w:uiPriority w:val="0"/>
    <w:pPr>
      <w:adjustRightInd/>
      <w:spacing w:before="156" w:line="360" w:lineRule="auto"/>
      <w:ind w:firstLine="510" w:firstLineChars="200"/>
    </w:pPr>
    <w:rPr>
      <w:sz w:val="24"/>
      <w:szCs w:val="20"/>
    </w:rPr>
  </w:style>
  <w:style w:type="paragraph" w:customStyle="1" w:styleId="197">
    <w:name w:val="标题4_自定义"/>
    <w:basedOn w:val="5"/>
    <w:qFormat/>
    <w:uiPriority w:val="0"/>
    <w:pPr>
      <w:numPr>
        <w:numId w:val="0"/>
      </w:numPr>
      <w:adjustRightInd/>
      <w:spacing w:before="0" w:after="0" w:line="360" w:lineRule="auto"/>
    </w:pPr>
    <w:rPr>
      <w:rFonts w:ascii="Verdana" w:eastAsia="Verdana"/>
      <w:sz w:val="21"/>
      <w:lang w:val="en-US"/>
    </w:rPr>
  </w:style>
  <w:style w:type="paragraph" w:customStyle="1" w:styleId="198">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199">
    <w:name w:val="标题五"/>
    <w:basedOn w:val="1"/>
    <w:qFormat/>
    <w:uiPriority w:val="0"/>
    <w:pPr>
      <w:adjustRightInd/>
      <w:spacing w:before="156" w:beforeLines="50" w:line="360" w:lineRule="auto"/>
    </w:pPr>
    <w:rPr>
      <w:b/>
      <w:sz w:val="24"/>
    </w:rPr>
  </w:style>
  <w:style w:type="paragraph" w:customStyle="1" w:styleId="200">
    <w:name w:val="样式 标题 3H3 + 两端对齐"/>
    <w:basedOn w:val="4"/>
    <w:qFormat/>
    <w:uiPriority w:val="0"/>
    <w:pPr>
      <w:keepLines w:val="0"/>
      <w:numPr>
        <w:numId w:val="0"/>
      </w:numPr>
      <w:spacing w:before="0" w:after="0" w:line="240" w:lineRule="auto"/>
      <w:jc w:val="left"/>
    </w:pPr>
    <w:rPr>
      <w:rFonts w:cs="宋体"/>
      <w:sz w:val="21"/>
      <w:szCs w:val="20"/>
    </w:rPr>
  </w:style>
  <w:style w:type="paragraph" w:customStyle="1" w:styleId="201">
    <w:name w:val="Char Char11"/>
    <w:basedOn w:val="1"/>
    <w:qFormat/>
    <w:uiPriority w:val="0"/>
    <w:pPr>
      <w:spacing w:line="360" w:lineRule="auto"/>
    </w:pPr>
    <w:rPr>
      <w:szCs w:val="20"/>
    </w:rPr>
  </w:style>
  <w:style w:type="paragraph" w:customStyle="1" w:styleId="20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03">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204">
    <w:name w:val="样式 标题 1章节第一层h1H"/>
    <w:basedOn w:val="2"/>
    <w:qFormat/>
    <w:uiPriority w:val="0"/>
    <w:pPr>
      <w:keepNext w:val="0"/>
      <w:keepLines w:val="0"/>
      <w:numPr>
        <w:numId w:val="0"/>
      </w:numPr>
      <w:autoSpaceDE w:val="0"/>
      <w:autoSpaceDN w:val="0"/>
      <w:spacing w:before="0" w:after="0" w:line="240" w:lineRule="auto"/>
      <w:jc w:val="left"/>
      <w:outlineLvl w:val="9"/>
    </w:pPr>
    <w:rPr>
      <w:kern w:val="0"/>
      <w:sz w:val="52"/>
      <w:szCs w:val="52"/>
      <w:lang w:val="zh-CN"/>
    </w:rPr>
  </w:style>
  <w:style w:type="paragraph" w:customStyle="1" w:styleId="205">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06">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07">
    <w:name w:val="Char Char11 Char Char Char Char Char Char Char Char Char"/>
    <w:basedOn w:val="1"/>
    <w:qFormat/>
    <w:uiPriority w:val="0"/>
    <w:pPr>
      <w:spacing w:line="360" w:lineRule="auto"/>
    </w:pPr>
    <w:rPr>
      <w:szCs w:val="20"/>
    </w:rPr>
  </w:style>
  <w:style w:type="paragraph" w:customStyle="1" w:styleId="208">
    <w:name w:val="Char Char1 Char Char Char1"/>
    <w:basedOn w:val="1"/>
    <w:qFormat/>
    <w:uiPriority w:val="0"/>
    <w:rPr>
      <w:rFonts w:ascii="仿宋_GB2312" w:eastAsia="仿宋_GB2312"/>
      <w:b/>
      <w:sz w:val="32"/>
      <w:szCs w:val="32"/>
    </w:rPr>
  </w:style>
  <w:style w:type="paragraph" w:customStyle="1" w:styleId="209">
    <w:name w:val="样式 标题 4PIM 4H4h4bulletblbbH41H42H43H44H45H46H47H48...1"/>
    <w:basedOn w:val="5"/>
    <w:qFormat/>
    <w:uiPriority w:val="0"/>
    <w:pPr>
      <w:widowControl/>
      <w:jc w:val="left"/>
    </w:pPr>
    <w:rPr>
      <w:rFonts w:cs="宋体"/>
      <w:sz w:val="24"/>
      <w:szCs w:val="20"/>
    </w:rPr>
  </w:style>
  <w:style w:type="paragraph" w:customStyle="1" w:styleId="210">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211">
    <w:name w:val="表格标题2"/>
    <w:basedOn w:val="212"/>
    <w:qFormat/>
    <w:uiPriority w:val="0"/>
    <w:rPr>
      <w:b/>
    </w:rPr>
  </w:style>
  <w:style w:type="paragraph" w:customStyle="1" w:styleId="212">
    <w:name w:val="表格内文"/>
    <w:basedOn w:val="1"/>
    <w:qFormat/>
    <w:uiPriority w:val="0"/>
    <w:pPr>
      <w:adjustRightInd/>
      <w:spacing w:line="360" w:lineRule="auto"/>
    </w:pPr>
    <w:rPr>
      <w:rFonts w:ascii="宋体" w:hAnsi="宋体" w:cs="宋体"/>
      <w:color w:val="000000"/>
      <w:szCs w:val="20"/>
    </w:rPr>
  </w:style>
  <w:style w:type="paragraph" w:customStyle="1" w:styleId="213">
    <w:name w:val="Char Char Char Char Char Char Char"/>
    <w:basedOn w:val="1"/>
    <w:qFormat/>
    <w:uiPriority w:val="0"/>
    <w:rPr>
      <w:rFonts w:ascii="仿宋_GB2312" w:eastAsia="仿宋_GB2312"/>
      <w:b/>
      <w:sz w:val="32"/>
      <w:szCs w:val="32"/>
    </w:rPr>
  </w:style>
  <w:style w:type="paragraph" w:customStyle="1" w:styleId="214">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215">
    <w:name w:val="数字标题6"/>
    <w:basedOn w:val="7"/>
    <w:next w:val="1"/>
    <w:qFormat/>
    <w:uiPriority w:val="0"/>
    <w:pPr>
      <w:numPr>
        <w:numId w:val="5"/>
      </w:numPr>
      <w:tabs>
        <w:tab w:val="left" w:pos="480"/>
        <w:tab w:val="left" w:pos="1080"/>
        <w:tab w:val="clear" w:pos="1152"/>
      </w:tabs>
    </w:pPr>
    <w:rPr>
      <w:rFonts w:ascii="Times New Roman" w:hAnsi="Times New Roman" w:eastAsia="宋体"/>
      <w:i/>
    </w:rPr>
  </w:style>
  <w:style w:type="paragraph" w:customStyle="1" w:styleId="216">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217">
    <w:name w:val="列出段落2"/>
    <w:basedOn w:val="1"/>
    <w:qFormat/>
    <w:uiPriority w:val="0"/>
    <w:pPr>
      <w:adjustRightInd/>
      <w:ind w:firstLine="420" w:firstLineChars="200"/>
    </w:pPr>
    <w:rPr>
      <w:rFonts w:ascii="宋体" w:hAnsi="宋体"/>
      <w:sz w:val="24"/>
    </w:rPr>
  </w:style>
  <w:style w:type="paragraph" w:customStyle="1" w:styleId="218">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219">
    <w:name w:val="TOC 标题1"/>
    <w:basedOn w:val="2"/>
    <w:next w:val="1"/>
    <w:unhideWhenUsed/>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2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221">
    <w:name w:val="正文 首行缩进:  2 字符 Char"/>
    <w:basedOn w:val="1"/>
    <w:qFormat/>
    <w:uiPriority w:val="0"/>
    <w:pPr>
      <w:adjustRightInd/>
      <w:spacing w:line="360" w:lineRule="auto"/>
      <w:ind w:firstLine="480"/>
    </w:pPr>
    <w:rPr>
      <w:rFonts w:cs="宋体"/>
      <w:sz w:val="24"/>
      <w:szCs w:val="20"/>
    </w:rPr>
  </w:style>
  <w:style w:type="paragraph" w:customStyle="1" w:styleId="222">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223">
    <w:name w:val="Table Text"/>
    <w:basedOn w:val="1"/>
    <w:qFormat/>
    <w:uiPriority w:val="0"/>
    <w:pPr>
      <w:widowControl/>
      <w:spacing w:before="60" w:after="60"/>
      <w:jc w:val="left"/>
    </w:pPr>
    <w:rPr>
      <w:kern w:val="0"/>
      <w:sz w:val="24"/>
    </w:rPr>
  </w:style>
  <w:style w:type="paragraph" w:customStyle="1" w:styleId="22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225">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26">
    <w:name w:val="Char Char Char Char Char Char Char Char Char Char"/>
    <w:basedOn w:val="1"/>
    <w:qFormat/>
    <w:uiPriority w:val="0"/>
    <w:rPr>
      <w:rFonts w:ascii="仿宋_GB2312" w:eastAsia="仿宋_GB2312"/>
      <w:b/>
      <w:sz w:val="32"/>
      <w:szCs w:val="32"/>
    </w:rPr>
  </w:style>
  <w:style w:type="paragraph" w:customStyle="1" w:styleId="227">
    <w:name w:val="MM Title"/>
    <w:basedOn w:val="57"/>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28">
    <w:name w:val="正文文字表格居中"/>
    <w:basedOn w:val="1"/>
    <w:next w:val="54"/>
    <w:qFormat/>
    <w:uiPriority w:val="0"/>
    <w:pPr>
      <w:snapToGrid w:val="0"/>
      <w:spacing w:line="360" w:lineRule="auto"/>
    </w:pPr>
    <w:rPr>
      <w:rFonts w:ascii="宋体"/>
      <w:b/>
      <w:sz w:val="24"/>
      <w:szCs w:val="20"/>
    </w:rPr>
  </w:style>
  <w:style w:type="paragraph" w:customStyle="1" w:styleId="229">
    <w:name w:val="模板普通正文"/>
    <w:basedOn w:val="23"/>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230">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231">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232">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33">
    <w:name w:val="Char"/>
    <w:basedOn w:val="1"/>
    <w:qFormat/>
    <w:uiPriority w:val="0"/>
    <w:rPr>
      <w:rFonts w:ascii="仿宋_GB2312" w:eastAsia="仿宋_GB2312"/>
      <w:b/>
      <w:sz w:val="32"/>
      <w:szCs w:val="32"/>
    </w:rPr>
  </w:style>
  <w:style w:type="paragraph" w:customStyle="1" w:styleId="234">
    <w:name w:val="冯广丽"/>
    <w:basedOn w:val="1"/>
    <w:link w:val="471"/>
    <w:qFormat/>
    <w:uiPriority w:val="0"/>
    <w:pPr>
      <w:adjustRightInd/>
      <w:spacing w:line="360" w:lineRule="auto"/>
      <w:ind w:firstLine="480" w:firstLineChars="200"/>
    </w:pPr>
    <w:rPr>
      <w:rFonts w:ascii="宋体" w:hAnsi="宋体"/>
      <w:sz w:val="24"/>
      <w:szCs w:val="22"/>
    </w:rPr>
  </w:style>
  <w:style w:type="paragraph" w:customStyle="1" w:styleId="235">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236">
    <w:name w:val="Char31"/>
    <w:basedOn w:val="1"/>
    <w:qFormat/>
    <w:uiPriority w:val="0"/>
    <w:pPr>
      <w:adjustRightInd/>
      <w:ind w:firstLine="200" w:firstLineChars="200"/>
    </w:pPr>
    <w:rPr>
      <w:rFonts w:ascii="Tahoma" w:hAnsi="Tahoma"/>
      <w:sz w:val="24"/>
      <w:szCs w:val="20"/>
    </w:rPr>
  </w:style>
  <w:style w:type="paragraph" w:customStyle="1" w:styleId="237">
    <w:name w:val="Char Char11 Char Char Char1"/>
    <w:basedOn w:val="1"/>
    <w:qFormat/>
    <w:uiPriority w:val="0"/>
    <w:pPr>
      <w:spacing w:line="360" w:lineRule="auto"/>
    </w:pPr>
    <w:rPr>
      <w:szCs w:val="20"/>
    </w:rPr>
  </w:style>
  <w:style w:type="paragraph" w:customStyle="1" w:styleId="238">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239">
    <w:name w:val="_Style 236"/>
    <w:qFormat/>
    <w:uiPriority w:val="0"/>
    <w:rPr>
      <w:rFonts w:ascii="Times New Roman" w:hAnsi="Times New Roman" w:eastAsia="宋体" w:cs="Times New Roman"/>
      <w:kern w:val="2"/>
      <w:sz w:val="21"/>
      <w:lang w:val="en-US" w:eastAsia="zh-CN" w:bidi="ar-SA"/>
    </w:rPr>
  </w:style>
  <w:style w:type="paragraph" w:customStyle="1" w:styleId="240">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241">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242">
    <w:name w:val="正文文字缩进项目"/>
    <w:basedOn w:val="23"/>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4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244">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45">
    <w:name w:val="文章标题"/>
    <w:next w:val="18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246">
    <w:name w:val="4"/>
    <w:basedOn w:val="1"/>
    <w:next w:val="36"/>
    <w:qFormat/>
    <w:uiPriority w:val="0"/>
    <w:pPr>
      <w:spacing w:after="120" w:line="480" w:lineRule="auto"/>
      <w:ind w:left="420" w:leftChars="200"/>
    </w:pPr>
    <w:rPr>
      <w:sz w:val="24"/>
      <w:szCs w:val="20"/>
    </w:rPr>
  </w:style>
  <w:style w:type="paragraph" w:customStyle="1" w:styleId="247">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248">
    <w:name w:val="Char Char Char Char Char Char Char Char Char Char Char1 Char"/>
    <w:basedOn w:val="1"/>
    <w:qFormat/>
    <w:uiPriority w:val="0"/>
    <w:pPr>
      <w:adjustRightInd/>
    </w:pPr>
    <w:rPr>
      <w:rFonts w:ascii="Tahoma" w:hAnsi="Tahoma"/>
      <w:sz w:val="24"/>
    </w:rPr>
  </w:style>
  <w:style w:type="paragraph" w:customStyle="1" w:styleId="249">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250">
    <w:name w:val="标书表格字体格式"/>
    <w:next w:val="154"/>
    <w:qFormat/>
    <w:uiPriority w:val="0"/>
    <w:rPr>
      <w:rFonts w:ascii="Times New Roman" w:hAnsi="Times New Roman" w:eastAsia="宋体" w:cs="Times New Roman"/>
      <w:kern w:val="2"/>
      <w:sz w:val="21"/>
      <w:szCs w:val="24"/>
      <w:lang w:val="en-US" w:eastAsia="zh-CN" w:bidi="ar-SA"/>
    </w:rPr>
  </w:style>
  <w:style w:type="paragraph" w:customStyle="1" w:styleId="251">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252">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53">
    <w:name w:val="正文1"/>
    <w:basedOn w:val="31"/>
    <w:qFormat/>
    <w:uiPriority w:val="0"/>
    <w:pPr>
      <w:ind w:left="0" w:leftChars="0" w:firstLine="480" w:firstLineChars="200"/>
    </w:pPr>
    <w:rPr>
      <w:rFonts w:ascii="仿宋_GB2312" w:hAnsi="Courier New" w:eastAsia="仿宋_GB2312"/>
      <w:kern w:val="28"/>
      <w:sz w:val="24"/>
    </w:rPr>
  </w:style>
  <w:style w:type="paragraph" w:customStyle="1" w:styleId="254">
    <w:name w:val="带编号样式"/>
    <w:basedOn w:val="86"/>
    <w:qFormat/>
    <w:uiPriority w:val="0"/>
    <w:pPr>
      <w:tabs>
        <w:tab w:val="left" w:pos="840"/>
      </w:tabs>
      <w:snapToGrid w:val="0"/>
      <w:ind w:left="840" w:firstLine="0" w:firstLineChars="0"/>
    </w:pPr>
    <w:rPr>
      <w:rFonts w:ascii="仿宋_GB2312" w:eastAsia="仿宋_GB2312"/>
      <w:color w:val="000000"/>
    </w:rPr>
  </w:style>
  <w:style w:type="paragraph" w:customStyle="1" w:styleId="255">
    <w:name w:val="正文文字 2"/>
    <w:basedOn w:val="98"/>
    <w:next w:val="98"/>
    <w:qFormat/>
    <w:uiPriority w:val="0"/>
    <w:rPr>
      <w:rFonts w:ascii="宋体" w:eastAsia="宋体" w:cs="Times New Roman"/>
      <w:color w:val="auto"/>
    </w:rPr>
  </w:style>
  <w:style w:type="paragraph" w:customStyle="1" w:styleId="256">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57">
    <w:name w:val="样式 标题 3h33rd level3Heading 3 - oldH3l3CTheading 3Headin..."/>
    <w:basedOn w:val="4"/>
    <w:qFormat/>
    <w:uiPriority w:val="0"/>
    <w:pPr>
      <w:snapToGrid w:val="0"/>
      <w:ind w:left="0" w:firstLine="0"/>
      <w:jc w:val="left"/>
    </w:pPr>
    <w:rPr>
      <w:rFonts w:eastAsia="黑体" w:cs="宋体"/>
      <w:sz w:val="28"/>
      <w:szCs w:val="20"/>
    </w:rPr>
  </w:style>
  <w:style w:type="paragraph" w:customStyle="1" w:styleId="258">
    <w:name w:val="Char5"/>
    <w:basedOn w:val="1"/>
    <w:qFormat/>
    <w:uiPriority w:val="0"/>
    <w:rPr>
      <w:rFonts w:ascii="仿宋_GB2312" w:eastAsia="仿宋_GB2312"/>
      <w:b/>
      <w:sz w:val="32"/>
      <w:szCs w:val="32"/>
    </w:rPr>
  </w:style>
  <w:style w:type="paragraph" w:customStyle="1" w:styleId="259">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60">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61">
    <w:name w:val="Item List"/>
    <w:link w:val="476"/>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paragraph" w:customStyle="1" w:styleId="262">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263">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26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265">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266">
    <w:name w:val="Char Char1 Char Char Char Char Char Char1"/>
    <w:basedOn w:val="1"/>
    <w:qFormat/>
    <w:uiPriority w:val="0"/>
    <w:rPr>
      <w:rFonts w:ascii="仿宋_GB2312" w:eastAsia="仿宋_GB2312"/>
      <w:b/>
      <w:sz w:val="32"/>
      <w:szCs w:val="20"/>
    </w:rPr>
  </w:style>
  <w:style w:type="paragraph" w:customStyle="1" w:styleId="267">
    <w:name w:val="Char Char Char Char Char Char Char Char Char Char Char Char1 Char"/>
    <w:basedOn w:val="1"/>
    <w:qFormat/>
    <w:uiPriority w:val="0"/>
    <w:rPr>
      <w:rFonts w:ascii="Tahoma" w:hAnsi="Tahoma" w:cs="仿宋_GB2312"/>
      <w:sz w:val="24"/>
      <w:szCs w:val="20"/>
    </w:rPr>
  </w:style>
  <w:style w:type="paragraph" w:customStyle="1" w:styleId="268">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69">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270">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27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72">
    <w:name w:val="样式 正文文本缩进 + 段前: 2 字符"/>
    <w:basedOn w:val="1"/>
    <w:qFormat/>
    <w:uiPriority w:val="0"/>
    <w:pPr>
      <w:adjustRightInd/>
      <w:ind w:left="420" w:leftChars="200"/>
      <w:jc w:val="left"/>
    </w:pPr>
    <w:rPr>
      <w:sz w:val="28"/>
      <w:szCs w:val="20"/>
      <w:lang w:eastAsia="zh-TW"/>
    </w:rPr>
  </w:style>
  <w:style w:type="paragraph" w:customStyle="1" w:styleId="273">
    <w:name w:val="Char1 Char Char Char3"/>
    <w:basedOn w:val="1"/>
    <w:qFormat/>
    <w:uiPriority w:val="0"/>
    <w:pPr>
      <w:adjustRightInd/>
      <w:ind w:firstLine="200" w:firstLineChars="200"/>
    </w:pPr>
    <w:rPr>
      <w:rFonts w:ascii="Tahoma" w:hAnsi="Tahoma"/>
      <w:sz w:val="24"/>
      <w:szCs w:val="20"/>
    </w:rPr>
  </w:style>
  <w:style w:type="paragraph" w:customStyle="1" w:styleId="274">
    <w:name w:val="_Style 271"/>
    <w:basedOn w:val="2"/>
    <w:next w:val="1"/>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75">
    <w:name w:val="Char Char Char Char Char Char Char Char Char Char Char Char1 Char1"/>
    <w:basedOn w:val="1"/>
    <w:qFormat/>
    <w:uiPriority w:val="0"/>
    <w:rPr>
      <w:rFonts w:ascii="Tahoma" w:hAnsi="Tahoma" w:cs="仿宋_GB2312"/>
      <w:sz w:val="24"/>
      <w:szCs w:val="20"/>
    </w:rPr>
  </w:style>
  <w:style w:type="paragraph" w:customStyle="1" w:styleId="276">
    <w:name w:val="Char Char1 Char1"/>
    <w:basedOn w:val="1"/>
    <w:qFormat/>
    <w:uiPriority w:val="0"/>
    <w:rPr>
      <w:rFonts w:ascii="仿宋_GB2312" w:eastAsia="仿宋_GB2312"/>
      <w:b/>
      <w:sz w:val="32"/>
      <w:szCs w:val="32"/>
    </w:rPr>
  </w:style>
  <w:style w:type="paragraph" w:customStyle="1" w:styleId="277">
    <w:name w:val="List Paragraph11"/>
    <w:basedOn w:val="1"/>
    <w:qFormat/>
    <w:uiPriority w:val="0"/>
    <w:pPr>
      <w:adjustRightInd/>
      <w:spacing w:line="360" w:lineRule="auto"/>
      <w:ind w:firstLine="420" w:firstLineChars="200"/>
    </w:pPr>
    <w:rPr>
      <w:rFonts w:ascii="Calibri" w:hAnsi="Calibri"/>
      <w:sz w:val="24"/>
      <w:szCs w:val="22"/>
    </w:rPr>
  </w:style>
  <w:style w:type="paragraph" w:customStyle="1" w:styleId="278">
    <w:name w:val="插图题注"/>
    <w:next w:val="1"/>
    <w:qFormat/>
    <w:uiPriority w:val="0"/>
    <w:pPr>
      <w:numPr>
        <w:ilvl w:val="7"/>
        <w:numId w:val="4"/>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79">
    <w:name w:val="Bulleting First Indent 1"/>
    <w:basedOn w:val="59"/>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80">
    <w:name w:val="Char Char1"/>
    <w:basedOn w:val="1"/>
    <w:qFormat/>
    <w:uiPriority w:val="0"/>
    <w:pPr>
      <w:widowControl/>
      <w:spacing w:after="160" w:line="240" w:lineRule="exact"/>
      <w:jc w:val="left"/>
    </w:pPr>
    <w:rPr>
      <w:rFonts w:eastAsia="仿宋_GB2312"/>
      <w:sz w:val="28"/>
    </w:rPr>
  </w:style>
  <w:style w:type="paragraph" w:customStyle="1" w:styleId="281">
    <w:name w:val="单元格居中"/>
    <w:basedOn w:val="1"/>
    <w:qFormat/>
    <w:uiPriority w:val="0"/>
    <w:pPr>
      <w:adjustRightInd/>
      <w:spacing w:line="360" w:lineRule="auto"/>
      <w:jc w:val="center"/>
    </w:pPr>
    <w:rPr>
      <w:sz w:val="24"/>
    </w:rPr>
  </w:style>
  <w:style w:type="paragraph" w:customStyle="1" w:styleId="282">
    <w:name w:val="正文缩进1"/>
    <w:basedOn w:val="1"/>
    <w:next w:val="23"/>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283">
    <w:name w:val="样式 标题 1Level 1 HeadPIM 1Section Headh1l11Heading 0Datash..."/>
    <w:basedOn w:val="2"/>
    <w:qFormat/>
    <w:uiPriority w:val="0"/>
    <w:pPr>
      <w:keepNext w:val="0"/>
      <w:keepLines w:val="0"/>
      <w:widowControl/>
      <w:numPr>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84">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285">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86">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287">
    <w:name w:val="MM Empty"/>
    <w:basedOn w:val="1"/>
    <w:qFormat/>
    <w:uiPriority w:val="0"/>
    <w:pPr>
      <w:adjustRightInd/>
    </w:pPr>
  </w:style>
  <w:style w:type="paragraph" w:customStyle="1" w:styleId="288">
    <w:name w:val="文档正文"/>
    <w:basedOn w:val="1"/>
    <w:qFormat/>
    <w:uiPriority w:val="0"/>
    <w:pPr>
      <w:spacing w:line="480" w:lineRule="atLeast"/>
      <w:ind w:firstLine="567"/>
      <w:textAlignment w:val="baseline"/>
    </w:pPr>
    <w:rPr>
      <w:kern w:val="0"/>
      <w:sz w:val="24"/>
      <w:szCs w:val="20"/>
    </w:rPr>
  </w:style>
  <w:style w:type="paragraph" w:customStyle="1" w:styleId="28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290">
    <w:name w:val="Char Char1 Char Char1 Char Char1"/>
    <w:basedOn w:val="1"/>
    <w:qFormat/>
    <w:uiPriority w:val="0"/>
    <w:pPr>
      <w:tabs>
        <w:tab w:val="left" w:pos="840"/>
      </w:tabs>
      <w:ind w:left="840" w:hanging="420"/>
    </w:pPr>
    <w:rPr>
      <w:rFonts w:ascii="Tahoma" w:hAnsi="Tahoma"/>
      <w:sz w:val="24"/>
    </w:rPr>
  </w:style>
  <w:style w:type="paragraph" w:customStyle="1" w:styleId="291">
    <w:name w:val="样式 标题 2H2h2Underrubrik1prop2l2Chapter Titlesect 1.2DO NO..."/>
    <w:basedOn w:val="3"/>
    <w:qFormat/>
    <w:uiPriority w:val="0"/>
    <w:pPr>
      <w:numPr>
        <w:numId w:val="0"/>
      </w:numPr>
      <w:spacing w:before="120" w:after="120"/>
      <w:ind w:left="425" w:hanging="425"/>
    </w:pPr>
    <w:rPr>
      <w:rFonts w:ascii="微软雅黑" w:hAnsi="微软雅黑" w:eastAsia="微软雅黑" w:cs="宋体"/>
      <w:szCs w:val="20"/>
      <w:lang w:val="en-US"/>
    </w:rPr>
  </w:style>
  <w:style w:type="paragraph" w:customStyle="1" w:styleId="292">
    <w:name w:val="Char Char Char Char Char Char Char Char Char Char1"/>
    <w:basedOn w:val="1"/>
    <w:qFormat/>
    <w:uiPriority w:val="0"/>
    <w:rPr>
      <w:rFonts w:ascii="仿宋_GB2312" w:eastAsia="仿宋_GB2312"/>
      <w:b/>
      <w:sz w:val="32"/>
      <w:szCs w:val="32"/>
    </w:rPr>
  </w:style>
  <w:style w:type="paragraph" w:customStyle="1" w:styleId="293">
    <w:name w:val="gf正文1"/>
    <w:basedOn w:val="1"/>
    <w:qFormat/>
    <w:uiPriority w:val="0"/>
    <w:pPr>
      <w:tabs>
        <w:tab w:val="left" w:pos="3240"/>
        <w:tab w:val="left" w:pos="3960"/>
      </w:tabs>
      <w:snapToGrid w:val="0"/>
      <w:spacing w:line="360" w:lineRule="auto"/>
      <w:ind w:firstLine="480" w:firstLineChars="200"/>
    </w:pPr>
    <w:rPr>
      <w:rFonts w:ascii="宋体" w:hAnsi="宋体" w:cs="宋体"/>
      <w:sz w:val="24"/>
    </w:rPr>
  </w:style>
  <w:style w:type="paragraph" w:customStyle="1" w:styleId="294">
    <w:name w:val="默认段落字体 Para Char Char Char1 Char"/>
    <w:basedOn w:val="1"/>
    <w:qFormat/>
    <w:uiPriority w:val="0"/>
    <w:pPr>
      <w:spacing w:line="240" w:lineRule="atLeast"/>
      <w:ind w:left="420" w:firstLine="420"/>
    </w:pPr>
    <w:rPr>
      <w:sz w:val="24"/>
    </w:rPr>
  </w:style>
  <w:style w:type="paragraph" w:styleId="29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6">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297">
    <w:name w:val="Char1 Char Char Char5"/>
    <w:basedOn w:val="1"/>
    <w:qFormat/>
    <w:uiPriority w:val="0"/>
    <w:pPr>
      <w:adjustRightInd/>
      <w:ind w:firstLine="200" w:firstLineChars="200"/>
    </w:pPr>
    <w:rPr>
      <w:rFonts w:ascii="Tahoma" w:hAnsi="Tahoma"/>
      <w:sz w:val="24"/>
      <w:szCs w:val="20"/>
    </w:rPr>
  </w:style>
  <w:style w:type="paragraph" w:customStyle="1" w:styleId="298">
    <w:name w:val="Char Char Char Char Char Char Char1"/>
    <w:basedOn w:val="1"/>
    <w:qFormat/>
    <w:uiPriority w:val="0"/>
    <w:rPr>
      <w:rFonts w:ascii="仿宋_GB2312" w:eastAsia="仿宋_GB2312"/>
      <w:b/>
      <w:sz w:val="32"/>
      <w:szCs w:val="32"/>
    </w:rPr>
  </w:style>
  <w:style w:type="paragraph" w:customStyle="1" w:styleId="299">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300">
    <w:name w:val="正文表标题"/>
    <w:next w:val="138"/>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3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302">
    <w:name w:val="四号　首行缩进"/>
    <w:basedOn w:val="1"/>
    <w:qFormat/>
    <w:uiPriority w:val="0"/>
    <w:pPr>
      <w:adjustRightInd/>
      <w:spacing w:line="360" w:lineRule="auto"/>
    </w:pPr>
    <w:rPr>
      <w:rFonts w:ascii="宋体" w:hAnsi="宋体"/>
      <w:szCs w:val="20"/>
    </w:rPr>
  </w:style>
  <w:style w:type="paragraph" w:customStyle="1" w:styleId="30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304">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05">
    <w:name w:val="首行缩进"/>
    <w:basedOn w:val="1"/>
    <w:qFormat/>
    <w:uiPriority w:val="0"/>
    <w:pPr>
      <w:spacing w:line="360" w:lineRule="auto"/>
      <w:ind w:firstLine="480" w:firstLineChars="200"/>
    </w:pPr>
    <w:rPr>
      <w:rFonts w:ascii="宋体"/>
      <w:sz w:val="24"/>
      <w:szCs w:val="20"/>
    </w:rPr>
  </w:style>
  <w:style w:type="paragraph" w:customStyle="1" w:styleId="306">
    <w:name w:val="Char1 Char Char Char1"/>
    <w:basedOn w:val="1"/>
    <w:qFormat/>
    <w:uiPriority w:val="0"/>
    <w:pPr>
      <w:adjustRightInd/>
      <w:ind w:firstLine="200" w:firstLineChars="200"/>
    </w:pPr>
    <w:rPr>
      <w:rFonts w:ascii="Tahoma" w:hAnsi="Tahoma"/>
      <w:sz w:val="24"/>
      <w:szCs w:val="20"/>
    </w:rPr>
  </w:style>
  <w:style w:type="paragraph" w:customStyle="1" w:styleId="307">
    <w:name w:val="MM Topic 2"/>
    <w:basedOn w:val="3"/>
    <w:qFormat/>
    <w:uiPriority w:val="0"/>
    <w:pPr>
      <w:numPr>
        <w:numId w:val="0"/>
      </w:numPr>
      <w:tabs>
        <w:tab w:val="left" w:pos="860"/>
        <w:tab w:val="left" w:pos="1260"/>
        <w:tab w:val="clear" w:pos="432"/>
      </w:tabs>
      <w:ind w:left="1260" w:hanging="420"/>
    </w:pPr>
    <w:rPr>
      <w:rFonts w:ascii="Arial" w:hAnsi="Arial" w:eastAsia="黑体"/>
      <w:lang w:val="en-US"/>
    </w:rPr>
  </w:style>
  <w:style w:type="paragraph" w:customStyle="1" w:styleId="30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09">
    <w:name w:val="样式 样式2 + 左侧:  1 字符 右侧:  1 字符"/>
    <w:basedOn w:val="74"/>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10">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3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12">
    <w:name w:val="哈哈正文"/>
    <w:basedOn w:val="1"/>
    <w:link w:val="496"/>
    <w:qFormat/>
    <w:uiPriority w:val="0"/>
    <w:pPr>
      <w:adjustRightInd/>
      <w:spacing w:line="360" w:lineRule="auto"/>
      <w:ind w:firstLine="200" w:firstLineChars="200"/>
    </w:pPr>
    <w:rPr>
      <w:rFonts w:ascii="宋体" w:hAnsi="宋体"/>
      <w:sz w:val="24"/>
      <w:szCs w:val="20"/>
    </w:rPr>
  </w:style>
  <w:style w:type="paragraph" w:customStyle="1" w:styleId="313">
    <w:name w:val="List Paragraph1"/>
    <w:basedOn w:val="1"/>
    <w:qFormat/>
    <w:uiPriority w:val="34"/>
    <w:pPr>
      <w:spacing w:line="360" w:lineRule="auto"/>
      <w:ind w:firstLine="200" w:firstLineChars="200"/>
    </w:pPr>
    <w:rPr>
      <w:rFonts w:eastAsia="楷体_GB2312" w:cs="Lucida Sans"/>
      <w:sz w:val="24"/>
    </w:rPr>
  </w:style>
  <w:style w:type="paragraph" w:customStyle="1" w:styleId="314">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31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316">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317">
    <w:name w:val="Char Char11 Char Char Char Char Char Char Char Char Char1"/>
    <w:basedOn w:val="1"/>
    <w:qFormat/>
    <w:uiPriority w:val="0"/>
    <w:pPr>
      <w:spacing w:line="360" w:lineRule="auto"/>
    </w:pPr>
    <w:rPr>
      <w:szCs w:val="20"/>
    </w:rPr>
  </w:style>
  <w:style w:type="paragraph" w:customStyle="1" w:styleId="318">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19">
    <w:name w:val="正文 项目2"/>
    <w:basedOn w:val="320"/>
    <w:qFormat/>
    <w:uiPriority w:val="0"/>
    <w:pPr>
      <w:numPr>
        <w:ilvl w:val="0"/>
        <w:numId w:val="6"/>
      </w:numPr>
      <w:tabs>
        <w:tab w:val="left" w:pos="840"/>
      </w:tabs>
      <w:spacing w:after="0"/>
    </w:pPr>
  </w:style>
  <w:style w:type="paragraph" w:customStyle="1" w:styleId="320">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21">
    <w:name w:val="Char Char Char1 Char1"/>
    <w:basedOn w:val="1"/>
    <w:qFormat/>
    <w:uiPriority w:val="0"/>
    <w:rPr>
      <w:szCs w:val="20"/>
    </w:rPr>
  </w:style>
  <w:style w:type="paragraph" w:customStyle="1" w:styleId="32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323">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24">
    <w:name w:val="封面"/>
    <w:basedOn w:val="1"/>
    <w:qFormat/>
    <w:uiPriority w:val="0"/>
    <w:pPr>
      <w:spacing w:line="360" w:lineRule="atLeast"/>
      <w:jc w:val="right"/>
      <w:textAlignment w:val="baseline"/>
    </w:pPr>
    <w:rPr>
      <w:rFonts w:ascii="Symbol" w:hAnsi="Symbol"/>
      <w:kern w:val="0"/>
      <w:szCs w:val="20"/>
    </w:rPr>
  </w:style>
  <w:style w:type="paragraph" w:customStyle="1" w:styleId="325">
    <w:name w:val="正文（缩进2汉字）"/>
    <w:basedOn w:val="1"/>
    <w:link w:val="585"/>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paragraph" w:customStyle="1" w:styleId="326">
    <w:name w:val="数字标题3"/>
    <w:basedOn w:val="4"/>
    <w:next w:val="1"/>
    <w:qFormat/>
    <w:uiPriority w:val="0"/>
    <w:pPr>
      <w:numPr>
        <w:numId w:val="0"/>
      </w:numPr>
      <w:spacing w:line="240" w:lineRule="auto"/>
    </w:pPr>
    <w:rPr>
      <w:sz w:val="28"/>
      <w:szCs w:val="28"/>
    </w:rPr>
  </w:style>
  <w:style w:type="paragraph" w:customStyle="1" w:styleId="327">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28">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329">
    <w:name w:val="正文（首行缩进2字符）"/>
    <w:basedOn w:val="1"/>
    <w:qFormat/>
    <w:uiPriority w:val="0"/>
    <w:pPr>
      <w:adjustRightInd/>
      <w:spacing w:line="360" w:lineRule="auto"/>
      <w:ind w:firstLine="480" w:firstLineChars="200"/>
    </w:pPr>
    <w:rPr>
      <w:sz w:val="24"/>
      <w:szCs w:val="20"/>
    </w:rPr>
  </w:style>
  <w:style w:type="paragraph" w:customStyle="1" w:styleId="330">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31">
    <w:name w:val="正文段"/>
    <w:basedOn w:val="1"/>
    <w:qFormat/>
    <w:uiPriority w:val="0"/>
    <w:pPr>
      <w:widowControl/>
      <w:snapToGrid w:val="0"/>
      <w:spacing w:after="156" w:afterLines="50"/>
      <w:ind w:firstLine="200" w:firstLineChars="200"/>
    </w:pPr>
    <w:rPr>
      <w:kern w:val="0"/>
      <w:sz w:val="24"/>
      <w:szCs w:val="20"/>
    </w:rPr>
  </w:style>
  <w:style w:type="paragraph" w:customStyle="1" w:styleId="332">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33">
    <w:name w:val="数字标题2"/>
    <w:basedOn w:val="3"/>
    <w:next w:val="1"/>
    <w:qFormat/>
    <w:uiPriority w:val="0"/>
    <w:pPr>
      <w:numPr>
        <w:ilvl w:val="1"/>
        <w:numId w:val="5"/>
      </w:numPr>
      <w:tabs>
        <w:tab w:val="clear" w:pos="432"/>
      </w:tabs>
    </w:pPr>
    <w:rPr>
      <w:rFonts w:ascii="Times New Roman" w:eastAsia="宋体"/>
      <w:i/>
      <w:sz w:val="36"/>
      <w:szCs w:val="36"/>
      <w:lang w:val="en-US"/>
    </w:rPr>
  </w:style>
  <w:style w:type="paragraph" w:customStyle="1" w:styleId="334">
    <w:name w:val="彩色列表 - 强调文字颜色 11"/>
    <w:basedOn w:val="1"/>
    <w:qFormat/>
    <w:uiPriority w:val="0"/>
    <w:pPr>
      <w:adjustRightInd/>
      <w:ind w:firstLine="420" w:firstLineChars="200"/>
    </w:pPr>
    <w:rPr>
      <w:rFonts w:ascii="Calibri" w:hAnsi="Calibri"/>
      <w:szCs w:val="22"/>
    </w:rPr>
  </w:style>
  <w:style w:type="paragraph" w:customStyle="1" w:styleId="335">
    <w:name w:val="数字标题4"/>
    <w:basedOn w:val="5"/>
    <w:qFormat/>
    <w:uiPriority w:val="0"/>
    <w:pPr>
      <w:numPr>
        <w:numId w:val="0"/>
      </w:num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36">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337">
    <w:name w:val="样式1 + (中宋体"/>
    <w:basedOn w:val="159"/>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338">
    <w:name w:val="仿宋正文"/>
    <w:basedOn w:val="1"/>
    <w:link w:val="461"/>
    <w:qFormat/>
    <w:uiPriority w:val="0"/>
    <w:pPr>
      <w:adjustRightInd/>
      <w:spacing w:line="360" w:lineRule="auto"/>
      <w:ind w:firstLine="480" w:firstLineChars="200"/>
    </w:pPr>
    <w:rPr>
      <w:rFonts w:ascii="仿宋_GB2312" w:eastAsia="仿宋_GB2312"/>
      <w:sz w:val="24"/>
      <w:szCs w:val="20"/>
    </w:rPr>
  </w:style>
  <w:style w:type="paragraph" w:customStyle="1" w:styleId="339">
    <w:name w:val="正文（标题三）"/>
    <w:basedOn w:val="1"/>
    <w:qFormat/>
    <w:uiPriority w:val="0"/>
    <w:pPr>
      <w:spacing w:line="360" w:lineRule="auto"/>
      <w:ind w:firstLine="200" w:firstLineChars="200"/>
    </w:pPr>
    <w:rPr>
      <w:sz w:val="24"/>
    </w:rPr>
  </w:style>
  <w:style w:type="paragraph" w:customStyle="1" w:styleId="340">
    <w:name w:val="MM Topic 3"/>
    <w:basedOn w:val="4"/>
    <w:qFormat/>
    <w:uiPriority w:val="0"/>
    <w:pPr>
      <w:numPr>
        <w:numId w:val="4"/>
      </w:numPr>
      <w:tabs>
        <w:tab w:val="left" w:pos="840"/>
        <w:tab w:val="left" w:pos="1680"/>
        <w:tab w:val="clear" w:pos="900"/>
      </w:tabs>
      <w:adjustRightInd/>
    </w:pPr>
  </w:style>
  <w:style w:type="paragraph" w:customStyle="1" w:styleId="341">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42">
    <w:name w:val="图中文字"/>
    <w:basedOn w:val="1"/>
    <w:qFormat/>
    <w:uiPriority w:val="0"/>
    <w:pPr>
      <w:snapToGrid w:val="0"/>
      <w:spacing w:line="0" w:lineRule="atLeast"/>
      <w:ind w:firstLine="200" w:firstLineChars="200"/>
      <w:jc w:val="center"/>
    </w:pPr>
    <w:rPr>
      <w:sz w:val="24"/>
      <w:szCs w:val="20"/>
    </w:rPr>
  </w:style>
  <w:style w:type="paragraph" w:customStyle="1" w:styleId="343">
    <w:name w:val="正文－恩普"/>
    <w:basedOn w:val="15"/>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344">
    <w:name w:val="Char21"/>
    <w:basedOn w:val="1"/>
    <w:qFormat/>
    <w:uiPriority w:val="0"/>
    <w:pPr>
      <w:adjustRightInd/>
      <w:ind w:firstLine="200" w:firstLineChars="200"/>
    </w:pPr>
    <w:rPr>
      <w:rFonts w:ascii="仿宋_GB2312" w:eastAsia="仿宋_GB2312"/>
      <w:b/>
      <w:sz w:val="32"/>
      <w:szCs w:val="32"/>
    </w:rPr>
  </w:style>
  <w:style w:type="paragraph" w:customStyle="1" w:styleId="345">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46">
    <w:name w:val="标题4-dyf"/>
    <w:basedOn w:val="5"/>
    <w:link w:val="551"/>
    <w:qFormat/>
    <w:uiPriority w:val="0"/>
    <w:pPr>
      <w:numPr>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paragraph" w:customStyle="1" w:styleId="347">
    <w:name w:val="Char1 Char Char Char4"/>
    <w:basedOn w:val="1"/>
    <w:qFormat/>
    <w:uiPriority w:val="0"/>
    <w:pPr>
      <w:adjustRightInd/>
      <w:ind w:firstLine="200" w:firstLineChars="200"/>
    </w:pPr>
    <w:rPr>
      <w:rFonts w:ascii="Tahoma" w:hAnsi="Tahoma"/>
      <w:sz w:val="24"/>
      <w:szCs w:val="20"/>
    </w:rPr>
  </w:style>
  <w:style w:type="paragraph" w:customStyle="1" w:styleId="348">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349">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350">
    <w:name w:val="Char23"/>
    <w:basedOn w:val="1"/>
    <w:qFormat/>
    <w:uiPriority w:val="0"/>
    <w:rPr>
      <w:rFonts w:ascii="仿宋_GB2312" w:eastAsia="仿宋_GB2312"/>
      <w:b/>
      <w:sz w:val="32"/>
      <w:szCs w:val="32"/>
    </w:rPr>
  </w:style>
  <w:style w:type="paragraph" w:customStyle="1" w:styleId="351">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52">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353">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54">
    <w:name w:val="此正文"/>
    <w:basedOn w:val="1"/>
    <w:link w:val="439"/>
    <w:qFormat/>
    <w:uiPriority w:val="0"/>
    <w:pPr>
      <w:adjustRightInd/>
      <w:spacing w:line="360" w:lineRule="auto"/>
      <w:ind w:firstLine="200" w:firstLineChars="200"/>
    </w:pPr>
    <w:rPr>
      <w:sz w:val="24"/>
    </w:rPr>
  </w:style>
  <w:style w:type="paragraph" w:customStyle="1" w:styleId="355">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56">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357">
    <w:name w:val="Char3 Char Char Char"/>
    <w:basedOn w:val="1"/>
    <w:qFormat/>
    <w:uiPriority w:val="0"/>
    <w:pPr>
      <w:widowControl/>
      <w:adjustRightInd/>
      <w:spacing w:after="160" w:line="240" w:lineRule="exact"/>
      <w:jc w:val="left"/>
    </w:pPr>
    <w:rPr>
      <w:szCs w:val="20"/>
    </w:rPr>
  </w:style>
  <w:style w:type="paragraph" w:customStyle="1" w:styleId="3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359">
    <w:name w:val="Normal0"/>
    <w:qFormat/>
    <w:uiPriority w:val="0"/>
    <w:rPr>
      <w:rFonts w:ascii="Times New Roman" w:hAnsi="Times New Roman" w:eastAsia="宋体" w:cs="Times New Roman"/>
      <w:lang w:val="en-US" w:eastAsia="en-US" w:bidi="ar-SA"/>
    </w:rPr>
  </w:style>
  <w:style w:type="paragraph" w:customStyle="1" w:styleId="360">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361">
    <w:name w:val="a1"/>
    <w:basedOn w:val="1"/>
    <w:qFormat/>
    <w:uiPriority w:val="0"/>
    <w:pPr>
      <w:widowControl/>
      <w:spacing w:line="300" w:lineRule="atLeast"/>
      <w:jc w:val="left"/>
    </w:pPr>
    <w:rPr>
      <w:rFonts w:ascii="宋体" w:hAnsi="宋体"/>
      <w:kern w:val="0"/>
      <w:sz w:val="18"/>
      <w:szCs w:val="20"/>
    </w:rPr>
  </w:style>
  <w:style w:type="paragraph" w:customStyle="1" w:styleId="36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63">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364">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65">
    <w:name w:val="Thf"/>
    <w:basedOn w:val="89"/>
    <w:qFormat/>
    <w:uiPriority w:val="0"/>
    <w:pPr>
      <w:ind w:left="0"/>
    </w:pPr>
  </w:style>
  <w:style w:type="paragraph" w:customStyle="1" w:styleId="366">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67">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368">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6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70">
    <w:name w:val="_Style 12"/>
    <w:basedOn w:val="18"/>
    <w:qFormat/>
    <w:uiPriority w:val="0"/>
    <w:pPr>
      <w:snapToGrid w:val="0"/>
      <w:spacing w:line="360" w:lineRule="auto"/>
    </w:pPr>
  </w:style>
  <w:style w:type="paragraph" w:customStyle="1" w:styleId="371">
    <w:name w:val="表格题注"/>
    <w:next w:val="1"/>
    <w:qFormat/>
    <w:uiPriority w:val="0"/>
    <w:pPr>
      <w:keepLines/>
      <w:numPr>
        <w:ilvl w:val="8"/>
        <w:numId w:val="4"/>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372">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373">
    <w:name w:val="标书标题2"/>
    <w:basedOn w:val="3"/>
    <w:qFormat/>
    <w:uiPriority w:val="0"/>
    <w:pPr>
      <w:keepLines w:val="0"/>
      <w:widowControl/>
      <w:numPr>
        <w:numId w:val="0"/>
      </w:numPr>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374">
    <w:name w:val="Char Char"/>
    <w:basedOn w:val="1"/>
    <w:qFormat/>
    <w:uiPriority w:val="0"/>
    <w:pPr>
      <w:spacing w:line="360" w:lineRule="auto"/>
    </w:pPr>
    <w:rPr>
      <w:rFonts w:ascii="Tahoma" w:hAnsi="Tahoma"/>
      <w:sz w:val="24"/>
      <w:szCs w:val="20"/>
    </w:rPr>
  </w:style>
  <w:style w:type="paragraph" w:customStyle="1" w:styleId="375">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376">
    <w:name w:val="样式 标题 1 + 黑色 段前: 0.5 行 段后: 0.5 行1"/>
    <w:basedOn w:val="2"/>
    <w:qFormat/>
    <w:uiPriority w:val="0"/>
    <w:pPr>
      <w:keepLines w:val="0"/>
      <w:pageBreakBefore/>
      <w:numPr>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77">
    <w:name w:val="彩色列表 - 强调文字颜色 12"/>
    <w:basedOn w:val="1"/>
    <w:qFormat/>
    <w:uiPriority w:val="0"/>
    <w:pPr>
      <w:adjustRightInd/>
      <w:ind w:firstLine="420" w:firstLineChars="200"/>
    </w:pPr>
    <w:rPr>
      <w:rFonts w:ascii="Calibri" w:hAnsi="Calibri"/>
      <w:szCs w:val="22"/>
    </w:rPr>
  </w:style>
  <w:style w:type="paragraph" w:customStyle="1" w:styleId="378">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79">
    <w:name w:val="Char19"/>
    <w:basedOn w:val="1"/>
    <w:qFormat/>
    <w:uiPriority w:val="0"/>
    <w:pPr>
      <w:adjustRightInd/>
    </w:pPr>
    <w:rPr>
      <w:szCs w:val="20"/>
    </w:rPr>
  </w:style>
  <w:style w:type="paragraph" w:customStyle="1" w:styleId="380">
    <w:name w:val="CSS1级正文 Char"/>
    <w:basedOn w:val="22"/>
    <w:qFormat/>
    <w:uiPriority w:val="0"/>
    <w:pPr>
      <w:autoSpaceDE/>
      <w:autoSpaceDN/>
      <w:snapToGrid w:val="0"/>
      <w:ind w:firstLine="480" w:firstLineChars="200"/>
    </w:pPr>
    <w:rPr>
      <w:rFonts w:ascii="Times New Roman"/>
      <w:szCs w:val="24"/>
      <w:lang w:val="en-US"/>
    </w:rPr>
  </w:style>
  <w:style w:type="paragraph" w:customStyle="1" w:styleId="381">
    <w:name w:val="正文（首行缩进）"/>
    <w:basedOn w:val="23"/>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82">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83">
    <w:name w:val="表格（小）"/>
    <w:basedOn w:val="1"/>
    <w:qFormat/>
    <w:uiPriority w:val="0"/>
    <w:pPr>
      <w:adjustRightInd/>
      <w:snapToGrid w:val="0"/>
      <w:spacing w:line="300" w:lineRule="auto"/>
    </w:pPr>
    <w:rPr>
      <w:rFonts w:eastAsia="仿宋"/>
      <w:szCs w:val="21"/>
    </w:rPr>
  </w:style>
  <w:style w:type="paragraph" w:customStyle="1" w:styleId="384">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5">
    <w:name w:val="Char3 Char Char1"/>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86">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87">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8">
    <w:name w:val="Char Char Char Char2"/>
    <w:basedOn w:val="1"/>
    <w:qFormat/>
    <w:uiPriority w:val="0"/>
    <w:rPr>
      <w:rFonts w:ascii="Tahoma" w:hAnsi="Tahoma"/>
      <w:sz w:val="24"/>
      <w:szCs w:val="20"/>
    </w:rPr>
  </w:style>
  <w:style w:type="paragraph" w:customStyle="1" w:styleId="389">
    <w:name w:val="p0"/>
    <w:basedOn w:val="1"/>
    <w:qFormat/>
    <w:uiPriority w:val="0"/>
    <w:pPr>
      <w:widowControl/>
      <w:adjustRightInd/>
    </w:pPr>
    <w:rPr>
      <w:kern w:val="0"/>
      <w:szCs w:val="21"/>
    </w:rPr>
  </w:style>
  <w:style w:type="paragraph" w:customStyle="1" w:styleId="390">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91">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392">
    <w:name w:val="默认段落样式"/>
    <w:basedOn w:val="393"/>
    <w:qFormat/>
    <w:uiPriority w:val="0"/>
    <w:pPr>
      <w:spacing w:before="0"/>
      <w:ind w:firstLine="480"/>
      <w:outlineLvl w:val="2"/>
    </w:pPr>
    <w:rPr>
      <w:rFonts w:ascii="仿宋_GB2312" w:hAnsi="宋体" w:eastAsia="仿宋_GB2312"/>
      <w:color w:val="000000"/>
      <w:szCs w:val="24"/>
    </w:rPr>
  </w:style>
  <w:style w:type="paragraph" w:customStyle="1" w:styleId="393">
    <w:name w:val="正文2"/>
    <w:basedOn w:val="1"/>
    <w:link w:val="446"/>
    <w:qFormat/>
    <w:uiPriority w:val="0"/>
    <w:pPr>
      <w:spacing w:before="156" w:line="360" w:lineRule="auto"/>
      <w:ind w:firstLine="510" w:firstLineChars="200"/>
    </w:pPr>
    <w:rPr>
      <w:sz w:val="24"/>
      <w:szCs w:val="20"/>
    </w:rPr>
  </w:style>
  <w:style w:type="paragraph" w:customStyle="1" w:styleId="394">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395">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6">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397">
    <w:name w:val="bullet"/>
    <w:basedOn w:val="1"/>
    <w:qFormat/>
    <w:uiPriority w:val="0"/>
    <w:pPr>
      <w:tabs>
        <w:tab w:val="left" w:pos="840"/>
      </w:tabs>
      <w:adjustRightInd/>
      <w:ind w:left="840" w:hanging="420"/>
    </w:pPr>
  </w:style>
  <w:style w:type="paragraph" w:customStyle="1" w:styleId="398">
    <w:name w:val="五级条标题"/>
    <w:basedOn w:val="171"/>
    <w:next w:val="138"/>
    <w:qFormat/>
    <w:uiPriority w:val="0"/>
    <w:pPr>
      <w:numPr>
        <w:ilvl w:val="6"/>
      </w:numPr>
      <w:tabs>
        <w:tab w:val="clear" w:pos="2940"/>
      </w:tabs>
      <w:outlineLvl w:val="6"/>
    </w:pPr>
  </w:style>
  <w:style w:type="paragraph" w:customStyle="1" w:styleId="399">
    <w:name w:val="Char Char Char Char Char Char Char Char"/>
    <w:basedOn w:val="1"/>
    <w:qFormat/>
    <w:uiPriority w:val="0"/>
    <w:pPr>
      <w:tabs>
        <w:tab w:val="left" w:pos="360"/>
      </w:tabs>
    </w:pPr>
    <w:rPr>
      <w:sz w:val="24"/>
      <w:szCs w:val="20"/>
    </w:rPr>
  </w:style>
  <w:style w:type="paragraph" w:customStyle="1" w:styleId="4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401">
    <w:name w:val="数字标题5"/>
    <w:basedOn w:val="6"/>
    <w:next w:val="1"/>
    <w:qFormat/>
    <w:uiPriority w:val="0"/>
    <w:pPr>
      <w:numPr>
        <w:numId w:val="5"/>
      </w:numPr>
      <w:tabs>
        <w:tab w:val="left" w:pos="480"/>
        <w:tab w:val="left" w:pos="1080"/>
        <w:tab w:val="clear" w:pos="1008"/>
      </w:tabs>
    </w:pPr>
  </w:style>
  <w:style w:type="paragraph" w:customStyle="1" w:styleId="402">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403">
    <w:name w:val="公文正文"/>
    <w:basedOn w:val="1"/>
    <w:qFormat/>
    <w:uiPriority w:val="0"/>
    <w:pPr>
      <w:adjustRightInd/>
      <w:spacing w:before="156" w:line="360" w:lineRule="auto"/>
      <w:ind w:firstLine="360" w:firstLineChars="200"/>
    </w:pPr>
    <w:rPr>
      <w:rFonts w:ascii="仿宋_GB2312" w:eastAsia="仿宋_GB2312"/>
      <w:sz w:val="24"/>
    </w:rPr>
  </w:style>
  <w:style w:type="paragraph" w:customStyle="1" w:styleId="404">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405">
    <w:name w:val="表格文字"/>
    <w:basedOn w:val="1"/>
    <w:next w:val="15"/>
    <w:qFormat/>
    <w:uiPriority w:val="0"/>
    <w:pPr>
      <w:adjustRightInd/>
      <w:ind w:firstLine="200" w:firstLineChars="200"/>
    </w:pPr>
    <w:rPr>
      <w:rFonts w:ascii="Arial" w:hAnsi="Arial"/>
      <w:spacing w:val="-5"/>
      <w:kern w:val="0"/>
      <w:sz w:val="24"/>
      <w:szCs w:val="20"/>
    </w:rPr>
  </w:style>
  <w:style w:type="paragraph" w:customStyle="1" w:styleId="406">
    <w:name w:val="0"/>
    <w:basedOn w:val="1"/>
    <w:qFormat/>
    <w:uiPriority w:val="0"/>
    <w:pPr>
      <w:widowControl/>
    </w:pPr>
    <w:rPr>
      <w:kern w:val="0"/>
      <w:sz w:val="24"/>
      <w:szCs w:val="20"/>
    </w:rPr>
  </w:style>
  <w:style w:type="paragraph" w:customStyle="1" w:styleId="407">
    <w:name w:val="Char1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8">
    <w:name w:val="b11_01b"/>
    <w:basedOn w:val="1"/>
    <w:next w:val="1"/>
    <w:link w:val="55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09">
    <w:name w:val="MM Topic 5"/>
    <w:basedOn w:val="6"/>
    <w:qFormat/>
    <w:uiPriority w:val="0"/>
    <w:pPr>
      <w:numPr>
        <w:numId w:val="4"/>
      </w:numPr>
      <w:tabs>
        <w:tab w:val="left" w:pos="840"/>
        <w:tab w:val="left" w:pos="2520"/>
        <w:tab w:val="clear" w:pos="1008"/>
      </w:tabs>
      <w:adjustRightInd/>
    </w:pPr>
  </w:style>
  <w:style w:type="paragraph" w:customStyle="1" w:styleId="410">
    <w:name w:val="样式 标题 3标题 3 Char第二层条h33Bold Headbh章标题1小标题level_3PIM 3..."/>
    <w:basedOn w:val="4"/>
    <w:qFormat/>
    <w:uiPriority w:val="0"/>
    <w:pPr>
      <w:numPr>
        <w:numId w:val="0"/>
      </w:numPr>
      <w:snapToGrid w:val="0"/>
      <w:spacing w:before="0" w:after="0" w:line="360" w:lineRule="auto"/>
    </w:pPr>
    <w:rPr>
      <w:rFonts w:ascii="黑体" w:hAnsi="宋体" w:eastAsia="黑体" w:cs="宋体"/>
      <w:b w:val="0"/>
      <w:bCs w:val="0"/>
      <w:color w:val="000000"/>
      <w:kern w:val="0"/>
      <w:sz w:val="28"/>
      <w:szCs w:val="20"/>
    </w:rPr>
  </w:style>
  <w:style w:type="paragraph" w:customStyle="1" w:styleId="411">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412">
    <w:name w:val="数字标题1"/>
    <w:basedOn w:val="2"/>
    <w:next w:val="1"/>
    <w:qFormat/>
    <w:uiPriority w:val="0"/>
    <w:pPr>
      <w:numPr>
        <w:numId w:val="5"/>
      </w:numPr>
      <w:tabs>
        <w:tab w:val="left" w:pos="480"/>
        <w:tab w:val="clear" w:pos="432"/>
      </w:tabs>
    </w:pPr>
  </w:style>
  <w:style w:type="paragraph" w:customStyle="1" w:styleId="413">
    <w:name w:val="Char1 Char Char Char6"/>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414">
    <w:name w:val="标书标题3"/>
    <w:basedOn w:val="4"/>
    <w:qFormat/>
    <w:uiPriority w:val="0"/>
    <w:pPr>
      <w:keepLines w:val="0"/>
      <w:widowControl/>
      <w:numPr>
        <w:numId w:val="0"/>
      </w:numPr>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1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16">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17">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1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419">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420">
    <w:name w:val="MM Topic 1"/>
    <w:basedOn w:val="2"/>
    <w:qFormat/>
    <w:uiPriority w:val="0"/>
    <w:pPr>
      <w:numPr>
        <w:numId w:val="0"/>
      </w:numPr>
      <w:tabs>
        <w:tab w:val="left" w:pos="840"/>
        <w:tab w:val="clear" w:pos="432"/>
      </w:tabs>
      <w:adjustRightInd/>
      <w:ind w:left="840" w:hanging="420"/>
    </w:pPr>
  </w:style>
  <w:style w:type="paragraph" w:customStyle="1" w:styleId="421">
    <w:name w:val="Char Char Char Char Char Char Char Char1"/>
    <w:basedOn w:val="1"/>
    <w:qFormat/>
    <w:uiPriority w:val="0"/>
    <w:pPr>
      <w:tabs>
        <w:tab w:val="left" w:pos="360"/>
      </w:tabs>
    </w:pPr>
    <w:rPr>
      <w:sz w:val="24"/>
      <w:szCs w:val="20"/>
    </w:rPr>
  </w:style>
  <w:style w:type="paragraph" w:customStyle="1" w:styleId="422">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23">
    <w:name w:val="Char3 Char Char Char1"/>
    <w:basedOn w:val="1"/>
    <w:qFormat/>
    <w:uiPriority w:val="0"/>
    <w:pPr>
      <w:widowControl/>
      <w:adjustRightInd/>
      <w:spacing w:after="160" w:line="240" w:lineRule="exact"/>
      <w:jc w:val="left"/>
    </w:pPr>
    <w:rPr>
      <w:szCs w:val="20"/>
    </w:rPr>
  </w:style>
  <w:style w:type="paragraph" w:customStyle="1" w:styleId="424">
    <w:name w:val="Char Char12"/>
    <w:basedOn w:val="1"/>
    <w:qFormat/>
    <w:uiPriority w:val="0"/>
    <w:pPr>
      <w:widowControl/>
      <w:spacing w:after="160" w:line="240" w:lineRule="exact"/>
      <w:jc w:val="left"/>
    </w:pPr>
    <w:rPr>
      <w:rFonts w:eastAsia="仿宋_GB2312"/>
      <w:sz w:val="28"/>
    </w:rPr>
  </w:style>
  <w:style w:type="paragraph" w:customStyle="1" w:styleId="425">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426">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27">
    <w:name w:val="正文文本 21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28">
    <w:name w:val="单元格左对齐"/>
    <w:basedOn w:val="1"/>
    <w:qFormat/>
    <w:uiPriority w:val="0"/>
    <w:pPr>
      <w:adjustRightInd/>
      <w:spacing w:line="360" w:lineRule="auto"/>
    </w:pPr>
    <w:rPr>
      <w:sz w:val="24"/>
    </w:rPr>
  </w:style>
  <w:style w:type="paragraph" w:customStyle="1" w:styleId="429">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430">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31">
    <w:name w:val="正文文本 Char"/>
    <w:qFormat/>
    <w:uiPriority w:val="0"/>
    <w:rPr>
      <w:rFonts w:eastAsia="宋体"/>
      <w:kern w:val="2"/>
      <w:sz w:val="24"/>
      <w:szCs w:val="24"/>
      <w:lang w:val="en-US" w:eastAsia="zh-CN" w:bidi="ar-SA"/>
    </w:rPr>
  </w:style>
  <w:style w:type="character" w:customStyle="1" w:styleId="432">
    <w:name w:val="myp1111"/>
    <w:qFormat/>
    <w:uiPriority w:val="0"/>
    <w:rPr>
      <w:rFonts w:hint="default" w:ascii="ˎ̥" w:hAnsi="ˎ̥"/>
      <w:color w:val="000000"/>
      <w:sz w:val="20"/>
      <w:szCs w:val="20"/>
      <w:u w:val="none"/>
    </w:rPr>
  </w:style>
  <w:style w:type="character" w:customStyle="1" w:styleId="433">
    <w:name w:val="mdeck"/>
    <w:qFormat/>
    <w:uiPriority w:val="0"/>
    <w:rPr>
      <w:rFonts w:ascii="仿宋_GB2312" w:eastAsia="微软雅黑"/>
      <w:b/>
      <w:kern w:val="2"/>
      <w:sz w:val="32"/>
      <w:szCs w:val="32"/>
      <w:lang w:val="en-US" w:eastAsia="zh-CN" w:bidi="ar-SA"/>
    </w:rPr>
  </w:style>
  <w:style w:type="character" w:customStyle="1" w:styleId="434">
    <w:name w:val="签名 字符"/>
    <w:link w:val="40"/>
    <w:qFormat/>
    <w:uiPriority w:val="0"/>
    <w:rPr>
      <w:rFonts w:eastAsia="仿宋_GB2312"/>
      <w:sz w:val="24"/>
    </w:rPr>
  </w:style>
  <w:style w:type="character" w:customStyle="1" w:styleId="435">
    <w:name w:val="tw4winMark"/>
    <w:qFormat/>
    <w:uiPriority w:val="0"/>
    <w:rPr>
      <w:rFonts w:ascii="Courier New" w:hAnsi="Courier New" w:cs="Courier New"/>
      <w:vanish/>
      <w:color w:val="800080"/>
      <w:sz w:val="24"/>
      <w:szCs w:val="24"/>
      <w:vertAlign w:val="subscript"/>
    </w:rPr>
  </w:style>
  <w:style w:type="character" w:customStyle="1" w:styleId="436">
    <w:name w:val="Char Char9"/>
    <w:qFormat/>
    <w:uiPriority w:val="0"/>
    <w:rPr>
      <w:rFonts w:ascii="Times New Roman" w:hAnsi="Times New Roman" w:eastAsia="宋体" w:cs="Times New Roman"/>
      <w:b/>
      <w:bCs/>
      <w:kern w:val="2"/>
      <w:sz w:val="32"/>
      <w:szCs w:val="32"/>
      <w:lang w:val="en-US" w:eastAsia="zh-CN" w:bidi="ar-SA"/>
    </w:rPr>
  </w:style>
  <w:style w:type="character" w:customStyle="1" w:styleId="437">
    <w:name w:val="Balloon Text Char"/>
    <w:semiHidden/>
    <w:qFormat/>
    <w:locked/>
    <w:uiPriority w:val="0"/>
    <w:rPr>
      <w:rFonts w:eastAsia="宋体"/>
      <w:kern w:val="2"/>
      <w:sz w:val="18"/>
      <w:szCs w:val="18"/>
      <w:lang w:val="en-US" w:eastAsia="zh-CN" w:bidi="ar-SA"/>
    </w:rPr>
  </w:style>
  <w:style w:type="character" w:customStyle="1" w:styleId="438">
    <w:name w:val="正文非缩进 Char"/>
    <w:qFormat/>
    <w:uiPriority w:val="0"/>
    <w:rPr>
      <w:rFonts w:ascii="宋体" w:eastAsia="宋体"/>
      <w:snapToGrid w:val="0"/>
      <w:color w:val="000000"/>
      <w:kern w:val="28"/>
      <w:sz w:val="28"/>
      <w:lang w:val="en-US" w:eastAsia="zh-CN" w:bidi="ar-SA"/>
    </w:rPr>
  </w:style>
  <w:style w:type="character" w:customStyle="1" w:styleId="439">
    <w:name w:val="此正文 Char"/>
    <w:link w:val="354"/>
    <w:qFormat/>
    <w:uiPriority w:val="0"/>
    <w:rPr>
      <w:kern w:val="2"/>
      <w:sz w:val="24"/>
      <w:szCs w:val="24"/>
    </w:rPr>
  </w:style>
  <w:style w:type="character" w:customStyle="1" w:styleId="440">
    <w:name w:val="Ò³Ã¼ Char Char"/>
    <w:qFormat/>
    <w:uiPriority w:val="0"/>
    <w:rPr>
      <w:rFonts w:eastAsia="宋体"/>
      <w:kern w:val="2"/>
      <w:sz w:val="18"/>
      <w:lang w:val="en-US" w:eastAsia="zh-CN" w:bidi="ar-SA"/>
    </w:rPr>
  </w:style>
  <w:style w:type="character" w:customStyle="1" w:styleId="441">
    <w:name w:val="style91"/>
    <w:qFormat/>
    <w:uiPriority w:val="0"/>
    <w:rPr>
      <w:color w:val="333333"/>
    </w:rPr>
  </w:style>
  <w:style w:type="character" w:customStyle="1" w:styleId="442">
    <w:name w:val="标书1 Char"/>
    <w:qFormat/>
    <w:uiPriority w:val="0"/>
    <w:rPr>
      <w:rFonts w:eastAsia="宋体"/>
      <w:b/>
      <w:bCs/>
      <w:kern w:val="44"/>
      <w:sz w:val="44"/>
      <w:szCs w:val="44"/>
      <w:lang w:val="en-US" w:eastAsia="zh-CN" w:bidi="ar-SA"/>
    </w:rPr>
  </w:style>
  <w:style w:type="character" w:customStyle="1" w:styleId="443">
    <w:name w:val="ca-131"/>
    <w:qFormat/>
    <w:uiPriority w:val="0"/>
    <w:rPr>
      <w:rFonts w:hint="eastAsia" w:ascii="仿宋_GB2312" w:eastAsia="仿宋_GB2312"/>
      <w:b/>
      <w:bCs/>
      <w:color w:val="000000"/>
      <w:spacing w:val="-20"/>
      <w:sz w:val="24"/>
      <w:szCs w:val="24"/>
    </w:rPr>
  </w:style>
  <w:style w:type="character" w:customStyle="1" w:styleId="444">
    <w:name w:val="标书正文格式 Char"/>
    <w:qFormat/>
    <w:uiPriority w:val="0"/>
    <w:rPr>
      <w:rFonts w:eastAsia="楷体_GB2312"/>
      <w:kern w:val="2"/>
      <w:sz w:val="24"/>
      <w:szCs w:val="24"/>
      <w:lang w:bidi="ar-SA"/>
    </w:rPr>
  </w:style>
  <w:style w:type="character" w:customStyle="1" w:styleId="445">
    <w:name w:val="Char Char6"/>
    <w:qFormat/>
    <w:uiPriority w:val="0"/>
    <w:rPr>
      <w:rFonts w:eastAsia="宋体"/>
      <w:kern w:val="2"/>
      <w:sz w:val="21"/>
      <w:szCs w:val="24"/>
      <w:lang w:val="en-US" w:eastAsia="zh-CN" w:bidi="ar-SA"/>
    </w:rPr>
  </w:style>
  <w:style w:type="character" w:customStyle="1" w:styleId="446">
    <w:name w:val="正文2 Char Char"/>
    <w:link w:val="393"/>
    <w:qFormat/>
    <w:uiPriority w:val="0"/>
    <w:rPr>
      <w:rFonts w:eastAsia="宋体"/>
      <w:kern w:val="2"/>
      <w:sz w:val="24"/>
      <w:lang w:val="en-US" w:eastAsia="zh-CN" w:bidi="ar-SA"/>
    </w:rPr>
  </w:style>
  <w:style w:type="character" w:customStyle="1" w:styleId="447">
    <w:name w:val="content"/>
    <w:qFormat/>
    <w:uiPriority w:val="0"/>
  </w:style>
  <w:style w:type="character" w:customStyle="1" w:styleId="448">
    <w:name w:val="正文文本 2 Char"/>
    <w:qFormat/>
    <w:uiPriority w:val="0"/>
    <w:rPr>
      <w:rFonts w:eastAsia="宋体"/>
      <w:kern w:val="2"/>
      <w:sz w:val="21"/>
      <w:szCs w:val="24"/>
      <w:lang w:val="en-US" w:eastAsia="zh-CN" w:bidi="ar-SA"/>
    </w:rPr>
  </w:style>
  <w:style w:type="character" w:customStyle="1" w:styleId="449">
    <w:name w:val="Heading 2 Hidden Char"/>
    <w:qFormat/>
    <w:uiPriority w:val="0"/>
    <w:rPr>
      <w:rFonts w:ascii="仿宋_GB2312" w:eastAsia="仿宋_GB2312"/>
      <w:b/>
      <w:bCs/>
      <w:kern w:val="2"/>
      <w:sz w:val="24"/>
      <w:szCs w:val="24"/>
      <w:lang w:val="zh-CN" w:eastAsia="zh-CN" w:bidi="ar-SA"/>
    </w:rPr>
  </w:style>
  <w:style w:type="character" w:customStyle="1" w:styleId="450">
    <w:name w:val="首行缩进 Char"/>
    <w:qFormat/>
    <w:uiPriority w:val="0"/>
    <w:rPr>
      <w:rFonts w:ascii="宋体" w:eastAsia="宋体"/>
      <w:kern w:val="2"/>
      <w:sz w:val="24"/>
      <w:lang w:val="en-US" w:eastAsia="zh-CN" w:bidi="ar-SA"/>
    </w:rPr>
  </w:style>
  <w:style w:type="character" w:customStyle="1" w:styleId="451">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452">
    <w:name w:val="普通文字 Char Char1"/>
    <w:qFormat/>
    <w:uiPriority w:val="0"/>
    <w:rPr>
      <w:rFonts w:ascii="宋体" w:hAnsi="Courier New"/>
      <w:kern w:val="2"/>
      <w:sz w:val="21"/>
    </w:rPr>
  </w:style>
  <w:style w:type="character" w:customStyle="1" w:styleId="453">
    <w:name w:val="Footer-Even Char"/>
    <w:qFormat/>
    <w:uiPriority w:val="0"/>
    <w:rPr>
      <w:rFonts w:eastAsia="宋体"/>
      <w:kern w:val="2"/>
      <w:sz w:val="18"/>
      <w:lang w:val="en-US" w:eastAsia="zh-CN" w:bidi="ar-SA"/>
    </w:rPr>
  </w:style>
  <w:style w:type="character" w:customStyle="1" w:styleId="454">
    <w:name w:val="dandyren_title1"/>
    <w:qFormat/>
    <w:uiPriority w:val="0"/>
    <w:rPr>
      <w:b/>
      <w:bCs/>
      <w:color w:val="FF6633"/>
      <w:sz w:val="18"/>
      <w:szCs w:val="18"/>
    </w:rPr>
  </w:style>
  <w:style w:type="character" w:customStyle="1" w:styleId="455">
    <w:name w:val="标题 3 Char2"/>
    <w:qFormat/>
    <w:uiPriority w:val="0"/>
    <w:rPr>
      <w:rFonts w:eastAsia="宋体"/>
      <w:b/>
      <w:bCs/>
      <w:kern w:val="2"/>
      <w:sz w:val="32"/>
      <w:szCs w:val="32"/>
      <w:lang w:val="en-US" w:eastAsia="zh-CN" w:bidi="ar-SA"/>
    </w:rPr>
  </w:style>
  <w:style w:type="character" w:customStyle="1" w:styleId="456">
    <w:name w:val="gray6"/>
    <w:basedOn w:val="62"/>
    <w:qFormat/>
    <w:uiPriority w:val="0"/>
  </w:style>
  <w:style w:type="character" w:customStyle="1" w:styleId="457">
    <w:name w:val="标准正文格式 Char"/>
    <w:qFormat/>
    <w:uiPriority w:val="0"/>
    <w:rPr>
      <w:rFonts w:ascii="宋体" w:eastAsia="仿宋_GB2312" w:cs="宋体"/>
      <w:color w:val="000000"/>
      <w:sz w:val="24"/>
      <w:lang w:val="en-US" w:eastAsia="zh-CN" w:bidi="ar-SA"/>
    </w:rPr>
  </w:style>
  <w:style w:type="character" w:customStyle="1" w:styleId="458">
    <w:name w:val="Char Char3"/>
    <w:qFormat/>
    <w:uiPriority w:val="0"/>
    <w:rPr>
      <w:rFonts w:eastAsia="宋体"/>
      <w:kern w:val="2"/>
      <w:sz w:val="21"/>
      <w:szCs w:val="24"/>
      <w:lang w:val="en-US" w:eastAsia="zh-CN" w:bidi="ar-SA"/>
    </w:rPr>
  </w:style>
  <w:style w:type="character" w:customStyle="1" w:styleId="459">
    <w:name w:val="px14"/>
    <w:qFormat/>
    <w:uiPriority w:val="0"/>
    <w:rPr>
      <w:rFonts w:ascii="仿宋_GB2312" w:eastAsia="微软雅黑" w:cs="Times New Roman"/>
      <w:b/>
      <w:kern w:val="2"/>
      <w:sz w:val="32"/>
      <w:szCs w:val="32"/>
      <w:lang w:val="en-US" w:eastAsia="zh-CN" w:bidi="ar-SA"/>
    </w:rPr>
  </w:style>
  <w:style w:type="character" w:customStyle="1" w:styleId="460">
    <w:name w:val="txt"/>
    <w:qFormat/>
    <w:uiPriority w:val="0"/>
    <w:rPr>
      <w:rFonts w:ascii="仿宋_GB2312" w:eastAsia="微软雅黑"/>
      <w:b/>
      <w:kern w:val="2"/>
      <w:sz w:val="32"/>
      <w:szCs w:val="32"/>
      <w:lang w:val="en-US" w:eastAsia="zh-CN" w:bidi="ar-SA"/>
    </w:rPr>
  </w:style>
  <w:style w:type="character" w:customStyle="1" w:styleId="461">
    <w:name w:val="仿宋正文 Char"/>
    <w:link w:val="338"/>
    <w:qFormat/>
    <w:uiPriority w:val="0"/>
    <w:rPr>
      <w:rFonts w:ascii="仿宋_GB2312" w:eastAsia="仿宋_GB2312"/>
      <w:kern w:val="2"/>
      <w:sz w:val="24"/>
      <w:lang w:val="en-US" w:eastAsia="zh-CN" w:bidi="ar-SA"/>
    </w:rPr>
  </w:style>
  <w:style w:type="character" w:customStyle="1" w:styleId="462">
    <w:name w:val="Comment Text Char"/>
    <w:semiHidden/>
    <w:qFormat/>
    <w:locked/>
    <w:uiPriority w:val="0"/>
    <w:rPr>
      <w:rFonts w:ascii="宋体" w:hAnsi="宋体" w:eastAsia="宋体"/>
      <w:kern w:val="2"/>
      <w:sz w:val="24"/>
      <w:lang w:val="en-US" w:eastAsia="zh-CN" w:bidi="ar-SA"/>
    </w:rPr>
  </w:style>
  <w:style w:type="character" w:customStyle="1" w:styleId="463">
    <w:name w:val="tw4winExternal"/>
    <w:qFormat/>
    <w:uiPriority w:val="0"/>
    <w:rPr>
      <w:rFonts w:ascii="Courier New" w:hAnsi="Courier New" w:cs="Courier New"/>
      <w:color w:val="808080"/>
    </w:rPr>
  </w:style>
  <w:style w:type="character" w:customStyle="1" w:styleId="464">
    <w:name w:val="Char Char10"/>
    <w:semiHidden/>
    <w:qFormat/>
    <w:uiPriority w:val="0"/>
    <w:rPr>
      <w:rFonts w:ascii="宋体" w:hAnsi="宋体"/>
      <w:kern w:val="2"/>
      <w:sz w:val="21"/>
      <w:szCs w:val="24"/>
    </w:rPr>
  </w:style>
  <w:style w:type="character" w:customStyle="1" w:styleId="465">
    <w:name w:val="Bold"/>
    <w:qFormat/>
    <w:uiPriority w:val="0"/>
    <w:rPr>
      <w:rFonts w:ascii="Arial" w:hAnsi="Arial" w:eastAsia="黑体" w:cs="Times New Roman"/>
      <w:b/>
      <w:kern w:val="2"/>
      <w:sz w:val="32"/>
      <w:szCs w:val="32"/>
      <w:lang w:val="en-US" w:eastAsia="zh-CN" w:bidi="ar-SA"/>
    </w:rPr>
  </w:style>
  <w:style w:type="character" w:customStyle="1" w:styleId="466">
    <w:name w:val="Font Style82"/>
    <w:qFormat/>
    <w:uiPriority w:val="99"/>
    <w:rPr>
      <w:rFonts w:ascii="宋体" w:eastAsia="宋体" w:cs="宋体"/>
      <w:color w:val="000000"/>
      <w:sz w:val="14"/>
      <w:szCs w:val="14"/>
    </w:rPr>
  </w:style>
  <w:style w:type="character" w:customStyle="1" w:styleId="467">
    <w:name w:val="标题 2 Char"/>
    <w:qFormat/>
    <w:uiPriority w:val="0"/>
    <w:rPr>
      <w:rFonts w:ascii="Arial" w:hAnsi="Arial" w:eastAsia="黑体"/>
      <w:b/>
      <w:kern w:val="2"/>
      <w:sz w:val="32"/>
      <w:lang w:val="en-US" w:eastAsia="zh-CN"/>
    </w:rPr>
  </w:style>
  <w:style w:type="character" w:customStyle="1" w:styleId="468">
    <w:name w:val="h3 Char"/>
    <w:qFormat/>
    <w:uiPriority w:val="0"/>
    <w:rPr>
      <w:rFonts w:eastAsia="宋体"/>
      <w:b/>
      <w:kern w:val="2"/>
      <w:sz w:val="32"/>
      <w:lang w:val="en-US" w:eastAsia="zh-CN" w:bidi="ar-SA"/>
    </w:rPr>
  </w:style>
  <w:style w:type="character" w:customStyle="1" w:styleId="469">
    <w:name w:val="页眉 Char1"/>
    <w:qFormat/>
    <w:uiPriority w:val="0"/>
    <w:rPr>
      <w:rFonts w:eastAsia="宋体"/>
      <w:kern w:val="2"/>
      <w:sz w:val="18"/>
      <w:szCs w:val="18"/>
      <w:lang w:val="en-US" w:eastAsia="zh-CN" w:bidi="ar-SA"/>
    </w:rPr>
  </w:style>
  <w:style w:type="character" w:customStyle="1" w:styleId="470">
    <w:name w:val="标题 8 字符"/>
    <w:link w:val="9"/>
    <w:qFormat/>
    <w:uiPriority w:val="0"/>
    <w:rPr>
      <w:rFonts w:ascii="Arial" w:hAnsi="Arial" w:eastAsia="黑体"/>
      <w:kern w:val="2"/>
      <w:sz w:val="24"/>
      <w:szCs w:val="24"/>
    </w:rPr>
  </w:style>
  <w:style w:type="character" w:customStyle="1" w:styleId="471">
    <w:name w:val="冯广丽 Char"/>
    <w:link w:val="234"/>
    <w:qFormat/>
    <w:uiPriority w:val="0"/>
    <w:rPr>
      <w:rFonts w:ascii="宋体" w:hAnsi="宋体"/>
      <w:kern w:val="2"/>
      <w:sz w:val="24"/>
      <w:szCs w:val="22"/>
    </w:rPr>
  </w:style>
  <w:style w:type="character" w:customStyle="1" w:styleId="472">
    <w:name w:val="脚注文本 字符"/>
    <w:link w:val="48"/>
    <w:qFormat/>
    <w:uiPriority w:val="0"/>
    <w:rPr>
      <w:color w:val="0000FF"/>
      <w:sz w:val="21"/>
    </w:rPr>
  </w:style>
  <w:style w:type="character" w:customStyle="1" w:styleId="473">
    <w:name w:val="font12gray1"/>
    <w:qFormat/>
    <w:uiPriority w:val="0"/>
    <w:rPr>
      <w:rFonts w:ascii="仿宋_GB2312" w:eastAsia="微软雅黑"/>
      <w:b/>
      <w:spacing w:val="300"/>
      <w:kern w:val="2"/>
      <w:sz w:val="18"/>
      <w:szCs w:val="18"/>
      <w:lang w:val="en-US" w:eastAsia="zh-CN" w:bidi="ar-SA"/>
    </w:rPr>
  </w:style>
  <w:style w:type="character" w:customStyle="1" w:styleId="474">
    <w:name w:val="正文文本缩进 Char1"/>
    <w:qFormat/>
    <w:uiPriority w:val="0"/>
    <w:rPr>
      <w:rFonts w:ascii="宋体" w:hAnsi="宋体"/>
      <w:kern w:val="2"/>
      <w:sz w:val="24"/>
      <w:szCs w:val="24"/>
    </w:rPr>
  </w:style>
  <w:style w:type="character" w:customStyle="1" w:styleId="475">
    <w:name w:val="方案正文 Char"/>
    <w:qFormat/>
    <w:uiPriority w:val="0"/>
    <w:rPr>
      <w:rFonts w:ascii="仿宋_GB2312" w:eastAsia="仿宋_GB2312"/>
      <w:b/>
      <w:color w:val="000000"/>
      <w:kern w:val="2"/>
      <w:sz w:val="24"/>
      <w:lang w:val="en-US" w:eastAsia="zh-CN" w:bidi="ar-SA"/>
    </w:rPr>
  </w:style>
  <w:style w:type="character" w:customStyle="1" w:styleId="476">
    <w:name w:val="Item List Char"/>
    <w:link w:val="261"/>
    <w:qFormat/>
    <w:uiPriority w:val="0"/>
    <w:rPr>
      <w:rFonts w:ascii="Arial"/>
      <w:bCs/>
      <w:sz w:val="21"/>
      <w:szCs w:val="21"/>
      <w:lang w:val="en-US" w:eastAsia="zh-CN" w:bidi="ar-SA"/>
    </w:rPr>
  </w:style>
  <w:style w:type="character" w:customStyle="1" w:styleId="477">
    <w:name w:val="Normal Indent Char Char"/>
    <w:qFormat/>
    <w:uiPriority w:val="0"/>
    <w:rPr>
      <w:rFonts w:eastAsia="宋体"/>
      <w:kern w:val="2"/>
      <w:sz w:val="21"/>
      <w:lang w:val="en-US" w:eastAsia="zh-CN" w:bidi="ar-SA"/>
    </w:rPr>
  </w:style>
  <w:style w:type="character" w:customStyle="1" w:styleId="478">
    <w:name w:val="t21"/>
    <w:qFormat/>
    <w:uiPriority w:val="0"/>
    <w:rPr>
      <w:rFonts w:ascii="仿宋_GB2312" w:eastAsia="微软雅黑"/>
      <w:b/>
      <w:kern w:val="2"/>
      <w:sz w:val="23"/>
      <w:szCs w:val="23"/>
      <w:lang w:val="en-US" w:eastAsia="zh-CN" w:bidi="ar-SA"/>
    </w:rPr>
  </w:style>
  <w:style w:type="character" w:customStyle="1" w:styleId="479">
    <w:name w:val="Char Char121"/>
    <w:qFormat/>
    <w:uiPriority w:val="0"/>
    <w:rPr>
      <w:rFonts w:ascii="仿宋_GB2312" w:eastAsia="仿宋_GB2312"/>
      <w:b/>
      <w:bCs/>
      <w:kern w:val="2"/>
      <w:sz w:val="24"/>
      <w:szCs w:val="24"/>
      <w:lang w:val="zh-CN" w:eastAsia="zh-CN" w:bidi="ar-SA"/>
    </w:rPr>
  </w:style>
  <w:style w:type="character" w:customStyle="1" w:styleId="480">
    <w:name w:val="标题 7 字符"/>
    <w:link w:val="8"/>
    <w:qFormat/>
    <w:uiPriority w:val="0"/>
    <w:rPr>
      <w:b/>
      <w:bCs/>
      <w:kern w:val="2"/>
      <w:sz w:val="24"/>
      <w:szCs w:val="24"/>
    </w:rPr>
  </w:style>
  <w:style w:type="character" w:customStyle="1" w:styleId="481">
    <w:name w:val="称呼 字符"/>
    <w:link w:val="20"/>
    <w:qFormat/>
    <w:uiPriority w:val="0"/>
    <w:rPr>
      <w:rFonts w:ascii="仿宋_GB2312" w:eastAsia="仿宋_GB2312"/>
      <w:kern w:val="2"/>
      <w:sz w:val="28"/>
    </w:rPr>
  </w:style>
  <w:style w:type="character" w:customStyle="1" w:styleId="482">
    <w:name w:val="正文 项目 Char"/>
    <w:qFormat/>
    <w:uiPriority w:val="0"/>
    <w:rPr>
      <w:rFonts w:ascii="仿宋_GB2312" w:hAnsi="仿宋_GB2312" w:eastAsia="仿宋_GB2312"/>
      <w:kern w:val="2"/>
      <w:sz w:val="24"/>
      <w:lang w:bidi="ar-SA"/>
    </w:rPr>
  </w:style>
  <w:style w:type="character" w:customStyle="1" w:styleId="483">
    <w:name w:val="普通文字 Char1"/>
    <w:qFormat/>
    <w:uiPriority w:val="0"/>
    <w:rPr>
      <w:rFonts w:ascii="宋体" w:hAnsi="Courier New" w:eastAsia="宋体"/>
      <w:kern w:val="2"/>
      <w:sz w:val="21"/>
      <w:lang w:val="en-US" w:eastAsia="zh-CN"/>
    </w:rPr>
  </w:style>
  <w:style w:type="character" w:customStyle="1" w:styleId="484">
    <w:name w:val="正文1 Char1"/>
    <w:qFormat/>
    <w:uiPriority w:val="0"/>
    <w:rPr>
      <w:rFonts w:ascii="仿宋_GB2312" w:hAnsi="Courier New" w:eastAsia="仿宋_GB2312"/>
      <w:kern w:val="28"/>
      <w:sz w:val="24"/>
      <w:szCs w:val="24"/>
    </w:rPr>
  </w:style>
  <w:style w:type="character" w:customStyle="1" w:styleId="485">
    <w:name w:val="hei16b1"/>
    <w:qFormat/>
    <w:uiPriority w:val="0"/>
    <w:rPr>
      <w:rFonts w:hint="default" w:ascii="Arial" w:hAnsi="Arial" w:cs="Arial"/>
      <w:b/>
      <w:bCs/>
      <w:color w:val="000000"/>
      <w:sz w:val="24"/>
      <w:szCs w:val="24"/>
    </w:rPr>
  </w:style>
  <w:style w:type="character" w:customStyle="1" w:styleId="486">
    <w:name w:val="c7 style3"/>
    <w:qFormat/>
    <w:uiPriority w:val="0"/>
  </w:style>
  <w:style w:type="character" w:customStyle="1" w:styleId="487">
    <w:name w:val="副标题 字符"/>
    <w:link w:val="45"/>
    <w:qFormat/>
    <w:uiPriority w:val="0"/>
    <w:rPr>
      <w:rFonts w:ascii="Arial" w:hAnsi="Arial" w:eastAsia="隶书"/>
      <w:b/>
      <w:bCs/>
      <w:kern w:val="28"/>
      <w:sz w:val="44"/>
      <w:szCs w:val="32"/>
      <w:lang w:val="en-US" w:eastAsia="zh-CN" w:bidi="ar-SA"/>
    </w:rPr>
  </w:style>
  <w:style w:type="character" w:customStyle="1" w:styleId="488">
    <w:name w:val="纯文本 字符"/>
    <w:link w:val="32"/>
    <w:qFormat/>
    <w:uiPriority w:val="0"/>
    <w:rPr>
      <w:rFonts w:ascii="宋体" w:hAnsi="Courier New" w:eastAsia="宋体" w:cs="Arial"/>
      <w:snapToGrid w:val="0"/>
      <w:kern w:val="2"/>
      <w:sz w:val="21"/>
      <w:szCs w:val="21"/>
      <w:lang w:val="en-US" w:eastAsia="zh-CN" w:bidi="ar-SA"/>
    </w:rPr>
  </w:style>
  <w:style w:type="character" w:customStyle="1" w:styleId="489">
    <w:name w:val="表正文 Char1"/>
    <w:qFormat/>
    <w:uiPriority w:val="0"/>
    <w:rPr>
      <w:rFonts w:ascii="宋体" w:eastAsia="宋体"/>
      <w:snapToGrid w:val="0"/>
      <w:color w:val="000000"/>
      <w:kern w:val="28"/>
      <w:sz w:val="28"/>
    </w:rPr>
  </w:style>
  <w:style w:type="character" w:customStyle="1" w:styleId="490">
    <w:name w:val="Char Char5"/>
    <w:qFormat/>
    <w:uiPriority w:val="0"/>
    <w:rPr>
      <w:rFonts w:ascii="宋体" w:hAnsi="Courier New" w:eastAsia="宋体"/>
      <w:kern w:val="2"/>
      <w:sz w:val="21"/>
      <w:lang w:val="en-US" w:eastAsia="zh-CN"/>
    </w:rPr>
  </w:style>
  <w:style w:type="character" w:customStyle="1" w:styleId="491">
    <w:name w:val="标题 1 Char Char"/>
    <w:qFormat/>
    <w:uiPriority w:val="0"/>
    <w:rPr>
      <w:rFonts w:hint="eastAsia" w:ascii="宋体" w:hAnsi="宋体" w:eastAsia="宋体"/>
      <w:b/>
      <w:spacing w:val="-2"/>
      <w:sz w:val="24"/>
      <w:lang w:val="en-US" w:eastAsia="zh-CN" w:bidi="ar-SA"/>
    </w:rPr>
  </w:style>
  <w:style w:type="character" w:customStyle="1" w:styleId="492">
    <w:name w:val="Char Char4"/>
    <w:qFormat/>
    <w:uiPriority w:val="0"/>
    <w:rPr>
      <w:rFonts w:eastAsia="宋体"/>
      <w:b/>
      <w:sz w:val="24"/>
      <w:lang w:val="en-GB" w:eastAsia="zh-CN" w:bidi="ar-SA"/>
    </w:rPr>
  </w:style>
  <w:style w:type="character" w:customStyle="1" w:styleId="493">
    <w:name w:val="zbggmain style9"/>
    <w:qFormat/>
    <w:uiPriority w:val="0"/>
  </w:style>
  <w:style w:type="character" w:customStyle="1" w:styleId="494">
    <w:name w:val="Header Char"/>
    <w:semiHidden/>
    <w:qFormat/>
    <w:locked/>
    <w:uiPriority w:val="0"/>
    <w:rPr>
      <w:rFonts w:eastAsia="宋体"/>
      <w:kern w:val="2"/>
      <w:sz w:val="18"/>
      <w:szCs w:val="18"/>
      <w:lang w:val="en-US" w:eastAsia="zh-CN" w:bidi="ar-SA"/>
    </w:rPr>
  </w:style>
  <w:style w:type="character" w:customStyle="1" w:styleId="495">
    <w:name w:val="样式 宋体"/>
    <w:qFormat/>
    <w:uiPriority w:val="0"/>
    <w:rPr>
      <w:rFonts w:ascii="宋体" w:hAnsi="宋体"/>
      <w:sz w:val="24"/>
    </w:rPr>
  </w:style>
  <w:style w:type="character" w:customStyle="1" w:styleId="496">
    <w:name w:val="哈哈正文 Char"/>
    <w:link w:val="312"/>
    <w:qFormat/>
    <w:uiPriority w:val="0"/>
    <w:rPr>
      <w:rFonts w:ascii="宋体" w:hAnsi="宋体" w:eastAsia="宋体"/>
      <w:kern w:val="2"/>
      <w:sz w:val="24"/>
      <w:lang w:bidi="ar-SA"/>
    </w:rPr>
  </w:style>
  <w:style w:type="character" w:customStyle="1" w:styleId="497">
    <w:name w:val="标题 Char"/>
    <w:qFormat/>
    <w:uiPriority w:val="0"/>
    <w:rPr>
      <w:rFonts w:eastAsia="宋体"/>
      <w:b/>
      <w:sz w:val="24"/>
      <w:lang w:val="en-GB" w:eastAsia="zh-CN" w:bidi="ar-SA"/>
    </w:rPr>
  </w:style>
  <w:style w:type="character" w:customStyle="1" w:styleId="498">
    <w:name w:val="纯文本 Char Char Char"/>
    <w:qFormat/>
    <w:uiPriority w:val="0"/>
    <w:rPr>
      <w:rFonts w:ascii="宋体" w:hAnsi="Courier New" w:eastAsia="宋体"/>
      <w:kern w:val="2"/>
      <w:sz w:val="21"/>
      <w:lang w:val="en-US" w:eastAsia="zh-CN" w:bidi="ar-SA"/>
    </w:rPr>
  </w:style>
  <w:style w:type="character" w:customStyle="1" w:styleId="499">
    <w:name w:val="正文 编号 Char"/>
    <w:qFormat/>
    <w:uiPriority w:val="0"/>
    <w:rPr>
      <w:rFonts w:ascii="仿宋_GB2312" w:hAnsi="仿宋_GB2312" w:eastAsia="仿宋_GB2312"/>
      <w:kern w:val="2"/>
      <w:sz w:val="24"/>
      <w:lang w:bidi="ar-SA"/>
    </w:rPr>
  </w:style>
  <w:style w:type="character" w:customStyle="1" w:styleId="500">
    <w:name w:val="插图说明 Char"/>
    <w:qFormat/>
    <w:uiPriority w:val="0"/>
    <w:rPr>
      <w:rFonts w:eastAsia="黑体"/>
      <w:sz w:val="24"/>
      <w:lang w:val="en-US" w:eastAsia="zh-CN"/>
    </w:rPr>
  </w:style>
  <w:style w:type="character" w:customStyle="1" w:styleId="501">
    <w:name w:val="正文首行缩进 2 字符"/>
    <w:link w:val="24"/>
    <w:qFormat/>
    <w:uiPriority w:val="0"/>
    <w:rPr>
      <w:rFonts w:ascii="宋体" w:hAnsi="宋体"/>
      <w:kern w:val="2"/>
      <w:sz w:val="21"/>
      <w:szCs w:val="24"/>
    </w:rPr>
  </w:style>
  <w:style w:type="character" w:customStyle="1" w:styleId="502">
    <w:name w:val="正文文本缩进 2 字符"/>
    <w:link w:val="36"/>
    <w:qFormat/>
    <w:uiPriority w:val="0"/>
    <w:rPr>
      <w:rFonts w:ascii="宋体"/>
      <w:sz w:val="28"/>
    </w:rPr>
  </w:style>
  <w:style w:type="character" w:customStyle="1" w:styleId="503">
    <w:name w:val="公文正文 Char"/>
    <w:qFormat/>
    <w:uiPriority w:val="0"/>
    <w:rPr>
      <w:rFonts w:ascii="仿宋_GB2312" w:eastAsia="仿宋_GB2312"/>
      <w:kern w:val="2"/>
      <w:sz w:val="24"/>
      <w:szCs w:val="24"/>
      <w:lang w:val="en-US" w:eastAsia="zh-CN" w:bidi="ar-SA"/>
    </w:rPr>
  </w:style>
  <w:style w:type="character" w:customStyle="1" w:styleId="504">
    <w:name w:val="Char Char41"/>
    <w:qFormat/>
    <w:uiPriority w:val="0"/>
    <w:rPr>
      <w:rFonts w:eastAsia="宋体"/>
      <w:b/>
      <w:sz w:val="24"/>
      <w:lang w:val="en-GB" w:eastAsia="zh-CN" w:bidi="ar-SA"/>
    </w:rPr>
  </w:style>
  <w:style w:type="character" w:customStyle="1" w:styleId="505">
    <w:name w:val="unnamed31"/>
    <w:qFormat/>
    <w:uiPriority w:val="0"/>
    <w:rPr>
      <w:rFonts w:ascii="Tahoma" w:hAnsi="Tahoma" w:eastAsia="宋体"/>
      <w:b/>
      <w:kern w:val="2"/>
      <w:sz w:val="24"/>
      <w:szCs w:val="32"/>
      <w:u w:val="none"/>
      <w:lang w:val="en-US" w:eastAsia="zh-CN" w:bidi="ar-SA"/>
    </w:rPr>
  </w:style>
  <w:style w:type="character" w:customStyle="1" w:styleId="506">
    <w:name w:val="Char Char91"/>
    <w:qFormat/>
    <w:uiPriority w:val="0"/>
    <w:rPr>
      <w:rFonts w:eastAsia="宋体"/>
      <w:kern w:val="2"/>
      <w:sz w:val="18"/>
      <w:szCs w:val="18"/>
      <w:lang w:val="en-US" w:eastAsia="zh-CN" w:bidi="ar-SA"/>
    </w:rPr>
  </w:style>
  <w:style w:type="character" w:customStyle="1" w:styleId="507">
    <w:name w:val="Footer-Even Char1"/>
    <w:qFormat/>
    <w:uiPriority w:val="0"/>
    <w:rPr>
      <w:rFonts w:eastAsia="宋体"/>
      <w:kern w:val="2"/>
      <w:sz w:val="18"/>
      <w:szCs w:val="18"/>
      <w:lang w:val="en-US" w:eastAsia="zh-CN" w:bidi="ar-SA"/>
    </w:rPr>
  </w:style>
  <w:style w:type="character" w:customStyle="1" w:styleId="508">
    <w:name w:val="gf正文1 Char"/>
    <w:qFormat/>
    <w:uiPriority w:val="0"/>
    <w:rPr>
      <w:rFonts w:ascii="宋体" w:hAnsi="宋体" w:eastAsia="宋体" w:cs="宋体"/>
      <w:kern w:val="2"/>
      <w:sz w:val="24"/>
      <w:szCs w:val="24"/>
      <w:lang w:val="en-US" w:eastAsia="zh-CN" w:bidi="ar-SA"/>
    </w:rPr>
  </w:style>
  <w:style w:type="character" w:customStyle="1" w:styleId="509">
    <w:name w:val="javascript"/>
    <w:qFormat/>
    <w:uiPriority w:val="0"/>
  </w:style>
  <w:style w:type="character" w:customStyle="1" w:styleId="510">
    <w:name w:val="列出段落 Char"/>
    <w:qFormat/>
    <w:uiPriority w:val="34"/>
    <w:rPr>
      <w:rFonts w:eastAsia="楷体_GB2312" w:cs="Lucida Sans"/>
      <w:kern w:val="2"/>
      <w:sz w:val="24"/>
      <w:szCs w:val="24"/>
      <w:lang w:val="en-US" w:eastAsia="zh-CN" w:bidi="ar-SA"/>
    </w:rPr>
  </w:style>
  <w:style w:type="character" w:customStyle="1" w:styleId="511">
    <w:name w:val="正文文本 Char1"/>
    <w:qFormat/>
    <w:uiPriority w:val="0"/>
    <w:rPr>
      <w:rFonts w:ascii="宋体" w:hAnsi="Arial" w:eastAsia="宋体" w:cs="Arial"/>
      <w:snapToGrid w:val="0"/>
      <w:kern w:val="2"/>
      <w:sz w:val="24"/>
      <w:szCs w:val="21"/>
      <w:lang w:val="zh-CN" w:eastAsia="zh-CN" w:bidi="ar-SA"/>
    </w:rPr>
  </w:style>
  <w:style w:type="character" w:customStyle="1" w:styleId="512">
    <w:name w:val="标书表格字体格式 Char"/>
    <w:qFormat/>
    <w:uiPriority w:val="0"/>
    <w:rPr>
      <w:kern w:val="2"/>
      <w:sz w:val="21"/>
      <w:szCs w:val="24"/>
      <w:lang w:bidi="ar-SA"/>
    </w:rPr>
  </w:style>
  <w:style w:type="character" w:customStyle="1" w:styleId="513">
    <w:name w:val="普通文字 Char3"/>
    <w:qFormat/>
    <w:uiPriority w:val="0"/>
    <w:rPr>
      <w:rFonts w:ascii="宋体" w:hAnsi="Courier New" w:eastAsia="宋体"/>
      <w:kern w:val="2"/>
      <w:sz w:val="21"/>
      <w:lang w:val="en-US" w:eastAsia="zh-CN" w:bidi="ar-SA"/>
    </w:rPr>
  </w:style>
  <w:style w:type="character" w:customStyle="1" w:styleId="514">
    <w:name w:val="h Char Char1"/>
    <w:qFormat/>
    <w:uiPriority w:val="0"/>
    <w:rPr>
      <w:rFonts w:eastAsia="宋体"/>
      <w:kern w:val="2"/>
      <w:sz w:val="18"/>
      <w:szCs w:val="18"/>
      <w:lang w:val="en-US" w:eastAsia="zh-CN" w:bidi="ar-SA"/>
    </w:rPr>
  </w:style>
  <w:style w:type="character" w:customStyle="1" w:styleId="515">
    <w:name w:val="冯 Char"/>
    <w:link w:val="72"/>
    <w:qFormat/>
    <w:uiPriority w:val="0"/>
    <w:rPr>
      <w:rFonts w:ascii="宋体" w:hAnsi="宋体"/>
      <w:color w:val="000000"/>
      <w:sz w:val="24"/>
      <w:szCs w:val="24"/>
    </w:rPr>
  </w:style>
  <w:style w:type="character" w:customStyle="1" w:styleId="516">
    <w:name w:val="highlight1"/>
    <w:qFormat/>
    <w:uiPriority w:val="0"/>
    <w:rPr>
      <w:rFonts w:ascii="仿宋_GB2312" w:eastAsia="微软雅黑"/>
      <w:b/>
      <w:kern w:val="2"/>
      <w:sz w:val="23"/>
      <w:szCs w:val="23"/>
      <w:lang w:val="en-US" w:eastAsia="zh-CN" w:bidi="ar-SA"/>
    </w:rPr>
  </w:style>
  <w:style w:type="character" w:customStyle="1" w:styleId="517">
    <w:name w:val="样式6 Char"/>
    <w:qFormat/>
    <w:uiPriority w:val="0"/>
    <w:rPr>
      <w:rFonts w:ascii="仿宋_GB2312" w:hAnsi="宋体" w:eastAsia="仿宋_GB2312"/>
      <w:b/>
      <w:bCs/>
      <w:kern w:val="2"/>
      <w:sz w:val="24"/>
      <w:szCs w:val="24"/>
      <w:lang w:val="en-US" w:eastAsia="zh-CN" w:bidi="ar-SA"/>
    </w:rPr>
  </w:style>
  <w:style w:type="character" w:customStyle="1" w:styleId="518">
    <w:name w:val="标题 9 字符"/>
    <w:link w:val="10"/>
    <w:qFormat/>
    <w:uiPriority w:val="0"/>
    <w:rPr>
      <w:rFonts w:ascii="Arial" w:hAnsi="Arial" w:eastAsia="黑体"/>
      <w:kern w:val="2"/>
      <w:sz w:val="21"/>
      <w:szCs w:val="21"/>
    </w:rPr>
  </w:style>
  <w:style w:type="character" w:customStyle="1" w:styleId="519">
    <w:name w:val="md"/>
    <w:basedOn w:val="62"/>
    <w:qFormat/>
    <w:uiPriority w:val="0"/>
  </w:style>
  <w:style w:type="character" w:customStyle="1" w:styleId="520">
    <w:name w:val="myp11"/>
    <w:qFormat/>
    <w:uiPriority w:val="0"/>
    <w:rPr>
      <w:rFonts w:ascii="仿宋_GB2312" w:eastAsia="微软雅黑"/>
      <w:b/>
      <w:kern w:val="2"/>
      <w:sz w:val="32"/>
      <w:szCs w:val="32"/>
      <w:lang w:val="en-US" w:eastAsia="zh-CN" w:bidi="ar-SA"/>
    </w:rPr>
  </w:style>
  <w:style w:type="character" w:customStyle="1" w:styleId="521">
    <w:name w:val="Ò³Ã¼ Char Char1"/>
    <w:qFormat/>
    <w:uiPriority w:val="0"/>
    <w:rPr>
      <w:rFonts w:eastAsia="宋体"/>
      <w:kern w:val="2"/>
      <w:sz w:val="18"/>
      <w:szCs w:val="18"/>
      <w:lang w:val="en-US" w:eastAsia="zh-CN" w:bidi="ar-SA"/>
    </w:rPr>
  </w:style>
  <w:style w:type="character" w:customStyle="1" w:styleId="522">
    <w:name w:val="tw4winTerm"/>
    <w:qFormat/>
    <w:uiPriority w:val="0"/>
    <w:rPr>
      <w:color w:val="0000FF"/>
    </w:rPr>
  </w:style>
  <w:style w:type="character" w:customStyle="1" w:styleId="523">
    <w:name w:val="表格 Char Char"/>
    <w:qFormat/>
    <w:uiPriority w:val="0"/>
    <w:rPr>
      <w:rFonts w:ascii="宋体" w:hAnsi="宋体" w:eastAsia="宋体"/>
      <w:lang w:bidi="ar-SA"/>
    </w:rPr>
  </w:style>
  <w:style w:type="character" w:customStyle="1" w:styleId="524">
    <w:name w:val="样式8 Char"/>
    <w:qFormat/>
    <w:uiPriority w:val="0"/>
    <w:rPr>
      <w:rFonts w:ascii="仿宋_GB2312" w:hAnsi="宋体" w:eastAsia="仿宋_GB2312"/>
      <w:b/>
      <w:bCs/>
      <w:kern w:val="2"/>
      <w:sz w:val="24"/>
      <w:szCs w:val="24"/>
    </w:rPr>
  </w:style>
  <w:style w:type="character" w:customStyle="1" w:styleId="525">
    <w:name w:val="样式5 Char"/>
    <w:qFormat/>
    <w:uiPriority w:val="0"/>
    <w:rPr>
      <w:rFonts w:ascii="仿宋_GB2312" w:hAnsi="仿宋" w:eastAsia="仿宋_GB2312"/>
      <w:kern w:val="2"/>
      <w:sz w:val="24"/>
      <w:szCs w:val="24"/>
    </w:rPr>
  </w:style>
  <w:style w:type="character" w:customStyle="1" w:styleId="526">
    <w:name w:val="页脚 Char1"/>
    <w:qFormat/>
    <w:uiPriority w:val="0"/>
    <w:rPr>
      <w:rFonts w:eastAsia="宋体"/>
      <w:kern w:val="2"/>
      <w:sz w:val="18"/>
      <w:szCs w:val="18"/>
      <w:lang w:val="en-US" w:eastAsia="zh-CN" w:bidi="ar-SA"/>
    </w:rPr>
  </w:style>
  <w:style w:type="character" w:customStyle="1" w:styleId="527">
    <w:name w:val="tw4winJump"/>
    <w:qFormat/>
    <w:uiPriority w:val="0"/>
    <w:rPr>
      <w:rFonts w:ascii="Courier New" w:hAnsi="Courier New" w:cs="Courier New"/>
      <w:color w:val="008080"/>
    </w:rPr>
  </w:style>
  <w:style w:type="character" w:customStyle="1" w:styleId="528">
    <w:name w:val="批注文字 Char"/>
    <w:qFormat/>
    <w:uiPriority w:val="99"/>
    <w:rPr>
      <w:kern w:val="2"/>
      <w:sz w:val="21"/>
      <w:szCs w:val="24"/>
    </w:rPr>
  </w:style>
  <w:style w:type="character" w:customStyle="1" w:styleId="529">
    <w:name w:val="Char Char122"/>
    <w:qFormat/>
    <w:uiPriority w:val="0"/>
    <w:rPr>
      <w:rFonts w:ascii="仿宋_GB2312" w:eastAsia="仿宋_GB2312"/>
      <w:b/>
      <w:bCs/>
      <w:kern w:val="2"/>
      <w:sz w:val="24"/>
      <w:szCs w:val="24"/>
      <w:lang w:val="zh-CN" w:eastAsia="zh-CN" w:bidi="ar-SA"/>
    </w:rPr>
  </w:style>
  <w:style w:type="character" w:customStyle="1" w:styleId="530">
    <w:name w:val="No Spacing Char"/>
    <w:link w:val="168"/>
    <w:qFormat/>
    <w:uiPriority w:val="1"/>
    <w:rPr>
      <w:rFonts w:ascii="Calibri" w:hAnsi="Calibri"/>
      <w:sz w:val="22"/>
      <w:szCs w:val="22"/>
      <w:lang w:val="en-US" w:eastAsia="zh-CN" w:bidi="ar-SA"/>
    </w:rPr>
  </w:style>
  <w:style w:type="character" w:customStyle="1" w:styleId="531">
    <w:name w:val="Char Char21"/>
    <w:qFormat/>
    <w:uiPriority w:val="0"/>
    <w:rPr>
      <w:rFonts w:ascii="宋体" w:hAnsi="Courier New" w:eastAsia="宋体"/>
      <w:kern w:val="2"/>
      <w:sz w:val="21"/>
      <w:lang w:val="en-US" w:eastAsia="zh-CN" w:bidi="ar-SA"/>
    </w:rPr>
  </w:style>
  <w:style w:type="character" w:customStyle="1" w:styleId="532">
    <w:name w:val="Char Char8"/>
    <w:qFormat/>
    <w:uiPriority w:val="0"/>
    <w:rPr>
      <w:rFonts w:eastAsia="宋体"/>
      <w:b/>
      <w:sz w:val="24"/>
      <w:lang w:val="en-GB" w:eastAsia="zh-CN"/>
    </w:rPr>
  </w:style>
  <w:style w:type="character" w:customStyle="1" w:styleId="533">
    <w:name w:val="font21"/>
    <w:qFormat/>
    <w:uiPriority w:val="0"/>
    <w:rPr>
      <w:rFonts w:hint="eastAsia" w:ascii="宋体" w:hAnsi="宋体" w:eastAsia="宋体"/>
      <w:kern w:val="2"/>
      <w:sz w:val="28"/>
      <w:szCs w:val="28"/>
      <w:lang w:val="en-US" w:eastAsia="zh-CN" w:bidi="ar-SA"/>
    </w:rPr>
  </w:style>
  <w:style w:type="character" w:customStyle="1" w:styleId="534">
    <w:name w:val="正文2 Char"/>
    <w:qFormat/>
    <w:uiPriority w:val="0"/>
    <w:rPr>
      <w:rFonts w:eastAsia="宋体"/>
      <w:kern w:val="2"/>
      <w:sz w:val="24"/>
      <w:lang w:val="en-US" w:eastAsia="zh-CN" w:bidi="ar-SA"/>
    </w:rPr>
  </w:style>
  <w:style w:type="character" w:customStyle="1" w:styleId="535">
    <w:name w:val="big1"/>
    <w:qFormat/>
    <w:uiPriority w:val="0"/>
    <w:rPr>
      <w:rFonts w:hint="eastAsia" w:ascii="宋体" w:hAnsi="宋体" w:eastAsia="宋体"/>
      <w:color w:val="333333"/>
      <w:sz w:val="22"/>
      <w:szCs w:val="22"/>
    </w:rPr>
  </w:style>
  <w:style w:type="character" w:customStyle="1" w:styleId="536">
    <w:name w:val="Body Text(ch) Char Char"/>
    <w:qFormat/>
    <w:uiPriority w:val="0"/>
    <w:rPr>
      <w:rFonts w:ascii="宋体"/>
      <w:kern w:val="2"/>
      <w:sz w:val="24"/>
      <w:szCs w:val="21"/>
      <w:lang w:val="zh-CN"/>
    </w:rPr>
  </w:style>
  <w:style w:type="character" w:customStyle="1" w:styleId="537">
    <w:name w:val="blue1"/>
    <w:basedOn w:val="62"/>
    <w:qFormat/>
    <w:uiPriority w:val="0"/>
  </w:style>
  <w:style w:type="character" w:customStyle="1" w:styleId="538">
    <w:name w:val="正文 项目2 Char"/>
    <w:basedOn w:val="482"/>
    <w:qFormat/>
    <w:uiPriority w:val="0"/>
    <w:rPr>
      <w:rFonts w:ascii="仿宋_GB2312" w:hAnsi="仿宋_GB2312" w:eastAsia="仿宋_GB2312"/>
      <w:kern w:val="2"/>
      <w:sz w:val="24"/>
      <w:lang w:bidi="ar-SA"/>
    </w:rPr>
  </w:style>
  <w:style w:type="character" w:customStyle="1" w:styleId="539">
    <w:name w:val="solutionfonts"/>
    <w:qFormat/>
    <w:uiPriority w:val="0"/>
  </w:style>
  <w:style w:type="character" w:customStyle="1" w:styleId="540">
    <w:name w:val="Char Char81"/>
    <w:qFormat/>
    <w:uiPriority w:val="0"/>
    <w:rPr>
      <w:rFonts w:eastAsia="宋体"/>
      <w:b/>
      <w:sz w:val="24"/>
      <w:lang w:val="en-GB" w:eastAsia="zh-CN"/>
    </w:rPr>
  </w:style>
  <w:style w:type="character" w:customStyle="1" w:styleId="541">
    <w:name w:val="Char Char2"/>
    <w:qFormat/>
    <w:uiPriority w:val="0"/>
    <w:rPr>
      <w:rFonts w:eastAsia="宋体"/>
      <w:b/>
      <w:bCs/>
      <w:kern w:val="2"/>
      <w:sz w:val="21"/>
      <w:szCs w:val="24"/>
      <w:lang w:val="en-US" w:eastAsia="zh-CN" w:bidi="ar-SA"/>
    </w:rPr>
  </w:style>
  <w:style w:type="character" w:customStyle="1" w:styleId="542">
    <w:name w:val="HTML 预设格式 字符"/>
    <w:link w:val="55"/>
    <w:qFormat/>
    <w:uiPriority w:val="0"/>
    <w:rPr>
      <w:rFonts w:ascii="黑体" w:hAnsi="Courier New" w:eastAsia="黑体"/>
    </w:rPr>
  </w:style>
  <w:style w:type="character" w:customStyle="1" w:styleId="543">
    <w:name w:val="Heading 7 Char"/>
    <w:qFormat/>
    <w:locked/>
    <w:uiPriority w:val="0"/>
    <w:rPr>
      <w:rFonts w:ascii="宋体" w:hAnsi="宋体" w:eastAsia="宋体"/>
      <w:b/>
      <w:bCs/>
      <w:kern w:val="2"/>
      <w:sz w:val="24"/>
      <w:szCs w:val="24"/>
      <w:lang w:val="en-US" w:eastAsia="zh-CN" w:bidi="ar-SA"/>
    </w:rPr>
  </w:style>
  <w:style w:type="character" w:customStyle="1" w:styleId="544">
    <w:name w:val="正文首行缩进 字符"/>
    <w:link w:val="59"/>
    <w:qFormat/>
    <w:uiPriority w:val="0"/>
    <w:rPr>
      <w:rFonts w:ascii="宋体"/>
      <w:kern w:val="2"/>
      <w:sz w:val="24"/>
      <w:lang w:val="zh-CN"/>
    </w:rPr>
  </w:style>
  <w:style w:type="character" w:customStyle="1" w:styleId="545">
    <w:name w:val="标题 2 Char Char"/>
    <w:qFormat/>
    <w:uiPriority w:val="0"/>
    <w:rPr>
      <w:rFonts w:ascii="楷体_GB2312" w:hAnsi="Arial" w:eastAsia="楷体_GB2312"/>
      <w:b/>
      <w:bCs/>
      <w:kern w:val="2"/>
      <w:sz w:val="24"/>
      <w:szCs w:val="32"/>
      <w:lang w:val="en-US" w:eastAsia="zh-CN" w:bidi="ar-SA"/>
    </w:rPr>
  </w:style>
  <w:style w:type="character" w:customStyle="1" w:styleId="546">
    <w:name w:val="pt141"/>
    <w:qFormat/>
    <w:uiPriority w:val="0"/>
    <w:rPr>
      <w:color w:val="330066"/>
      <w:sz w:val="22"/>
      <w:szCs w:val="22"/>
    </w:rPr>
  </w:style>
  <w:style w:type="character" w:customStyle="1" w:styleId="547">
    <w:name w:val="h Char Char"/>
    <w:qFormat/>
    <w:uiPriority w:val="0"/>
    <w:rPr>
      <w:rFonts w:eastAsia="宋体"/>
      <w:kern w:val="2"/>
      <w:sz w:val="18"/>
      <w:lang w:val="en-US" w:eastAsia="zh-CN" w:bidi="ar-SA"/>
    </w:rPr>
  </w:style>
  <w:style w:type="character" w:customStyle="1" w:styleId="548">
    <w:name w:val="标题 1 Char"/>
    <w:qFormat/>
    <w:uiPriority w:val="0"/>
    <w:rPr>
      <w:b/>
      <w:bCs/>
      <w:kern w:val="44"/>
      <w:sz w:val="44"/>
      <w:szCs w:val="44"/>
    </w:rPr>
  </w:style>
  <w:style w:type="character" w:customStyle="1" w:styleId="549">
    <w:name w:val="页眉 Char"/>
    <w:qFormat/>
    <w:uiPriority w:val="0"/>
    <w:rPr>
      <w:rFonts w:eastAsia="仿宋_GB2312"/>
      <w:kern w:val="2"/>
      <w:sz w:val="18"/>
      <w:lang w:val="en-US" w:eastAsia="zh-CN"/>
    </w:rPr>
  </w:style>
  <w:style w:type="character" w:customStyle="1" w:styleId="550">
    <w:name w:val="b11_01b Char"/>
    <w:link w:val="408"/>
    <w:qFormat/>
    <w:uiPriority w:val="0"/>
    <w:rPr>
      <w:rFonts w:ascii="Verdana" w:hAnsi="Verdana"/>
      <w:b/>
      <w:bCs/>
      <w:color w:val="4A82CA"/>
      <w:sz w:val="17"/>
      <w:szCs w:val="17"/>
    </w:rPr>
  </w:style>
  <w:style w:type="character" w:customStyle="1" w:styleId="551">
    <w:name w:val="标题4-dyf Char"/>
    <w:link w:val="346"/>
    <w:qFormat/>
    <w:uiPriority w:val="0"/>
    <w:rPr>
      <w:rFonts w:ascii="Cambria" w:hAnsi="Cambria"/>
      <w:b/>
      <w:bCs/>
      <w:color w:val="000000"/>
      <w:kern w:val="2"/>
      <w:sz w:val="21"/>
      <w:szCs w:val="21"/>
    </w:rPr>
  </w:style>
  <w:style w:type="character" w:customStyle="1" w:styleId="552">
    <w:name w:val="批注主题 Char"/>
    <w:qFormat/>
    <w:uiPriority w:val="0"/>
    <w:rPr>
      <w:rFonts w:eastAsia="宋体"/>
      <w:b/>
      <w:bCs/>
      <w:kern w:val="2"/>
      <w:sz w:val="21"/>
      <w:szCs w:val="24"/>
      <w:lang w:val="en-US" w:eastAsia="zh-CN" w:bidi="ar-SA"/>
    </w:rPr>
  </w:style>
  <w:style w:type="character" w:customStyle="1" w:styleId="553">
    <w:name w:val="标题 3 Char1"/>
    <w:qFormat/>
    <w:uiPriority w:val="0"/>
    <w:rPr>
      <w:rFonts w:hint="eastAsia" w:ascii="华文中宋" w:hAnsi="华文中宋" w:eastAsia="华文中宋"/>
      <w:b/>
      <w:bCs/>
      <w:kern w:val="2"/>
      <w:sz w:val="32"/>
      <w:szCs w:val="32"/>
      <w:lang w:val="en-US" w:eastAsia="zh-CN" w:bidi="ar-SA"/>
    </w:rPr>
  </w:style>
  <w:style w:type="character" w:customStyle="1" w:styleId="554">
    <w:name w:val="正文首行缩进两字 Char"/>
    <w:qFormat/>
    <w:uiPriority w:val="0"/>
    <w:rPr>
      <w:sz w:val="24"/>
      <w:szCs w:val="24"/>
      <w:lang w:val="en-US" w:eastAsia="zh-CN" w:bidi="ar-SA"/>
    </w:rPr>
  </w:style>
  <w:style w:type="character" w:customStyle="1" w:styleId="555">
    <w:name w:val="Char Char51"/>
    <w:qFormat/>
    <w:uiPriority w:val="0"/>
    <w:rPr>
      <w:rFonts w:ascii="宋体" w:hAnsi="Courier New" w:eastAsia="宋体"/>
      <w:kern w:val="2"/>
      <w:sz w:val="21"/>
      <w:lang w:val="en-US" w:eastAsia="zh-CN"/>
    </w:rPr>
  </w:style>
  <w:style w:type="character" w:customStyle="1" w:styleId="556">
    <w:name w:val="带编号样式 Char"/>
    <w:qFormat/>
    <w:uiPriority w:val="0"/>
    <w:rPr>
      <w:rFonts w:ascii="仿宋_GB2312" w:eastAsia="仿宋_GB2312"/>
      <w:color w:val="000000"/>
      <w:sz w:val="24"/>
      <w:lang w:bidi="ar-SA"/>
    </w:rPr>
  </w:style>
  <w:style w:type="character" w:customStyle="1" w:styleId="557">
    <w:name w:val="样式4 Char"/>
    <w:qFormat/>
    <w:uiPriority w:val="0"/>
    <w:rPr>
      <w:rFonts w:ascii="仿宋_GB2312" w:hAnsi="仿宋" w:eastAsia="仿宋_GB2312"/>
      <w:b/>
      <w:kern w:val="2"/>
      <w:sz w:val="32"/>
      <w:szCs w:val="32"/>
      <w:lang w:bidi="ar-SA"/>
    </w:rPr>
  </w:style>
  <w:style w:type="character" w:customStyle="1" w:styleId="558">
    <w:name w:val="样式 标题 4h4H4Fab-4T5Ref Heading 1rh1Heading sqlsect 1.2.3.... Char"/>
    <w:link w:val="170"/>
    <w:qFormat/>
    <w:uiPriority w:val="0"/>
    <w:rPr>
      <w:rFonts w:ascii="微软雅黑" w:hAnsi="微软雅黑" w:eastAsia="微软雅黑"/>
      <w:b/>
      <w:bCs/>
      <w:kern w:val="2"/>
      <w:sz w:val="24"/>
      <w:szCs w:val="28"/>
    </w:rPr>
  </w:style>
  <w:style w:type="character" w:customStyle="1" w:styleId="559">
    <w:name w:val="PI Char"/>
    <w:qFormat/>
    <w:uiPriority w:val="0"/>
    <w:rPr>
      <w:rFonts w:ascii="宋体" w:hAnsi="宋体" w:eastAsia="宋体"/>
      <w:kern w:val="2"/>
      <w:sz w:val="24"/>
      <w:szCs w:val="24"/>
      <w:lang w:val="en-US" w:eastAsia="zh-CN" w:bidi="ar-SA"/>
    </w:rPr>
  </w:style>
  <w:style w:type="character" w:customStyle="1" w:styleId="560">
    <w:name w:val="Char Char111"/>
    <w:qFormat/>
    <w:locked/>
    <w:uiPriority w:val="0"/>
    <w:rPr>
      <w:rFonts w:ascii="宋体" w:hAnsi="宋体" w:eastAsia="宋体"/>
      <w:b/>
      <w:kern w:val="2"/>
      <w:sz w:val="24"/>
      <w:szCs w:val="24"/>
      <w:lang w:val="en-US" w:eastAsia="zh-CN" w:bidi="ar-SA"/>
    </w:rPr>
  </w:style>
  <w:style w:type="character" w:customStyle="1" w:styleId="561">
    <w:name w:val="Document Map Char"/>
    <w:semiHidden/>
    <w:qFormat/>
    <w:locked/>
    <w:uiPriority w:val="0"/>
    <w:rPr>
      <w:rFonts w:eastAsia="宋体"/>
      <w:kern w:val="2"/>
      <w:sz w:val="21"/>
      <w:szCs w:val="24"/>
      <w:lang w:val="en-US" w:eastAsia="zh-CN" w:bidi="ar-SA"/>
    </w:rPr>
  </w:style>
  <w:style w:type="character" w:customStyle="1" w:styleId="562">
    <w:name w:val="正文文本缩进 Char"/>
    <w:qFormat/>
    <w:uiPriority w:val="0"/>
    <w:rPr>
      <w:rFonts w:ascii="宋体" w:hAnsi="宋体"/>
      <w:kern w:val="2"/>
      <w:sz w:val="24"/>
      <w:szCs w:val="24"/>
    </w:rPr>
  </w:style>
  <w:style w:type="character" w:customStyle="1" w:styleId="563">
    <w:name w:val="文本正文 Char Char"/>
    <w:qFormat/>
    <w:locked/>
    <w:uiPriority w:val="0"/>
    <w:rPr>
      <w:sz w:val="24"/>
      <w:lang w:bidi="ar-SA"/>
    </w:rPr>
  </w:style>
  <w:style w:type="character" w:customStyle="1" w:styleId="564">
    <w:name w:val="样式7 Char"/>
    <w:qFormat/>
    <w:uiPriority w:val="0"/>
    <w:rPr>
      <w:rFonts w:ascii="仿宋_GB2312" w:hAnsi="仿宋" w:eastAsia="仿宋_GB2312"/>
      <w:b/>
      <w:kern w:val="2"/>
      <w:sz w:val="24"/>
      <w:szCs w:val="24"/>
    </w:rPr>
  </w:style>
  <w:style w:type="character" w:customStyle="1" w:styleId="565">
    <w:name w:val="样式3 Char"/>
    <w:basedOn w:val="566"/>
    <w:qFormat/>
    <w:uiPriority w:val="0"/>
    <w:rPr>
      <w:rFonts w:ascii="仿宋_GB2312" w:hAnsi="仿宋" w:eastAsia="仿宋_GB2312" w:cs="仿宋_GB2312"/>
      <w:sz w:val="32"/>
      <w:szCs w:val="30"/>
      <w:lang w:val="zh-CN"/>
    </w:rPr>
  </w:style>
  <w:style w:type="character" w:customStyle="1" w:styleId="566">
    <w:name w:val="样式2 Char"/>
    <w:qFormat/>
    <w:uiPriority w:val="0"/>
    <w:rPr>
      <w:rFonts w:ascii="仿宋_GB2312" w:hAnsi="仿宋" w:eastAsia="仿宋_GB2312" w:cs="仿宋_GB2312"/>
      <w:b/>
      <w:bCs/>
      <w:sz w:val="32"/>
      <w:szCs w:val="30"/>
      <w:lang w:val="zh-CN"/>
    </w:rPr>
  </w:style>
  <w:style w:type="character" w:customStyle="1" w:styleId="567">
    <w:name w:val="二级标题 Char Char"/>
    <w:qFormat/>
    <w:uiPriority w:val="0"/>
    <w:rPr>
      <w:rFonts w:ascii="宋体" w:hAnsi="宋体" w:eastAsia="宋体"/>
      <w:b/>
      <w:snapToGrid w:val="0"/>
      <w:kern w:val="2"/>
      <w:sz w:val="24"/>
      <w:szCs w:val="24"/>
      <w:lang w:val="en-US" w:eastAsia="zh-CN" w:bidi="ar-SA"/>
    </w:rPr>
  </w:style>
  <w:style w:type="character" w:customStyle="1" w:styleId="568">
    <w:name w:val="Table Text Char1"/>
    <w:qFormat/>
    <w:uiPriority w:val="0"/>
    <w:rPr>
      <w:rFonts w:eastAsia="宋体"/>
      <w:sz w:val="24"/>
      <w:szCs w:val="24"/>
      <w:lang w:val="en-US" w:eastAsia="zh-CN" w:bidi="ar-SA"/>
    </w:rPr>
  </w:style>
  <w:style w:type="character" w:customStyle="1" w:styleId="569">
    <w:name w:val="shadow11"/>
    <w:qFormat/>
    <w:uiPriority w:val="0"/>
    <w:rPr>
      <w:color w:val="000000"/>
      <w:sz w:val="21"/>
    </w:rPr>
  </w:style>
  <w:style w:type="character" w:customStyle="1" w:styleId="570">
    <w:name w:val="HTML 地址 字符"/>
    <w:link w:val="29"/>
    <w:qFormat/>
    <w:uiPriority w:val="0"/>
    <w:rPr>
      <w:rFonts w:ascii="宋体" w:hAnsi="宋体"/>
      <w:i/>
      <w:iCs/>
      <w:sz w:val="24"/>
      <w:szCs w:val="24"/>
    </w:rPr>
  </w:style>
  <w:style w:type="character" w:customStyle="1" w:styleId="571">
    <w:name w:val="Char Char22"/>
    <w:qFormat/>
    <w:uiPriority w:val="0"/>
    <w:rPr>
      <w:rFonts w:eastAsia="宋体"/>
      <w:b/>
      <w:bCs/>
      <w:kern w:val="2"/>
      <w:sz w:val="21"/>
      <w:szCs w:val="24"/>
      <w:lang w:val="en-US" w:eastAsia="zh-CN" w:bidi="ar-SA"/>
    </w:rPr>
  </w:style>
  <w:style w:type="character" w:customStyle="1" w:styleId="572">
    <w:name w:val="标题 5 字符"/>
    <w:link w:val="6"/>
    <w:qFormat/>
    <w:uiPriority w:val="0"/>
    <w:rPr>
      <w:b/>
      <w:bCs/>
      <w:kern w:val="2"/>
      <w:sz w:val="28"/>
      <w:szCs w:val="28"/>
    </w:rPr>
  </w:style>
  <w:style w:type="character" w:customStyle="1" w:styleId="573">
    <w:name w:val="h3 Char1"/>
    <w:qFormat/>
    <w:uiPriority w:val="0"/>
    <w:rPr>
      <w:rFonts w:eastAsia="宋体"/>
      <w:b/>
      <w:bCs/>
      <w:kern w:val="2"/>
      <w:sz w:val="32"/>
      <w:szCs w:val="32"/>
      <w:lang w:bidi="ar-SA"/>
    </w:rPr>
  </w:style>
  <w:style w:type="character" w:customStyle="1" w:styleId="574">
    <w:name w:val="FA正文 Char Char"/>
    <w:qFormat/>
    <w:uiPriority w:val="0"/>
    <w:rPr>
      <w:rFonts w:hAnsi="宋体"/>
      <w:kern w:val="2"/>
      <w:sz w:val="24"/>
      <w:lang w:bidi="ar-SA"/>
    </w:rPr>
  </w:style>
  <w:style w:type="character" w:customStyle="1" w:styleId="575">
    <w:name w:val="Char Char7"/>
    <w:semiHidden/>
    <w:qFormat/>
    <w:uiPriority w:val="0"/>
    <w:rPr>
      <w:rFonts w:eastAsia="宋体"/>
      <w:kern w:val="2"/>
      <w:sz w:val="21"/>
      <w:szCs w:val="24"/>
      <w:lang w:val="en-US" w:eastAsia="zh-CN" w:bidi="ar-SA"/>
    </w:rPr>
  </w:style>
  <w:style w:type="character" w:customStyle="1" w:styleId="576">
    <w:name w:val="hui"/>
    <w:basedOn w:val="62"/>
    <w:qFormat/>
    <w:uiPriority w:val="0"/>
  </w:style>
  <w:style w:type="character" w:customStyle="1" w:styleId="577">
    <w:name w:val="正文缩进 Char"/>
    <w:qFormat/>
    <w:uiPriority w:val="0"/>
    <w:rPr>
      <w:rFonts w:eastAsia="宋体"/>
      <w:kern w:val="2"/>
      <w:sz w:val="21"/>
      <w:lang w:val="en-US" w:eastAsia="zh-CN"/>
    </w:rPr>
  </w:style>
  <w:style w:type="character" w:customStyle="1" w:styleId="578">
    <w:name w:val="正文1 Char"/>
    <w:qFormat/>
    <w:uiPriority w:val="0"/>
    <w:rPr>
      <w:rFonts w:ascii="宋体" w:eastAsia="宋体"/>
      <w:snapToGrid w:val="0"/>
      <w:color w:val="000000"/>
      <w:kern w:val="28"/>
      <w:sz w:val="28"/>
      <w:lang w:val="en-US" w:eastAsia="zh-CN" w:bidi="ar-SA"/>
    </w:rPr>
  </w:style>
  <w:style w:type="character" w:customStyle="1" w:styleId="579">
    <w:name w:val="Char Char61"/>
    <w:qFormat/>
    <w:uiPriority w:val="0"/>
    <w:rPr>
      <w:rFonts w:eastAsia="宋体"/>
      <w:kern w:val="2"/>
      <w:sz w:val="21"/>
      <w:szCs w:val="24"/>
      <w:lang w:val="en-US" w:eastAsia="zh-CN" w:bidi="ar-SA"/>
    </w:rPr>
  </w:style>
  <w:style w:type="character" w:customStyle="1" w:styleId="580">
    <w:name w:val="正文文本 3 字符"/>
    <w:link w:val="21"/>
    <w:qFormat/>
    <w:uiPriority w:val="0"/>
    <w:rPr>
      <w:kern w:val="2"/>
      <w:sz w:val="21"/>
    </w:rPr>
  </w:style>
  <w:style w:type="character" w:customStyle="1" w:styleId="581">
    <w:name w:val="message1"/>
    <w:qFormat/>
    <w:uiPriority w:val="0"/>
    <w:rPr>
      <w:rFonts w:hint="default" w:ascii="Tahoma" w:hAnsi="Tahoma" w:cs="Tahoma"/>
      <w:sz w:val="18"/>
      <w:szCs w:val="18"/>
    </w:rPr>
  </w:style>
  <w:style w:type="character" w:customStyle="1" w:styleId="582">
    <w:name w:val="DO_NOT_TRANSLATE"/>
    <w:qFormat/>
    <w:uiPriority w:val="0"/>
    <w:rPr>
      <w:rFonts w:ascii="Courier New" w:hAnsi="Courier New" w:cs="Courier New"/>
      <w:color w:val="800000"/>
    </w:rPr>
  </w:style>
  <w:style w:type="character" w:customStyle="1" w:styleId="583">
    <w:name w:val="unnamed11"/>
    <w:qFormat/>
    <w:uiPriority w:val="0"/>
    <w:rPr>
      <w:sz w:val="20"/>
      <w:szCs w:val="20"/>
    </w:rPr>
  </w:style>
  <w:style w:type="character" w:customStyle="1" w:styleId="584">
    <w:name w:val="tw4winInternal"/>
    <w:qFormat/>
    <w:uiPriority w:val="0"/>
    <w:rPr>
      <w:rFonts w:ascii="Courier New" w:hAnsi="Courier New" w:cs="Courier New"/>
      <w:color w:val="FF0000"/>
    </w:rPr>
  </w:style>
  <w:style w:type="character" w:customStyle="1" w:styleId="585">
    <w:name w:val="正文（缩进2汉字） Char"/>
    <w:link w:val="325"/>
    <w:qFormat/>
    <w:uiPriority w:val="0"/>
    <w:rPr>
      <w:rFonts w:ascii="宋体"/>
    </w:rPr>
  </w:style>
  <w:style w:type="character" w:customStyle="1" w:styleId="586">
    <w:name w:val="页脚 Char"/>
    <w:qFormat/>
    <w:uiPriority w:val="0"/>
    <w:rPr>
      <w:rFonts w:eastAsia="仿宋_GB2312"/>
      <w:kern w:val="2"/>
      <w:sz w:val="18"/>
      <w:lang w:val="en-US" w:eastAsia="zh-CN"/>
    </w:rPr>
  </w:style>
  <w:style w:type="character" w:customStyle="1" w:styleId="587">
    <w:name w:val="正文文本缩进 3 字符"/>
    <w:link w:val="51"/>
    <w:qFormat/>
    <w:uiPriority w:val="0"/>
    <w:rPr>
      <w:kern w:val="2"/>
      <w:sz w:val="24"/>
    </w:rPr>
  </w:style>
  <w:style w:type="character" w:customStyle="1" w:styleId="588">
    <w:name w:val="正文缩进 Char1"/>
    <w:qFormat/>
    <w:uiPriority w:val="0"/>
    <w:rPr>
      <w:rFonts w:ascii="宋体" w:eastAsia="宋体"/>
      <w:snapToGrid w:val="0"/>
      <w:color w:val="000000"/>
      <w:kern w:val="28"/>
      <w:sz w:val="28"/>
      <w:lang w:val="en-US" w:eastAsia="zh-CN" w:bidi="ar-SA"/>
    </w:rPr>
  </w:style>
  <w:style w:type="character" w:customStyle="1" w:styleId="589">
    <w:name w:val="style36"/>
    <w:basedOn w:val="62"/>
    <w:qFormat/>
    <w:uiPriority w:val="0"/>
  </w:style>
  <w:style w:type="character" w:customStyle="1" w:styleId="590">
    <w:name w:val="hui3"/>
    <w:qFormat/>
    <w:uiPriority w:val="0"/>
    <w:rPr>
      <w:color w:val="333333"/>
    </w:rPr>
  </w:style>
  <w:style w:type="character" w:customStyle="1" w:styleId="591">
    <w:name w:val="apple-converted-space"/>
    <w:qFormat/>
    <w:uiPriority w:val="0"/>
  </w:style>
  <w:style w:type="character" w:customStyle="1" w:styleId="592">
    <w:name w:val="文档结构图 Char"/>
    <w:qFormat/>
    <w:uiPriority w:val="0"/>
    <w:rPr>
      <w:rFonts w:eastAsia="宋体"/>
      <w:kern w:val="2"/>
      <w:sz w:val="21"/>
      <w:szCs w:val="24"/>
      <w:lang w:val="en-US" w:eastAsia="zh-CN" w:bidi="ar-SA"/>
    </w:rPr>
  </w:style>
  <w:style w:type="character" w:customStyle="1" w:styleId="593">
    <w:name w:val="正文非缩进 Char3"/>
    <w:qFormat/>
    <w:uiPriority w:val="0"/>
    <w:rPr>
      <w:rFonts w:ascii="宋体" w:eastAsia="宋体"/>
      <w:snapToGrid w:val="0"/>
      <w:color w:val="000000"/>
      <w:kern w:val="28"/>
      <w:sz w:val="28"/>
      <w:lang w:val="en-US" w:eastAsia="zh-CN" w:bidi="ar-SA"/>
    </w:rPr>
  </w:style>
  <w:style w:type="character" w:customStyle="1" w:styleId="594">
    <w:name w:val="dectext1"/>
    <w:qFormat/>
    <w:uiPriority w:val="0"/>
    <w:rPr>
      <w:rFonts w:ascii="宋体" w:hAnsi="宋体" w:eastAsia="宋体"/>
      <w:color w:val="333333"/>
      <w:sz w:val="21"/>
      <w:szCs w:val="21"/>
      <w:u w:val="none"/>
    </w:rPr>
  </w:style>
  <w:style w:type="character" w:customStyle="1" w:styleId="595">
    <w:name w:val="副标题 Char1"/>
    <w:qFormat/>
    <w:uiPriority w:val="0"/>
    <w:rPr>
      <w:rFonts w:ascii="Cambria" w:hAnsi="Cambria" w:eastAsia="宋体" w:cs="Times New Roman"/>
      <w:b/>
      <w:bCs/>
      <w:snapToGrid w:val="0"/>
      <w:kern w:val="28"/>
      <w:sz w:val="32"/>
      <w:szCs w:val="32"/>
    </w:rPr>
  </w:style>
  <w:style w:type="character" w:customStyle="1" w:styleId="596">
    <w:name w:val="f141"/>
    <w:qFormat/>
    <w:uiPriority w:val="0"/>
    <w:rPr>
      <w:rFonts w:ascii="Tahoma" w:hAnsi="Tahoma" w:eastAsia="宋体"/>
      <w:b/>
      <w:kern w:val="2"/>
      <w:sz w:val="21"/>
      <w:szCs w:val="21"/>
      <w:lang w:val="en-US" w:eastAsia="zh-CN" w:bidi="ar-SA"/>
    </w:rPr>
  </w:style>
  <w:style w:type="character" w:customStyle="1" w:styleId="597">
    <w:name w:val="日期 字符"/>
    <w:link w:val="35"/>
    <w:qFormat/>
    <w:uiPriority w:val="0"/>
    <w:rPr>
      <w:rFonts w:ascii="宋体"/>
      <w:kern w:val="2"/>
      <w:sz w:val="24"/>
      <w:szCs w:val="21"/>
      <w:lang w:val="zh-CN"/>
    </w:rPr>
  </w:style>
  <w:style w:type="character" w:customStyle="1" w:styleId="598">
    <w:name w:val="标题 4 Char"/>
    <w:qFormat/>
    <w:uiPriority w:val="0"/>
    <w:rPr>
      <w:rFonts w:ascii="Arial" w:hAnsi="Arial" w:eastAsia="黑体"/>
      <w:b/>
      <w:bCs/>
      <w:kern w:val="2"/>
      <w:sz w:val="28"/>
      <w:szCs w:val="28"/>
      <w:lang w:val="zh-CN"/>
    </w:rPr>
  </w:style>
  <w:style w:type="character" w:customStyle="1" w:styleId="599">
    <w:name w:val="链接"/>
    <w:qFormat/>
    <w:uiPriority w:val="0"/>
    <w:rPr>
      <w:color w:val="0000FF"/>
      <w:sz w:val="21"/>
      <w:szCs w:val="21"/>
      <w:u w:val="single"/>
    </w:rPr>
  </w:style>
  <w:style w:type="character" w:customStyle="1" w:styleId="600">
    <w:name w:val="正文首行缩进 Char Char Char Char Char Char"/>
    <w:qFormat/>
    <w:uiPriority w:val="0"/>
    <w:rPr>
      <w:rFonts w:ascii="宋体" w:eastAsia="宋体"/>
      <w:kern w:val="2"/>
      <w:sz w:val="24"/>
      <w:lang w:val="zh-CN" w:bidi="ar-SA"/>
    </w:rPr>
  </w:style>
  <w:style w:type="character" w:customStyle="1" w:styleId="601">
    <w:name w:val="tw4winError"/>
    <w:qFormat/>
    <w:uiPriority w:val="0"/>
    <w:rPr>
      <w:rFonts w:ascii="Courier New" w:hAnsi="Courier New" w:cs="Courier New"/>
      <w:color w:val="00FF00"/>
      <w:sz w:val="40"/>
      <w:szCs w:val="40"/>
    </w:rPr>
  </w:style>
  <w:style w:type="character" w:customStyle="1" w:styleId="602">
    <w:name w:val="Used by Word for text of Help footnotes Char Char"/>
    <w:semiHidden/>
    <w:qFormat/>
    <w:uiPriority w:val="0"/>
    <w:rPr>
      <w:rFonts w:ascii="Times New Roman" w:hAnsi="Times New Roman" w:eastAsia="宋体" w:cs="Times New Roman"/>
      <w:sz w:val="20"/>
      <w:szCs w:val="20"/>
    </w:rPr>
  </w:style>
  <w:style w:type="character" w:customStyle="1" w:styleId="603">
    <w:name w:val="Char Char31"/>
    <w:semiHidden/>
    <w:qFormat/>
    <w:uiPriority w:val="0"/>
    <w:rPr>
      <w:rFonts w:ascii="Times New Roman" w:hAnsi="Times New Roman" w:eastAsia="宋体" w:cs="Times New Roman"/>
      <w:b/>
      <w:kern w:val="2"/>
      <w:sz w:val="32"/>
      <w:szCs w:val="24"/>
      <w:lang w:val="en-US" w:eastAsia="zh-CN" w:bidi="ar-SA"/>
    </w:rPr>
  </w:style>
  <w:style w:type="character" w:customStyle="1" w:styleId="604">
    <w:name w:val="表正文 Char"/>
    <w:qFormat/>
    <w:uiPriority w:val="0"/>
    <w:rPr>
      <w:rFonts w:ascii="宋体" w:eastAsia="宋体"/>
      <w:snapToGrid w:val="0"/>
      <w:color w:val="000000"/>
      <w:kern w:val="28"/>
      <w:sz w:val="28"/>
      <w:lang w:val="en-US" w:eastAsia="zh-CN" w:bidi="ar-SA"/>
    </w:rPr>
  </w:style>
  <w:style w:type="character" w:customStyle="1" w:styleId="605">
    <w:name w:val="普通文字 Char1 Char"/>
    <w:qFormat/>
    <w:uiPriority w:val="0"/>
    <w:rPr>
      <w:rFonts w:ascii="宋体" w:hAnsi="Courier New" w:eastAsia="宋体"/>
      <w:kern w:val="2"/>
      <w:sz w:val="21"/>
      <w:szCs w:val="24"/>
      <w:lang w:val="en-US" w:eastAsia="zh-CN" w:bidi="ar-SA"/>
    </w:rPr>
  </w:style>
  <w:style w:type="character" w:customStyle="1" w:styleId="606">
    <w:name w:val="pt9"/>
    <w:qFormat/>
    <w:uiPriority w:val="0"/>
    <w:rPr>
      <w:rFonts w:ascii="仿宋_GB2312" w:eastAsia="微软雅黑"/>
      <w:b/>
      <w:kern w:val="2"/>
      <w:sz w:val="32"/>
      <w:szCs w:val="32"/>
      <w:lang w:val="en-US" w:eastAsia="zh-CN" w:bidi="ar-SA"/>
    </w:rPr>
  </w:style>
  <w:style w:type="character" w:customStyle="1" w:styleId="607">
    <w:name w:val="large1"/>
    <w:qFormat/>
    <w:uiPriority w:val="0"/>
    <w:rPr>
      <w:rFonts w:hint="eastAsia" w:ascii="宋体" w:hAnsi="宋体" w:eastAsia="宋体"/>
      <w:sz w:val="21"/>
      <w:szCs w:val="21"/>
    </w:rPr>
  </w:style>
  <w:style w:type="character" w:customStyle="1" w:styleId="608">
    <w:name w:val="样式 样式 标题 4h4H4Fab-4T5Ref Heading 1rh1Heading sqlsect 1.2.3.... +... Char"/>
    <w:link w:val="169"/>
    <w:qFormat/>
    <w:uiPriority w:val="0"/>
    <w:rPr>
      <w:rFonts w:ascii="微软雅黑" w:hAnsi="微软雅黑" w:eastAsia="微软雅黑"/>
      <w:b/>
      <w:bCs/>
      <w:kern w:val="2"/>
      <w:sz w:val="24"/>
      <w:szCs w:val="28"/>
    </w:rPr>
  </w:style>
  <w:style w:type="character" w:customStyle="1" w:styleId="609">
    <w:name w:val="标题 4 Char1"/>
    <w:semiHidden/>
    <w:qFormat/>
    <w:uiPriority w:val="9"/>
    <w:rPr>
      <w:rFonts w:ascii="Cambria" w:hAnsi="Cambria" w:eastAsia="宋体" w:cs="Times New Roman"/>
      <w:b/>
      <w:bCs/>
      <w:kern w:val="2"/>
      <w:sz w:val="28"/>
      <w:szCs w:val="28"/>
    </w:rPr>
  </w:style>
  <w:style w:type="character" w:customStyle="1" w:styleId="610">
    <w:name w:val="tw4winPopup"/>
    <w:qFormat/>
    <w:uiPriority w:val="0"/>
    <w:rPr>
      <w:rFonts w:ascii="Courier New" w:hAnsi="Courier New" w:cs="Courier New"/>
      <w:color w:val="008000"/>
    </w:rPr>
  </w:style>
  <w:style w:type="character" w:customStyle="1" w:styleId="611">
    <w:name w:val="标题 6 字符"/>
    <w:link w:val="7"/>
    <w:qFormat/>
    <w:uiPriority w:val="0"/>
    <w:rPr>
      <w:rFonts w:ascii="Arial" w:hAnsi="Arial" w:eastAsia="黑体"/>
      <w:b/>
      <w:bCs/>
      <w:kern w:val="2"/>
      <w:sz w:val="24"/>
      <w:szCs w:val="24"/>
    </w:rPr>
  </w:style>
  <w:style w:type="character" w:customStyle="1" w:styleId="612">
    <w:name w:val="正文缩进 字符"/>
    <w:link w:val="15"/>
    <w:qFormat/>
    <w:uiPriority w:val="0"/>
    <w:rPr>
      <w:rFonts w:ascii="宋体" w:eastAsia="宋体"/>
      <w:snapToGrid w:val="0"/>
      <w:color w:val="000000"/>
      <w:kern w:val="28"/>
      <w:sz w:val="28"/>
      <w:lang w:val="en-US" w:eastAsia="zh-CN" w:bidi="ar-SA"/>
    </w:rPr>
  </w:style>
  <w:style w:type="character" w:customStyle="1" w:styleId="613">
    <w:name w:val="批注文字 Char1"/>
    <w:qFormat/>
    <w:uiPriority w:val="0"/>
    <w:rPr>
      <w:kern w:val="2"/>
      <w:sz w:val="21"/>
      <w:szCs w:val="24"/>
    </w:rPr>
  </w:style>
  <w:style w:type="character" w:customStyle="1" w:styleId="614">
    <w:name w:val="批注框文本 字符"/>
    <w:link w:val="37"/>
    <w:semiHidden/>
    <w:qFormat/>
    <w:uiPriority w:val="0"/>
    <w:rPr>
      <w:kern w:val="2"/>
      <w:sz w:val="18"/>
      <w:szCs w:val="18"/>
    </w:rPr>
  </w:style>
  <w:style w:type="character" w:customStyle="1" w:styleId="615">
    <w:name w:val="Footer Char"/>
    <w:qFormat/>
    <w:locked/>
    <w:uiPriority w:val="0"/>
    <w:rPr>
      <w:rFonts w:eastAsia="宋体"/>
      <w:kern w:val="2"/>
      <w:sz w:val="18"/>
      <w:lang w:val="en-US" w:eastAsia="zh-CN" w:bidi="ar-SA"/>
    </w:rPr>
  </w:style>
  <w:style w:type="paragraph" w:customStyle="1" w:styleId="616">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17">
    <w:name w:val="索引 11"/>
    <w:basedOn w:val="1"/>
    <w:next w:val="1"/>
    <w:qFormat/>
    <w:uiPriority w:val="0"/>
    <w:pPr>
      <w:adjustRightInd/>
      <w:spacing w:line="360" w:lineRule="auto"/>
    </w:pPr>
    <w:rPr>
      <w:rFonts w:ascii="仿宋_GB2312" w:eastAsia="仿宋_GB2312"/>
      <w:sz w:val="24"/>
      <w:szCs w:val="20"/>
    </w:rPr>
  </w:style>
  <w:style w:type="paragraph" w:customStyle="1" w:styleId="618">
    <w:name w:val="Char Char28"/>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619">
    <w:name w:val="纯文本_0_0"/>
    <w:basedOn w:val="1"/>
    <w:link w:val="620"/>
    <w:qFormat/>
    <w:uiPriority w:val="0"/>
    <w:pPr>
      <w:adjustRightInd/>
    </w:pPr>
    <w:rPr>
      <w:rFonts w:ascii="宋体" w:hAnsi="Courier New"/>
      <w:szCs w:val="21"/>
    </w:rPr>
  </w:style>
  <w:style w:type="character" w:customStyle="1" w:styleId="620">
    <w:name w:val="纯文本 Char_0"/>
    <w:link w:val="619"/>
    <w:qFormat/>
    <w:uiPriority w:val="0"/>
    <w:rPr>
      <w:rFonts w:ascii="宋体" w:hAnsi="Courier New"/>
      <w:kern w:val="2"/>
      <w:sz w:val="21"/>
      <w:szCs w:val="21"/>
      <w:lang w:val="en-US" w:eastAsia="zh-CN"/>
    </w:rPr>
  </w:style>
  <w:style w:type="character" w:customStyle="1" w:styleId="621">
    <w:name w:val="纯文本 Char1"/>
    <w:link w:val="622"/>
    <w:qFormat/>
    <w:uiPriority w:val="0"/>
    <w:rPr>
      <w:rFonts w:ascii="宋体" w:hAnsi="Courier New"/>
    </w:rPr>
  </w:style>
  <w:style w:type="paragraph" w:customStyle="1" w:styleId="622">
    <w:name w:val="纯文本1"/>
    <w:basedOn w:val="1"/>
    <w:link w:val="621"/>
    <w:qFormat/>
    <w:uiPriority w:val="0"/>
    <w:pPr>
      <w:adjustRightInd/>
    </w:pPr>
    <w:rPr>
      <w:rFonts w:ascii="宋体" w:hAnsi="Courier New"/>
      <w:kern w:val="0"/>
      <w:sz w:val="20"/>
      <w:szCs w:val="20"/>
    </w:rPr>
  </w:style>
  <w:style w:type="paragraph" w:customStyle="1" w:styleId="623">
    <w:name w:val="Char Char Char Char Char Char Char2"/>
    <w:basedOn w:val="1"/>
    <w:qFormat/>
    <w:uiPriority w:val="0"/>
    <w:rPr>
      <w:rFonts w:ascii="仿宋_GB2312" w:eastAsia="仿宋_GB2312"/>
      <w:b/>
      <w:sz w:val="32"/>
      <w:szCs w:val="32"/>
    </w:rPr>
  </w:style>
  <w:style w:type="paragraph" w:customStyle="1" w:styleId="624">
    <w:name w:val="Char Char1 Char Char Char Char Char Char2"/>
    <w:basedOn w:val="1"/>
    <w:qFormat/>
    <w:uiPriority w:val="0"/>
    <w:rPr>
      <w:rFonts w:ascii="仿宋_GB2312" w:eastAsia="仿宋_GB2312"/>
      <w:b/>
      <w:sz w:val="32"/>
      <w:szCs w:val="20"/>
    </w:rPr>
  </w:style>
  <w:style w:type="paragraph" w:customStyle="1" w:styleId="62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626">
    <w:name w:val="Default Char"/>
    <w:link w:val="98"/>
    <w:qFormat/>
    <w:uiPriority w:val="0"/>
    <w:rPr>
      <w:rFonts w:ascii="仿宋_GB2312" w:eastAsia="仿宋_GB2312" w:cs="仿宋_GB2312"/>
      <w:color w:val="000000"/>
      <w:sz w:val="24"/>
      <w:szCs w:val="24"/>
    </w:rPr>
  </w:style>
  <w:style w:type="character" w:customStyle="1" w:styleId="627">
    <w:name w:val="font61"/>
    <w:basedOn w:val="62"/>
    <w:qFormat/>
    <w:uiPriority w:val="0"/>
    <w:rPr>
      <w:rFonts w:hint="eastAsia" w:ascii="仿宋" w:hAnsi="仿宋" w:eastAsia="仿宋" w:cs="仿宋"/>
      <w:snapToGrid w:val="0"/>
      <w:color w:val="000000"/>
      <w:kern w:val="0"/>
      <w:sz w:val="20"/>
      <w:szCs w:val="20"/>
      <w:u w:val="none"/>
    </w:rPr>
  </w:style>
  <w:style w:type="character" w:customStyle="1" w:styleId="628">
    <w:name w:val="font11"/>
    <w:basedOn w:val="62"/>
    <w:qFormat/>
    <w:uiPriority w:val="0"/>
    <w:rPr>
      <w:rFonts w:hint="default" w:ascii="Times New Roman" w:hAnsi="Times New Roman" w:eastAsia="黑体" w:cs="Times New Roman"/>
      <w:snapToGrid w:val="0"/>
      <w:color w:val="000000"/>
      <w:kern w:val="0"/>
      <w:sz w:val="22"/>
      <w:szCs w:val="22"/>
      <w:u w:val="none"/>
    </w:rPr>
  </w:style>
  <w:style w:type="character" w:customStyle="1" w:styleId="629">
    <w:name w:val="标题 2 字符"/>
    <w:link w:val="3"/>
    <w:qFormat/>
    <w:uiPriority w:val="9"/>
    <w:rPr>
      <w:rFonts w:ascii="仿宋_GB2312" w:hAnsi="仿宋" w:eastAsia="仿宋_GB2312"/>
      <w:b/>
      <w:bCs/>
      <w:sz w:val="32"/>
      <w:szCs w:val="32"/>
      <w:lang w:val="zh-CN"/>
    </w:rPr>
  </w:style>
  <w:style w:type="character" w:customStyle="1" w:styleId="630">
    <w:name w:val="标题 3 字符"/>
    <w:link w:val="4"/>
    <w:qFormat/>
    <w:uiPriority w:val="0"/>
    <w:rPr>
      <w:b/>
      <w:bCs/>
      <w:sz w:val="32"/>
      <w:szCs w:val="32"/>
    </w:rPr>
  </w:style>
  <w:style w:type="paragraph" w:customStyle="1" w:styleId="631">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63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33">
    <w:name w:val="正文文本缩进 字符"/>
    <w:basedOn w:val="62"/>
    <w:link w:val="23"/>
    <w:qFormat/>
    <w:uiPriority w:val="0"/>
    <w:rPr>
      <w:snapToGrid/>
      <w:sz w:val="21"/>
    </w:rPr>
  </w:style>
  <w:style w:type="character" w:customStyle="1" w:styleId="634">
    <w:name w:val="标题 4 字符"/>
    <w:basedOn w:val="62"/>
    <w:link w:val="5"/>
    <w:qFormat/>
    <w:uiPriority w:val="0"/>
    <w:rPr>
      <w:rFonts w:ascii="等线 Light" w:hAnsi="等线 Light" w:eastAsia="等线 Light" w:cs="Times New Roman"/>
      <w:b/>
      <w:bCs/>
      <w:snapToGrid/>
      <w:sz w:val="28"/>
      <w:szCs w:val="28"/>
    </w:rPr>
  </w:style>
  <w:style w:type="character" w:customStyle="1" w:styleId="635">
    <w:name w:val="正文文本 字符"/>
    <w:basedOn w:val="62"/>
    <w:link w:val="22"/>
    <w:qFormat/>
    <w:uiPriority w:val="0"/>
    <w:rPr>
      <w:rFonts w:hint="eastAsia" w:ascii="宋体" w:hAnsi="宋体" w:eastAsia="宋体" w:cs="宋体"/>
      <w:bCs/>
      <w:kern w:val="2"/>
      <w:sz w:val="28"/>
    </w:rPr>
  </w:style>
  <w:style w:type="character" w:customStyle="1" w:styleId="636">
    <w:name w:val="标题 1 字符"/>
    <w:basedOn w:val="62"/>
    <w:link w:val="2"/>
    <w:qFormat/>
    <w:uiPriority w:val="0"/>
    <w:rPr>
      <w:rFonts w:hint="default" w:ascii="Times New Roman" w:hAnsi="Times New Roman" w:eastAsia="宋体" w:cs="Times New Roman"/>
      <w:b/>
      <w:bCs/>
      <w:snapToGrid/>
      <w:kern w:val="44"/>
      <w:sz w:val="44"/>
      <w:szCs w:val="44"/>
    </w:rPr>
  </w:style>
  <w:style w:type="character" w:customStyle="1" w:styleId="637">
    <w:name w:val="批注文字 字符"/>
    <w:basedOn w:val="62"/>
    <w:link w:val="19"/>
    <w:qFormat/>
    <w:uiPriority w:val="99"/>
    <w:rPr>
      <w:kern w:val="2"/>
      <w:sz w:val="21"/>
    </w:rPr>
  </w:style>
  <w:style w:type="character" w:customStyle="1" w:styleId="638">
    <w:name w:val="htd01"/>
    <w:qFormat/>
    <w:uiPriority w:val="0"/>
    <w:rPr>
      <w:spacing w:val="240"/>
    </w:rPr>
  </w:style>
  <w:style w:type="paragraph" w:customStyle="1" w:styleId="639">
    <w:name w:val="内文正文"/>
    <w:basedOn w:val="32"/>
    <w:qFormat/>
    <w:uiPriority w:val="0"/>
    <w:pPr>
      <w:adjustRightInd w:val="0"/>
      <w:snapToGrid w:val="0"/>
      <w:spacing w:line="400" w:lineRule="exact"/>
      <w:ind w:firstLine="200" w:firstLineChars="200"/>
    </w:pPr>
    <w:rPr>
      <w:rFonts w:ascii="Arial" w:hAnsi="Arial" w:cs="Courier New"/>
      <w:color w:val="000000"/>
      <w:szCs w:val="21"/>
    </w:rPr>
  </w:style>
  <w:style w:type="paragraph" w:customStyle="1" w:styleId="640">
    <w:name w:val="*正文"/>
    <w:basedOn w:val="1"/>
    <w:qFormat/>
    <w:uiPriority w:val="0"/>
    <w:pPr>
      <w:spacing w:line="360" w:lineRule="auto"/>
      <w:jc w:val="center"/>
    </w:pPr>
    <w:rPr>
      <w:rFonts w:ascii="宋体" w:hAnsi="宋体"/>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extobjs>
    <extobj name="ECB019B1-382A-4266-B25C-5B523AA43C14-1">
      <extobjdata type="ECB019B1-382A-4266-B25C-5B523AA43C14" data="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杭州市国内经济合作办公室</Company>
  <Pages>132</Pages>
  <Words>8311</Words>
  <Characters>9030</Characters>
  <Lines>1</Lines>
  <Paragraphs>1</Paragraphs>
  <TotalTime>15</TotalTime>
  <ScaleCrop>false</ScaleCrop>
  <LinksUpToDate>false</LinksUpToDate>
  <CharactersWithSpaces>9424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2023-10-15T01:57:00Z</dcterms:created>
  <dc:creator>玥</dc:creator>
  <cp:lastModifiedBy>Tccccc</cp:lastModifiedBy>
  <cp:lastPrinted>2022-01-13T08:15:00Z</cp:lastPrinted>
  <dcterms:modified xsi:type="dcterms:W3CDTF">2024-12-20T07:56:32Z</dcterms:modified>
  <dc:title>杭州市市民卡扩大发卡工程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B3023843F2574EEFBF1B0D2740ED170A_13</vt:lpwstr>
  </property>
</Properties>
</file>