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cs="宋体"/>
          <w:b/>
          <w:color w:val="000000" w:themeColor="text1"/>
          <w:sz w:val="24"/>
          <w14:textFill>
            <w14:solidFill>
              <w14:schemeClr w14:val="tx1"/>
            </w14:solidFill>
          </w14:textFill>
        </w:rPr>
      </w:pPr>
    </w:p>
    <w:p>
      <w:pPr>
        <w:spacing w:line="288" w:lineRule="auto"/>
        <w:jc w:val="center"/>
        <w:rPr>
          <w:rFonts w:hint="eastAsia" w:ascii="宋体" w:hAnsi="宋体" w:cs="宋体"/>
          <w:b/>
          <w:color w:val="000000" w:themeColor="text1"/>
          <w:sz w:val="24"/>
          <w14:textFill>
            <w14:solidFill>
              <w14:schemeClr w14:val="tx1"/>
            </w14:solidFill>
          </w14:textFill>
        </w:rPr>
      </w:pPr>
    </w:p>
    <w:p>
      <w:pPr>
        <w:adjustRightInd/>
        <w:spacing w:line="288" w:lineRule="auto"/>
        <w:jc w:val="center"/>
        <w:rPr>
          <w:rFonts w:hint="eastAsia" w:ascii="宋体" w:hAnsi="宋体" w:cs="宋体"/>
          <w:b/>
          <w:color w:val="000000" w:themeColor="text1"/>
          <w:sz w:val="44"/>
          <w:szCs w:val="44"/>
          <w14:textFill>
            <w14:solidFill>
              <w14:schemeClr w14:val="tx1"/>
            </w14:solidFill>
          </w14:textFill>
        </w:rPr>
      </w:pPr>
    </w:p>
    <w:p>
      <w:pPr>
        <w:spacing w:line="288" w:lineRule="auto"/>
        <w:jc w:val="center"/>
        <w:rPr>
          <w:rFonts w:hint="eastAsia" w:ascii="宋体" w:hAnsi="宋体" w:cs="宋体"/>
          <w:b/>
          <w:color w:val="000000" w:themeColor="text1"/>
          <w:sz w:val="44"/>
          <w:szCs w:val="44"/>
          <w14:textFill>
            <w14:solidFill>
              <w14:schemeClr w14:val="tx1"/>
            </w14:solidFill>
          </w14:textFill>
        </w:rPr>
      </w:pPr>
    </w:p>
    <w:p>
      <w:pPr>
        <w:adjustRightInd/>
        <w:spacing w:line="288" w:lineRule="auto"/>
        <w:jc w:val="center"/>
        <w:rPr>
          <w:rFonts w:hint="eastAsia" w:ascii="宋体" w:hAnsi="宋体" w:cs="宋体"/>
          <w:b/>
          <w:color w:val="000000" w:themeColor="text1"/>
          <w:sz w:val="48"/>
          <w:szCs w:val="48"/>
          <w14:textFill>
            <w14:solidFill>
              <w14:schemeClr w14:val="tx1"/>
            </w14:solidFill>
          </w14:textFill>
        </w:rPr>
      </w:pPr>
    </w:p>
    <w:p>
      <w:pPr>
        <w:adjustRightInd/>
        <w:spacing w:line="288" w:lineRule="auto"/>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机器人导航经颅磁刺激系统</w:t>
      </w:r>
    </w:p>
    <w:p>
      <w:pPr>
        <w:adjustRightInd/>
        <w:spacing w:line="288" w:lineRule="auto"/>
        <w:jc w:val="center"/>
        <w:rPr>
          <w:rFonts w:hint="eastAsia" w:ascii="宋体" w:hAnsi="宋体" w:cs="宋体"/>
          <w:color w:val="000000" w:themeColor="text1"/>
          <w:sz w:val="48"/>
          <w:szCs w:val="48"/>
          <w14:textFill>
            <w14:solidFill>
              <w14:schemeClr w14:val="tx1"/>
            </w14:solidFill>
          </w14:textFill>
        </w:rPr>
      </w:pPr>
    </w:p>
    <w:p>
      <w:pPr>
        <w:adjustRightInd/>
        <w:spacing w:line="288" w:lineRule="auto"/>
        <w:jc w:val="center"/>
        <w:rPr>
          <w:rFonts w:hint="eastAsia" w:ascii="宋体" w:hAnsi="宋体" w:cs="宋体"/>
          <w:color w:val="000000" w:themeColor="text1"/>
          <w:sz w:val="48"/>
          <w:szCs w:val="48"/>
          <w14:textFill>
            <w14:solidFill>
              <w14:schemeClr w14:val="tx1"/>
            </w14:solidFill>
          </w14:textFill>
        </w:rPr>
      </w:pPr>
    </w:p>
    <w:p>
      <w:pPr>
        <w:adjustRightInd/>
        <w:spacing w:line="288" w:lineRule="auto"/>
        <w:jc w:val="center"/>
        <w:rPr>
          <w:rFonts w:hint="eastAsia" w:ascii="宋体" w:hAnsi="宋体" w:cs="宋体"/>
          <w:color w:val="000000" w:themeColor="text1"/>
          <w:sz w:val="48"/>
          <w:szCs w:val="48"/>
          <w14:textFill>
            <w14:solidFill>
              <w14:schemeClr w14:val="tx1"/>
            </w14:solidFill>
          </w14:textFill>
        </w:rPr>
      </w:pPr>
    </w:p>
    <w:p>
      <w:pPr>
        <w:adjustRightInd/>
        <w:spacing w:line="288" w:lineRule="auto"/>
        <w:jc w:val="center"/>
        <w:rPr>
          <w:rFonts w:hint="eastAsia" w:ascii="宋体" w:hAnsi="宋体" w:cs="宋体"/>
          <w:color w:val="000000" w:themeColor="text1"/>
          <w:sz w:val="48"/>
          <w:szCs w:val="48"/>
          <w14:textFill>
            <w14:solidFill>
              <w14:schemeClr w14:val="tx1"/>
            </w14:solidFill>
          </w14:textFill>
        </w:rPr>
      </w:pPr>
    </w:p>
    <w:p>
      <w:pPr>
        <w:adjustRightInd/>
        <w:spacing w:line="288"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r>
        <w:rPr>
          <w:rFonts w:hint="eastAsia" w:ascii="宋体" w:hAnsi="宋体" w:cs="宋体"/>
          <w:b/>
          <w:color w:val="000000" w:themeColor="text1"/>
          <w:sz w:val="44"/>
          <w:szCs w:val="44"/>
          <w14:textFill>
            <w14:solidFill>
              <w14:schemeClr w14:val="tx1"/>
            </w14:solidFill>
          </w14:textFill>
        </w:rPr>
        <w:t xml:space="preserve"> </w:t>
      </w:r>
    </w:p>
    <w:p>
      <w:pPr>
        <w:adjustRightInd/>
        <w:spacing w:line="288"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（电子招投标）</w:t>
      </w:r>
    </w:p>
    <w:p>
      <w:pPr>
        <w:snapToGrid w:val="0"/>
        <w:spacing w:line="288"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HZNU-2024440</w:t>
      </w:r>
    </w:p>
    <w:p>
      <w:pPr>
        <w:adjustRightInd/>
        <w:spacing w:line="288" w:lineRule="auto"/>
        <w:rPr>
          <w:rFonts w:hint="eastAsia" w:ascii="宋体" w:hAnsi="宋体" w:cs="宋体"/>
          <w:color w:val="000000" w:themeColor="text1"/>
          <w:sz w:val="28"/>
          <w:szCs w:val="20"/>
          <w14:textFill>
            <w14:solidFill>
              <w14:schemeClr w14:val="tx1"/>
            </w14:solidFill>
          </w14:textFill>
        </w:rPr>
      </w:pPr>
    </w:p>
    <w:p>
      <w:pPr>
        <w:spacing w:line="288"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288" w:lineRule="auto"/>
        <w:jc w:val="center"/>
        <w:rPr>
          <w:rFonts w:hint="eastAsia" w:ascii="宋体" w:hAnsi="宋体" w:cs="宋体"/>
          <w:b/>
          <w:color w:val="000000" w:themeColor="text1"/>
          <w:sz w:val="44"/>
          <w:szCs w:val="44"/>
          <w14:textFill>
            <w14:solidFill>
              <w14:schemeClr w14:val="tx1"/>
            </w14:solidFill>
          </w14:textFill>
        </w:rPr>
      </w:pPr>
    </w:p>
    <w:p>
      <w:pPr>
        <w:spacing w:line="288" w:lineRule="auto"/>
        <w:jc w:val="center"/>
        <w:rPr>
          <w:rFonts w:hint="eastAsia" w:ascii="宋体" w:hAnsi="宋体" w:cs="宋体"/>
          <w:color w:val="000000" w:themeColor="text1"/>
          <w:sz w:val="24"/>
          <w14:textFill>
            <w14:solidFill>
              <w14:schemeClr w14:val="tx1"/>
            </w14:solidFill>
          </w14:textFill>
        </w:rPr>
      </w:pPr>
    </w:p>
    <w:p>
      <w:pPr>
        <w:pStyle w:val="81"/>
        <w:rPr>
          <w:rFonts w:hint="eastAsia" w:ascii="宋体" w:hAnsi="宋体" w:eastAsia="宋体" w:cs="宋体"/>
          <w:color w:val="000000" w:themeColor="text1"/>
          <w14:textFill>
            <w14:solidFill>
              <w14:schemeClr w14:val="tx1"/>
            </w14:solidFill>
          </w14:textFill>
        </w:rPr>
      </w:pPr>
    </w:p>
    <w:p>
      <w:pPr>
        <w:spacing w:line="288" w:lineRule="auto"/>
        <w:jc w:val="center"/>
        <w:rPr>
          <w:rFonts w:hint="eastAsia" w:ascii="宋体" w:hAnsi="宋体" w:cs="宋体"/>
          <w:color w:val="000000" w:themeColor="text1"/>
          <w:sz w:val="24"/>
          <w14:textFill>
            <w14:solidFill>
              <w14:schemeClr w14:val="tx1"/>
            </w14:solidFill>
          </w14:textFill>
        </w:rPr>
      </w:pPr>
    </w:p>
    <w:p>
      <w:pPr>
        <w:spacing w:line="288" w:lineRule="auto"/>
        <w:rPr>
          <w:rFonts w:hint="eastAsia" w:ascii="宋体" w:hAnsi="宋体" w:cs="宋体"/>
          <w:color w:val="000000" w:themeColor="text1"/>
          <w:sz w:val="32"/>
          <w:szCs w:val="32"/>
          <w14:textFill>
            <w14:solidFill>
              <w14:schemeClr w14:val="tx1"/>
            </w14:solidFill>
          </w14:textFill>
        </w:rPr>
      </w:pPr>
    </w:p>
    <w:p>
      <w:pPr>
        <w:snapToGrid w:val="0"/>
        <w:spacing w:line="288" w:lineRule="auto"/>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（杭州师范大学）</w:t>
      </w:r>
    </w:p>
    <w:p>
      <w:pPr>
        <w:spacing w:line="288" w:lineRule="auto"/>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（浙江豪圣建设项目管理有限公司）</w:t>
      </w:r>
    </w:p>
    <w:p>
      <w:pPr>
        <w:snapToGrid w:val="0"/>
        <w:spacing w:line="288" w:lineRule="auto"/>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二〇二四年十</w:t>
      </w:r>
      <w:r>
        <w:rPr>
          <w:rFonts w:hint="eastAsia" w:ascii="宋体" w:hAnsi="宋体" w:cs="宋体"/>
          <w:bCs/>
          <w:color w:val="000000" w:themeColor="text1"/>
          <w:sz w:val="32"/>
          <w:szCs w:val="32"/>
          <w:lang w:val="en-US" w:eastAsia="zh-CN"/>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月</w:t>
      </w:r>
    </w:p>
    <w:p>
      <w:pPr>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pPr>
        <w:spacing w:line="288" w:lineRule="auto"/>
        <w:jc w:val="center"/>
        <w:rPr>
          <w:rFonts w:hint="eastAsia" w:ascii="宋体" w:hAnsi="宋体" w:cs="宋体"/>
          <w:color w:val="000000" w:themeColor="text1"/>
          <w:sz w:val="24"/>
          <w14:textFill>
            <w14:solidFill>
              <w14:schemeClr w14:val="tx1"/>
            </w14:solidFill>
          </w14:textFill>
        </w:rPr>
      </w:pPr>
    </w:p>
    <w:p>
      <w:pPr>
        <w:spacing w:line="288" w:lineRule="auto"/>
        <w:jc w:val="center"/>
        <w:rPr>
          <w:rFonts w:hint="eastAsia"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pPr>
        <w:spacing w:line="288" w:lineRule="auto"/>
        <w:rPr>
          <w:rFonts w:hint="eastAsia" w:ascii="宋体" w:hAnsi="宋体" w:cs="宋体"/>
          <w:color w:val="000000" w:themeColor="text1"/>
          <w:sz w:val="32"/>
          <w:szCs w:val="32"/>
          <w14:textFill>
            <w14:solidFill>
              <w14:schemeClr w14:val="tx1"/>
            </w14:solidFill>
          </w14:textFill>
        </w:rPr>
      </w:pPr>
    </w:p>
    <w:p>
      <w:pPr>
        <w:spacing w:line="288" w:lineRule="auto"/>
        <w:rPr>
          <w:rFonts w:hint="eastAsia" w:ascii="宋体" w:hAnsi="宋体" w:cs="宋体"/>
          <w:color w:val="000000" w:themeColor="text1"/>
          <w:sz w:val="32"/>
          <w:szCs w:val="32"/>
          <w14:textFill>
            <w14:solidFill>
              <w14:schemeClr w14:val="tx1"/>
            </w14:solidFill>
          </w14:textFill>
        </w:rPr>
      </w:pPr>
    </w:p>
    <w:p>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pPr>
        <w:spacing w:line="288" w:lineRule="auto"/>
        <w:ind w:firstLine="549" w:firstLineChars="229"/>
        <w:rPr>
          <w:rFonts w:hint="eastAsia" w:ascii="宋体" w:hAnsi="宋体" w:cs="宋体"/>
          <w:color w:val="000000" w:themeColor="text1"/>
          <w:sz w:val="24"/>
          <w14:textFill>
            <w14:solidFill>
              <w14:schemeClr w14:val="tx1"/>
            </w14:solidFill>
          </w14:textFill>
        </w:rPr>
      </w:pPr>
      <w:bookmarkStart w:id="1" w:name="_Hlt91233176"/>
      <w:bookmarkEnd w:id="1"/>
      <w:bookmarkStart w:id="2" w:name="_Toc91899869"/>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ind w:firstLine="549" w:firstLineChars="229"/>
        <w:rPr>
          <w:rFonts w:hint="eastAsia" w:ascii="宋体" w:hAnsi="宋体" w:cs="宋体"/>
          <w:color w:val="000000" w:themeColor="text1"/>
          <w:sz w:val="24"/>
          <w14:textFill>
            <w14:solidFill>
              <w14:schemeClr w14:val="tx1"/>
            </w14:solidFill>
          </w14:textFill>
        </w:rPr>
      </w:pPr>
    </w:p>
    <w:p>
      <w:pPr>
        <w:spacing w:line="288" w:lineRule="auto"/>
        <w:rPr>
          <w:rFonts w:hint="eastAsia" w:ascii="宋体" w:hAnsi="宋体" w:cs="宋体"/>
          <w:color w:val="000000" w:themeColor="text1"/>
          <w:sz w:val="24"/>
          <w14:textFill>
            <w14:solidFill>
              <w14:schemeClr w14:val="tx1"/>
            </w14:solidFill>
          </w14:textFill>
        </w:rPr>
      </w:pPr>
    </w:p>
    <w:p>
      <w:pPr>
        <w:adjustRightInd/>
        <w:spacing w:line="288" w:lineRule="auto"/>
        <w:jc w:val="center"/>
        <w:outlineLvl w:val="0"/>
        <w:rPr>
          <w:rFonts w:hint="eastAsia" w:ascii="宋体" w:hAnsi="宋体" w:cs="宋体"/>
          <w:b/>
          <w:color w:val="000000" w:themeColor="text1"/>
          <w:szCs w:val="21"/>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Cs w:val="21"/>
          <w14:textFill>
            <w14:solidFill>
              <w14:schemeClr w14:val="tx1"/>
            </w14:solidFill>
          </w14:textFill>
        </w:rPr>
        <w:t>第一部分 招标公告</w:t>
      </w:r>
    </w:p>
    <w:p>
      <w:pPr>
        <w:pBdr>
          <w:top w:val="single" w:color="auto" w:sz="4" w:space="1"/>
          <w:left w:val="single" w:color="auto" w:sz="4" w:space="4"/>
          <w:bottom w:val="single" w:color="auto" w:sz="4" w:space="2"/>
          <w:right w:val="single" w:color="auto" w:sz="4" w:space="4"/>
        </w:pBd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288"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机器人导航经颅磁</w:t>
      </w:r>
      <w:r>
        <w:rPr>
          <w:rFonts w:hint="eastAsia" w:ascii="宋体" w:hAnsi="宋体" w:eastAsia="宋体" w:cs="宋体"/>
          <w:color w:val="000000" w:themeColor="text1"/>
          <w:szCs w:val="21"/>
          <w14:textFill>
            <w14:solidFill>
              <w14:schemeClr w14:val="tx1"/>
            </w14:solidFill>
          </w14:textFill>
        </w:rPr>
        <w:t>刺激系统招标项目的潜在投标人应在政采云平台（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14:textFill>
            <w14:solidFill>
              <w14:schemeClr w14:val="tx1"/>
            </w14:solidFill>
          </w14:textFill>
        </w:rPr>
        <w:fldChar w:fldCharType="separate"/>
      </w:r>
      <w:r>
        <w:rPr>
          <w:rStyle w:val="76"/>
          <w:rFonts w:hint="eastAsia" w:ascii="宋体" w:hAnsi="宋体" w:eastAsia="宋体" w:cs="宋体"/>
          <w:snapToGrid/>
          <w:color w:val="000000" w:themeColor="text1"/>
          <w:kern w:val="2"/>
          <w:sz w:val="21"/>
          <w:szCs w:val="21"/>
          <w14:textFill>
            <w14:solidFill>
              <w14:schemeClr w14:val="tx1"/>
            </w14:solidFill>
          </w14:textFill>
        </w:rPr>
        <w:t>https://www.zcygov.cn/）获取（下载）招标文件，并于2024年</w:t>
      </w:r>
      <w:r>
        <w:rPr>
          <w:rStyle w:val="76"/>
          <w:rFonts w:hint="eastAsia" w:ascii="宋体" w:hAnsi="宋体" w:eastAsia="宋体" w:cs="宋体"/>
          <w:snapToGrid/>
          <w:color w:val="000000" w:themeColor="text1"/>
          <w:kern w:val="2"/>
          <w:sz w:val="21"/>
          <w:szCs w:val="21"/>
          <w:lang w:eastAsia="zh-CN"/>
          <w14:textFill>
            <w14:solidFill>
              <w14:schemeClr w14:val="tx1"/>
            </w14:solidFill>
          </w14:textFill>
        </w:rPr>
        <w:t>11月26日09点30分</w:t>
      </w:r>
      <w:r>
        <w:rPr>
          <w:rStyle w:val="76"/>
          <w:rFonts w:hint="eastAsia" w:ascii="宋体" w:hAnsi="宋体" w:eastAsia="宋体" w:cs="宋体"/>
          <w:bCs/>
          <w:snapToGrid/>
          <w:color w:val="000000" w:themeColor="text1"/>
          <w:kern w:val="2"/>
          <w:sz w:val="21"/>
          <w:szCs w:val="21"/>
          <w14:textFill>
            <w14:solidFill>
              <w14:schemeClr w14:val="tx1"/>
            </w14:solidFill>
          </w14:textFill>
        </w:rPr>
        <w:t>00秒</w:t>
      </w:r>
      <w:r>
        <w:rPr>
          <w:rStyle w:val="76"/>
          <w:rFonts w:hint="eastAsia" w:ascii="宋体" w:hAnsi="宋体" w:eastAsia="宋体" w:cs="宋体"/>
          <w:bCs/>
          <w:snapToGrid/>
          <w:color w:val="000000" w:themeColor="text1"/>
          <w:kern w:val="2"/>
          <w:sz w:val="21"/>
          <w:szCs w:val="21"/>
          <w14:textFill>
            <w14:solidFill>
              <w14:schemeClr w14:val="tx1"/>
            </w14:solidFill>
          </w14:textFill>
        </w:rPr>
        <w:fldChar w:fldCharType="end"/>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北京时间）前</w:t>
      </w:r>
      <w:r>
        <w:rPr>
          <w:rFonts w:hint="eastAsia" w:ascii="宋体" w:hAnsi="宋体" w:cs="宋体"/>
          <w:color w:val="000000" w:themeColor="text1"/>
          <w:szCs w:val="21"/>
          <w14:textFill>
            <w14:solidFill>
              <w14:schemeClr w14:val="tx1"/>
            </w14:solidFill>
          </w14:textFill>
        </w:rPr>
        <w:t>递交（上传）投标文件。</w:t>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一、项目基本情况                                            </w:t>
      </w:r>
    </w:p>
    <w:p>
      <w:pPr>
        <w:spacing w:line="288"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HZNU-2024440</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 xml:space="preserve"> 项目名称：</w:t>
      </w:r>
      <w:r>
        <w:rPr>
          <w:rFonts w:hint="eastAsia" w:ascii="宋体" w:hAnsi="宋体" w:cs="宋体"/>
          <w:color w:val="000000" w:themeColor="text1"/>
          <w:szCs w:val="21"/>
          <w14:textFill>
            <w14:solidFill>
              <w14:schemeClr w14:val="tx1"/>
            </w14:solidFill>
          </w14:textFill>
        </w:rPr>
        <w:t>机器人导航经颅磁刺激系统</w:t>
      </w:r>
    </w:p>
    <w:p>
      <w:pPr>
        <w:spacing w:line="288" w:lineRule="auto"/>
        <w:ind w:firstLine="42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预算金额（元）：3200000</w:t>
      </w:r>
    </w:p>
    <w:p>
      <w:pPr>
        <w:spacing w:line="288"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最高限价（元）：3200000</w:t>
      </w:r>
    </w:p>
    <w:p>
      <w:pPr>
        <w:pStyle w:val="5"/>
        <w:spacing w:line="288" w:lineRule="auto"/>
        <w:ind w:firstLine="422" w:firstLineChars="200"/>
        <w:rPr>
          <w:rFonts w:hint="eastAsia" w:hAnsi="宋体" w:cs="宋体"/>
          <w:bCs/>
          <w:snapToGrid/>
          <w:color w:val="000000" w:themeColor="text1"/>
          <w:kern w:val="2"/>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采购需求：</w:t>
      </w:r>
      <w:r>
        <w:rPr>
          <w:rFonts w:hint="eastAsia" w:hAnsi="宋体" w:cs="宋体"/>
          <w:bCs/>
          <w:snapToGrid/>
          <w:color w:val="000000" w:themeColor="text1"/>
          <w:kern w:val="2"/>
          <w:sz w:val="21"/>
          <w:szCs w:val="21"/>
          <w14:textFill>
            <w14:solidFill>
              <w14:schemeClr w14:val="tx1"/>
            </w14:solidFill>
          </w14:textFill>
        </w:rPr>
        <w:t>机器人导航经颅磁刺激系统，</w:t>
      </w:r>
      <w:r>
        <w:rPr>
          <w:rFonts w:hint="eastAsia" w:hAnsi="宋体" w:cs="宋体"/>
          <w:snapToGrid/>
          <w:color w:val="000000" w:themeColor="text1"/>
          <w:kern w:val="2"/>
          <w:sz w:val="21"/>
          <w:szCs w:val="21"/>
          <w14:textFill>
            <w14:solidFill>
              <w14:schemeClr w14:val="tx1"/>
            </w14:solidFill>
          </w14:textFill>
        </w:rPr>
        <w:t>具体以招标文件第三部分采购需求为准，供应商可点击本公告下方“浏览采购文件”查看采购需求。</w:t>
      </w:r>
    </w:p>
    <w:p>
      <w:pPr>
        <w:pStyle w:val="131"/>
        <w:spacing w:line="288" w:lineRule="auto"/>
        <w:ind w:firstLine="422"/>
        <w:rPr>
          <w:rFonts w:hint="eastAsia"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合同履约期限：合同签订且具备项目实施条件后，60个工作日内完成设备供货与安装调试。</w:t>
      </w:r>
    </w:p>
    <w:p>
      <w:pPr>
        <w:pStyle w:val="5"/>
        <w:spacing w:line="288" w:lineRule="auto"/>
        <w:ind w:firstLine="422" w:firstLineChars="200"/>
        <w:rPr>
          <w:rFonts w:hint="eastAsia" w:hAnsi="宋体" w:cs="宋体"/>
          <w:color w:val="000000" w:themeColor="text1"/>
          <w:kern w:val="0"/>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本项目接受联合体投标：</w:t>
      </w:r>
      <w:sdt>
        <w:sdtPr>
          <w:rPr>
            <w:rFonts w:hint="eastAsia" w:hAnsi="宋体" w:cs="宋体"/>
            <w:color w:val="000000" w:themeColor="text1"/>
            <w:kern w:val="0"/>
            <w:sz w:val="21"/>
            <w:szCs w:val="21"/>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1"/>
            <w:szCs w:val="21"/>
            <w14:textFill>
              <w14:solidFill>
                <w14:schemeClr w14:val="tx1"/>
              </w14:solidFill>
            </w14:textFill>
          </w:rPr>
        </w:sdtEndPr>
        <w:sdtContent>
          <w:r>
            <w:rPr>
              <w:rFonts w:hint="eastAsia" w:hAnsi="宋体" w:cs="宋体"/>
              <w:color w:val="000000" w:themeColor="text1"/>
              <w:kern w:val="0"/>
              <w:sz w:val="21"/>
              <w:szCs w:val="21"/>
              <w14:textFill>
                <w14:solidFill>
                  <w14:schemeClr w14:val="tx1"/>
                </w14:solidFill>
              </w14:textFill>
            </w:rPr>
            <w:sym w:font="Wingdings" w:char="F0FE"/>
          </w:r>
        </w:sdtContent>
      </w:sdt>
      <w:r>
        <w:rPr>
          <w:rFonts w:hint="eastAsia" w:hAnsi="宋体" w:cs="宋体"/>
          <w:b/>
          <w:color w:val="000000" w:themeColor="text1"/>
          <w:sz w:val="21"/>
          <w:szCs w:val="21"/>
          <w14:textFill>
            <w14:solidFill>
              <w14:schemeClr w14:val="tx1"/>
            </w14:solidFill>
          </w14:textFill>
        </w:rPr>
        <w:t>是</w:t>
      </w:r>
      <w:r>
        <w:rPr>
          <w:rFonts w:hint="eastAsia" w:hAnsi="宋体" w:cs="宋体"/>
          <w:b/>
          <w:snapToGrid/>
          <w:color w:val="000000" w:themeColor="text1"/>
          <w:kern w:val="2"/>
          <w:sz w:val="21"/>
          <w:szCs w:val="21"/>
          <w14:textFill>
            <w14:solidFill>
              <w14:schemeClr w14:val="tx1"/>
            </w14:solidFill>
          </w14:textFill>
        </w:rPr>
        <w:t>；</w:t>
      </w:r>
      <w:sdt>
        <w:sdtPr>
          <w:rPr>
            <w:rFonts w:hint="eastAsia" w:hAnsi="宋体" w:cs="宋体"/>
            <w:color w:val="000000" w:themeColor="text1"/>
            <w:kern w:val="0"/>
            <w:sz w:val="21"/>
            <w:szCs w:val="21"/>
            <w14:textFill>
              <w14:solidFill>
                <w14:schemeClr w14:val="tx1"/>
              </w14:solidFill>
            </w14:textFill>
          </w:rPr>
          <w:id w:val="-1765526721"/>
          <w14:checkbox>
            <w14:checked w14:val="0"/>
            <w14:checkedState w14:val="00FE" w14:font="Wingdings"/>
            <w14:uncheckedState w14:val="2610" w14:font="MS Gothic"/>
          </w14:checkbox>
        </w:sdtPr>
        <w:sdtEndPr>
          <w:rPr>
            <w:rFonts w:hint="eastAsia" w:hAnsi="宋体" w:cs="宋体"/>
            <w:color w:val="000000" w:themeColor="text1"/>
            <w:kern w:val="0"/>
            <w:sz w:val="21"/>
            <w:szCs w:val="21"/>
            <w14:textFill>
              <w14:solidFill>
                <w14:schemeClr w14:val="tx1"/>
              </w14:solidFill>
            </w14:textFill>
          </w:rPr>
        </w:sdtEndPr>
        <w:sdtContent>
          <w:r>
            <w:rPr>
              <w:rFonts w:hint="eastAsia" w:hAnsi="宋体" w:cs="宋体"/>
              <w:color w:val="000000" w:themeColor="text1"/>
              <w:kern w:val="0"/>
              <w:sz w:val="21"/>
              <w:szCs w:val="21"/>
              <w14:textFill>
                <w14:solidFill>
                  <w14:schemeClr w14:val="tx1"/>
                </w14:solidFill>
              </w14:textFill>
            </w:rPr>
            <w:t>☐</w:t>
          </w:r>
        </w:sdtContent>
      </w:sdt>
      <w:r>
        <w:rPr>
          <w:rFonts w:hint="eastAsia" w:hAnsi="宋体" w:cs="宋体"/>
          <w:b/>
          <w:color w:val="000000" w:themeColor="text1"/>
          <w:sz w:val="21"/>
          <w:szCs w:val="21"/>
          <w14:textFill>
            <w14:solidFill>
              <w14:schemeClr w14:val="tx1"/>
            </w14:solidFill>
          </w14:textFill>
        </w:rPr>
        <w:t>否</w:t>
      </w:r>
      <w:r>
        <w:rPr>
          <w:rFonts w:hint="eastAsia" w:hAnsi="宋体" w:cs="宋体"/>
          <w:color w:val="000000" w:themeColor="text1"/>
          <w:kern w:val="0"/>
          <w:sz w:val="21"/>
          <w:szCs w:val="21"/>
          <w14:textFill>
            <w14:solidFill>
              <w14:schemeClr w14:val="tx1"/>
            </w14:solidFill>
          </w14:textFill>
        </w:rPr>
        <w:t>。</w:t>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w:t>
      </w:r>
      <w:bookmarkStart w:id="11" w:name="_Hlk101132948"/>
      <w:r>
        <w:rPr>
          <w:rFonts w:hint="eastAsia" w:ascii="宋体" w:hAnsi="宋体" w:cs="宋体"/>
          <w:b/>
          <w:color w:val="000000" w:themeColor="text1"/>
          <w:szCs w:val="21"/>
          <w14:textFill>
            <w14:solidFill>
              <w14:schemeClr w14:val="tx1"/>
            </w14:solidFill>
          </w14:textFill>
        </w:rPr>
        <w:t>申请人的资格要求</w:t>
      </w:r>
      <w:bookmarkEnd w:id="11"/>
      <w:r>
        <w:rPr>
          <w:rFonts w:hint="eastAsia" w:ascii="宋体" w:hAnsi="宋体" w:cs="宋体"/>
          <w:b/>
          <w:color w:val="000000" w:themeColor="text1"/>
          <w:szCs w:val="21"/>
          <w14:textFill>
            <w14:solidFill>
              <w14:schemeClr w14:val="tx1"/>
            </w14:solidFill>
          </w14:textFill>
        </w:rPr>
        <w:t>：</w:t>
      </w:r>
    </w:p>
    <w:p>
      <w:pPr>
        <w:spacing w:line="288" w:lineRule="auto"/>
        <w:ind w:firstLine="480"/>
        <w:rPr>
          <w:rFonts w:hint="eastAsia" w:ascii="宋体" w:hAnsi="宋体" w:cs="宋体"/>
          <w:snapToGrid w:val="0"/>
          <w:color w:val="000000" w:themeColor="text1"/>
          <w:kern w:val="28"/>
          <w:szCs w:val="21"/>
          <w14:textFill>
            <w14:solidFill>
              <w14:schemeClr w14:val="tx1"/>
            </w14:solidFill>
          </w14:textFill>
        </w:rPr>
      </w:pPr>
      <w:r>
        <w:rPr>
          <w:rFonts w:hint="eastAsia" w:ascii="宋体" w:hAnsi="宋体" w:cs="宋体"/>
          <w:snapToGrid w:val="0"/>
          <w:color w:val="000000" w:themeColor="text1"/>
          <w:kern w:val="28"/>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288" w:lineRule="auto"/>
        <w:rPr>
          <w:rFonts w:hint="eastAsia" w:ascii="宋体" w:hAnsi="宋体" w:cs="宋体"/>
          <w:snapToGrid w:val="0"/>
          <w:color w:val="000000" w:themeColor="text1"/>
          <w:kern w:val="28"/>
          <w:szCs w:val="21"/>
          <w14:textFill>
            <w14:solidFill>
              <w14:schemeClr w14:val="tx1"/>
            </w14:solidFill>
          </w14:textFill>
        </w:rPr>
      </w:pPr>
      <w:r>
        <w:rPr>
          <w:rFonts w:hint="eastAsia" w:ascii="宋体" w:hAnsi="宋体" w:cs="宋体"/>
          <w:snapToGrid w:val="0"/>
          <w:color w:val="000000" w:themeColor="text1"/>
          <w:kern w:val="28"/>
          <w:szCs w:val="21"/>
          <w14:textFill>
            <w14:solidFill>
              <w14:schemeClr w14:val="tx1"/>
            </w14:solidFill>
          </w14:textFill>
        </w:rPr>
        <w:t xml:space="preserve">    2.以联合体形式投标的，提供联合协议(本项目不接受联合体投标或者投标人不以联合体形式投标的，则不需要提供) ；</w:t>
      </w:r>
    </w:p>
    <w:p>
      <w:pPr>
        <w:spacing w:line="288" w:lineRule="auto"/>
        <w:ind w:firstLine="420" w:firstLineChars="200"/>
        <w:rPr>
          <w:rFonts w:hint="eastAsia" w:ascii="宋体" w:hAnsi="宋体" w:cs="宋体"/>
          <w:snapToGrid w:val="0"/>
          <w:color w:val="000000" w:themeColor="text1"/>
          <w:kern w:val="28"/>
          <w:szCs w:val="21"/>
          <w14:textFill>
            <w14:solidFill>
              <w14:schemeClr w14:val="tx1"/>
            </w14:solidFill>
          </w14:textFill>
        </w:rPr>
      </w:pPr>
      <w:r>
        <w:rPr>
          <w:rFonts w:hint="eastAsia" w:ascii="宋体" w:hAnsi="宋体" w:cs="宋体"/>
          <w:snapToGrid w:val="0"/>
          <w:color w:val="000000" w:themeColor="text1"/>
          <w:kern w:val="28"/>
          <w:szCs w:val="21"/>
          <w14:textFill>
            <w14:solidFill>
              <w14:schemeClr w14:val="tx1"/>
            </w14:solidFill>
          </w14:textFill>
        </w:rPr>
        <w:t>3.落实政府采购政策需满足的资格要求：</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cs="宋体"/>
          <w:color w:val="000000" w:themeColor="text1"/>
          <w:szCs w:val="21"/>
          <w14:textFill>
            <w14:solidFill>
              <w14:schemeClr w14:val="tx1"/>
            </w14:solidFill>
          </w14:textFill>
        </w:rPr>
        <w:t>无</w:t>
      </w:r>
      <w:r>
        <w:rPr>
          <w:rFonts w:hint="eastAsia" w:ascii="宋体" w:hAnsi="宋体" w:cs="宋体"/>
          <w:snapToGrid w:val="0"/>
          <w:color w:val="000000" w:themeColor="text1"/>
          <w:kern w:val="28"/>
          <w:szCs w:val="21"/>
          <w14:textFill>
            <w14:solidFill>
              <w14:schemeClr w14:val="tx1"/>
            </w14:solidFill>
          </w14:textFill>
        </w:rPr>
        <w:t>（注：不得限制大中型企业与小微企业组成联合体参与投标）</w:t>
      </w:r>
      <w:r>
        <w:rPr>
          <w:rFonts w:hint="eastAsia" w:ascii="宋体" w:hAnsi="宋体" w:cs="宋体"/>
          <w:color w:val="000000" w:themeColor="text1"/>
          <w:szCs w:val="21"/>
          <w14:textFill>
            <w14:solidFill>
              <w14:schemeClr w14:val="tx1"/>
            </w14:solidFill>
          </w14:textFill>
        </w:rPr>
        <w:t>；</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专</w:t>
      </w:r>
      <w:r>
        <w:rPr>
          <w:rFonts w:hint="eastAsia" w:ascii="宋体" w:hAnsi="宋体" w:cs="宋体"/>
          <w:color w:val="000000" w:themeColor="text1"/>
          <w:szCs w:val="21"/>
          <w14:textFill>
            <w14:solidFill>
              <w14:schemeClr w14:val="tx1"/>
            </w14:solidFill>
          </w14:textFill>
        </w:rPr>
        <w:t>门面向中小企业</w:t>
      </w:r>
    </w:p>
    <w:p>
      <w:pPr>
        <w:spacing w:line="288" w:lineRule="auto"/>
        <w:ind w:firstLine="785" w:firstLineChars="374"/>
        <w:rPr>
          <w:rFonts w:hint="eastAsia" w:ascii="宋体" w:hAnsi="宋体" w:cs="宋体"/>
          <w:color w:val="000000" w:themeColor="text1"/>
          <w:szCs w:val="21"/>
          <w:u w:val="single"/>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MS Gothic" w:hAnsi="MS Gothic" w:eastAsia="宋体" w:cs="宋体"/>
              <w:color w:val="000000" w:themeColor="text1"/>
              <w:kern w:val="0"/>
              <w:sz w:val="21"/>
              <w:szCs w:val="21"/>
              <w:lang w:val="en-US" w:eastAsia="zh-CN" w:bidi="ar-SA"/>
              <w14:textFill>
                <w14:solidFill>
                  <w14:schemeClr w14:val="tx1"/>
                </w14:solidFill>
              </w14:textFill>
            </w:rPr>
            <w:t>☐</w:t>
          </w:r>
        </w:sdtContent>
      </w:sdt>
      <w:r>
        <w:rPr>
          <w:rFonts w:hint="eastAsia" w:ascii="宋体" w:hAnsi="宋体" w:cs="宋体"/>
          <w:color w:val="000000" w:themeColor="text1"/>
          <w:szCs w:val="21"/>
          <w14:textFill>
            <w14:solidFill>
              <w14:schemeClr w14:val="tx1"/>
            </w14:solidFill>
          </w14:textFill>
        </w:rPr>
        <w:t>货物全部由符合政策要求的中小企业制造，提供中小企业声明函；</w:t>
      </w:r>
    </w:p>
    <w:p>
      <w:pPr>
        <w:spacing w:line="288" w:lineRule="auto"/>
        <w:ind w:firstLine="785" w:firstLineChars="374"/>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szCs w:val="21"/>
          <w14:textFill>
            <w14:solidFill>
              <w14:schemeClr w14:val="tx1"/>
            </w14:solidFill>
          </w14:textFill>
        </w:rPr>
        <w:t>货物全部由符合政策要求的小微企业制造，提供中小企业声明函；</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bookmarkStart w:id="12" w:name="_Hlk101132524"/>
        </w:sdtContent>
      </w:sdt>
      <w:r>
        <w:rPr>
          <w:rFonts w:hint="eastAsia" w:ascii="宋体" w:hAnsi="宋体" w:cs="宋体"/>
          <w:color w:val="000000" w:themeColor="text1"/>
          <w:szCs w:val="21"/>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%，其中小微企业合同金额应当达到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pacing w:val="8"/>
          <w:kern w:val="0"/>
          <w:szCs w:val="21"/>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Cs w:val="21"/>
          <w14:textFill>
            <w14:solidFill>
              <w14:schemeClr w14:val="tx1"/>
            </w14:solidFill>
          </w14:textFill>
        </w:rPr>
        <w:t>；</w:t>
      </w:r>
    </w:p>
    <w:bookmarkEnd w:id="12"/>
    <w:p>
      <w:pPr>
        <w:spacing w:line="288" w:lineRule="auto"/>
        <w:ind w:firstLine="420" w:firstLineChars="200"/>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szCs w:val="21"/>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，其中小微企业合同金额应当达到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w:t>
      </w:r>
      <w:r>
        <w:rPr>
          <w:rFonts w:hint="eastAsia" w:ascii="宋体" w:hAnsi="宋体" w:cs="宋体"/>
          <w:color w:val="000000" w:themeColor="text1"/>
          <w:spacing w:val="8"/>
          <w:kern w:val="0"/>
          <w:szCs w:val="21"/>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Cs w:val="21"/>
          <w14:textFill>
            <w14:solidFill>
              <w14:schemeClr w14:val="tx1"/>
            </w14:solidFill>
          </w14:textFill>
        </w:rPr>
        <w:t>；</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4.本项目的特定资格要求：无；</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三、获取招标文件 </w:t>
      </w:r>
    </w:p>
    <w:p>
      <w:pPr>
        <w:spacing w:line="288"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时间：</w:t>
      </w:r>
      <w:r>
        <w:rPr>
          <w:rFonts w:hint="eastAsia" w:ascii="宋体" w:hAnsi="宋体" w:cs="宋体"/>
          <w:color w:val="000000" w:themeColor="text1"/>
          <w:szCs w:val="21"/>
          <w14:textFill>
            <w14:solidFill>
              <w14:schemeClr w14:val="tx1"/>
            </w14:solidFill>
          </w14:textFill>
        </w:rPr>
        <w:t>/至2024年</w:t>
      </w:r>
      <w:r>
        <w:rPr>
          <w:rFonts w:hint="eastAsia" w:ascii="宋体" w:hAnsi="宋体" w:cs="宋体"/>
          <w:color w:val="000000" w:themeColor="text1"/>
          <w:szCs w:val="21"/>
          <w:lang w:eastAsia="zh-CN"/>
          <w14:textFill>
            <w14:solidFill>
              <w14:schemeClr w14:val="tx1"/>
            </w14:solidFill>
          </w14:textFill>
        </w:rPr>
        <w:t>11月26日</w:t>
      </w:r>
      <w:r>
        <w:rPr>
          <w:rFonts w:hint="eastAsia" w:ascii="宋体" w:hAnsi="宋体" w:cs="宋体"/>
          <w:color w:val="000000" w:themeColor="text1"/>
          <w:szCs w:val="21"/>
          <w14:textFill>
            <w14:solidFill>
              <w14:schemeClr w14:val="tx1"/>
            </w14:solidFill>
          </w14:textFill>
        </w:rPr>
        <w:t>，每天上午00:00至12:00 ，下午12:00至23:59（北京时间，线上获取法定节假日均可，线下获取文件法定节假日除外）</w:t>
      </w:r>
    </w:p>
    <w:p>
      <w:pPr>
        <w:spacing w:line="288"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地点（网址）：</w:t>
      </w:r>
      <w:r>
        <w:rPr>
          <w:rFonts w:hint="eastAsia" w:ascii="宋体" w:hAnsi="宋体" w:cs="宋体"/>
          <w:color w:val="000000" w:themeColor="text1"/>
          <w:szCs w:val="21"/>
          <w14:textFill>
            <w14:solidFill>
              <w14:schemeClr w14:val="tx1"/>
            </w14:solidFill>
          </w14:textFill>
        </w:rPr>
        <w:t xml:space="preserve">政采云平台（https://www.zcygov.cn/） </w:t>
      </w:r>
    </w:p>
    <w:p>
      <w:pPr>
        <w:spacing w:line="288"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方式：</w:t>
      </w:r>
      <w:r>
        <w:rPr>
          <w:rFonts w:hint="eastAsia" w:ascii="宋体" w:hAnsi="宋体" w:cs="宋体"/>
          <w:color w:val="000000" w:themeColor="text1"/>
          <w:szCs w:val="21"/>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288"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售价（元）：</w:t>
      </w:r>
      <w:r>
        <w:rPr>
          <w:rFonts w:hint="eastAsia" w:ascii="宋体" w:hAnsi="宋体" w:cs="宋体"/>
          <w:color w:val="000000" w:themeColor="text1"/>
          <w:szCs w:val="21"/>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ab/>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四、提交投标文件截止时间、开标时间和地点</w:t>
      </w:r>
    </w:p>
    <w:p>
      <w:pPr>
        <w:spacing w:line="288"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提交投标文件截止时间：</w:t>
      </w:r>
      <w:r>
        <w:rPr>
          <w:rFonts w:hint="eastAsia" w:ascii="宋体" w:hAnsi="宋体" w:cs="宋体"/>
          <w:color w:val="000000" w:themeColor="text1"/>
          <w:szCs w:val="21"/>
          <w:u w:val="single"/>
          <w14:textFill>
            <w14:solidFill>
              <w14:schemeClr w14:val="tx1"/>
            </w14:solidFill>
          </w14:textFill>
        </w:rPr>
        <w:t xml:space="preserve"> 2024年</w:t>
      </w:r>
      <w:r>
        <w:rPr>
          <w:rFonts w:hint="eastAsia" w:ascii="宋体" w:hAnsi="宋体" w:cs="宋体"/>
          <w:color w:val="000000" w:themeColor="text1"/>
          <w:szCs w:val="21"/>
          <w:u w:val="single"/>
          <w:lang w:eastAsia="zh-CN"/>
          <w14:textFill>
            <w14:solidFill>
              <w14:schemeClr w14:val="tx1"/>
            </w14:solidFill>
          </w14:textFill>
        </w:rPr>
        <w:t>11月26日09点30分</w:t>
      </w:r>
      <w:r>
        <w:rPr>
          <w:rFonts w:hint="eastAsia" w:ascii="宋体" w:hAnsi="宋体" w:cs="宋体"/>
          <w:color w:val="000000" w:themeColor="text1"/>
          <w:szCs w:val="21"/>
          <w:u w:val="single"/>
          <w14:textFill>
            <w14:solidFill>
              <w14:schemeClr w14:val="tx1"/>
            </w14:solidFill>
          </w14:textFill>
        </w:rPr>
        <w:t>00秒</w:t>
      </w:r>
      <w:r>
        <w:rPr>
          <w:rFonts w:hint="eastAsia" w:ascii="宋体" w:hAnsi="宋体" w:cs="宋体"/>
          <w:color w:val="000000" w:themeColor="text1"/>
          <w:szCs w:val="21"/>
          <w14:textFill>
            <w14:solidFill>
              <w14:schemeClr w14:val="tx1"/>
            </w14:solidFill>
          </w14:textFill>
        </w:rPr>
        <w:t>（北京时间）</w:t>
      </w:r>
    </w:p>
    <w:p>
      <w:pPr>
        <w:spacing w:line="288"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投标地点（网址）：</w:t>
      </w:r>
      <w:r>
        <w:rPr>
          <w:rFonts w:hint="eastAsia" w:ascii="宋体" w:hAnsi="宋体" w:cs="宋体"/>
          <w:color w:val="000000" w:themeColor="text1"/>
          <w:szCs w:val="21"/>
          <w14:textFill>
            <w14:solidFill>
              <w14:schemeClr w14:val="tx1"/>
            </w14:solidFill>
          </w14:textFill>
        </w:rPr>
        <w:t xml:space="preserve">政采云平台（https://www.zcygov.cn/） </w:t>
      </w:r>
    </w:p>
    <w:p>
      <w:pPr>
        <w:spacing w:line="288" w:lineRule="auto"/>
        <w:ind w:firstLine="422" w:firstLineChars="200"/>
        <w:rPr>
          <w:rFonts w:hint="eastAsia" w:ascii="宋体" w:hAnsi="宋体" w:cs="宋体"/>
          <w:bCs/>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eastAsia="zh-CN"/>
          <w14:textFill>
            <w14:solidFill>
              <w14:schemeClr w14:val="tx1"/>
            </w14:solidFill>
          </w14:textFill>
        </w:rPr>
        <w:t>11月26日09点30分</w:t>
      </w:r>
      <w:r>
        <w:rPr>
          <w:rFonts w:hint="eastAsia" w:ascii="宋体" w:hAnsi="宋体" w:cs="宋体"/>
          <w:color w:val="000000" w:themeColor="text1"/>
          <w:szCs w:val="21"/>
          <w:u w:val="single"/>
          <w14:textFill>
            <w14:solidFill>
              <w14:schemeClr w14:val="tx1"/>
            </w14:solidFill>
          </w14:textFill>
        </w:rPr>
        <w:t>00秒</w:t>
      </w:r>
    </w:p>
    <w:p>
      <w:pPr>
        <w:spacing w:line="288"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开标地点（网址）：</w:t>
      </w:r>
      <w:r>
        <w:rPr>
          <w:rFonts w:hint="eastAsia" w:ascii="宋体" w:hAnsi="宋体" w:cs="宋体"/>
          <w:color w:val="000000" w:themeColor="text1"/>
          <w:szCs w:val="21"/>
          <w14:textFill>
            <w14:solidFill>
              <w14:schemeClr w14:val="tx1"/>
            </w14:solidFill>
          </w14:textFill>
        </w:rPr>
        <w:t>政采云平台（https://www.zcygov.cn/）</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五、公告期限 </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六、其他补充事宜</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七、对本次采购提出询问、质疑、投诉，请按以下方式联系</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1.采购人信息</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名    称：杭州师范大学 </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地    址：杭州市余杭区余杭塘路2318号 </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    真： /</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项目联系人（询问）：</w:t>
      </w:r>
      <w:r>
        <w:rPr>
          <w:rFonts w:hint="eastAsia" w:ascii="宋体" w:hAnsi="宋体" w:cs="宋体"/>
          <w:color w:val="000000" w:themeColor="text1"/>
          <w:szCs w:val="21"/>
          <w:lang w:eastAsia="zh-CN"/>
          <w14:textFill>
            <w14:solidFill>
              <w14:schemeClr w14:val="tx1"/>
            </w14:solidFill>
          </w14:textFill>
        </w:rPr>
        <w:t>王</w:t>
      </w:r>
      <w:r>
        <w:rPr>
          <w:rFonts w:hint="eastAsia" w:ascii="宋体" w:hAnsi="宋体" w:cs="宋体"/>
          <w:color w:val="000000" w:themeColor="text1"/>
          <w:szCs w:val="21"/>
          <w14:textFill>
            <w14:solidFill>
              <w14:schemeClr w14:val="tx1"/>
            </w14:solidFill>
          </w14:textFill>
        </w:rPr>
        <w:t xml:space="preserve">老师 </w:t>
      </w:r>
    </w:p>
    <w:p>
      <w:pPr>
        <w:spacing w:line="288"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项目联系方式（询问）：</w:t>
      </w:r>
      <w:r>
        <w:rPr>
          <w:rFonts w:hint="eastAsia" w:ascii="宋体" w:hAnsi="宋体" w:cs="宋体"/>
          <w:color w:val="000000" w:themeColor="text1"/>
          <w:szCs w:val="21"/>
          <w:lang w:val="en-US" w:eastAsia="zh-CN"/>
          <w14:textFill>
            <w14:solidFill>
              <w14:schemeClr w14:val="tx1"/>
            </w14:solidFill>
          </w14:textFill>
        </w:rPr>
        <w:t>13588342162</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质疑联系人：周老师  </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质疑联系方式：0571-28865075  </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2.采购代理机构信息            </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称：浙江豪圣建设项目管理有限公司</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址：杭州市拱墅区大关路179号远洋国际中心A座17楼1706室</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传    真： /</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项目联系人（询问）：</w:t>
      </w:r>
      <w:r>
        <w:rPr>
          <w:rFonts w:hint="eastAsia" w:ascii="宋体" w:hAnsi="宋体" w:cs="宋体"/>
          <w:color w:val="000000" w:themeColor="text1"/>
          <w:szCs w:val="21"/>
          <w:lang w:val="en-US" w:eastAsia="zh-CN"/>
          <w14:textFill>
            <w14:solidFill>
              <w14:schemeClr w14:val="tx1"/>
            </w14:solidFill>
          </w14:textFill>
        </w:rPr>
        <w:t>赵邵东、</w:t>
      </w:r>
      <w:r>
        <w:rPr>
          <w:rFonts w:hint="eastAsia" w:ascii="宋体" w:hAnsi="宋体" w:cs="宋体"/>
          <w:color w:val="000000" w:themeColor="text1"/>
          <w:szCs w:val="21"/>
          <w14:textFill>
            <w14:solidFill>
              <w14:schemeClr w14:val="tx1"/>
            </w14:solidFill>
          </w14:textFill>
        </w:rPr>
        <w:t xml:space="preserve">王爽、徐华卿、曹剑斌、陈敏娇 </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项目联系方式（询问）：0571-87981527</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质疑联系人：桑国坚</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质疑联系方式：0571-56386096</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 同级政府采购监督管理部门            </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名    称：杭州市财政局政府采购监管处、浙江省政府采购行政裁决服务中心（杭州）</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地    址：杭州市上城区清泰街549号城建综合大楼11楼（快递仅限ems或顺丰） </w:t>
      </w:r>
    </w:p>
    <w:p>
      <w:pPr>
        <w:spacing w:line="288"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    真： /</w:t>
      </w:r>
    </w:p>
    <w:p>
      <w:pPr>
        <w:spacing w:line="288"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 ：朱女士、王女士</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监督投诉电话：电话：0571-87227671,0571-87800218</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政策咨询：陈先生、厉先生，0571-89580460、89580456</w:t>
      </w:r>
    </w:p>
    <w:p>
      <w:pPr>
        <w:spacing w:line="288" w:lineRule="auto"/>
        <w:ind w:firstLine="48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CA问题联系电话（人工）：汇信CA 400-888-4636；天谷CA 400-087-8198。</w:t>
      </w:r>
    </w:p>
    <w:p>
      <w:pPr>
        <w:pStyle w:val="32"/>
        <w:spacing w:line="288" w:lineRule="auto"/>
        <w:rPr>
          <w:rFonts w:hint="eastAsia" w:hAnsi="宋体" w:cs="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w:t>
      </w:r>
      <w:r>
        <w:rPr>
          <w:rFonts w:hint="eastAsia" w:hAnsi="宋体" w:cs="宋体"/>
          <w:b/>
          <w:color w:val="000000" w:themeColor="text1"/>
          <w14:textFill>
            <w14:solidFill>
              <w14:schemeClr w14:val="tx1"/>
            </w14:solidFill>
          </w14:textFill>
        </w:rPr>
        <w:t xml:space="preserve"> </w:t>
      </w:r>
    </w:p>
    <w:p>
      <w:pPr>
        <w:tabs>
          <w:tab w:val="left" w:pos="432"/>
        </w:tabs>
        <w:spacing w:line="288" w:lineRule="auto"/>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adjustRightInd/>
        <w:spacing w:line="288" w:lineRule="auto"/>
        <w:jc w:val="center"/>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第二部分</w:t>
      </w:r>
      <w:bookmarkEnd w:id="8"/>
      <w:r>
        <w:rPr>
          <w:rFonts w:hint="eastAsia" w:ascii="宋体" w:hAnsi="宋体" w:cs="宋体"/>
          <w:b/>
          <w:color w:val="000000" w:themeColor="text1"/>
          <w:szCs w:val="21"/>
          <w14:textFill>
            <w14:solidFill>
              <w14:schemeClr w14:val="tx1"/>
            </w14:solidFill>
          </w14:textFill>
        </w:rPr>
        <w:t xml:space="preserve"> 投标人须知</w:t>
      </w:r>
      <w:bookmarkEnd w:id="9"/>
    </w:p>
    <w:p>
      <w:pPr>
        <w:adjustRightInd/>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前附表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1"/>
        <w:gridCol w:w="2047"/>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5"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事项</w:t>
            </w:r>
          </w:p>
        </w:tc>
        <w:tc>
          <w:tcPr>
            <w:tcW w:w="355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项目属性与核心产品</w:t>
            </w:r>
          </w:p>
        </w:tc>
        <w:tc>
          <w:tcPr>
            <w:tcW w:w="3552" w:type="pct"/>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货物类，单一产品或</w:t>
            </w:r>
            <w:r>
              <w:rPr>
                <w:rFonts w:hint="eastAsia" w:ascii="宋体" w:hAnsi="宋体" w:cs="宋体"/>
                <w:color w:val="000000" w:themeColor="text1"/>
                <w:kern w:val="0"/>
                <w:szCs w:val="21"/>
                <w14:textFill>
                  <w14:solidFill>
                    <w14:schemeClr w14:val="tx1"/>
                  </w14:solidFill>
                </w14:textFill>
              </w:rPr>
              <w:t>核心产品为：</w:t>
            </w:r>
            <w:r>
              <w:rPr>
                <w:rFonts w:hint="eastAsia" w:ascii="宋体" w:hAnsi="宋体" w:cs="宋体"/>
                <w:color w:val="000000" w:themeColor="text1"/>
                <w:kern w:val="0"/>
                <w:szCs w:val="21"/>
                <w:u w:val="single"/>
                <w14:textFill>
                  <w14:solidFill>
                    <w14:schemeClr w14:val="tx1"/>
                  </w14:solidFill>
                </w14:textFill>
              </w:rPr>
              <w:t>机器人导航经颅磁刺激系统</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采购标的及其对应的中小企业划分标准所属行业</w:t>
            </w:r>
          </w:p>
        </w:tc>
        <w:tc>
          <w:tcPr>
            <w:tcW w:w="3552" w:type="pct"/>
            <w:vAlign w:val="center"/>
          </w:tcPr>
          <w:p>
            <w:pPr>
              <w:snapToGrid w:val="0"/>
              <w:spacing w:line="288"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（1）标的：</w:t>
            </w:r>
            <w:r>
              <w:rPr>
                <w:rFonts w:hint="eastAsia" w:ascii="宋体" w:hAnsi="宋体" w:cs="宋体"/>
                <w:color w:val="000000" w:themeColor="text1"/>
                <w:kern w:val="0"/>
                <w:szCs w:val="21"/>
                <w:u w:val="single"/>
                <w14:textFill>
                  <w14:solidFill>
                    <w14:schemeClr w14:val="tx1"/>
                  </w14:solidFill>
                </w14:textFill>
              </w:rPr>
              <w:t>机器人导航经颅磁刺激系统</w:t>
            </w:r>
            <w:r>
              <w:rPr>
                <w:rFonts w:hint="eastAsia" w:ascii="宋体" w:hAnsi="宋体" w:cs="宋体"/>
                <w:color w:val="000000" w:themeColor="text1"/>
                <w:kern w:val="0"/>
                <w:szCs w:val="21"/>
                <w14:textFill>
                  <w14:solidFill>
                    <w14:schemeClr w14:val="tx1"/>
                  </w14:solidFill>
                </w14:textFill>
              </w:rPr>
              <w:t>，属于</w:t>
            </w:r>
            <w:r>
              <w:rPr>
                <w:rFonts w:hint="eastAsia" w:ascii="宋体" w:hAnsi="宋体" w:cs="宋体"/>
                <w:color w:val="000000" w:themeColor="text1"/>
                <w:kern w:val="0"/>
                <w:szCs w:val="21"/>
                <w:u w:val="single"/>
                <w14:textFill>
                  <w14:solidFill>
                    <w14:schemeClr w14:val="tx1"/>
                  </w14:solidFill>
                </w14:textFill>
              </w:rPr>
              <w:t>工业</w:t>
            </w:r>
            <w:r>
              <w:rPr>
                <w:rFonts w:hint="eastAsia" w:ascii="宋体" w:hAnsi="宋体" w:cs="宋体"/>
                <w:color w:val="000000" w:themeColor="text1"/>
                <w:kern w:val="0"/>
                <w:szCs w:val="21"/>
                <w14:textFill>
                  <w14:solidFill>
                    <w14:schemeClr w14:val="tx1"/>
                  </w14:solidFill>
                </w14:textFill>
              </w:rPr>
              <w:t>行业；</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中小企业划型标准</w:t>
            </w:r>
            <w:r>
              <w:rPr>
                <w:rFonts w:hint="eastAsia" w:ascii="宋体" w:hAnsi="宋体" w:cs="宋体"/>
                <w:color w:val="000000" w:themeColor="text1"/>
                <w:szCs w:val="21"/>
                <w14:textFill>
                  <w14:solidFill>
                    <w14:schemeClr w14:val="tx1"/>
                  </w14:solidFill>
                </w14:textFill>
              </w:rPr>
              <w:t>：</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工业</w:t>
            </w:r>
            <w:r>
              <w:rPr>
                <w:rFonts w:hint="eastAsia" w:ascii="宋体" w:hAnsi="宋体" w:cs="宋体"/>
                <w:color w:val="000000" w:themeColor="text1"/>
                <w:szCs w:val="21"/>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5"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是否允许采购进口产品</w:t>
            </w:r>
          </w:p>
        </w:tc>
        <w:tc>
          <w:tcPr>
            <w:tcW w:w="3552" w:type="pct"/>
            <w:vAlign w:val="center"/>
          </w:tcPr>
          <w:p>
            <w:pPr>
              <w:spacing w:line="288" w:lineRule="auto"/>
              <w:rPr>
                <w:rFonts w:hint="eastAsia" w:ascii="宋体" w:hAnsi="宋体" w:cs="宋体"/>
                <w:color w:val="000000" w:themeColor="text1"/>
                <w:kern w:val="0"/>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828425707"/>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本项目不允许采购进口产品。</w:t>
            </w:r>
          </w:p>
          <w:p>
            <w:pPr>
              <w:spacing w:line="288" w:lineRule="auto"/>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52852824"/>
                <w14:checkbox>
                  <w14:checked w14:val="1"/>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ascii="Wingdings" w:hAnsi="Wingdings"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可以就</w:t>
            </w:r>
            <w:r>
              <w:rPr>
                <w:rFonts w:hint="eastAsia" w:ascii="宋体" w:hAnsi="宋体" w:cs="宋体"/>
                <w:color w:val="000000" w:themeColor="text1"/>
                <w:kern w:val="0"/>
                <w:szCs w:val="21"/>
                <w:u w:val="single"/>
                <w14:textFill>
                  <w14:solidFill>
                    <w14:schemeClr w14:val="tx1"/>
                  </w14:solidFill>
                </w14:textFill>
              </w:rPr>
              <w:t>机器人导航经颅磁刺激系统</w:t>
            </w:r>
            <w:r>
              <w:rPr>
                <w:rFonts w:hint="eastAsia" w:ascii="宋体" w:hAnsi="宋体" w:cs="宋体"/>
                <w:color w:val="000000" w:themeColor="text1"/>
                <w:kern w:val="0"/>
                <w:szCs w:val="21"/>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5"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分包</w:t>
            </w:r>
          </w:p>
        </w:tc>
        <w:tc>
          <w:tcPr>
            <w:tcW w:w="3552" w:type="pct"/>
            <w:vAlign w:val="center"/>
          </w:tcPr>
          <w:p>
            <w:pPr>
              <w:spacing w:line="288" w:lineRule="auto"/>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ascii="Wingdings" w:hAnsi="Wingdings"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 xml:space="preserve"> A</w:t>
            </w:r>
            <w:r>
              <w:rPr>
                <w:rFonts w:hint="eastAsia" w:ascii="宋体" w:hAnsi="宋体" w:cs="宋体"/>
                <w:color w:val="000000" w:themeColor="text1"/>
                <w:szCs w:val="21"/>
                <w14:textFill>
                  <w14:solidFill>
                    <w14:schemeClr w14:val="tx1"/>
                  </w14:solidFill>
                </w14:textFill>
              </w:rPr>
              <w:t>同意将非主体、非关键性的</w:t>
            </w:r>
            <w:r>
              <w:rPr>
                <w:rFonts w:hint="eastAsia" w:ascii="宋体" w:hAnsi="宋体" w:cs="宋体"/>
                <w:color w:val="000000" w:themeColor="text1"/>
                <w:szCs w:val="21"/>
                <w:u w:val="single"/>
                <w14:textFill>
                  <w14:solidFill>
                    <w14:schemeClr w14:val="tx1"/>
                  </w14:solidFill>
                </w14:textFill>
              </w:rPr>
              <w:t>设备的包装、运输及安装</w:t>
            </w:r>
            <w:r>
              <w:rPr>
                <w:rFonts w:hint="eastAsia" w:ascii="宋体" w:hAnsi="宋体" w:cs="宋体"/>
                <w:color w:val="000000" w:themeColor="text1"/>
                <w:szCs w:val="21"/>
                <w14:textFill>
                  <w14:solidFill>
                    <w14:schemeClr w14:val="tx1"/>
                  </w14:solidFill>
                </w14:textFill>
              </w:rPr>
              <w:t>工作分包。</w:t>
            </w:r>
          </w:p>
          <w:p>
            <w:pPr>
              <w:spacing w:line="288" w:lineRule="auto"/>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 xml:space="preserve"> B</w:t>
            </w:r>
            <w:r>
              <w:rPr>
                <w:rFonts w:hint="eastAsia" w:ascii="宋体" w:hAnsi="宋体" w:cs="宋体"/>
                <w:color w:val="000000" w:themeColor="text1"/>
                <w:szCs w:val="21"/>
                <w14:textFill>
                  <w14:solidFill>
                    <w14:schemeClr w14:val="tx1"/>
                  </w14:solidFill>
                </w14:textFill>
              </w:rPr>
              <w:t>不同意分包。</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开标前答疑会或现场考察</w:t>
            </w:r>
          </w:p>
        </w:tc>
        <w:tc>
          <w:tcPr>
            <w:tcW w:w="3552" w:type="pct"/>
            <w:vAlign w:val="center"/>
          </w:tcPr>
          <w:p>
            <w:pPr>
              <w:spacing w:line="288" w:lineRule="auto"/>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ascii="Wingdings" w:hAnsi="Wingdings"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不组织。</w:t>
            </w:r>
          </w:p>
          <w:p>
            <w:pPr>
              <w:spacing w:line="288" w:lineRule="auto"/>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B组织，</w:t>
            </w: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，联系方式：</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样品提供</w:t>
            </w:r>
          </w:p>
        </w:tc>
        <w:tc>
          <w:tcPr>
            <w:tcW w:w="3552" w:type="pct"/>
            <w:vAlign w:val="center"/>
          </w:tcPr>
          <w:p>
            <w:pPr>
              <w:spacing w:line="288" w:lineRule="auto"/>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ascii="Wingdings" w:hAnsi="Wingdings"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不要求提供。</w:t>
            </w:r>
          </w:p>
          <w:p>
            <w:pPr>
              <w:spacing w:line="288" w:lineRule="auto"/>
              <w:rPr>
                <w:rFonts w:hint="eastAsia" w:ascii="宋体" w:hAnsi="宋体" w:cs="宋体"/>
                <w:color w:val="000000" w:themeColor="text1"/>
                <w:kern w:val="0"/>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B要求提供，</w:t>
            </w:r>
          </w:p>
          <w:p>
            <w:pPr>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snapToGrid w:val="0"/>
                <w:color w:val="000000" w:themeColor="text1"/>
                <w:kern w:val="28"/>
                <w:szCs w:val="21"/>
                <w14:textFill>
                  <w14:solidFill>
                    <w14:schemeClr w14:val="tx1"/>
                  </w14:solidFill>
                </w14:textFill>
              </w:rPr>
              <w:t>样品：</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p>
          <w:p>
            <w:pPr>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snapToGrid w:val="0"/>
                <w:color w:val="000000" w:themeColor="text1"/>
                <w:kern w:val="28"/>
                <w:szCs w:val="21"/>
                <w14:textFill>
                  <w14:solidFill>
                    <w14:schemeClr w14:val="tx1"/>
                  </w14:solidFill>
                </w14:textFill>
              </w:rPr>
              <w:t>样品制作的标准和要求：</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p>
          <w:p>
            <w:pPr>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（3）样品的评审方法以及评审标准</w:t>
            </w:r>
            <w:r>
              <w:rPr>
                <w:rFonts w:hint="eastAsia" w:ascii="宋体" w:hAnsi="宋体" w:cs="宋体"/>
                <w:snapToGrid w:val="0"/>
                <w:color w:val="000000" w:themeColor="text1"/>
                <w:kern w:val="28"/>
                <w:szCs w:val="21"/>
                <w14:textFill>
                  <w14:solidFill>
                    <w14:schemeClr w14:val="tx1"/>
                  </w14:solidFill>
                </w14:textFill>
              </w:rPr>
              <w:t>：详见</w:t>
            </w:r>
            <w:r>
              <w:rPr>
                <w:rFonts w:hint="eastAsia" w:ascii="宋体" w:hAnsi="宋体" w:cs="宋体"/>
                <w:color w:val="000000" w:themeColor="text1"/>
                <w:szCs w:val="21"/>
                <w:u w:val="single"/>
                <w14:textFill>
                  <w14:solidFill>
                    <w14:schemeClr w14:val="tx1"/>
                  </w14:solidFill>
                </w14:textFill>
              </w:rPr>
              <w:t>评标办法</w:t>
            </w:r>
            <w:r>
              <w:rPr>
                <w:rFonts w:hint="eastAsia" w:ascii="宋体" w:hAnsi="宋体" w:cs="宋体"/>
                <w:color w:val="000000" w:themeColor="text1"/>
                <w:kern w:val="0"/>
                <w:szCs w:val="21"/>
                <w14:textFill>
                  <w14:solidFill>
                    <w14:schemeClr w14:val="tx1"/>
                  </w14:solidFill>
                </w14:textFill>
              </w:rPr>
              <w:t>；</w:t>
            </w:r>
          </w:p>
          <w:p>
            <w:pPr>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（4）是否需要随样品提交检测报告：</w:t>
            </w:r>
            <w:sdt>
              <w:sdtPr>
                <w:rPr>
                  <w:rFonts w:hint="eastAsia" w:ascii="宋体" w:hAnsi="宋体" w:cs="宋体"/>
                  <w:color w:val="000000" w:themeColor="text1"/>
                  <w:kern w:val="0"/>
                  <w:szCs w:val="21"/>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否；</w:t>
            </w:r>
            <w:sdt>
              <w:sdtPr>
                <w:rPr>
                  <w:rFonts w:hint="eastAsia" w:ascii="宋体" w:hAnsi="宋体" w:cs="宋体"/>
                  <w:color w:val="000000" w:themeColor="text1"/>
                  <w:kern w:val="0"/>
                  <w:szCs w:val="21"/>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是，检测机构的要求</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；检测内容</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（5）提供样品的时间：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；联系人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28"/>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5"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082" w:type="pct"/>
            <w:vAlign w:val="center"/>
          </w:tcPr>
          <w:p>
            <w:pPr>
              <w:snapToGrid w:val="0"/>
              <w:spacing w:line="288"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方案讲解演示</w:t>
            </w:r>
          </w:p>
        </w:tc>
        <w:tc>
          <w:tcPr>
            <w:tcW w:w="3552" w:type="pct"/>
            <w:vAlign w:val="center"/>
          </w:tcPr>
          <w:p>
            <w:pPr>
              <w:spacing w:line="288" w:lineRule="auto"/>
              <w:rPr>
                <w:rFonts w:hint="eastAsia" w:ascii="宋体" w:hAnsi="宋体" w:cs="宋体"/>
                <w:color w:val="000000" w:themeColor="text1"/>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ascii="Wingdings" w:hAnsi="Wingdings"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不组织。</w:t>
            </w:r>
          </w:p>
          <w:p>
            <w:pPr>
              <w:spacing w:line="288" w:lineRule="auto"/>
              <w:rPr>
                <w:rFonts w:hint="eastAsia" w:ascii="宋体" w:hAnsi="宋体" w:cs="宋体"/>
                <w:color w:val="000000" w:themeColor="text1"/>
                <w:kern w:val="0"/>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kern w:val="0"/>
                <w:szCs w:val="21"/>
                <w14:textFill>
                  <w14:solidFill>
                    <w14:schemeClr w14:val="tx1"/>
                  </w14:solidFill>
                </w14:textFill>
              </w:rPr>
              <w:t>B组织。</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Cs w:val="21"/>
                <w:u w:val="single"/>
                <w14:textFill>
                  <w14:solidFill>
                    <w14:schemeClr w14:val="tx1"/>
                  </w14:solidFill>
                </w14:textFill>
              </w:rPr>
              <w:t>20（编制时可根据项目情况进行调整）</w:t>
            </w:r>
            <w:r>
              <w:rPr>
                <w:rFonts w:hint="eastAsia" w:ascii="宋体" w:hAnsi="宋体" w:cs="宋体"/>
                <w:color w:val="000000" w:themeColor="text1"/>
                <w:kern w:val="0"/>
                <w:szCs w:val="21"/>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Cs w:val="21"/>
                <w:u w:val="single"/>
                <w14:textFill>
                  <w14:solidFill>
                    <w14:schemeClr w14:val="tx1"/>
                  </w14:solidFill>
                </w14:textFill>
              </w:rPr>
              <w:t>3（编制时可根据项目情况进行调整）</w:t>
            </w:r>
            <w:r>
              <w:rPr>
                <w:rFonts w:hint="eastAsia" w:ascii="宋体" w:hAnsi="宋体" w:cs="宋体"/>
                <w:color w:val="000000" w:themeColor="text1"/>
                <w:kern w:val="0"/>
                <w:szCs w:val="21"/>
                <w14:textFill>
                  <w14:solidFill>
                    <w14:schemeClr w14:val="tx1"/>
                  </w14:solidFill>
                </w14:textFill>
              </w:rPr>
              <w:t>人。讲解演示结束后按要求解答评标委员会提问。</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（2）方案讲解演示可选择以下其中一种方式：</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方式二：交易中心现场讲解演示。现场讲解地点为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288" w:lineRule="auto"/>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5" w:type="pct"/>
            <w:vMerge w:val="restar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082" w:type="pct"/>
            <w:vMerge w:val="restar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投标人应当提供的资格、资信证明文件</w:t>
            </w:r>
          </w:p>
        </w:tc>
        <w:tc>
          <w:tcPr>
            <w:tcW w:w="3552" w:type="pct"/>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（1）资格证明文件：见招标文件第二部分11.1。</w:t>
            </w:r>
          </w:p>
          <w:p>
            <w:pPr>
              <w:spacing w:line="288" w:lineRule="auto"/>
              <w:rPr>
                <w:rFonts w:hint="eastAsia"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365" w:type="pct"/>
            <w:vMerge w:val="continue"/>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1082" w:type="pct"/>
            <w:vMerge w:val="continue"/>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p>
        </w:tc>
        <w:tc>
          <w:tcPr>
            <w:tcW w:w="3552" w:type="pct"/>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节能产品、环境标志产品</w:t>
            </w:r>
          </w:p>
        </w:tc>
        <w:tc>
          <w:tcPr>
            <w:tcW w:w="3552" w:type="pct"/>
            <w:vAlign w:val="center"/>
          </w:tcPr>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报价要求</w:t>
            </w:r>
          </w:p>
        </w:tc>
        <w:tc>
          <w:tcPr>
            <w:tcW w:w="3552" w:type="pct"/>
            <w:vAlign w:val="center"/>
          </w:tcPr>
          <w:p>
            <w:pPr>
              <w:snapToGrid w:val="0"/>
              <w:spacing w:line="288" w:lineRule="auto"/>
              <w:jc w:val="left"/>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Cs w:val="21"/>
                <w:lang w:val="zh-CN"/>
                <w14:textFill>
                  <w14:solidFill>
                    <w14:schemeClr w14:val="tx1"/>
                  </w14:solidFill>
                </w14:textFill>
              </w:rPr>
              <w:t>投标文件</w:t>
            </w:r>
            <w:r>
              <w:rPr>
                <w:rFonts w:hint="eastAsia" w:ascii="宋体" w:hAnsi="宋体" w:cs="宋体"/>
                <w:b/>
                <w:bCs/>
                <w:color w:val="000000" w:themeColor="text1"/>
                <w:szCs w:val="21"/>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Cs w:val="21"/>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Cs w:val="21"/>
                <w:lang w:val="zh-CN"/>
                <w14:textFill>
                  <w14:solidFill>
                    <w14:schemeClr w14:val="tx1"/>
                  </w14:solidFill>
                </w14:textFill>
              </w:rPr>
              <w:t>提醒：验收时检测费用由采购人承担，不包含在投标总价中。</w:t>
            </w:r>
          </w:p>
          <w:p>
            <w:pPr>
              <w:snapToGrid w:val="0"/>
              <w:spacing w:line="288" w:lineRule="auto"/>
              <w:jc w:val="left"/>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投标报价出现下列情形的，投标无效：</w:t>
            </w:r>
          </w:p>
          <w:p>
            <w:pPr>
              <w:snapToGrid w:val="0"/>
              <w:spacing w:line="288" w:lineRule="auto"/>
              <w:jc w:val="left"/>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投标文件出现不是唯一的、有选择性投标报价的；</w:t>
            </w:r>
          </w:p>
          <w:p>
            <w:pPr>
              <w:snapToGrid w:val="0"/>
              <w:spacing w:line="288" w:lineRule="auto"/>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投标报价超过招标文件中规定的预算金额或者最高限价的</w:t>
            </w:r>
            <w:r>
              <w:rPr>
                <w:rFonts w:hint="eastAsia" w:ascii="宋体" w:hAnsi="宋体" w:cs="宋体"/>
                <w:b/>
                <w:color w:val="000000" w:themeColor="text1"/>
                <w:kern w:val="0"/>
                <w:szCs w:val="21"/>
                <w14:textFill>
                  <w14:solidFill>
                    <w14:schemeClr w14:val="tx1"/>
                  </w14:solidFill>
                </w14:textFill>
              </w:rPr>
              <w:t>；</w:t>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Cs w:val="21"/>
                <w14:textFill>
                  <w14:solidFill>
                    <w14:schemeClr w14:val="tx1"/>
                  </w14:solidFill>
                </w14:textFill>
              </w:rPr>
              <w:t>；</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投标人对根据修正原则修正后的报价不确认的</w:t>
            </w: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中小企业信用融资</w:t>
            </w:r>
          </w:p>
        </w:tc>
        <w:tc>
          <w:tcPr>
            <w:tcW w:w="3552" w:type="pct"/>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snapToGrid w:val="0"/>
                <w:color w:val="000000" w:themeColor="text1"/>
                <w:kern w:val="28"/>
                <w:szCs w:val="21"/>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备份投标文件送达地点和签收人员</w:t>
            </w:r>
          </w:p>
        </w:tc>
        <w:tc>
          <w:tcPr>
            <w:tcW w:w="3552" w:type="pct"/>
            <w:vAlign w:val="center"/>
          </w:tcPr>
          <w:p>
            <w:pPr>
              <w:pStyle w:val="32"/>
              <w:spacing w:line="288" w:lineRule="auto"/>
              <w:rPr>
                <w:rFonts w:hint="eastAsia" w:hAnsi="宋体" w:cs="宋体"/>
                <w:color w:val="000000" w:themeColor="text1"/>
                <w:kern w:val="28"/>
                <w14:textFill>
                  <w14:solidFill>
                    <w14:schemeClr w14:val="tx1"/>
                  </w14:solidFill>
                </w14:textFill>
              </w:rPr>
            </w:pPr>
            <w:r>
              <w:rPr>
                <w:rFonts w:hint="eastAsia" w:hAnsi="宋体" w:cs="宋体"/>
                <w:color w:val="000000" w:themeColor="text1"/>
                <w:kern w:val="28"/>
                <w14:textFill>
                  <w14:solidFill>
                    <w14:schemeClr w14:val="tx1"/>
                  </w14:solidFill>
                </w14:textFill>
              </w:rPr>
              <w:t>备份投标文件送达地点：</w:t>
            </w:r>
            <w:r>
              <w:rPr>
                <w:rFonts w:hint="eastAsia" w:hAnsi="宋体" w:cs="宋体"/>
                <w:color w:val="000000" w:themeColor="text1"/>
                <w:kern w:val="28"/>
                <w:u w:val="single"/>
                <w14:textFill>
                  <w14:solidFill>
                    <w14:schemeClr w14:val="tx1"/>
                  </w14:solidFill>
                </w14:textFill>
              </w:rPr>
              <w:t>杭州市拱墅区大关路179号远洋国际中心A座17楼1706室</w:t>
            </w:r>
            <w:r>
              <w:rPr>
                <w:rFonts w:hint="eastAsia" w:hAnsi="宋体" w:cs="宋体"/>
                <w:color w:val="000000" w:themeColor="text1"/>
                <w:kern w:val="28"/>
                <w14:textFill>
                  <w14:solidFill>
                    <w14:schemeClr w14:val="tx1"/>
                  </w14:solidFill>
                </w14:textFill>
              </w:rPr>
              <w:t>；备份投标文件签收人员联系电话：</w:t>
            </w:r>
            <w:r>
              <w:rPr>
                <w:rFonts w:hint="eastAsia" w:hAnsi="宋体" w:cs="宋体"/>
                <w:color w:val="000000" w:themeColor="text1"/>
                <w:kern w:val="28"/>
                <w:u w:val="single"/>
                <w14:textFill>
                  <w14:solidFill>
                    <w14:schemeClr w14:val="tx1"/>
                  </w14:solidFill>
                </w14:textFill>
              </w:rPr>
              <w:t>王爽、0571-87981527</w:t>
            </w:r>
            <w:r>
              <w:rPr>
                <w:rFonts w:hint="eastAsia" w:hAnsi="宋体" w:cs="宋体"/>
                <w:color w:val="000000" w:themeColor="text1"/>
                <w14:textFill>
                  <w14:solidFill>
                    <w14:schemeClr w14:val="tx1"/>
                  </w14:solidFill>
                </w14:textFill>
              </w:rPr>
              <w:t>。</w:t>
            </w:r>
            <w:r>
              <w:rPr>
                <w:rFonts w:hint="eastAsia" w:hAnsi="宋体" w:cs="宋体"/>
                <w:b/>
                <w:color w:val="000000" w:themeColor="text1"/>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365" w:type="pct"/>
            <w:vMerge w:val="restar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82" w:type="pct"/>
            <w:vMerge w:val="restar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特别说明</w:t>
            </w:r>
          </w:p>
        </w:tc>
        <w:tc>
          <w:tcPr>
            <w:tcW w:w="3552" w:type="pct"/>
            <w:vAlign w:val="center"/>
          </w:tcPr>
          <w:p>
            <w:pPr>
              <w:spacing w:line="288" w:lineRule="auto"/>
              <w:rPr>
                <w:rFonts w:hint="eastAsia" w:ascii="宋体" w:hAnsi="宋体" w:cs="宋体"/>
                <w:snapToGrid w:val="0"/>
                <w:color w:val="000000" w:themeColor="text1"/>
                <w:kern w:val="28"/>
                <w:szCs w:val="21"/>
                <w14:textFill>
                  <w14:solidFill>
                    <w14:schemeClr w14:val="tx1"/>
                  </w14:solidFill>
                </w14:textFill>
              </w:rPr>
            </w:pPr>
            <w:r>
              <w:rPr>
                <w:rFonts w:hint="eastAsia" w:ascii="宋体" w:hAnsi="宋体" w:cs="宋体"/>
                <w:snapToGrid w:val="0"/>
                <w:color w:val="000000" w:themeColor="text1"/>
                <w:kern w:val="28"/>
                <w:szCs w:val="21"/>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Merge w:val="continue"/>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1082" w:type="pct"/>
            <w:vMerge w:val="continue"/>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p>
        </w:tc>
        <w:tc>
          <w:tcPr>
            <w:tcW w:w="3552" w:type="pct"/>
            <w:vAlign w:val="center"/>
          </w:tcPr>
          <w:p>
            <w:pPr>
              <w:spacing w:line="288" w:lineRule="auto"/>
              <w:rPr>
                <w:rFonts w:hint="eastAsia" w:ascii="宋体" w:hAnsi="宋体" w:cs="宋体"/>
                <w:snapToGrid w:val="0"/>
                <w:color w:val="000000" w:themeColor="text1"/>
                <w:kern w:val="28"/>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369766551"/>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snapToGrid w:val="0"/>
                <w:color w:val="000000" w:themeColor="text1"/>
                <w:kern w:val="28"/>
                <w:szCs w:val="21"/>
                <w14:textFill>
                  <w14:solidFill>
                    <w14:schemeClr w14:val="tx1"/>
                  </w14:solidFill>
                </w14:textFill>
              </w:rPr>
              <w:t>联合体投标的，联合体各方均需按招标文件第四部分评标标准要求提供资信证明文件，否则视为不符合相关要求。</w:t>
            </w:r>
          </w:p>
          <w:p>
            <w:pPr>
              <w:spacing w:line="288" w:lineRule="auto"/>
              <w:rPr>
                <w:rFonts w:hint="eastAsia" w:ascii="宋体" w:hAnsi="宋体" w:cs="宋体"/>
                <w:snapToGrid w:val="0"/>
                <w:color w:val="000000" w:themeColor="text1"/>
                <w:kern w:val="28"/>
                <w:szCs w:val="21"/>
                <w14:textFill>
                  <w14:solidFill>
                    <w14:schemeClr w14:val="tx1"/>
                  </w14:solidFill>
                </w14:textFill>
              </w:rPr>
            </w:pPr>
            <w:sdt>
              <w:sdtPr>
                <w:rPr>
                  <w:rFonts w:hint="eastAsia" w:ascii="宋体" w:hAnsi="宋体" w:cs="宋体"/>
                  <w:color w:val="000000" w:themeColor="text1"/>
                  <w:kern w:val="0"/>
                  <w:szCs w:val="21"/>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sym w:font="Wingdings" w:char="F0FE"/>
                </w:r>
              </w:sdtContent>
            </w:sdt>
            <w:r>
              <w:rPr>
                <w:rFonts w:hint="eastAsia" w:ascii="宋体" w:hAnsi="宋体" w:cs="宋体"/>
                <w:snapToGrid w:val="0"/>
                <w:color w:val="000000" w:themeColor="text1"/>
                <w:kern w:val="28"/>
                <w:szCs w:val="21"/>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082" w:type="pct"/>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投标费用</w:t>
            </w:r>
          </w:p>
        </w:tc>
        <w:tc>
          <w:tcPr>
            <w:tcW w:w="3552" w:type="pct"/>
            <w:vAlign w:val="center"/>
          </w:tcPr>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1.不论投标结果如何，投标人均应自行承担所有与投标有关的全部费用；</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2.中标人在中标通知书发出之日起七个工作日内，向采购代理机构交纳代理服务费；</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4.服务费以中标金额为基数按《国家计委关于印发《招标代理服务收费管理暂行办法》(计价格[200211980号)规定标准的70%计取，低于3000元时按3000元计取。</w:t>
            </w:r>
          </w:p>
        </w:tc>
      </w:tr>
    </w:tbl>
    <w:p>
      <w:pPr>
        <w:snapToGrid w:val="0"/>
        <w:spacing w:line="288" w:lineRule="auto"/>
        <w:jc w:val="center"/>
        <w:rPr>
          <w:rFonts w:hint="eastAsia" w:ascii="宋体" w:hAnsi="宋体" w:cs="宋体"/>
          <w:b/>
          <w:color w:val="000000" w:themeColor="text1"/>
          <w:szCs w:val="21"/>
          <w14:textFill>
            <w14:solidFill>
              <w14:schemeClr w14:val="tx1"/>
            </w14:solidFill>
          </w14:textFill>
        </w:rPr>
      </w:pPr>
    </w:p>
    <w:bookmarkEnd w:id="10"/>
    <w:p>
      <w:pPr>
        <w:spacing w:line="288" w:lineRule="auto"/>
        <w:rPr>
          <w:rFonts w:hint="eastAsia" w:ascii="宋体" w:hAnsi="宋体" w:cs="宋体"/>
          <w:b/>
          <w:color w:val="000000" w:themeColor="text1"/>
          <w:szCs w:val="21"/>
          <w14:textFill>
            <w14:solidFill>
              <w14:schemeClr w14:val="tx1"/>
            </w14:solidFill>
          </w14:textFill>
        </w:rPr>
      </w:pPr>
      <w:bookmarkStart w:id="13" w:name="_Toc164416483"/>
      <w:bookmarkStart w:id="14" w:name="第三部分"/>
      <w:r>
        <w:rPr>
          <w:rFonts w:hint="eastAsia" w:ascii="宋体" w:hAnsi="宋体" w:cs="宋体"/>
          <w:b/>
          <w:color w:val="000000" w:themeColor="text1"/>
          <w:szCs w:val="21"/>
          <w14:textFill>
            <w14:solidFill>
              <w14:schemeClr w14:val="tx1"/>
            </w14:solidFill>
          </w14:textFill>
        </w:rPr>
        <w:br w:type="page"/>
      </w:r>
    </w:p>
    <w:p>
      <w:pPr>
        <w:adjustRightInd/>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一、总则</w:t>
      </w:r>
    </w:p>
    <w:p>
      <w:pPr>
        <w:snapToGrid w:val="0"/>
        <w:spacing w:line="288"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1.适用范围</w:t>
      </w:r>
    </w:p>
    <w:p>
      <w:pPr>
        <w:snapToGrid w:val="0"/>
        <w:spacing w:line="288"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本招标文件适用于该项目的招标、投标、开标、资格审查及信用信息查询、评标、定标、合同、验收等行为（法律、法规另有规定的，从其规定）。</w:t>
      </w:r>
    </w:p>
    <w:p>
      <w:pPr>
        <w:snapToGrid w:val="0"/>
        <w:spacing w:line="288"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2.定义</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“采购人”系指招标公告中载明的本项目的采购人。</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“采购代理机构”系指招标公告中载明的本项目的采购代理机构。</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“投标人”系指是指响应招标、参加投标竞争的法人、其他组织或者自然人。</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 “负责人”系指法人企业的法定负责人，或其他组织为法律、行政法规规定代表单位行使职权的主要负责人，或自然人本人。</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2.6“电子交易平台”系指本项目政府采购活动所依托的政府采购云平台（https://www.zcygov.cn/）。</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 “▲” 系指实质性要求条款，“</w:t>
      </w:r>
      <w:sdt>
        <w:sdtPr>
          <w:rPr>
            <w:rFonts w:hint="eastAsia" w:ascii="宋体" w:hAnsi="宋体" w:cs="宋体"/>
            <w:color w:val="000000" w:themeColor="text1"/>
            <w:kern w:val="0"/>
            <w:szCs w:val="21"/>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ascii="Wingdings" w:hAnsi="Wingdings" w:cs="宋体"/>
              <w:color w:val="000000" w:themeColor="text1"/>
              <w:kern w:val="0"/>
              <w:szCs w:val="21"/>
              <w14:textFill>
                <w14:solidFill>
                  <w14:schemeClr w14:val="tx1"/>
                </w14:solidFill>
              </w14:textFill>
            </w:rPr>
            <w:t></w:t>
          </w:r>
        </w:sdtContent>
      </w:sdt>
      <w:r>
        <w:rPr>
          <w:rFonts w:hint="eastAsia" w:ascii="宋体" w:hAnsi="宋体" w:cs="宋体"/>
          <w:color w:val="000000" w:themeColor="text1"/>
          <w:szCs w:val="21"/>
          <w14:textFill>
            <w14:solidFill>
              <w14:schemeClr w14:val="tx1"/>
            </w14:solidFill>
          </w14:textFill>
        </w:rPr>
        <w:t>” 系指适用本项目的要求，“</w:t>
      </w:r>
      <w:sdt>
        <w:sdtPr>
          <w:rPr>
            <w:rFonts w:hint="eastAsia" w:ascii="宋体" w:hAnsi="宋体" w:cs="宋体"/>
            <w:color w:val="000000" w:themeColor="text1"/>
            <w:kern w:val="0"/>
            <w:szCs w:val="21"/>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Cs w:val="21"/>
            <w14:textFill>
              <w14:solidFill>
                <w14:schemeClr w14:val="tx1"/>
              </w14:solidFill>
            </w14:textFill>
          </w:rPr>
        </w:sdtEndPr>
        <w:sdtContent>
          <w:r>
            <w:rPr>
              <w:rFonts w:hint="eastAsia" w:ascii="宋体" w:hAnsi="宋体" w:cs="宋体"/>
              <w:color w:val="000000" w:themeColor="text1"/>
              <w:kern w:val="0"/>
              <w:szCs w:val="21"/>
              <w14:textFill>
                <w14:solidFill>
                  <w14:schemeClr w14:val="tx1"/>
                </w14:solidFill>
              </w14:textFill>
            </w:rPr>
            <w:t>☐</w:t>
          </w:r>
        </w:sdtContent>
      </w:sdt>
      <w:r>
        <w:rPr>
          <w:rFonts w:hint="eastAsia" w:ascii="宋体" w:hAnsi="宋体" w:cs="宋体"/>
          <w:color w:val="000000" w:themeColor="text1"/>
          <w:szCs w:val="21"/>
          <w14:textFill>
            <w14:solidFill>
              <w14:schemeClr w14:val="tx1"/>
            </w14:solidFill>
          </w14:textFill>
        </w:rPr>
        <w:t>” 系指不适用本项目的要求。</w:t>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3.采购项目需要落实的政府采购政策</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 本项目原则上采购本国生产的货物、工程和服务，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Cs w:val="21"/>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Cs w:val="21"/>
          <w14:textFill>
            <w14:solidFill>
              <w14:schemeClr w14:val="tx1"/>
            </w14:solidFill>
          </w14:textFill>
        </w:rPr>
        <w:t>。</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 支持绿色发展</w:t>
      </w:r>
    </w:p>
    <w:p>
      <w:pPr>
        <w:spacing w:line="288"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Cs w:val="21"/>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Cs w:val="21"/>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288" w:lineRule="auto"/>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3.3支持中小企业发展</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符合中小企业划分标准的个体工商户，在政府采购活动中视同中小企业。</w:t>
      </w:r>
    </w:p>
    <w:p>
      <w:pPr>
        <w:widowControl/>
        <w:spacing w:line="288"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3.3.2</w:t>
      </w:r>
      <w:r>
        <w:rPr>
          <w:rFonts w:hint="eastAsia" w:ascii="宋体" w:hAnsi="宋体" w:cs="宋体"/>
          <w:color w:val="000000" w:themeColor="text1"/>
          <w:kern w:val="0"/>
          <w:szCs w:val="21"/>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288"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3.3.3对于未预留份额专门面向中小企业的政府采购货物项目，以及预留份额政府采购货物项目中的非预留部分标项，对小型和微型企业的投标报价给予10%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Cs w:val="21"/>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Cs w:val="21"/>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3.3.7中小企业享受扶持政策获得政府采购合同的，小微企业不得将合同分包给大中型企业，中型企业不得将合同分包给大型企业。</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w:t>
      </w:r>
      <w:r>
        <w:rPr>
          <w:rFonts w:hint="eastAsia" w:ascii="宋体" w:hAnsi="宋体" w:cs="宋体"/>
          <w:bCs/>
          <w:color w:val="000000" w:themeColor="text1"/>
          <w:szCs w:val="21"/>
          <w14:textFill>
            <w14:solidFill>
              <w14:schemeClr w14:val="tx1"/>
            </w14:solidFill>
          </w14:textFill>
        </w:rPr>
        <w:t>支持创新发展</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3.4.1采购人优先采购被认定为首台套产品和“制造精品”的自主创新产品。</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tabs>
          <w:tab w:val="left" w:pos="432"/>
        </w:tabs>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 采购人应当贯彻落实知识产权保护相关法律法规，应当采购使用正版软件。</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3.5平等对待内外资企业和符合条件的破产重整企业</w:t>
      </w:r>
    </w:p>
    <w:p>
      <w:pPr>
        <w:spacing w:line="288"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Cs w:val="21"/>
          <w14:textFill>
            <w14:solidFill>
              <w14:schemeClr w14:val="tx1"/>
            </w14:solidFill>
          </w14:textFill>
        </w:rPr>
        <w:cr/>
      </w:r>
      <w:r>
        <w:rPr>
          <w:rFonts w:hint="eastAsia" w:ascii="宋体" w:hAnsi="宋体" w:cs="宋体"/>
          <w:b/>
          <w:color w:val="000000" w:themeColor="text1"/>
          <w:szCs w:val="21"/>
          <w14:textFill>
            <w14:solidFill>
              <w14:schemeClr w14:val="tx1"/>
            </w14:solidFill>
          </w14:textFill>
        </w:rPr>
        <w:t>4.询问、质疑、投诉、补偿救济</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4.1在线询问、质疑、投诉</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供应商询问</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供应商质疑</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4.3.1提出质疑的供应商应当是参与所质疑项目采购活动的供应商。潜在供应商已依法获取其可质疑的招标文件的，可以对该文件提出质疑。</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4.3.2.1对招标文件提出质疑的，质疑期限为供应商获得招标文件之日或者招标文件公告期限届满之日起计算。</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4.3.2.2对采购过程提出质疑的，质疑期限为各采购程序环节结束之日起计算。</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4.3.2.3对采购结果提出质疑的，质疑期限自采购结果公告期限届满之日起计算。</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4.3.3供应商提出质疑应当提交质疑函和必要的证明材料。质疑函应当包括下列内容：</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4.3.3.1供应商的姓名或者名称、地址、邮编、联系人及联系电话；</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4.3.3.2质疑项目的名称、编号；</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4.3.3.3具体、明确的质疑事项和与质疑事项相关的请求；</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4.3.3.4事实依据；</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4.3.3.5必要的法律依据；</w:t>
      </w:r>
    </w:p>
    <w:p>
      <w:pPr>
        <w:spacing w:line="288" w:lineRule="auto"/>
        <w:ind w:firstLine="840" w:firstLineChars="4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4.3.3.6提出质疑的日期。</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质疑函范本及制作说明详见附件2。</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4.3.4对同一采购程序环节的质疑，供应商须在法定质疑期内一次性提出。</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4.3.6询问或者质疑事项可能影响采购结果的，采购人应当暂停签订合同，已经签订合同的，应当中止履行合同。</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4.4供应商投诉</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4.4.2供应商投诉的事项不得超出已质疑事项的范围，基于质疑答复内容提出的投诉事项除外。</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4.4.3供应商投诉应当有明确的请求和必要的证明材料。</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4.4.4 以联合体形式参加政府采购活动的，其投诉应当由组成联合体的所有供应商共同提出。</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4.5 补偿救济</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pPr>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投诉书范本及制作说明详见附件3。</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p>
    <w:p>
      <w:pPr>
        <w:adjustRightInd/>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w:t>
      </w:r>
    </w:p>
    <w:p>
      <w:pP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pPr>
        <w:adjustRightInd/>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二、招标文件的构成、澄清、修改</w:t>
      </w:r>
    </w:p>
    <w:p>
      <w:pPr>
        <w:pStyle w:val="32"/>
        <w:spacing w:line="288" w:lineRule="auto"/>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5.招标文件的构成</w:t>
      </w:r>
    </w:p>
    <w:p>
      <w:pPr>
        <w:pStyle w:val="32"/>
        <w:spacing w:line="288" w:lineRule="auto"/>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 招标文件包括下列文件及附件：</w:t>
      </w:r>
    </w:p>
    <w:p>
      <w:pPr>
        <w:pStyle w:val="32"/>
        <w:tabs>
          <w:tab w:val="left" w:pos="840"/>
        </w:tabs>
        <w:spacing w:line="288" w:lineRule="auto"/>
        <w:ind w:firstLine="840" w:firstLineChars="4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5.1.1招标公告；</w:t>
      </w:r>
    </w:p>
    <w:p>
      <w:pPr>
        <w:pStyle w:val="32"/>
        <w:tabs>
          <w:tab w:val="left" w:pos="840"/>
        </w:tabs>
        <w:spacing w:line="288" w:lineRule="auto"/>
        <w:ind w:firstLine="840" w:firstLineChars="4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5.1.2投标人须知；</w:t>
      </w:r>
    </w:p>
    <w:p>
      <w:pPr>
        <w:pStyle w:val="32"/>
        <w:tabs>
          <w:tab w:val="left" w:pos="840"/>
        </w:tabs>
        <w:spacing w:line="288" w:lineRule="auto"/>
        <w:ind w:firstLine="840" w:firstLineChars="4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5.1.3采购需求；</w:t>
      </w:r>
    </w:p>
    <w:p>
      <w:pPr>
        <w:pStyle w:val="32"/>
        <w:tabs>
          <w:tab w:val="left" w:pos="840"/>
        </w:tabs>
        <w:spacing w:line="288" w:lineRule="auto"/>
        <w:ind w:firstLine="840" w:firstLineChars="4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5.1.4评标办法；</w:t>
      </w:r>
    </w:p>
    <w:p>
      <w:pPr>
        <w:pStyle w:val="32"/>
        <w:tabs>
          <w:tab w:val="left" w:pos="840"/>
        </w:tabs>
        <w:spacing w:line="288" w:lineRule="auto"/>
        <w:ind w:firstLine="840" w:firstLineChars="4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5.1.5拟签订的合同文本；</w:t>
      </w:r>
    </w:p>
    <w:p>
      <w:pPr>
        <w:pStyle w:val="32"/>
        <w:tabs>
          <w:tab w:val="left" w:pos="840"/>
        </w:tabs>
        <w:spacing w:line="288" w:lineRule="auto"/>
        <w:ind w:firstLine="840" w:firstLineChars="4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5.1.6应提交的有关格式范例。</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5.2与本项目有关的</w:t>
      </w:r>
      <w:r>
        <w:rPr>
          <w:rFonts w:hint="eastAsia" w:ascii="宋体" w:hAnsi="宋体" w:cs="宋体"/>
          <w:bCs/>
          <w:color w:val="000000" w:themeColor="text1"/>
          <w:szCs w:val="21"/>
          <w14:textFill>
            <w14:solidFill>
              <w14:schemeClr w14:val="tx1"/>
            </w14:solidFill>
          </w14:textFill>
        </w:rPr>
        <w:t>澄清或者修改的内容为招标文件的组成部分</w:t>
      </w:r>
      <w:r>
        <w:rPr>
          <w:rFonts w:hint="eastAsia" w:ascii="宋体" w:hAnsi="宋体" w:cs="宋体"/>
          <w:color w:val="000000" w:themeColor="text1"/>
          <w:szCs w:val="21"/>
          <w14:textFill>
            <w14:solidFill>
              <w14:schemeClr w14:val="tx1"/>
            </w14:solidFill>
          </w14:textFill>
        </w:rPr>
        <w:t>。</w:t>
      </w:r>
    </w:p>
    <w:p>
      <w:pPr>
        <w:pStyle w:val="32"/>
        <w:spacing w:line="288" w:lineRule="auto"/>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6.招标文件的澄清、修改</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6.1已获取招标文件的潜在投标人，若有问题需要澄清，应于投标截止时间前，以书面形式向采购代理机构提出。</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pacing w:line="288" w:lineRule="auto"/>
        <w:rPr>
          <w:rFonts w:hint="eastAsia"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 xml:space="preserve">    </w:t>
      </w:r>
    </w:p>
    <w:p>
      <w:pPr>
        <w:adjustRightInd/>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三、投标</w:t>
      </w:r>
    </w:p>
    <w:p>
      <w:pPr>
        <w:pStyle w:val="32"/>
        <w:spacing w:line="288" w:lineRule="auto"/>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7.招标文件的获取</w:t>
      </w:r>
    </w:p>
    <w:p>
      <w:pPr>
        <w:spacing w:line="288" w:lineRule="auto"/>
        <w:ind w:firstLine="420" w:firstLineChars="200"/>
        <w:rPr>
          <w:rFonts w:hint="eastAsia" w:ascii="宋体" w:hAnsi="宋体" w:cs="宋体"/>
          <w:snapToGrid w:val="0"/>
          <w:color w:val="000000" w:themeColor="text1"/>
          <w:kern w:val="28"/>
          <w:szCs w:val="21"/>
          <w14:textFill>
            <w14:solidFill>
              <w14:schemeClr w14:val="tx1"/>
            </w14:solidFill>
          </w14:textFill>
        </w:rPr>
      </w:pPr>
      <w:r>
        <w:rPr>
          <w:rFonts w:hint="eastAsia" w:ascii="宋体" w:hAnsi="宋体" w:cs="宋体"/>
          <w:snapToGrid w:val="0"/>
          <w:color w:val="000000" w:themeColor="text1"/>
          <w:kern w:val="28"/>
          <w:szCs w:val="21"/>
          <w14:textFill>
            <w14:solidFill>
              <w14:schemeClr w14:val="tx1"/>
            </w14:solidFill>
          </w14:textFill>
        </w:rPr>
        <w:t>详见招标公告中获取招标文件的时间期限、地点、方式及招标文件售价。</w:t>
      </w:r>
    </w:p>
    <w:p>
      <w:pPr>
        <w:pStyle w:val="32"/>
        <w:spacing w:line="288" w:lineRule="auto"/>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8.开标前答疑会或现场考察</w:t>
      </w:r>
    </w:p>
    <w:p>
      <w:pPr>
        <w:pStyle w:val="32"/>
        <w:spacing w:line="288" w:lineRule="auto"/>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288" w:lineRule="auto"/>
        <w:rPr>
          <w:rFonts w:hint="eastAsia" w:hAnsi="宋体" w:cs="宋体"/>
          <w:b/>
          <w:color w:val="000000" w:themeColor="text1"/>
          <w14:textFill>
            <w14:solidFill>
              <w14:schemeClr w14:val="tx1"/>
            </w14:solidFill>
          </w14:textFill>
        </w:rPr>
      </w:pPr>
      <w:r>
        <w:rPr>
          <w:rFonts w:hint="eastAsia" w:hAnsi="宋体" w:cs="宋体"/>
          <w:b/>
          <w:color w:val="000000" w:themeColor="text1"/>
          <w:kern w:val="28"/>
          <w14:textFill>
            <w14:solidFill>
              <w14:schemeClr w14:val="tx1"/>
            </w14:solidFill>
          </w14:textFill>
        </w:rPr>
        <w:t>9.投标保证金</w:t>
      </w:r>
    </w:p>
    <w:p>
      <w:pPr>
        <w:pStyle w:val="5"/>
        <w:spacing w:line="288" w:lineRule="auto"/>
        <w:ind w:firstLine="411" w:firstLineChars="196"/>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本项目不需缴纳投标保证金。</w:t>
      </w:r>
    </w:p>
    <w:p>
      <w:pPr>
        <w:pStyle w:val="32"/>
        <w:spacing w:line="288" w:lineRule="auto"/>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10.投标文件的语言</w:t>
      </w:r>
    </w:p>
    <w:p>
      <w:pPr>
        <w:autoSpaceDE w:val="0"/>
        <w:autoSpaceDN w:val="0"/>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投标文件及投标人与采购有关的来往通知、函件和文件均应使用中文。</w:t>
      </w:r>
    </w:p>
    <w:p>
      <w:pPr>
        <w:pStyle w:val="32"/>
        <w:spacing w:line="288" w:lineRule="auto"/>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11.投标文件的组成</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r>
        <w:rPr>
          <w:rFonts w:hint="eastAsia" w:ascii="宋体" w:hAnsi="宋体" w:cs="宋体"/>
          <w:b/>
          <w:color w:val="000000" w:themeColor="text1"/>
          <w:szCs w:val="21"/>
          <w14:textFill>
            <w14:solidFill>
              <w14:schemeClr w14:val="tx1"/>
            </w14:solidFill>
          </w14:textFill>
        </w:rPr>
        <w:t>资格文件</w:t>
      </w:r>
      <w:r>
        <w:rPr>
          <w:rFonts w:hint="eastAsia" w:ascii="宋体" w:hAnsi="宋体" w:cs="宋体"/>
          <w:color w:val="000000" w:themeColor="text1"/>
          <w:szCs w:val="21"/>
          <w14:textFill>
            <w14:solidFill>
              <w14:schemeClr w14:val="tx1"/>
            </w14:solidFill>
          </w14:textFill>
        </w:rPr>
        <w:t>：</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11.1.1符合参加政府采购活动应当具备的一般条件的承诺函；</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11.1.2</w:t>
      </w:r>
      <w:bookmarkStart w:id="17" w:name="_Hlk101259339"/>
      <w:r>
        <w:rPr>
          <w:rFonts w:hint="eastAsia" w:ascii="宋体" w:hAnsi="宋体" w:cs="宋体"/>
          <w:snapToGrid w:val="0"/>
          <w:color w:val="000000" w:themeColor="text1"/>
          <w:kern w:val="28"/>
          <w:szCs w:val="21"/>
          <w14:textFill>
            <w14:solidFill>
              <w14:schemeClr w14:val="tx1"/>
            </w14:solidFill>
          </w14:textFill>
        </w:rPr>
        <w:t>联合协议</w:t>
      </w:r>
      <w:bookmarkEnd w:id="17"/>
      <w:r>
        <w:rPr>
          <w:rFonts w:hint="eastAsia" w:ascii="宋体" w:hAnsi="宋体" w:cs="宋体"/>
          <w:snapToGrid w:val="0"/>
          <w:color w:val="000000" w:themeColor="text1"/>
          <w:kern w:val="28"/>
          <w:szCs w:val="21"/>
          <w14:textFill>
            <w14:solidFill>
              <w14:schemeClr w14:val="tx1"/>
            </w14:solidFill>
          </w14:textFill>
        </w:rPr>
        <w:t>（如果有)；</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11.1.3落实政府采购政策需满足的资格要求</w:t>
      </w:r>
      <w:r>
        <w:rPr>
          <w:rFonts w:hint="eastAsia" w:ascii="宋体" w:hAnsi="宋体" w:cs="宋体"/>
          <w:snapToGrid w:val="0"/>
          <w:color w:val="000000" w:themeColor="text1"/>
          <w:kern w:val="28"/>
          <w:szCs w:val="21"/>
          <w14:textFill>
            <w14:solidFill>
              <w14:schemeClr w14:val="tx1"/>
            </w14:solidFill>
          </w14:textFill>
        </w:rPr>
        <w:t>（如果有)</w:t>
      </w:r>
      <w:r>
        <w:rPr>
          <w:rFonts w:hint="eastAsia" w:ascii="宋体" w:hAnsi="宋体" w:cs="宋体"/>
          <w:color w:val="000000" w:themeColor="text1"/>
          <w:szCs w:val="21"/>
          <w14:textFill>
            <w14:solidFill>
              <w14:schemeClr w14:val="tx1"/>
            </w14:solidFill>
          </w14:textFill>
        </w:rPr>
        <w:t>；</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11.1.4本项目的特定资格要求</w:t>
      </w:r>
      <w:r>
        <w:rPr>
          <w:rFonts w:hint="eastAsia" w:ascii="宋体" w:hAnsi="宋体" w:cs="宋体"/>
          <w:snapToGrid w:val="0"/>
          <w:color w:val="000000" w:themeColor="text1"/>
          <w:kern w:val="28"/>
          <w:szCs w:val="21"/>
          <w14:textFill>
            <w14:solidFill>
              <w14:schemeClr w14:val="tx1"/>
            </w14:solidFill>
          </w14:textFill>
        </w:rPr>
        <w:t>（如果有)</w:t>
      </w:r>
      <w:r>
        <w:rPr>
          <w:rFonts w:hint="eastAsia" w:ascii="宋体" w:hAnsi="宋体" w:cs="宋体"/>
          <w:color w:val="000000" w:themeColor="text1"/>
          <w:szCs w:val="21"/>
          <w14:textFill>
            <w14:solidFill>
              <w14:schemeClr w14:val="tx1"/>
            </w14:solidFill>
          </w14:textFill>
        </w:rPr>
        <w:t>。</w:t>
      </w:r>
    </w:p>
    <w:p>
      <w:pPr>
        <w:snapToGrid w:val="0"/>
        <w:spacing w:line="288" w:lineRule="auto"/>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商务技术</w:t>
      </w:r>
      <w:r>
        <w:rPr>
          <w:rFonts w:hint="eastAsia" w:ascii="宋体" w:hAnsi="宋体" w:cs="宋体"/>
          <w:color w:val="000000" w:themeColor="text1"/>
          <w:szCs w:val="21"/>
          <w:lang w:val="zh-CN"/>
          <w14:textFill>
            <w14:solidFill>
              <w14:schemeClr w14:val="tx1"/>
            </w14:solidFill>
          </w14:textFill>
        </w:rPr>
        <w:t>文件：</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11.2.1投标函；</w:t>
      </w:r>
      <w:r>
        <w:rPr>
          <w:rFonts w:hint="eastAsia" w:ascii="宋体" w:hAnsi="宋体" w:cs="宋体"/>
          <w:color w:val="000000" w:themeColor="text1"/>
          <w:szCs w:val="21"/>
          <w:lang w:val="zh-CN"/>
          <w14:textFill>
            <w14:solidFill>
              <w14:schemeClr w14:val="tx1"/>
            </w14:solidFill>
          </w14:textFill>
        </w:rPr>
        <w:t xml:space="preserve"> </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11.2.2授权委托书或法定代表人（单位负责人、自然人本人）身份证明；</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11.2.3分包意向协议</w:t>
      </w:r>
      <w:r>
        <w:rPr>
          <w:rFonts w:hint="eastAsia" w:ascii="宋体" w:hAnsi="宋体" w:cs="宋体"/>
          <w:snapToGrid w:val="0"/>
          <w:color w:val="000000" w:themeColor="text1"/>
          <w:kern w:val="28"/>
          <w:szCs w:val="21"/>
          <w14:textFill>
            <w14:solidFill>
              <w14:schemeClr w14:val="tx1"/>
            </w14:solidFill>
          </w14:textFill>
        </w:rPr>
        <w:t>（如果有)</w:t>
      </w:r>
      <w:r>
        <w:rPr>
          <w:rFonts w:hint="eastAsia" w:ascii="宋体" w:hAnsi="宋体" w:cs="宋体"/>
          <w:color w:val="000000" w:themeColor="text1"/>
          <w:szCs w:val="21"/>
          <w14:textFill>
            <w14:solidFill>
              <w14:schemeClr w14:val="tx1"/>
            </w14:solidFill>
          </w14:textFill>
        </w:rPr>
        <w:t>；</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11.2.4符合性审查资料；</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11.2.5评标标准相应的商务技术资料；</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11.2.6投标标的清单；</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11.2.7商务技术偏离表；</w:t>
      </w:r>
    </w:p>
    <w:p>
      <w:pPr>
        <w:snapToGrid w:val="0"/>
        <w:spacing w:line="288" w:lineRule="auto"/>
        <w:ind w:firstLine="840" w:firstLineChars="4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lang w:val="zh-CN"/>
          <w14:textFill>
            <w14:solidFill>
              <w14:schemeClr w14:val="tx1"/>
            </w14:solidFill>
          </w14:textFill>
        </w:rPr>
        <w:t>政府采购供应商廉洁自律承诺书；</w:t>
      </w:r>
    </w:p>
    <w:p>
      <w:pPr>
        <w:snapToGrid w:val="0"/>
        <w:spacing w:line="288" w:lineRule="auto"/>
        <w:ind w:firstLine="420" w:firstLineChars="200"/>
        <w:rPr>
          <w:rFonts w:hint="eastAsia" w:ascii="宋体" w:hAnsi="宋体" w:cs="宋体"/>
          <w:color w:val="000000" w:themeColor="text1"/>
          <w:szCs w:val="21"/>
          <w:u w:val="single"/>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报价文件：</w:t>
      </w:r>
      <w:r>
        <w:rPr>
          <w:rFonts w:hint="eastAsia" w:ascii="宋体" w:hAnsi="宋体" w:cs="宋体"/>
          <w:color w:val="000000" w:themeColor="text1"/>
          <w:szCs w:val="21"/>
          <w14:textFill>
            <w14:solidFill>
              <w14:schemeClr w14:val="tx1"/>
            </w14:solidFill>
          </w14:textFill>
        </w:rPr>
        <w:t xml:space="preserve"> </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11.3.1开标一览表（报价表）；</w:t>
      </w:r>
    </w:p>
    <w:p>
      <w:pPr>
        <w:pStyle w:val="81"/>
        <w:adjustRightInd w:val="0"/>
        <w:spacing w:line="288" w:lineRule="auto"/>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11.3.2 报价情况说明（如供应商报价低于项目预算50%的，应当提交本文档，详细阐述不影响产品质量或者诚信履约的具体原因）；</w:t>
      </w:r>
    </w:p>
    <w:p>
      <w:pPr>
        <w:snapToGrid w:val="0"/>
        <w:spacing w:line="288" w:lineRule="auto"/>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11.3.3中小企业声明函。</w:t>
      </w:r>
    </w:p>
    <w:p>
      <w:pPr>
        <w:spacing w:line="288" w:lineRule="auto"/>
        <w:ind w:firstLine="632" w:firstLineChars="3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投标文件含有采购人不能接受的附加条件的，投标无效；</w:t>
      </w:r>
    </w:p>
    <w:p>
      <w:pPr>
        <w:spacing w:line="288" w:lineRule="auto"/>
        <w:ind w:firstLine="632" w:firstLineChars="3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投标人提供虚假材料投标的，投标无效。</w:t>
      </w:r>
    </w:p>
    <w:p>
      <w:pPr>
        <w:spacing w:line="288" w:lineRule="auto"/>
        <w:ind w:firstLine="630" w:firstLineChars="3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投标人应对投标文件中材料的真实性、合法性负责。</w:t>
      </w:r>
    </w:p>
    <w:p>
      <w:pPr>
        <w:pStyle w:val="131"/>
        <w:snapToGrid w:val="0"/>
        <w:spacing w:before="0" w:line="288" w:lineRule="auto"/>
        <w:ind w:firstLine="0" w:firstLineChars="0"/>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12</w:t>
      </w:r>
      <w:r>
        <w:rPr>
          <w:rFonts w:hint="eastAsia" w:ascii="宋体" w:hAnsi="宋体" w:cs="宋体"/>
          <w:b/>
          <w:color w:val="000000" w:themeColor="text1"/>
          <w:kern w:val="0"/>
          <w:sz w:val="21"/>
          <w:szCs w:val="21"/>
          <w:lang w:val="zh-CN"/>
          <w14:textFill>
            <w14:solidFill>
              <w14:schemeClr w14:val="tx1"/>
            </w14:solidFill>
          </w14:textFill>
        </w:rPr>
        <w:t>.</w:t>
      </w:r>
      <w:r>
        <w:rPr>
          <w:rFonts w:hint="eastAsia" w:ascii="宋体" w:hAnsi="宋体" w:cs="宋体"/>
          <w:b/>
          <w:color w:val="000000" w:themeColor="text1"/>
          <w:sz w:val="21"/>
          <w:szCs w:val="21"/>
          <w14:textFill>
            <w14:solidFill>
              <w14:schemeClr w14:val="tx1"/>
            </w14:solidFill>
          </w14:textFill>
        </w:rPr>
        <w:t>投标文件的编制</w:t>
      </w:r>
    </w:p>
    <w:p>
      <w:pPr>
        <w:spacing w:line="288"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288" w:lineRule="auto"/>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288" w:lineRule="auto"/>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13.投标文件的签署、盖章</w:t>
      </w:r>
    </w:p>
    <w:p>
      <w:pPr>
        <w:pStyle w:val="131"/>
        <w:snapToGrid w:val="0"/>
        <w:spacing w:before="0" w:line="288" w:lineRule="auto"/>
        <w:ind w:firstLine="420"/>
        <w:rPr>
          <w:rFonts w:hint="eastAsia"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13.1投标文件按照招标文件第六部分格式要求进行签署、盖章。</w:t>
      </w:r>
      <w:r>
        <w:rPr>
          <w:rFonts w:hint="eastAsia" w:ascii="宋体" w:hAnsi="宋体" w:cs="宋体"/>
          <w:b/>
          <w:color w:val="000000" w:themeColor="text1"/>
          <w:sz w:val="21"/>
          <w:szCs w:val="21"/>
          <w14:textFill>
            <w14:solidFill>
              <w14:schemeClr w14:val="tx1"/>
            </w14:solidFill>
          </w14:textFill>
        </w:rPr>
        <w:t>▲投标人的投标文件未按照招标文件要求签署、盖章的，其投标无效</w:t>
      </w:r>
      <w:r>
        <w:rPr>
          <w:rFonts w:hint="eastAsia" w:ascii="宋体" w:hAnsi="宋体" w:cs="宋体"/>
          <w:color w:val="000000" w:themeColor="text1"/>
          <w:sz w:val="21"/>
          <w:szCs w:val="21"/>
          <w14:textFill>
            <w14:solidFill>
              <w14:schemeClr w14:val="tx1"/>
            </w14:solidFill>
          </w14:textFill>
        </w:rPr>
        <w:t>。</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13.3招标文件对投标文件签署、盖章的要求适用于电子签名。</w:t>
      </w:r>
    </w:p>
    <w:p>
      <w:pPr>
        <w:pStyle w:val="131"/>
        <w:spacing w:before="0" w:line="288" w:lineRule="auto"/>
        <w:ind w:firstLine="0" w:firstLineChars="0"/>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14.投标文件的提交、补充、修改、撤回</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288" w:lineRule="auto"/>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15.备份投标文件</w:t>
      </w:r>
    </w:p>
    <w:p>
      <w:pPr>
        <w:pStyle w:val="32"/>
        <w:spacing w:line="288" w:lineRule="auto"/>
        <w:ind w:firstLine="315" w:firstLineChars="150"/>
        <w:rPr>
          <w:rFonts w:hint="eastAsia" w:hAnsi="宋体" w:cs="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14:textFill>
            <w14:solidFill>
              <w14:schemeClr w14:val="tx1"/>
            </w14:solidFill>
          </w14:textFill>
        </w:rPr>
        <w:t>但采购人、采购代理机构不强制或变相强制投标人提交备份投标文件。</w:t>
      </w:r>
    </w:p>
    <w:p>
      <w:pPr>
        <w:pStyle w:val="32"/>
        <w:spacing w:line="288" w:lineRule="auto"/>
        <w:ind w:firstLine="420" w:firstLineChars="200"/>
        <w:rPr>
          <w:rFonts w:hint="eastAsia" w:hAnsi="宋体" w:cs="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14:textFill>
            <w14:solidFill>
              <w14:schemeClr w14:val="tx1"/>
            </w14:solidFill>
          </w14:textFill>
        </w:rPr>
        <w:t>不符合上述制作、存储、密封规定的备份投标文件将被视为无效或者被拒绝接收。</w:t>
      </w:r>
    </w:p>
    <w:p>
      <w:pPr>
        <w:pStyle w:val="32"/>
        <w:spacing w:line="288" w:lineRule="auto"/>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2"/>
        <w:spacing w:line="288" w:lineRule="auto"/>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14:textFill>
            <w14:solidFill>
              <w14:schemeClr w14:val="tx1"/>
            </w14:solidFill>
          </w14:textFill>
        </w:rPr>
        <w:t>招标文件第二部分投标人须知前附表规定的备份投标文件送达地点；</w:t>
      </w:r>
      <w:r>
        <w:rPr>
          <w:rFonts w:hint="eastAsia" w:hAnsi="宋体" w:cs="宋体"/>
          <w:color w:val="000000" w:themeColor="text1"/>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2"/>
        <w:spacing w:line="288" w:lineRule="auto"/>
        <w:ind w:firstLine="422" w:firstLineChars="200"/>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15.5投标人仅提交备份投标文件，未在电子交易平台传输递交投标文件的，投标无效。</w:t>
      </w:r>
    </w:p>
    <w:p>
      <w:pPr>
        <w:pStyle w:val="131"/>
        <w:spacing w:before="0" w:line="288" w:lineRule="auto"/>
        <w:ind w:firstLine="0" w:firstLineChars="0"/>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16.投标文件的无效处理</w:t>
      </w:r>
    </w:p>
    <w:p>
      <w:pPr>
        <w:pStyle w:val="24"/>
        <w:spacing w:line="288" w:lineRule="auto"/>
        <w:ind w:firstLine="315" w:firstLineChars="15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有招标文件第四部分4.2规定的情形之一的，投标无效：</w:t>
      </w:r>
    </w:p>
    <w:p>
      <w:pPr>
        <w:pStyle w:val="131"/>
        <w:spacing w:before="0" w:line="288" w:lineRule="auto"/>
        <w:ind w:firstLine="0" w:firstLineChars="0"/>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17.投标有效期</w:t>
      </w:r>
    </w:p>
    <w:p>
      <w:pPr>
        <w:spacing w:line="288"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17.1投标有效期为从提交投标文件的截止之日起90天。▲</w:t>
      </w:r>
      <w:r>
        <w:rPr>
          <w:rFonts w:hint="eastAsia" w:ascii="宋体" w:hAnsi="宋体" w:cs="宋体"/>
          <w:b/>
          <w:color w:val="000000" w:themeColor="text1"/>
          <w:szCs w:val="21"/>
          <w14:textFill>
            <w14:solidFill>
              <w14:schemeClr w14:val="tx1"/>
            </w14:solidFill>
          </w14:textFill>
        </w:rPr>
        <w:t>投标人的投标文件中承诺的投标有效期少于招标文件中载明的投标有效期的，投标无效。</w:t>
      </w:r>
    </w:p>
    <w:p>
      <w:pPr>
        <w:pStyle w:val="131"/>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17.2投标文件合格投递后，自投标截止日期起，在投标有效期内有效。</w:t>
      </w:r>
    </w:p>
    <w:p>
      <w:pPr>
        <w:pStyle w:val="131"/>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line="288" w:lineRule="auto"/>
        <w:ind w:firstLine="422"/>
        <w:rPr>
          <w:rFonts w:hint="eastAsia" w:ascii="宋体" w:hAnsi="宋体" w:cs="宋体"/>
          <w:b/>
          <w:color w:val="000000" w:themeColor="text1"/>
          <w:sz w:val="21"/>
          <w:szCs w:val="21"/>
          <w14:textFill>
            <w14:solidFill>
              <w14:schemeClr w14:val="tx1"/>
            </w14:solidFill>
          </w14:textFill>
        </w:rPr>
      </w:pPr>
    </w:p>
    <w:p>
      <w:pPr>
        <w:pStyle w:val="131"/>
        <w:spacing w:before="0" w:line="288" w:lineRule="auto"/>
        <w:ind w:firstLine="0" w:firstLineChars="0"/>
        <w:jc w:val="center"/>
        <w:outlineLvl w:val="1"/>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四、开标、资格审查与信用信息查询</w:t>
      </w:r>
    </w:p>
    <w:p>
      <w:pPr>
        <w:pStyle w:val="556"/>
        <w:spacing w:before="0" w:line="288" w:lineRule="auto"/>
        <w:ind w:left="0" w:firstLine="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18.开标</w:t>
      </w:r>
      <w:r>
        <w:rPr>
          <w:rFonts w:hint="eastAsia" w:ascii="宋体" w:hAnsi="宋体" w:cs="宋体"/>
          <w:color w:val="000000" w:themeColor="text1"/>
          <w:sz w:val="21"/>
          <w:szCs w:val="21"/>
          <w14:textFill>
            <w14:solidFill>
              <w14:schemeClr w14:val="tx1"/>
            </w14:solidFill>
          </w14:textFill>
        </w:rPr>
        <w:t xml:space="preserve"> </w:t>
      </w:r>
    </w:p>
    <w:p>
      <w:pPr>
        <w:pStyle w:val="556"/>
        <w:spacing w:before="0" w:line="288" w:lineRule="auto"/>
        <w:ind w:left="0"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18.1采购代理机构按照招标文件规定的时间通过电子交易平台组织开标，所有投标人均应当准时在线参加。投标人不足3家的，不得开标。</w:t>
      </w:r>
    </w:p>
    <w:p>
      <w:pPr>
        <w:pStyle w:val="556"/>
        <w:spacing w:before="0" w:line="288" w:lineRule="auto"/>
        <w:ind w:left="0" w:firstLine="210" w:firstLineChars="1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288" w:lineRule="auto"/>
        <w:ind w:left="0" w:firstLine="210" w:firstLineChars="100"/>
        <w:contextualSpacing/>
        <w:rPr>
          <w:rFonts w:hint="eastAsia"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18.3</w:t>
      </w:r>
      <w:r>
        <w:rPr>
          <w:rFonts w:hint="eastAsia" w:ascii="宋体" w:hAnsi="宋体" w:cs="宋体"/>
          <w:b/>
          <w:color w:val="000000" w:themeColor="text1"/>
          <w:sz w:val="21"/>
          <w:szCs w:val="21"/>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556"/>
        <w:spacing w:before="0" w:line="288" w:lineRule="auto"/>
        <w:ind w:left="0" w:firstLine="0"/>
        <w:contextualSpacing/>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19.资格审查</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19.1</w:t>
      </w:r>
      <w:r>
        <w:rPr>
          <w:rFonts w:hint="eastAsia" w:ascii="宋体" w:hAnsi="宋体" w:cs="宋体"/>
          <w:color w:val="000000" w:themeColor="text1"/>
          <w:szCs w:val="21"/>
          <w14:textFill>
            <w14:solidFill>
              <w14:schemeClr w14:val="tx1"/>
            </w14:solidFill>
          </w14:textFill>
        </w:rPr>
        <w:t>采购人或采购代理机构依据法律法规和招标文件的规定，对投标人的资格进行审查。</w:t>
      </w:r>
    </w:p>
    <w:p>
      <w:pPr>
        <w:pStyle w:val="131"/>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19.2投标人未按照招标文件要求提供与</w:t>
      </w:r>
      <w:r>
        <w:rPr>
          <w:rFonts w:hint="eastAsia" w:ascii="宋体" w:hAnsi="宋体" w:cs="宋体"/>
          <w:color w:val="000000" w:themeColor="text1"/>
          <w:sz w:val="21"/>
          <w:szCs w:val="21"/>
          <w14:textFill>
            <w14:solidFill>
              <w14:schemeClr w14:val="tx1"/>
            </w14:solidFill>
          </w14:textFill>
        </w:rPr>
        <w:t>资格条件相应的</w:t>
      </w:r>
      <w:r>
        <w:rPr>
          <w:rFonts w:hint="eastAsia" w:ascii="宋体" w:hAnsi="宋体" w:cs="宋体"/>
          <w:color w:val="000000" w:themeColor="text1"/>
          <w:kern w:val="0"/>
          <w:sz w:val="21"/>
          <w:szCs w:val="21"/>
          <w14:textFill>
            <w14:solidFill>
              <w14:schemeClr w14:val="tx1"/>
            </w14:solidFill>
          </w14:textFill>
        </w:rPr>
        <w:t>有效资格证明材料的，视为</w:t>
      </w:r>
      <w:r>
        <w:rPr>
          <w:rFonts w:hint="eastAsia" w:ascii="宋体" w:hAnsi="宋体" w:cs="宋体"/>
          <w:color w:val="000000" w:themeColor="text1"/>
          <w:sz w:val="21"/>
          <w:szCs w:val="21"/>
          <w14:textFill>
            <w14:solidFill>
              <w14:schemeClr w14:val="tx1"/>
            </w14:solidFill>
          </w14:textFill>
        </w:rPr>
        <w:t>投标人不具备招标文件中规定的资格要求，其投标无效。</w:t>
      </w:r>
    </w:p>
    <w:p>
      <w:pPr>
        <w:pStyle w:val="131"/>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19.</w:t>
      </w:r>
      <w:r>
        <w:rPr>
          <w:rFonts w:hint="eastAsia" w:ascii="宋体" w:hAnsi="宋体" w:cs="宋体"/>
          <w:color w:val="000000" w:themeColor="text1"/>
          <w:sz w:val="21"/>
          <w:szCs w:val="21"/>
          <w14:textFill>
            <w14:solidFill>
              <w14:schemeClr w14:val="tx1"/>
            </w14:solidFill>
          </w14:textFill>
        </w:rPr>
        <w:t>3对未通过资格审查的投标人，采购人或采购代理机构告知其未通过的原因。</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19.</w:t>
      </w:r>
      <w:r>
        <w:rPr>
          <w:rFonts w:hint="eastAsia" w:ascii="宋体" w:hAnsi="宋体" w:cs="宋体"/>
          <w:color w:val="000000" w:themeColor="text1"/>
          <w:sz w:val="21"/>
          <w:szCs w:val="21"/>
          <w14:textFill>
            <w14:solidFill>
              <w14:schemeClr w14:val="tx1"/>
            </w14:solidFill>
          </w14:textFill>
        </w:rPr>
        <w:t>4合格投标人不足3家的，不再评标。</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line="288" w:lineRule="auto"/>
        <w:ind w:firstLine="0" w:firstLineChars="0"/>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20.信用信息查询</w:t>
      </w:r>
    </w:p>
    <w:p>
      <w:pPr>
        <w:pStyle w:val="131"/>
        <w:spacing w:before="0" w:line="288" w:lineRule="auto"/>
        <w:ind w:firstLine="495" w:firstLineChars="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pPr>
        <w:pStyle w:val="131"/>
        <w:spacing w:before="0" w:line="288" w:lineRule="auto"/>
        <w:ind w:firstLine="495" w:firstLineChars="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20.2信用信息查询记录和证据留存的具体方式：现场查询的投标人的信用记录、查询结果经确认后将与采购文件一起存档。</w:t>
      </w:r>
    </w:p>
    <w:p>
      <w:pPr>
        <w:pStyle w:val="131"/>
        <w:spacing w:before="0" w:line="288" w:lineRule="auto"/>
        <w:ind w:firstLine="495" w:firstLineChars="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1"/>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sz w:val="21"/>
          <w:szCs w:val="21"/>
          <w14:textFill>
            <w14:solidFill>
              <w14:schemeClr w14:val="tx1"/>
            </w14:solidFill>
          </w14:textFill>
        </w:rPr>
        <w:t>。</w:t>
      </w:r>
    </w:p>
    <w:p>
      <w:pPr>
        <w:pStyle w:val="131"/>
        <w:spacing w:before="0" w:line="288" w:lineRule="auto"/>
        <w:ind w:firstLine="0" w:firstLineChars="0"/>
        <w:rPr>
          <w:rFonts w:hint="eastAsia" w:ascii="宋体" w:hAnsi="宋体" w:cs="宋体"/>
          <w:color w:val="000000" w:themeColor="text1"/>
          <w:kern w:val="0"/>
          <w:sz w:val="21"/>
          <w:szCs w:val="21"/>
          <w14:textFill>
            <w14:solidFill>
              <w14:schemeClr w14:val="tx1"/>
            </w14:solidFill>
          </w14:textFill>
        </w:rPr>
      </w:pPr>
    </w:p>
    <w:p>
      <w:pPr>
        <w:snapToGrid w:val="0"/>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五、评标</w:t>
      </w:r>
    </w:p>
    <w:p>
      <w:pPr>
        <w:spacing w:line="288" w:lineRule="auto"/>
        <w:rPr>
          <w:rFonts w:hint="eastAsia" w:ascii="宋体" w:hAnsi="宋体" w:cs="宋体"/>
          <w:b/>
          <w:color w:val="000000" w:themeColor="text1"/>
          <w:szCs w:val="21"/>
          <w14:textFill>
            <w14:solidFill>
              <w14:schemeClr w14:val="tx1"/>
            </w14:solidFill>
          </w14:textFill>
        </w:rPr>
      </w:pPr>
      <w:bookmarkStart w:id="18" w:name="_Toc91899903"/>
      <w:r>
        <w:rPr>
          <w:rFonts w:hint="eastAsia" w:ascii="宋体" w:hAnsi="宋体" w:cs="宋体"/>
          <w:b/>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Cs w:val="21"/>
          <w14:textFill>
            <w14:solidFill>
              <w14:schemeClr w14:val="tx1"/>
            </w14:solidFill>
          </w14:textFill>
        </w:rPr>
        <w:t>详见招标文件第四部分评标办法。</w:t>
      </w:r>
    </w:p>
    <w:p>
      <w:pPr>
        <w:spacing w:line="288" w:lineRule="auto"/>
        <w:rPr>
          <w:rFonts w:hint="eastAsia" w:ascii="宋体" w:hAnsi="宋体" w:cs="宋体"/>
          <w:b/>
          <w:color w:val="000000" w:themeColor="text1"/>
          <w:szCs w:val="21"/>
          <w14:textFill>
            <w14:solidFill>
              <w14:schemeClr w14:val="tx1"/>
            </w14:solidFill>
          </w14:textFill>
        </w:rPr>
      </w:pPr>
    </w:p>
    <w:p>
      <w:pPr>
        <w:snapToGrid w:val="0"/>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六、定标</w:t>
      </w:r>
    </w:p>
    <w:p>
      <w:pPr>
        <w:pStyle w:val="24"/>
        <w:spacing w:line="288" w:lineRule="auto"/>
        <w:ind w:left="420" w:hanging="420" w:hangingChars="199"/>
        <w:rPr>
          <w:rFonts w:hint="eastAsia" w:cs="宋体"/>
          <w:b/>
          <w:color w:val="000000" w:themeColor="text1"/>
          <w:sz w:val="21"/>
          <w:szCs w:val="21"/>
          <w14:textFill>
            <w14:solidFill>
              <w14:schemeClr w14:val="tx1"/>
            </w14:solidFill>
          </w14:textFill>
        </w:rPr>
      </w:pPr>
      <w:r>
        <w:rPr>
          <w:rFonts w:hint="eastAsia" w:cs="宋体"/>
          <w:b/>
          <w:color w:val="000000" w:themeColor="text1"/>
          <w:sz w:val="21"/>
          <w:szCs w:val="21"/>
          <w14:textFill>
            <w14:solidFill>
              <w14:schemeClr w14:val="tx1"/>
            </w14:solidFill>
          </w14:textFill>
        </w:rPr>
        <w:t>22.确定中标供应商</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1"/>
        <w:snapToGrid w:val="0"/>
        <w:spacing w:before="0" w:line="288" w:lineRule="auto"/>
        <w:ind w:firstLine="0" w:firstLineChars="0"/>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23.中标通知与中标结果公告</w:t>
      </w:r>
    </w:p>
    <w:p>
      <w:pPr>
        <w:widowControl/>
        <w:shd w:val="clear" w:color="auto" w:fill="FFFFFF"/>
        <w:spacing w:line="288" w:lineRule="auto"/>
        <w:ind w:firstLine="48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288" w:lineRule="auto"/>
        <w:ind w:firstLine="48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288" w:lineRule="auto"/>
        <w:ind w:firstLine="48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23.3公告期限为1个工作日。</w:t>
      </w:r>
    </w:p>
    <w:p>
      <w:pPr>
        <w:widowControl/>
        <w:shd w:val="clear" w:color="auto" w:fill="FFFFFF"/>
        <w:spacing w:line="288" w:lineRule="auto"/>
        <w:ind w:firstLine="48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23.4由于中标、成交供应商原因导致重新采购的，应当承担支付代理费和专家评审费等费用在内的赔偿责任。</w:t>
      </w:r>
    </w:p>
    <w:p>
      <w:pPr>
        <w:pStyle w:val="81"/>
        <w:spacing w:line="288" w:lineRule="auto"/>
        <w:ind w:firstLine="420"/>
        <w:rPr>
          <w:rFonts w:hint="eastAsia" w:ascii="宋体" w:hAnsi="宋体" w:eastAsia="宋体" w:cs="宋体"/>
          <w:color w:val="000000" w:themeColor="text1"/>
          <w:sz w:val="21"/>
          <w:szCs w:val="21"/>
          <w14:textFill>
            <w14:solidFill>
              <w14:schemeClr w14:val="tx1"/>
            </w14:solidFill>
          </w14:textFill>
        </w:rPr>
      </w:pPr>
    </w:p>
    <w:p>
      <w:pPr>
        <w:snapToGrid w:val="0"/>
        <w:spacing w:line="288" w:lineRule="auto"/>
        <w:ind w:left="120" w:leftChars="57" w:firstLine="316" w:firstLineChars="150"/>
        <w:jc w:val="center"/>
        <w:rPr>
          <w:rFonts w:hint="eastAsia" w:ascii="宋体" w:hAnsi="宋体" w:cs="宋体"/>
          <w:b/>
          <w:color w:val="000000" w:themeColor="text1"/>
          <w:szCs w:val="21"/>
          <w14:textFill>
            <w14:solidFill>
              <w14:schemeClr w14:val="tx1"/>
            </w14:solidFill>
          </w14:textFill>
        </w:rPr>
      </w:pPr>
    </w:p>
    <w:p>
      <w:pPr>
        <w:snapToGrid w:val="0"/>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七、合同授予</w:t>
      </w:r>
    </w:p>
    <w:p>
      <w:pPr>
        <w:pStyle w:val="24"/>
        <w:spacing w:line="288" w:lineRule="auto"/>
        <w:ind w:left="420" w:hanging="420" w:hangingChars="199"/>
        <w:rPr>
          <w:rFonts w:hint="eastAsia" w:cs="宋体"/>
          <w:b/>
          <w:color w:val="000000" w:themeColor="text1"/>
          <w:sz w:val="21"/>
          <w:szCs w:val="21"/>
          <w14:textFill>
            <w14:solidFill>
              <w14:schemeClr w14:val="tx1"/>
            </w14:solidFill>
          </w14:textFill>
        </w:rPr>
      </w:pPr>
      <w:r>
        <w:rPr>
          <w:rFonts w:hint="eastAsia" w:cs="宋体"/>
          <w:b/>
          <w:color w:val="000000" w:themeColor="text1"/>
          <w:sz w:val="21"/>
          <w:szCs w:val="21"/>
          <w14:textFill>
            <w14:solidFill>
              <w14:schemeClr w14:val="tx1"/>
            </w14:solidFill>
          </w14:textFill>
        </w:rPr>
        <w:t>24.</w:t>
      </w:r>
      <w:r>
        <w:rPr>
          <w:rFonts w:hint="eastAsia" w:cs="宋体"/>
          <w:color w:val="000000" w:themeColor="text1"/>
          <w:sz w:val="21"/>
          <w:szCs w:val="21"/>
          <w14:textFill>
            <w14:solidFill>
              <w14:schemeClr w14:val="tx1"/>
            </w14:solidFill>
          </w14:textFill>
        </w:rPr>
        <w:t>合同主要条款详见第五部分拟签订的合同文本。</w:t>
      </w:r>
    </w:p>
    <w:p>
      <w:pPr>
        <w:pStyle w:val="24"/>
        <w:spacing w:line="288" w:lineRule="auto"/>
        <w:ind w:left="420" w:hanging="420" w:hangingChars="199"/>
        <w:rPr>
          <w:rFonts w:hint="eastAsia" w:cs="宋体"/>
          <w:b/>
          <w:color w:val="000000" w:themeColor="text1"/>
          <w:sz w:val="21"/>
          <w:szCs w:val="21"/>
          <w14:textFill>
            <w14:solidFill>
              <w14:schemeClr w14:val="tx1"/>
            </w14:solidFill>
          </w14:textFill>
        </w:rPr>
      </w:pPr>
      <w:r>
        <w:rPr>
          <w:rFonts w:hint="eastAsia" w:cs="宋体"/>
          <w:b/>
          <w:color w:val="000000" w:themeColor="text1"/>
          <w:sz w:val="21"/>
          <w:szCs w:val="21"/>
          <w14:textFill>
            <w14:solidFill>
              <w14:schemeClr w14:val="tx1"/>
            </w14:solidFill>
          </w14:textFill>
        </w:rPr>
        <w:t>25.合同的签订</w:t>
      </w:r>
    </w:p>
    <w:p>
      <w:pPr>
        <w:widowControl/>
        <w:shd w:val="clear" w:color="auto" w:fill="FFFFFF"/>
        <w:spacing w:line="288" w:lineRule="auto"/>
        <w:ind w:firstLine="48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w:t>
      </w:r>
      <w:r>
        <w:rPr>
          <w:rFonts w:hint="eastAsia" w:ascii="宋体" w:hAnsi="宋体" w:cs="宋体"/>
          <w:color w:val="000000" w:themeColor="text1"/>
          <w:kern w:val="0"/>
          <w:szCs w:val="21"/>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line="288" w:lineRule="auto"/>
        <w:ind w:firstLine="42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25.3如签订合同并生效后，供应商无故拒绝或延期，除按照合同条款处理外，列入不良行为记录一次，并给予通报。</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25.5采购合同由采购人与中标供应商根据招标文件、投标文件等内容通过政府采购电子交易平台在线签订，自动备案。</w:t>
      </w:r>
    </w:p>
    <w:p>
      <w:pPr>
        <w:pStyle w:val="24"/>
        <w:spacing w:line="288" w:lineRule="auto"/>
        <w:ind w:left="420" w:hanging="420" w:hangingChars="199"/>
        <w:rPr>
          <w:rFonts w:hint="eastAsia" w:cs="宋体"/>
          <w:b/>
          <w:color w:val="000000" w:themeColor="text1"/>
          <w:sz w:val="21"/>
          <w:szCs w:val="21"/>
          <w14:textFill>
            <w14:solidFill>
              <w14:schemeClr w14:val="tx1"/>
            </w14:solidFill>
          </w14:textFill>
        </w:rPr>
      </w:pPr>
      <w:r>
        <w:rPr>
          <w:rFonts w:hint="eastAsia" w:cs="宋体"/>
          <w:b/>
          <w:color w:val="000000" w:themeColor="text1"/>
          <w:sz w:val="21"/>
          <w:szCs w:val="21"/>
          <w14:textFill>
            <w14:solidFill>
              <w14:schemeClr w14:val="tx1"/>
            </w14:solidFill>
          </w14:textFill>
        </w:rPr>
        <w:t>26.履约保证金</w:t>
      </w:r>
    </w:p>
    <w:p>
      <w:pPr>
        <w:tabs>
          <w:tab w:val="left" w:pos="0"/>
        </w:tabs>
        <w:spacing w:line="288" w:lineRule="auto"/>
        <w:ind w:firstLine="48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Cs w:val="21"/>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432"/>
        </w:tabs>
        <w:spacing w:line="288" w:lineRule="auto"/>
        <w:ind w:firstLine="420" w:firstLineChars="200"/>
        <w:rPr>
          <w:rFonts w:hint="eastAsia" w:ascii="宋体" w:hAnsi="宋体" w:cs="宋体"/>
          <w:snapToGrid w:val="0"/>
          <w:color w:val="000000" w:themeColor="text1"/>
          <w:kern w:val="28"/>
          <w:szCs w:val="21"/>
          <w14:textFill>
            <w14:solidFill>
              <w14:schemeClr w14:val="tx1"/>
            </w14:solidFill>
          </w14:textFill>
        </w:rPr>
      </w:pPr>
      <w:r>
        <w:rPr>
          <w:rFonts w:hint="eastAsia" w:ascii="宋体" w:hAnsi="宋体" w:cs="宋体"/>
          <w:snapToGrid w:val="0"/>
          <w:color w:val="000000" w:themeColor="text1"/>
          <w:kern w:val="28"/>
          <w:szCs w:val="21"/>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27.预付款</w:t>
      </w:r>
    </w:p>
    <w:p>
      <w:pPr>
        <w:adjustRightInd/>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ind w:firstLine="2203" w:firstLineChars="1045"/>
        <w:rPr>
          <w:rFonts w:hint="eastAsia" w:ascii="宋体" w:hAnsi="宋体" w:cs="宋体"/>
          <w:b/>
          <w:color w:val="000000" w:themeColor="text1"/>
          <w:szCs w:val="21"/>
          <w14:textFill>
            <w14:solidFill>
              <w14:schemeClr w14:val="tx1"/>
            </w14:solidFill>
          </w14:textFill>
        </w:rPr>
      </w:pPr>
    </w:p>
    <w:p>
      <w:pPr>
        <w:snapToGrid w:val="0"/>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八、电子交易活动的中止</w:t>
      </w:r>
    </w:p>
    <w:p>
      <w:pPr>
        <w:pStyle w:val="131"/>
        <w:snapToGrid w:val="0"/>
        <w:spacing w:before="0" w:line="288" w:lineRule="auto"/>
        <w:ind w:firstLine="0" w:firstLineChars="0"/>
        <w:rPr>
          <w:rFonts w:hint="eastAsia" w:ascii="宋体" w:hAnsi="宋体" w:cs="宋体"/>
          <w:b/>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28</w:t>
      </w:r>
      <w:r>
        <w:rPr>
          <w:rFonts w:hint="eastAsia" w:ascii="宋体" w:hAnsi="宋体" w:cs="宋体"/>
          <w:b/>
          <w:color w:val="000000" w:themeColor="text1"/>
          <w:sz w:val="21"/>
          <w:szCs w:val="21"/>
          <w14:textFill>
            <w14:solidFill>
              <w14:schemeClr w14:val="tx1"/>
            </w14:solidFill>
          </w14:textFill>
        </w:rPr>
        <w:t>.电子交易活动的中止</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28.1电子交易平台发生故障而无法登录访问的； </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28.2电子交易平台应用或数据库出现错误，不能进行正常操作的；</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28.3电子交易平台发现严重安全漏洞，有潜在泄密危险的；</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28.4病毒发作导致不能进行正常操作的； </w:t>
      </w:r>
    </w:p>
    <w:p>
      <w:pPr>
        <w:pStyle w:val="131"/>
        <w:snapToGrid w:val="0"/>
        <w:spacing w:before="0" w:line="288" w:lineRule="auto"/>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28.5其他无法保证电子交易的公平、公正和安全的情况。</w:t>
      </w:r>
    </w:p>
    <w:p>
      <w:pPr>
        <w:pStyle w:val="131"/>
        <w:snapToGrid w:val="0"/>
        <w:spacing w:before="0" w:line="288" w:lineRule="auto"/>
        <w:ind w:firstLine="0" w:firstLineChars="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288" w:lineRule="auto"/>
        <w:ind w:firstLine="480"/>
        <w:rPr>
          <w:rFonts w:hint="eastAsia" w:ascii="宋体" w:hAnsi="宋体" w:cs="宋体"/>
          <w:color w:val="000000" w:themeColor="text1"/>
          <w:szCs w:val="21"/>
          <w14:textFill>
            <w14:solidFill>
              <w14:schemeClr w14:val="tx1"/>
            </w14:solidFill>
          </w14:textFill>
        </w:rPr>
      </w:pPr>
    </w:p>
    <w:p>
      <w:pPr>
        <w:snapToGrid w:val="0"/>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九、验收</w:t>
      </w:r>
    </w:p>
    <w:p>
      <w:pPr>
        <w:pStyle w:val="24"/>
        <w:spacing w:line="288" w:lineRule="auto"/>
        <w:ind w:firstLine="0" w:firstLineChars="0"/>
        <w:rPr>
          <w:rFonts w:hint="eastAsia" w:cs="宋体"/>
          <w:b/>
          <w:color w:val="000000" w:themeColor="text1"/>
          <w:sz w:val="21"/>
          <w:szCs w:val="21"/>
          <w14:textFill>
            <w14:solidFill>
              <w14:schemeClr w14:val="tx1"/>
            </w14:solidFill>
          </w14:textFill>
        </w:rPr>
      </w:pPr>
      <w:r>
        <w:rPr>
          <w:rFonts w:hint="eastAsia" w:cs="宋体"/>
          <w:b/>
          <w:color w:val="000000" w:themeColor="text1"/>
          <w:sz w:val="21"/>
          <w:szCs w:val="21"/>
          <w14:textFill>
            <w14:solidFill>
              <w14:schemeClr w14:val="tx1"/>
            </w14:solidFill>
          </w14:textFill>
        </w:rPr>
        <w:t>30.验收</w:t>
      </w:r>
    </w:p>
    <w:p>
      <w:pPr>
        <w:tabs>
          <w:tab w:val="left" w:pos="0"/>
        </w:tabs>
        <w:spacing w:line="288" w:lineRule="auto"/>
        <w:ind w:firstLine="48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288" w:lineRule="auto"/>
        <w:ind w:firstLine="48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288" w:lineRule="auto"/>
        <w:ind w:firstLine="48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288" w:lineRule="auto"/>
        <w:ind w:firstLine="48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75236011"/>
      <w:bookmarkEnd w:id="20"/>
      <w:bookmarkStart w:id="21" w:name="_Hlt74714665"/>
      <w:bookmarkEnd w:id="21"/>
      <w:bookmarkStart w:id="22" w:name="_Hlt68073093"/>
      <w:bookmarkEnd w:id="22"/>
      <w:bookmarkStart w:id="23" w:name="_Hlt68403820"/>
      <w:bookmarkEnd w:id="23"/>
      <w:bookmarkStart w:id="24" w:name="_Hlt75236101"/>
      <w:bookmarkEnd w:id="24"/>
      <w:bookmarkStart w:id="25" w:name="_Hlt74707468"/>
      <w:bookmarkEnd w:id="25"/>
      <w:bookmarkStart w:id="26" w:name="_Hlt68072998"/>
      <w:bookmarkEnd w:id="26"/>
      <w:bookmarkStart w:id="27" w:name="_Hlt75236290"/>
      <w:bookmarkEnd w:id="27"/>
      <w:bookmarkStart w:id="28" w:name="_Hlt74729768"/>
      <w:bookmarkEnd w:id="28"/>
      <w:bookmarkStart w:id="29" w:name="_Hlt74730295"/>
      <w:bookmarkEnd w:id="29"/>
      <w:bookmarkStart w:id="30" w:name="_Hlt68057669"/>
      <w:bookmarkEnd w:id="30"/>
    </w:p>
    <w:p>
      <w:pPr>
        <w:tabs>
          <w:tab w:val="left" w:pos="432"/>
        </w:tabs>
        <w:snapToGrid w:val="0"/>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1"/>
        <w:spacing w:line="288" w:lineRule="auto"/>
        <w:ind w:firstLine="420"/>
        <w:rPr>
          <w:rFonts w:hint="eastAsia" w:ascii="宋体" w:hAnsi="宋体" w:eastAsia="宋体" w:cs="宋体"/>
          <w:color w:val="000000" w:themeColor="text1"/>
          <w:sz w:val="21"/>
          <w:szCs w:val="21"/>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1247" w:right="1247" w:bottom="1247" w:left="1247" w:header="851" w:footer="992" w:gutter="0"/>
          <w:cols w:space="0" w:num="1"/>
          <w:titlePg/>
          <w:docGrid w:linePitch="312" w:charSpace="0"/>
        </w:sectPr>
      </w:pPr>
    </w:p>
    <w:bookmarkEnd w:id="13"/>
    <w:bookmarkEnd w:id="14"/>
    <w:p>
      <w:pPr>
        <w:spacing w:line="288" w:lineRule="auto"/>
        <w:jc w:val="center"/>
        <w:outlineLvl w:val="0"/>
        <w:rPr>
          <w:rFonts w:hint="eastAsia" w:ascii="宋体" w:hAnsi="宋体" w:cs="宋体"/>
          <w:b/>
          <w:color w:val="000000" w:themeColor="text1"/>
          <w:szCs w:val="21"/>
          <w14:textFill>
            <w14:solidFill>
              <w14:schemeClr w14:val="tx1"/>
            </w14:solidFill>
          </w14:textFill>
        </w:rPr>
      </w:pPr>
      <w:bookmarkStart w:id="31" w:name="第四部分"/>
      <w:r>
        <w:rPr>
          <w:rFonts w:hint="eastAsia" w:ascii="宋体" w:hAnsi="宋体" w:cs="宋体"/>
          <w:b/>
          <w:color w:val="000000" w:themeColor="text1"/>
          <w:szCs w:val="21"/>
          <w14:textFill>
            <w14:solidFill>
              <w14:schemeClr w14:val="tx1"/>
            </w14:solidFill>
          </w14:textFill>
        </w:rPr>
        <w:t>第三部分 采购需求</w:t>
      </w:r>
    </w:p>
    <w:p>
      <w:pPr>
        <w:snapToGrid w:val="0"/>
        <w:spacing w:line="288" w:lineRule="auto"/>
        <w:ind w:firstLine="422" w:firstLineChars="200"/>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一、采购资金的支付方式、时间、条件</w:t>
      </w:r>
    </w:p>
    <w:tbl>
      <w:tblPr>
        <w:tblStyle w:val="6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b/>
                <w:color w:val="000000" w:themeColor="text1"/>
                <w:spacing w:val="-6"/>
                <w:szCs w:val="21"/>
                <w14:textFill>
                  <w14:solidFill>
                    <w14:schemeClr w14:val="tx1"/>
                  </w14:solidFill>
                </w14:textFill>
              </w:rPr>
            </w:pPr>
            <w:r>
              <w:rPr>
                <w:rFonts w:hint="eastAsia" w:ascii="宋体" w:hAnsi="宋体" w:cs="宋体"/>
                <w:b/>
                <w:color w:val="000000" w:themeColor="text1"/>
                <w:spacing w:val="-6"/>
                <w:szCs w:val="21"/>
                <w14:textFill>
                  <w14:solidFill>
                    <w14:schemeClr w14:val="tx1"/>
                  </w14:solidFill>
                </w14:textFill>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1.合同签订后一周内，中标人向采购人提交合同总价1% 的履约保证金，履约保证金在合同履约期间无违约情形的，项目验收结束后，于一周内退还（不计息），逾期退还的，自逾期之日起，向中标人每日偿付履约保证金的0.05%的违约金；</w:t>
            </w:r>
          </w:p>
          <w:p>
            <w:pPr>
              <w:snapToGrid w:val="0"/>
              <w:spacing w:line="288" w:lineRule="auto"/>
              <w:rPr>
                <w:rFonts w:hint="eastAsia" w:ascii="宋体" w:hAnsi="宋体" w:cs="宋体"/>
                <w:color w:val="000000" w:themeColor="text1"/>
                <w:spacing w:val="-6"/>
                <w:kern w:val="0"/>
                <w:szCs w:val="21"/>
                <w:highlight w:val="yellow"/>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b/>
                <w:color w:val="000000" w:themeColor="text1"/>
                <w:spacing w:val="-6"/>
                <w:szCs w:val="21"/>
                <w14:textFill>
                  <w14:solidFill>
                    <w14:schemeClr w14:val="tx1"/>
                  </w14:solidFill>
                </w14:textFill>
              </w:rPr>
            </w:pPr>
            <w:r>
              <w:rPr>
                <w:rFonts w:hint="eastAsia" w:ascii="宋体" w:hAnsi="宋体" w:cs="宋体"/>
                <w:b/>
                <w:color w:val="000000" w:themeColor="text1"/>
                <w:spacing w:val="-6"/>
                <w:szCs w:val="21"/>
                <w14:textFill>
                  <w14:solidFill>
                    <w14:schemeClr w14:val="tx1"/>
                  </w14:solidFill>
                </w14:textFill>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rPr>
                <w:rFonts w:hint="eastAsia" w:ascii="宋体" w:hAnsi="宋体" w:eastAsia="宋体" w:cs="宋体"/>
                <w:color w:val="000000" w:themeColor="text1"/>
                <w:spacing w:val="-6"/>
                <w:kern w:val="0"/>
                <w:szCs w:val="21"/>
                <w:lang w:eastAsia="zh-CN"/>
                <w14:textFill>
                  <w14:solidFill>
                    <w14:schemeClr w14:val="tx1"/>
                  </w14:solidFill>
                </w14:textFill>
              </w:rPr>
            </w:pPr>
            <w:r>
              <w:rPr>
                <w:rFonts w:hint="eastAsia" w:ascii="宋体" w:hAnsi="宋体" w:cs="宋体"/>
                <w:b/>
                <w:bCs/>
                <w:color w:val="000000" w:themeColor="text1"/>
                <w:spacing w:val="-6"/>
                <w:kern w:val="0"/>
                <w:szCs w:val="21"/>
                <w14:textFill>
                  <w14:solidFill>
                    <w14:schemeClr w14:val="tx1"/>
                  </w14:solidFill>
                </w14:textFill>
              </w:rPr>
              <w:t>1.进口设备付款方式：</w:t>
            </w:r>
            <w:r>
              <w:rPr>
                <w:rFonts w:hint="eastAsia" w:ascii="宋体" w:hAnsi="宋体" w:cs="宋体"/>
                <w:color w:val="000000" w:themeColor="text1"/>
                <w:spacing w:val="-6"/>
                <w:kern w:val="0"/>
                <w:szCs w:val="21"/>
                <w14:textFill>
                  <w14:solidFill>
                    <w14:schemeClr w14:val="tx1"/>
                  </w14:solidFill>
                </w14:textFill>
              </w:rPr>
              <w:t>中标人同意在进口代理机构免税申报表办理完成后，进口代理机构方开具的收款收据，采购人于7个工作日内</w:t>
            </w:r>
            <w:r>
              <w:rPr>
                <w:rFonts w:hint="eastAsia" w:ascii="宋体" w:hAnsi="宋体" w:cs="宋体"/>
                <w:b/>
                <w:bCs/>
                <w:color w:val="000000" w:themeColor="text1"/>
                <w:spacing w:val="-6"/>
                <w:kern w:val="0"/>
                <w:szCs w:val="21"/>
                <w:lang w:val="en-US" w:eastAsia="zh-CN"/>
                <w14:textFill>
                  <w14:solidFill>
                    <w14:schemeClr w14:val="tx1"/>
                  </w14:solidFill>
                </w14:textFill>
              </w:rPr>
              <w:t>支付预算金额的</w:t>
            </w:r>
            <w:r>
              <w:rPr>
                <w:rFonts w:hint="eastAsia" w:ascii="宋体" w:hAnsi="宋体" w:cs="宋体"/>
                <w:b/>
                <w:bCs/>
                <w:color w:val="000000" w:themeColor="text1"/>
                <w:spacing w:val="-6"/>
                <w:kern w:val="0"/>
                <w:szCs w:val="21"/>
                <w14:textFill>
                  <w14:solidFill>
                    <w14:schemeClr w14:val="tx1"/>
                  </w14:solidFill>
                </w14:textFill>
              </w:rPr>
              <w:t>65%</w:t>
            </w:r>
            <w:r>
              <w:rPr>
                <w:rFonts w:hint="eastAsia" w:ascii="宋体" w:hAnsi="宋体" w:cs="宋体"/>
                <w:b/>
                <w:bCs/>
                <w:color w:val="000000" w:themeColor="text1"/>
                <w:spacing w:val="-6"/>
                <w:kern w:val="0"/>
                <w:szCs w:val="21"/>
                <w:lang w:val="en-US" w:eastAsia="zh-CN"/>
                <w14:textFill>
                  <w14:solidFill>
                    <w14:schemeClr w14:val="tx1"/>
                  </w14:solidFill>
                </w14:textFill>
              </w:rPr>
              <w:t>且不超过合同金额的70%</w:t>
            </w:r>
            <w:r>
              <w:rPr>
                <w:rFonts w:hint="eastAsia" w:ascii="宋体" w:hAnsi="宋体" w:cs="宋体"/>
                <w:color w:val="000000" w:themeColor="text1"/>
                <w:spacing w:val="-6"/>
                <w:kern w:val="0"/>
                <w:szCs w:val="21"/>
                <w14:textFill>
                  <w14:solidFill>
                    <w14:schemeClr w14:val="tx1"/>
                  </w14:solidFill>
                </w14:textFill>
              </w:rPr>
              <w:t>给进口代理机构，进口代理机构收到预付款后，向中标人指定的境外公司（外贸合同卖方）开具同比例的即期信用证，由外贸合同卖方发货后向银行提交单据进行议付，或通过对外电汇方式支付预付款。货物验收合格后，进口代理机构向采购人开具合同总价款的全额增值税发票且经中标人鉴证合格的，采购人于7个工作日内将剩余的价款支付给进口代理机构，进口代理机构以收到尾款为指令，按照对外合同的约定及时对外支付剩余价款。进口代理机构与中标人的费用结算自行协商，与采购人无涉。</w:t>
            </w:r>
          </w:p>
          <w:p>
            <w:pPr>
              <w:autoSpaceDE w:val="0"/>
              <w:autoSpaceDN w:val="0"/>
              <w:snapToGrid w:val="0"/>
              <w:spacing w:line="276" w:lineRule="auto"/>
              <w:jc w:val="left"/>
              <w:rPr>
                <w:rFonts w:hint="eastAsia" w:ascii="宋体" w:hAnsi="宋体" w:cs="宋体"/>
                <w:color w:val="000000" w:themeColor="text1"/>
                <w:spacing w:val="-6"/>
                <w:kern w:val="0"/>
                <w:szCs w:val="21"/>
                <w:highlight w:val="yellow"/>
                <w14:textFill>
                  <w14:solidFill>
                    <w14:schemeClr w14:val="tx1"/>
                  </w14:solidFill>
                </w14:textFill>
              </w:rPr>
            </w:pPr>
            <w:r>
              <w:rPr>
                <w:rFonts w:hint="eastAsia" w:ascii="宋体" w:hAnsi="宋体" w:cs="宋体"/>
                <w:b/>
                <w:bCs/>
                <w:color w:val="000000" w:themeColor="text1"/>
                <w:spacing w:val="-6"/>
                <w:kern w:val="0"/>
                <w:szCs w:val="21"/>
                <w14:textFill>
                  <w14:solidFill>
                    <w14:schemeClr w14:val="tx1"/>
                  </w14:solidFill>
                </w14:textFill>
              </w:rPr>
              <w:t>2.国产设备付款方式：</w:t>
            </w:r>
            <w:r>
              <w:rPr>
                <w:rFonts w:hint="eastAsia" w:ascii="宋体" w:hAnsi="宋体" w:cs="宋体"/>
                <w:color w:val="000000" w:themeColor="text1"/>
                <w:spacing w:val="-6"/>
                <w:kern w:val="0"/>
                <w:szCs w:val="21"/>
                <w14:textFill>
                  <w14:solidFill>
                    <w14:schemeClr w14:val="tx1"/>
                  </w14:solidFill>
                </w14:textFill>
              </w:rPr>
              <w:t>（1）合同生效以及具备实施条件后5个工作日内，采购人凭中标人开具的预付款发票，</w:t>
            </w:r>
            <w:r>
              <w:rPr>
                <w:rFonts w:hint="eastAsia" w:ascii="宋体" w:hAnsi="宋体" w:cs="宋体"/>
                <w:b/>
                <w:bCs/>
                <w:color w:val="000000" w:themeColor="text1"/>
                <w:spacing w:val="-6"/>
                <w:kern w:val="0"/>
                <w:szCs w:val="21"/>
                <w:lang w:val="en-US" w:eastAsia="zh-CN"/>
                <w14:textFill>
                  <w14:solidFill>
                    <w14:schemeClr w14:val="tx1"/>
                  </w14:solidFill>
                </w14:textFill>
              </w:rPr>
              <w:t>支付预算金额的</w:t>
            </w:r>
            <w:r>
              <w:rPr>
                <w:rFonts w:hint="eastAsia" w:ascii="宋体" w:hAnsi="宋体" w:cs="宋体"/>
                <w:b/>
                <w:bCs/>
                <w:color w:val="000000" w:themeColor="text1"/>
                <w:spacing w:val="-6"/>
                <w:kern w:val="0"/>
                <w:szCs w:val="21"/>
                <w14:textFill>
                  <w14:solidFill>
                    <w14:schemeClr w14:val="tx1"/>
                  </w14:solidFill>
                </w14:textFill>
              </w:rPr>
              <w:t>65%</w:t>
            </w:r>
            <w:r>
              <w:rPr>
                <w:rFonts w:hint="eastAsia" w:ascii="宋体" w:hAnsi="宋体" w:cs="宋体"/>
                <w:b/>
                <w:bCs/>
                <w:color w:val="000000" w:themeColor="text1"/>
                <w:spacing w:val="-6"/>
                <w:kern w:val="0"/>
                <w:szCs w:val="21"/>
                <w:lang w:val="en-US" w:eastAsia="zh-CN"/>
                <w14:textFill>
                  <w14:solidFill>
                    <w14:schemeClr w14:val="tx1"/>
                  </w14:solidFill>
                </w14:textFill>
              </w:rPr>
              <w:t>且不超过合同金额的70%</w:t>
            </w:r>
            <w:r>
              <w:rPr>
                <w:rFonts w:hint="eastAsia" w:ascii="宋体" w:hAnsi="宋体" w:cs="宋体"/>
                <w:color w:val="000000" w:themeColor="text1"/>
                <w:spacing w:val="-6"/>
                <w:kern w:val="0"/>
                <w:szCs w:val="21"/>
                <w14:textFill>
                  <w14:solidFill>
                    <w14:schemeClr w14:val="tx1"/>
                  </w14:solidFill>
                </w14:textFill>
              </w:rPr>
              <w:t>给中标人；在签订合同时，供应商明确表示无需预付款或者主动要求降低预付款比例的，可降低预付款比例。（2）中标人按照采购人要求将货物送至各个使用点；经采购人组织验收，送货时间、地点、产品规格、型号、数量、质量及参数要求完全符合合同约定。（3）中标人向采购人开具符合法律、法规规范及行业要求的真实、有效的增值税专用发票（4）采购人凭中标人的供货发票，校内验收单、入库单等支付凭证办理相关支付手续，经采购人验收合格后，5个工作日内，向中标人付清全部合同款。</w:t>
            </w:r>
          </w:p>
        </w:tc>
      </w:tr>
    </w:tbl>
    <w:p>
      <w:pPr>
        <w:rPr>
          <w:rFonts w:hint="eastAsia" w:ascii="宋体" w:hAnsi="宋体" w:cs="宋体"/>
          <w:color w:val="000000" w:themeColor="text1"/>
          <w14:textFill>
            <w14:solidFill>
              <w14:schemeClr w14:val="tx1"/>
            </w14:solidFill>
          </w14:textFill>
        </w:rPr>
      </w:pPr>
    </w:p>
    <w:p>
      <w:pPr>
        <w:snapToGrid w:val="0"/>
        <w:spacing w:line="360" w:lineRule="auto"/>
        <w:ind w:firstLine="422" w:firstLineChars="200"/>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二、技术要求</w:t>
      </w:r>
    </w:p>
    <w:p>
      <w:pPr>
        <w:snapToGrid w:val="0"/>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1.需执行的国家相关标准、行业标准、地方标准或者其他标准、规范：</w:t>
      </w:r>
      <w:r>
        <w:rPr>
          <w:rFonts w:hint="eastAsia" w:ascii="宋体" w:hAnsi="宋体" w:cs="宋体"/>
          <w:color w:val="000000" w:themeColor="text1"/>
          <w:szCs w:val="21"/>
          <w14:textFill>
            <w14:solidFill>
              <w14:schemeClr w14:val="tx1"/>
            </w14:solidFill>
          </w14:textFill>
        </w:rPr>
        <w:t>如技术要求中未注明需执行的国家相关标准、行业标准、地方标准或者其他标准、规范的，执行最新标准、规范。</w:t>
      </w:r>
    </w:p>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2.需满足的质量、安全、技术规格、物理特性等要求：</w:t>
      </w:r>
    </w:p>
    <w:tbl>
      <w:tblPr>
        <w:tblStyle w:val="62"/>
        <w:tblW w:w="4999"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83"/>
        <w:gridCol w:w="2451"/>
        <w:gridCol w:w="1382"/>
        <w:gridCol w:w="430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04" w:hRule="atLeast"/>
          <w:jc w:val="center"/>
        </w:trPr>
        <w:tc>
          <w:tcPr>
            <w:tcW w:w="77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标的内容</w:t>
            </w:r>
          </w:p>
        </w:tc>
        <w:tc>
          <w:tcPr>
            <w:tcW w:w="4229" w:type="pct"/>
            <w:gridSpan w:val="3"/>
            <w:vAlign w:val="center"/>
          </w:tcPr>
          <w:p>
            <w:pPr>
              <w:tabs>
                <w:tab w:val="center" w:pos="3294"/>
              </w:tabs>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机器人导航经颅磁刺激系统</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42" w:hRule="atLeast"/>
          <w:jc w:val="center"/>
        </w:trPr>
        <w:tc>
          <w:tcPr>
            <w:tcW w:w="77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1273"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18"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2236"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184" w:hRule="atLeast"/>
          <w:jc w:val="center"/>
        </w:trPr>
        <w:tc>
          <w:tcPr>
            <w:tcW w:w="77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功能和质量</w:t>
            </w:r>
          </w:p>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w:t>
            </w:r>
          </w:p>
        </w:tc>
        <w:tc>
          <w:tcPr>
            <w:tcW w:w="4229" w:type="pct"/>
            <w:gridSpan w:val="3"/>
            <w:vAlign w:val="center"/>
          </w:tcPr>
          <w:p>
            <w:pPr>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1、磁刺激器</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1.1、加强型神经磁刺激器主机，刺激频率范围0-100Hz之间可调节，调节精度（步长）：在30Hz以下范围最小频率步长0.1Hz；30Hz以上至100Hz之间调节步长为1Hz。且在TBS模式（Theta Burst Stimulation——爆发式刺激模式）（刺激频率为50Hz）时，最大输出强度达到≥85%；且输出脉冲频率（刺激频率）的误差范围应≤±2%。</w:t>
            </w:r>
            <w:r>
              <w:rPr>
                <w:rFonts w:hint="eastAsia" w:ascii="宋体" w:hAnsi="宋体" w:cs="宋体"/>
                <w:b/>
                <w:bCs/>
                <w:color w:val="000000" w:themeColor="text1"/>
                <w:szCs w:val="21"/>
                <w14:textFill>
                  <w14:solidFill>
                    <w14:schemeClr w14:val="tx1"/>
                  </w14:solidFill>
                </w14:textFill>
              </w:rPr>
              <w:t>（需提供相应的佐证材料）</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1.2、输出脉冲宽度：≤300us。</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★1.3、最大输出强度：≥4.2T，且强度误差范围：≤±5%</w:t>
            </w:r>
            <w:r>
              <w:rPr>
                <w:rFonts w:hint="eastAsia" w:ascii="宋体" w:hAnsi="宋体" w:cs="宋体"/>
                <w:b/>
                <w:bCs/>
                <w:color w:val="000000" w:themeColor="text1"/>
                <w:szCs w:val="21"/>
                <w14:textFill>
                  <w14:solidFill>
                    <w14:schemeClr w14:val="tx1"/>
                  </w14:solidFill>
                </w14:textFill>
              </w:rPr>
              <w:t>（需提供相应的佐证材料）</w:t>
            </w:r>
            <w:r>
              <w:rPr>
                <w:rFonts w:hint="eastAsia" w:ascii="宋体" w:hAnsi="宋体" w:cs="宋体"/>
                <w:color w:val="000000" w:themeColor="text1"/>
                <w:szCs w:val="21"/>
                <w14:textFill>
                  <w14:solidFill>
                    <w14:schemeClr w14:val="tx1"/>
                  </w14:solidFill>
                </w14:textFill>
              </w:rPr>
              <w:t>。</w:t>
            </w:r>
          </w:p>
          <w:p>
            <w:pPr>
              <w:pStyle w:val="19"/>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1.4、磁刺激控制装置：主机自带操作软件，触摸屏操作。</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1.5、控制器内置磁刺激运动诱发电位（MEP）和运动阈值（MT）检测软件，屏幕上可显示两个独立的窗口，同步呈现两个MEP信号。</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★1.6、刺激模式可调：单脉冲、重复脉冲、自由组合刺激、以及丛刺激（iTBS和cTBS）模式。</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1.7、配套磁刺激线圈3个，分别为：①号线圈——“真刺激线圈”，为一款双线圈或称“8”字形线圈：采用无液体的动态冷却方式，非静态（或固态）冷却、非液体（或流体）冷却;②号线圈——“假刺激线圈”，为一个独立的安慰剂实验用伪刺激线圈，外观与真刺激外观一致且具备同样的冷却功能、采用磁弥散技术使得假刺激时也能保持受试者的体感与真刺激线圈一致、刺激声响与真线圈一致，非开关切换式的真假一体式线圈、非依靠外加音响模拟刺激声音的伪刺激，满足双盲对照实验需要;③号线圈——“定位线圈”，为一款轻质手持“8”字形双线圈，线圈的直径为70mm 允差范围±10mm，数量1个；以上三个线圈一组执行一套完整的科学实验。</w:t>
            </w:r>
            <w:r>
              <w:rPr>
                <w:rFonts w:hint="eastAsia" w:ascii="宋体" w:hAnsi="宋体" w:cs="宋体"/>
                <w:b/>
                <w:bCs/>
                <w:color w:val="000000" w:themeColor="text1"/>
                <w:szCs w:val="21"/>
                <w14:textFill>
                  <w14:solidFill>
                    <w14:schemeClr w14:val="tx1"/>
                  </w14:solidFill>
                </w14:textFill>
              </w:rPr>
              <w:t>（需提供相应的佐证材料）</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 、磁刺激器自带运动诱发电位放大器,通道数≥2，可同时采集两个部位的运动诱发电位信号，并在磁刺激控制器屏幕上以两个窗口的方式同步显示，用于直观对比选取最佳阈值强度。</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1.9、支持与其他技术模态同步联合应用，形式包括但不限于： 与EEG（脑电图）同步联合应用、与fMRI（磁共振成像）同步联合应用、与NIRS(近红外脑成像)同步联合应用</w:t>
            </w:r>
            <w:r>
              <w:rPr>
                <w:rFonts w:hint="eastAsia" w:ascii="宋体" w:hAnsi="宋体" w:cs="宋体"/>
                <w:b/>
                <w:bCs/>
                <w:color w:val="000000" w:themeColor="text1"/>
                <w:szCs w:val="21"/>
                <w14:textFill>
                  <w14:solidFill>
                    <w14:schemeClr w14:val="tx1"/>
                  </w14:solidFill>
                </w14:textFill>
              </w:rPr>
              <w:t>（需提供相应的佐证材料）</w:t>
            </w:r>
            <w:r>
              <w:rPr>
                <w:rFonts w:hint="eastAsia" w:ascii="宋体" w:hAnsi="宋体" w:cs="宋体"/>
                <w:color w:val="000000" w:themeColor="text1"/>
                <w:szCs w:val="21"/>
                <w14:textFill>
                  <w14:solidFill>
                    <w14:schemeClr w14:val="tx1"/>
                  </w14:solidFill>
                </w14:textFill>
              </w:rPr>
              <w:t>。</w:t>
            </w:r>
          </w:p>
          <w:p>
            <w:pPr>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2、定位导航装置</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2.1高精度双摄数码无源红外光学定位器，定位器精度＜0.25毫米。</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2.2、配备专用医疗级专业安全隔离电源。</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2.3、导航系统配备独立EMG放大器，支持不少于6通道EMG测量，支持导航下运动皮层功能定位。</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2.4、配备专用校准工具及导航定位工具包一套。</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2.5、支持同时追踪线圈个数≥2，需在同一屏幕同时追踪显示不同线圈，不需分别手动切换。</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2.7、追踪结果可同时同屏显示在两个独立窗口。</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2.8、支持导入被试真实影像数据，并对皮层及头皮进行全自动三维重建。</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2.9、实时显示并记录刺激靶点三维坐标。</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2.10、实时显示并存储刺激深度及角度。</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2.11、实时显示并存储EMG反应。</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2.12、实时显示并存储刺激点的距离及角度误差。</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2.13、在被刺激者头部影像上实时显示磁刺激线圈的三维模型。</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2.14、当磁刺激线圈对准目标后，即刻自动开始启动磁刺激。</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2.15、支持融合导入个体化脑部MNI坐标实施个体化靶向经颅刺激。</w:t>
            </w:r>
          </w:p>
          <w:p>
            <w:pPr>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3、与磁刺激导航配套的机器人辅助装置</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3.1、与以上部分所描述的经颅磁刺激及导航系统匹配的磁刺激线圈的机器人辅助装置。</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3.2、计算机控制的机器人手臂自由度≥5。</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3.3、被试头部可动态移动状态下定位精度误差≤2mm。</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3.4、除了与本投标设备配套供应的经颅磁刺激设备以外，还可以兼容其他主流经颅磁刺激品牌的磁刺激线圈，即对不同品牌的磁刺激设备均可以实施机器人导航定位磁刺激。</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3.5、线圈固定装置需配备高灵敏平板力传感器，可实施监测被试接触情况； </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3.6、可设定靶点范围，当线圈偏离刺激范围时刺激自动终止，当线圈回到目标靶点区域时刺激自动继续执行。</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3.7、工作区域范围：≥1/2半球区域，线圈靶点位置移动范围覆盖超过一半以上的部分大脑皮层区域。；</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3.9、使用过程中被试头部无需固定，可以移动，机器人支持快速自动追踪矫正，满足长时间连续重复脉冲刺激需要。</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3.10、配备电动升降治疗座椅、脚踏和手动控制器。</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二、配置要求</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1、加强型重复经颅磁刺激主机                   1台</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2、带冷却功能的8字形真刺激和假刺激线圈       各1个</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3、手持双线圈                                 1个</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4、磁刺激专用仪器车                           1台</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5、磁刺激导航用红外光学动作扑捉器             1台</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6、预装磁刺激导航软件的导航主机系统           1套</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7、磁刺激线圈定位示踪器                       3套</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8、受试者头部位置示踪器                       1套</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 磁刺激线圈导航用定标器                     1套</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 定位数字化指示器                          1个</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导航系统专用仪器车                        1台</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 导航专用机器人机械臂                      1台</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 导航专用机器人控制器                      1台</w:t>
            </w:r>
          </w:p>
          <w:p>
            <w:pPr>
              <w:pStyle w:val="257"/>
              <w:spacing w:line="240" w:lineRule="auto"/>
              <w:ind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 导航专用机器人安放基座                    1台</w:t>
            </w:r>
          </w:p>
        </w:tc>
      </w:tr>
    </w:tbl>
    <w:p>
      <w:pPr>
        <w:snapToGrid w:val="0"/>
        <w:spacing w:line="360" w:lineRule="auto"/>
        <w:rPr>
          <w:rFonts w:hint="eastAsia" w:ascii="宋体" w:hAnsi="宋体" w:cs="宋体"/>
          <w:b/>
          <w:bCs/>
          <w:color w:val="000000" w:themeColor="text1"/>
          <w:szCs w:val="21"/>
          <w14:textFill>
            <w14:solidFill>
              <w14:schemeClr w14:val="tx1"/>
            </w14:solidFill>
          </w14:textFill>
        </w:rPr>
      </w:pPr>
    </w:p>
    <w:p>
      <w:pPr>
        <w:snapToGrid w:val="0"/>
        <w:spacing w:line="360" w:lineRule="auto"/>
        <w:ind w:firstLine="422" w:firstLineChars="200"/>
        <w:outlineLvl w:val="1"/>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三、质保期与交货期</w:t>
      </w:r>
    </w:p>
    <w:p>
      <w:pPr>
        <w:pStyle w:val="42"/>
        <w:numPr>
          <w:ilvl w:val="255"/>
          <w:numId w:val="0"/>
        </w:numPr>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1.质保期：1年。在质保期内，投标人应对货物出现的质量及安全问题承担全部责任及一切费用。项目验收合格后开始计算。</w:t>
      </w:r>
    </w:p>
    <w:p>
      <w:pPr>
        <w:pStyle w:val="42"/>
        <w:numPr>
          <w:ilvl w:val="255"/>
          <w:numId w:val="0"/>
        </w:numPr>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2.交货期：合同签订且具备项目实施条件后，60个工作日内完成设备供货与安装调试。完成货物交付安装调试。</w:t>
      </w:r>
    </w:p>
    <w:p>
      <w:pPr>
        <w:snapToGrid w:val="0"/>
        <w:spacing w:line="360" w:lineRule="auto"/>
        <w:ind w:firstLine="422" w:firstLineChars="200"/>
        <w:outlineLvl w:val="1"/>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四、采购设备的其他要求</w:t>
      </w:r>
    </w:p>
    <w:p>
      <w:pPr>
        <w:pStyle w:val="42"/>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1.所有设备必须是全新的，未曾使用过的。</w:t>
      </w:r>
    </w:p>
    <w:p>
      <w:pPr>
        <w:pStyle w:val="42"/>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2.投标人提供设备的专用工具及其清单。</w:t>
      </w:r>
    </w:p>
    <w:p>
      <w:pPr>
        <w:pStyle w:val="42"/>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3.投标人提供的设备须符合国家有关设备制造标准。</w:t>
      </w:r>
    </w:p>
    <w:p>
      <w:pPr>
        <w:pStyle w:val="42"/>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4.投标人应在投标文件详细说明所提供货物的技术规格和参数以及主要部件产地。</w:t>
      </w:r>
    </w:p>
    <w:p>
      <w:pPr>
        <w:adjustRightInd/>
        <w:snapToGrid w:val="0"/>
        <w:spacing w:line="360" w:lineRule="auto"/>
        <w:ind w:firstLine="422" w:firstLineChars="200"/>
        <w:outlineLvl w:val="1"/>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五、技术服务要求</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1．合同签订后，投标人应将商品安全运至采购人事先指定的地点（仪器设备投标人负责安装、调试完毕达到验收条件），交采购人验收。</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2．在所提供商品交付使用时，必须向采购人提供产品说明书、质量保证书、保修卡等必须具备的相关资料和必备的附件。并免费提供现场技术培训。</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3.售后服务要求：</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（1）质保期内的服务要求</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设备在使用过程中或整个系统在运行过程中如果遇到问题，投标人需15分钟内响应，如果通过电话无法排除故障，4小时到达现场服务，并负责24小时内修复。</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投标人提供终身维修服务，保证备品备件的长期供应，如设备停止生产，投标人需提前通知采购人，使采购人有足够的时间采购所需配件。</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（2）质保期后的服务要求</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质保期结束后，投标人对设备履行终身技术支持、维修、零配件供应服务，投标人在投标文件技术商务文件中必须明确说明服务承诺。</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4.质量保证</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（1）投标人应按采购文件规定的货物性能、技术要求、质量标准向采购人提供未经使用的全新产品。</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（2）在质量保证期内因货物本身的质量问题发生故障，投标人应负责修理和更换零部件。对达不到技术要求者，根据实际情况，经双方协商，可按以下办法处理：</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（a）更换：由投标人承担所发生的全部费用；</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（b）退货处理：投标人应退还采购人支付的货物款，同时应承担该货物的直接费用（运输、保险、检验、货款利息及银行手续费等）。</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（3）在质保期内，投标人应对货物出现的质量及安全问题负责处理解决。</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5.投标人须按采购人要求提供软件升级服务。</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6.售后服务团队要求</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投标人需提供专业安装及维修设备的服务工程师姓名、电话、邮箱及证明材料。</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投标人需配备专业应用支持团队，团队具有长期的设备维护经验，提供必须提供专职应用工程师姓名，电话，邮箱及证明材料。</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7.培训：投标人应安排技术负责人对采购人相关使用人员进行现场免费技术培训，直至采购人的使用人员熟练操作。</w:t>
      </w:r>
    </w:p>
    <w:p>
      <w:pPr>
        <w:adjustRightInd/>
        <w:snapToGrid w:val="0"/>
        <w:spacing w:line="360" w:lineRule="auto"/>
        <w:ind w:firstLine="422" w:firstLineChars="200"/>
        <w:outlineLvl w:val="1"/>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六、验收标准</w:t>
      </w:r>
    </w:p>
    <w:p>
      <w:pPr>
        <w:pStyle w:val="42"/>
        <w:adjustRightInd/>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1．投标人将所供商品运至交货地点拆箱并安装调试完毕后，由采购人使用者当场负责初次（品牌、外观、数量等）验收；采购人需要另行组织专家等验收的，验收期为15天(双方另有约定的从约定）。</w:t>
      </w:r>
    </w:p>
    <w:p>
      <w:pPr>
        <w:pStyle w:val="42"/>
        <w:adjustRightInd/>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2．合同商品从验收合格之日起 30 日内，出现非使用方人为因素造成的无法排除的故障由投标人予以整机调换。</w:t>
      </w:r>
    </w:p>
    <w:p>
      <w:pPr>
        <w:adjustRightInd/>
        <w:snapToGrid w:val="0"/>
        <w:spacing w:line="360" w:lineRule="auto"/>
        <w:ind w:firstLine="422" w:firstLineChars="20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七、其他要求</w:t>
      </w:r>
    </w:p>
    <w:p>
      <w:pPr>
        <w:pStyle w:val="23"/>
        <w:adjustRightInd/>
        <w:snapToGrid w:val="0"/>
        <w:ind w:firstLine="420" w:firstLineChars="200"/>
        <w:rPr>
          <w:rFonts w:hint="eastAsia"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1.投标人在投标文件中应提供针对本项目的安装调试方案，确保设备能够按期供货，质量符合采购要求和国家有关标准。</w:t>
      </w:r>
    </w:p>
    <w:p>
      <w:pPr>
        <w:pStyle w:val="23"/>
        <w:adjustRightInd/>
        <w:snapToGrid w:val="0"/>
        <w:ind w:firstLine="420" w:firstLineChars="200"/>
        <w:rPr>
          <w:rFonts w:hint="eastAsia"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2.投标人在投标文件中应提供确保本项目所供货物的质量检测设施及质量监控措施。</w:t>
      </w:r>
    </w:p>
    <w:p>
      <w:pPr>
        <w:pStyle w:val="23"/>
        <w:adjustRightInd/>
        <w:snapToGrid w:val="0"/>
        <w:ind w:firstLine="420" w:firstLineChars="200"/>
        <w:rPr>
          <w:rFonts w:hint="eastAsia"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3.投标人应在投标文件中列明本次采购设备质保期满后运行所需的配件、附件、备品备件的准备和保障措施、购买折扣、年维护费用和优惠承诺情况。</w:t>
      </w:r>
    </w:p>
    <w:p>
      <w:pPr>
        <w:pStyle w:val="23"/>
        <w:adjustRightInd/>
        <w:snapToGrid w:val="0"/>
        <w:ind w:firstLine="420" w:firstLineChars="200"/>
        <w:rPr>
          <w:rFonts w:hint="eastAsia"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4.投标人应负责培训采购人的使用操作人员，做好现场操作运用的指导。提供详细的培训方案。明确培训工程师是厂家工程师上门培训，还是代理商或授权第三方工程师提供培训服务。</w:t>
      </w:r>
    </w:p>
    <w:p>
      <w:pPr>
        <w:pStyle w:val="23"/>
        <w:adjustRightInd/>
        <w:snapToGrid w:val="0"/>
        <w:ind w:firstLine="420" w:firstLineChars="200"/>
        <w:rPr>
          <w:rFonts w:hint="eastAsia"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5.提供完整可行的售后服务方案，对服务承诺应有可落实的保证措施，阐述质保期内外的后续技术支持和维护能力情况。</w:t>
      </w:r>
    </w:p>
    <w:p>
      <w:pPr>
        <w:pStyle w:val="23"/>
        <w:adjustRightInd/>
        <w:snapToGrid w:val="0"/>
        <w:ind w:firstLine="420" w:firstLineChars="200"/>
        <w:rPr>
          <w:rFonts w:hint="eastAsia" w:hAnsi="宋体" w:cs="宋体"/>
          <w:color w:val="000000" w:themeColor="text1"/>
          <w:sz w:val="21"/>
          <w:lang w:val="en-US"/>
          <w14:textFill>
            <w14:solidFill>
              <w14:schemeClr w14:val="tx1"/>
            </w14:solidFill>
          </w14:textFill>
        </w:rPr>
      </w:pPr>
      <w:r>
        <w:rPr>
          <w:rFonts w:hint="eastAsia" w:hAnsi="宋体" w:cs="宋体"/>
          <w:color w:val="000000" w:themeColor="text1"/>
          <w:sz w:val="21"/>
          <w:lang w:val="en-US"/>
          <w14:textFill>
            <w14:solidFill>
              <w14:schemeClr w14:val="tx1"/>
            </w14:solidFill>
          </w14:textFill>
        </w:rPr>
        <w:t>6.本项目投标报价包含包装，运输费用，保险费用，以及培训等一切费用，请投标人综合考虑。</w:t>
      </w:r>
    </w:p>
    <w:p>
      <w:pPr>
        <w:pStyle w:val="23"/>
        <w:adjustRightInd/>
        <w:snapToGrid w:val="0"/>
        <w:ind w:firstLine="420" w:firstLineChars="200"/>
        <w:rPr>
          <w:rFonts w:ascii="Times New Roman" w:hAnsi="Times New Roman" w:cs="Times New Roman"/>
          <w:b w:val="0"/>
          <w:bCs w:val="0"/>
          <w:color w:val="000000" w:themeColor="text1"/>
          <w:sz w:val="18"/>
          <w:szCs w:val="18"/>
          <w:highlight w:val="none"/>
          <w:lang w:val="en-US"/>
          <w14:textFill>
            <w14:solidFill>
              <w14:schemeClr w14:val="tx1"/>
            </w14:solidFill>
          </w14:textFill>
        </w:rPr>
      </w:pPr>
      <w:r>
        <w:rPr>
          <w:rFonts w:hint="eastAsia" w:hAnsi="宋体" w:cs="宋体"/>
          <w:b w:val="0"/>
          <w:bCs w:val="0"/>
          <w:color w:val="000000" w:themeColor="text1"/>
          <w:sz w:val="21"/>
          <w:szCs w:val="18"/>
          <w:highlight w:val="none"/>
          <w14:textFill>
            <w14:solidFill>
              <w14:schemeClr w14:val="tx1"/>
            </w14:solidFill>
          </w14:textFill>
        </w:rPr>
        <w:t>7</w:t>
      </w:r>
      <w:r>
        <w:rPr>
          <w:rFonts w:hAnsi="宋体" w:cs="宋体"/>
          <w:b w:val="0"/>
          <w:bCs w:val="0"/>
          <w:color w:val="000000" w:themeColor="text1"/>
          <w:sz w:val="21"/>
          <w:szCs w:val="18"/>
          <w:highlight w:val="none"/>
          <w14:textFill>
            <w14:solidFill>
              <w14:schemeClr w14:val="tx1"/>
            </w14:solidFill>
          </w14:textFill>
        </w:rPr>
        <w:t>.</w:t>
      </w:r>
      <w:r>
        <w:rPr>
          <w:rFonts w:hint="eastAsia" w:hAnsi="宋体" w:cs="宋体"/>
          <w:b w:val="0"/>
          <w:bCs w:val="0"/>
          <w:color w:val="000000" w:themeColor="text1"/>
          <w:sz w:val="21"/>
          <w:szCs w:val="18"/>
          <w:highlight w:val="none"/>
          <w14:textFill>
            <w14:solidFill>
              <w14:schemeClr w14:val="tx1"/>
            </w14:solidFill>
          </w14:textFill>
        </w:rPr>
        <w:t>为保证产品质量，所投产品如果为进口产品，需出具国外原厂厂家针对此项目授权，所投产品如果为国产产品，须出具生产厂家针对此项目授权。</w:t>
      </w:r>
    </w:p>
    <w:p>
      <w:pPr>
        <w:pStyle w:val="23"/>
        <w:adjustRightInd/>
        <w:snapToGrid w:val="0"/>
        <w:ind w:firstLine="420" w:firstLineChars="200"/>
        <w:rPr>
          <w:rFonts w:hint="eastAsia" w:hAnsi="宋体" w:cs="宋体"/>
          <w:b w:val="0"/>
          <w:bCs w:val="0"/>
          <w:color w:val="000000" w:themeColor="text1"/>
          <w:sz w:val="21"/>
          <w:highlight w:val="none"/>
          <w:lang w:val="en-US"/>
          <w14:textFill>
            <w14:solidFill>
              <w14:schemeClr w14:val="tx1"/>
            </w14:solidFill>
          </w14:textFill>
        </w:rPr>
        <w:sectPr>
          <w:pgSz w:w="11905" w:h="16838"/>
          <w:pgMar w:top="1247" w:right="1247" w:bottom="1247" w:left="1247" w:header="851" w:footer="992" w:gutter="0"/>
          <w:cols w:space="0" w:num="1"/>
          <w:titlePg/>
        </w:sectPr>
      </w:pPr>
    </w:p>
    <w:p>
      <w:pPr>
        <w:snapToGrid w:val="0"/>
        <w:spacing w:line="288"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附表一：</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885"/>
        <w:gridCol w:w="1055"/>
        <w:gridCol w:w="752"/>
        <w:gridCol w:w="466"/>
        <w:gridCol w:w="839"/>
        <w:gridCol w:w="1206"/>
        <w:gridCol w:w="1206"/>
        <w:gridCol w:w="839"/>
        <w:gridCol w:w="1026"/>
        <w:gridCol w:w="1367"/>
        <w:gridCol w:w="1066"/>
        <w:gridCol w:w="83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11" w:type="pct"/>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647"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项目名称</w:t>
            </w:r>
          </w:p>
        </w:tc>
        <w:tc>
          <w:tcPr>
            <w:tcW w:w="362" w:type="pct"/>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技术要求</w:t>
            </w:r>
          </w:p>
        </w:tc>
        <w:tc>
          <w:tcPr>
            <w:tcW w:w="258" w:type="pct"/>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是否进口</w:t>
            </w:r>
          </w:p>
        </w:tc>
        <w:tc>
          <w:tcPr>
            <w:tcW w:w="160"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288"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计量单位</w:t>
            </w:r>
          </w:p>
        </w:tc>
        <w:tc>
          <w:tcPr>
            <w:tcW w:w="414"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预算总价(元)</w:t>
            </w:r>
          </w:p>
        </w:tc>
        <w:tc>
          <w:tcPr>
            <w:tcW w:w="414" w:type="pct"/>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最高限价(元)</w:t>
            </w:r>
          </w:p>
        </w:tc>
        <w:tc>
          <w:tcPr>
            <w:tcW w:w="288"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需求部门</w:t>
            </w:r>
          </w:p>
        </w:tc>
        <w:tc>
          <w:tcPr>
            <w:tcW w:w="352"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联系使用人</w:t>
            </w:r>
          </w:p>
        </w:tc>
        <w:tc>
          <w:tcPr>
            <w:tcW w:w="469"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联系电话</w:t>
            </w:r>
          </w:p>
        </w:tc>
        <w:tc>
          <w:tcPr>
            <w:tcW w:w="366"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经费名称</w:t>
            </w:r>
          </w:p>
        </w:tc>
        <w:tc>
          <w:tcPr>
            <w:tcW w:w="288"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批复预算号</w:t>
            </w:r>
          </w:p>
        </w:tc>
        <w:tc>
          <w:tcPr>
            <w:tcW w:w="474"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采购执行书号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11" w:type="pct"/>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w:t>
            </w:r>
          </w:p>
        </w:tc>
        <w:tc>
          <w:tcPr>
            <w:tcW w:w="647"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机器人导航经颅磁刺激系统</w:t>
            </w:r>
          </w:p>
        </w:tc>
        <w:tc>
          <w:tcPr>
            <w:tcW w:w="362" w:type="pct"/>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详见采购文件</w:t>
            </w:r>
          </w:p>
        </w:tc>
        <w:tc>
          <w:tcPr>
            <w:tcW w:w="258" w:type="pct"/>
            <w:vAlign w:val="center"/>
          </w:tcPr>
          <w:p>
            <w:pPr>
              <w:widowControl/>
              <w:jc w:val="center"/>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是</w:t>
            </w:r>
          </w:p>
        </w:tc>
        <w:tc>
          <w:tcPr>
            <w:tcW w:w="160" w:type="pct"/>
            <w:shd w:val="clear" w:color="auto" w:fill="auto"/>
            <w:vAlign w:val="center"/>
          </w:tcPr>
          <w:p>
            <w:pPr>
              <w:widowControl/>
              <w:jc w:val="center"/>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1</w:t>
            </w:r>
          </w:p>
        </w:tc>
        <w:tc>
          <w:tcPr>
            <w:tcW w:w="288" w:type="pct"/>
            <w:shd w:val="clear" w:color="auto" w:fill="auto"/>
            <w:vAlign w:val="center"/>
          </w:tcPr>
          <w:p>
            <w:pPr>
              <w:widowControl/>
              <w:jc w:val="center"/>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套</w:t>
            </w:r>
          </w:p>
        </w:tc>
        <w:tc>
          <w:tcPr>
            <w:tcW w:w="414" w:type="pct"/>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3200000</w:t>
            </w:r>
          </w:p>
        </w:tc>
        <w:tc>
          <w:tcPr>
            <w:tcW w:w="414" w:type="pct"/>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3200000</w:t>
            </w:r>
          </w:p>
        </w:tc>
        <w:tc>
          <w:tcPr>
            <w:tcW w:w="288"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经亨颐教育学院</w:t>
            </w:r>
          </w:p>
        </w:tc>
        <w:tc>
          <w:tcPr>
            <w:tcW w:w="352" w:type="pct"/>
            <w:shd w:val="clear" w:color="auto" w:fill="auto"/>
            <w:vAlign w:val="center"/>
          </w:tcPr>
          <w:p>
            <w:pPr>
              <w:widowControl/>
              <w:jc w:val="center"/>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贾</w:t>
            </w:r>
            <w:r>
              <w:rPr>
                <w:rFonts w:hint="eastAsia" w:ascii="宋体" w:hAnsi="宋体" w:cs="宋体"/>
                <w:b/>
                <w:bCs/>
                <w:color w:val="000000" w:themeColor="text1"/>
                <w:kern w:val="0"/>
                <w:szCs w:val="21"/>
                <w:lang w:val="en-US" w:eastAsia="zh-CN"/>
                <w14:textFill>
                  <w14:solidFill>
                    <w14:schemeClr w14:val="tx1"/>
                  </w14:solidFill>
                </w14:textFill>
              </w:rPr>
              <w:t>老师</w:t>
            </w:r>
          </w:p>
        </w:tc>
        <w:tc>
          <w:tcPr>
            <w:tcW w:w="469"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0571-28865586</w:t>
            </w:r>
          </w:p>
        </w:tc>
        <w:tc>
          <w:tcPr>
            <w:tcW w:w="366"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大型仪器设备平台采购经费</w:t>
            </w:r>
          </w:p>
        </w:tc>
        <w:tc>
          <w:tcPr>
            <w:tcW w:w="288" w:type="pct"/>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8824001268755</w:t>
            </w:r>
            <w:bookmarkStart w:id="412" w:name="_GoBack"/>
            <w:bookmarkEnd w:id="412"/>
            <w:r>
              <w:rPr>
                <w:rFonts w:hint="eastAsia" w:ascii="宋体" w:hAnsi="宋体" w:cs="宋体"/>
                <w:b/>
                <w:bCs/>
                <w:color w:val="000000" w:themeColor="text1"/>
                <w:kern w:val="0"/>
                <w:szCs w:val="21"/>
                <w14:textFill>
                  <w14:solidFill>
                    <w14:schemeClr w14:val="tx1"/>
                  </w14:solidFill>
                </w14:textFill>
              </w:rPr>
              <w:t xml:space="preserve"> </w:t>
            </w:r>
          </w:p>
        </w:tc>
        <w:tc>
          <w:tcPr>
            <w:tcW w:w="474" w:type="pct"/>
            <w:shd w:val="clear" w:color="auto" w:fill="auto"/>
            <w:vAlign w:val="center"/>
          </w:tcPr>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[2024]14082号</w:t>
            </w:r>
            <w:r>
              <w:rPr>
                <w:rFonts w:hint="eastAsia" w:ascii="宋体" w:hAnsi="宋体" w:cs="宋体"/>
                <w:b/>
                <w:bCs/>
                <w:color w:val="000000" w:themeColor="text1"/>
                <w:kern w:val="0"/>
                <w:szCs w:val="21"/>
                <w:lang w:eastAsia="zh-CN"/>
                <w14:textFill>
                  <w14:solidFill>
                    <w14:schemeClr w14:val="tx1"/>
                  </w14:solidFill>
                </w14:textFill>
              </w:rPr>
              <w:t>、临[2024]14137号</w:t>
            </w:r>
          </w:p>
        </w:tc>
      </w:tr>
    </w:tbl>
    <w:p>
      <w:pPr>
        <w:pStyle w:val="81"/>
        <w:rPr>
          <w:rFonts w:hint="eastAsia" w:ascii="宋体" w:hAnsi="宋体" w:eastAsia="宋体" w:cs="宋体"/>
          <w:color w:val="000000" w:themeColor="text1"/>
          <w14:textFill>
            <w14:solidFill>
              <w14:schemeClr w14:val="tx1"/>
            </w14:solidFill>
          </w14:textFill>
        </w:rPr>
      </w:pPr>
    </w:p>
    <w:p>
      <w:pPr>
        <w:spacing w:line="288" w:lineRule="auto"/>
        <w:rPr>
          <w:rFonts w:hint="eastAsia" w:ascii="宋体" w:hAnsi="宋体" w:cs="宋体"/>
          <w:color w:val="000000" w:themeColor="text1"/>
          <w:szCs w:val="21"/>
          <w14:textFill>
            <w14:solidFill>
              <w14:schemeClr w14:val="tx1"/>
            </w14:solidFill>
          </w14:textFill>
        </w:rPr>
      </w:pPr>
    </w:p>
    <w:p>
      <w:pPr>
        <w:widowControl/>
        <w:spacing w:line="288" w:lineRule="auto"/>
        <w:ind w:firstLine="630" w:firstLineChars="300"/>
        <w:jc w:val="left"/>
        <w:rPr>
          <w:rFonts w:hint="eastAsia" w:ascii="宋体" w:hAnsi="宋体" w:cs="宋体"/>
          <w:bCs/>
          <w:color w:val="000000" w:themeColor="text1"/>
          <w:szCs w:val="21"/>
          <w14:textFill>
            <w14:solidFill>
              <w14:schemeClr w14:val="tx1"/>
            </w14:solidFill>
          </w14:textFill>
        </w:rPr>
      </w:pPr>
    </w:p>
    <w:p>
      <w:pPr>
        <w:spacing w:line="288" w:lineRule="auto"/>
        <w:rPr>
          <w:rFonts w:hint="eastAsia" w:ascii="宋体" w:hAnsi="宋体" w:cs="宋体"/>
          <w:snapToGrid w:val="0"/>
          <w:color w:val="000000" w:themeColor="text1"/>
          <w:kern w:val="0"/>
          <w:szCs w:val="21"/>
          <w14:textFill>
            <w14:solidFill>
              <w14:schemeClr w14:val="tx1"/>
            </w14:solidFill>
          </w14:textFill>
        </w:rPr>
      </w:pPr>
    </w:p>
    <w:p>
      <w:pPr>
        <w:spacing w:line="288" w:lineRule="auto"/>
        <w:rPr>
          <w:rFonts w:hint="eastAsia" w:ascii="宋体" w:hAnsi="宋体" w:cs="宋体"/>
          <w:b/>
          <w:color w:val="000000" w:themeColor="text1"/>
          <w:szCs w:val="21"/>
          <w14:textFill>
            <w14:solidFill>
              <w14:schemeClr w14:val="tx1"/>
            </w14:solidFill>
          </w14:textFill>
        </w:rPr>
        <w:sectPr>
          <w:pgSz w:w="16838" w:h="11905" w:orient="landscape"/>
          <w:pgMar w:top="1247" w:right="1247" w:bottom="1247" w:left="1247" w:header="851" w:footer="992" w:gutter="0"/>
          <w:cols w:space="0" w:num="1"/>
          <w:titlePg/>
        </w:sectPr>
      </w:pPr>
    </w:p>
    <w:p>
      <w:pPr>
        <w:spacing w:line="288" w:lineRule="auto"/>
        <w:jc w:val="center"/>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第四部分 </w:t>
      </w:r>
      <w:bookmarkStart w:id="32" w:name="_Toc184314433"/>
      <w:bookmarkEnd w:id="32"/>
      <w:bookmarkStart w:id="33" w:name="_Toc184308036"/>
      <w:bookmarkEnd w:id="33"/>
      <w:bookmarkStart w:id="34" w:name="_Toc184310318"/>
      <w:bookmarkEnd w:id="34"/>
      <w:bookmarkStart w:id="35" w:name="_Toc184308044"/>
      <w:bookmarkEnd w:id="35"/>
      <w:bookmarkStart w:id="36" w:name="_Toc184310311"/>
      <w:bookmarkEnd w:id="36"/>
      <w:bookmarkStart w:id="37" w:name="_Toc184312073"/>
      <w:bookmarkEnd w:id="37"/>
      <w:bookmarkStart w:id="38" w:name="_Toc184310276"/>
      <w:bookmarkEnd w:id="38"/>
      <w:bookmarkStart w:id="39" w:name="_Toc184313293"/>
      <w:bookmarkEnd w:id="39"/>
      <w:bookmarkStart w:id="40" w:name="_Toc184308106"/>
      <w:bookmarkEnd w:id="40"/>
      <w:bookmarkStart w:id="41" w:name="_Toc184313270"/>
      <w:bookmarkEnd w:id="41"/>
      <w:bookmarkStart w:id="42" w:name="_Toc184312108"/>
      <w:bookmarkEnd w:id="42"/>
      <w:bookmarkStart w:id="43" w:name="_Toc184308050"/>
      <w:bookmarkEnd w:id="43"/>
      <w:bookmarkStart w:id="44" w:name="_Toc184308055"/>
      <w:bookmarkEnd w:id="44"/>
      <w:bookmarkStart w:id="45" w:name="_Toc184314472"/>
      <w:bookmarkEnd w:id="45"/>
      <w:bookmarkStart w:id="46" w:name="_Toc184310329"/>
      <w:bookmarkEnd w:id="46"/>
      <w:bookmarkStart w:id="47" w:name="_Toc184312119"/>
      <w:bookmarkEnd w:id="47"/>
      <w:bookmarkStart w:id="48" w:name="_Toc184308097"/>
      <w:bookmarkEnd w:id="48"/>
      <w:bookmarkStart w:id="49" w:name="_Toc184308069"/>
      <w:bookmarkEnd w:id="49"/>
      <w:bookmarkStart w:id="50" w:name="_Toc184313305"/>
      <w:bookmarkEnd w:id="50"/>
      <w:bookmarkStart w:id="51" w:name="_Toc184314453"/>
      <w:bookmarkEnd w:id="51"/>
      <w:bookmarkStart w:id="52" w:name="_Toc184312080"/>
      <w:bookmarkEnd w:id="52"/>
      <w:bookmarkStart w:id="53" w:name="_Toc184308098"/>
      <w:bookmarkEnd w:id="53"/>
      <w:bookmarkStart w:id="54" w:name="_Toc184310287"/>
      <w:bookmarkEnd w:id="54"/>
      <w:bookmarkStart w:id="55" w:name="_Toc184308039"/>
      <w:bookmarkEnd w:id="55"/>
      <w:bookmarkStart w:id="56" w:name="_Toc184308047"/>
      <w:bookmarkEnd w:id="56"/>
      <w:bookmarkStart w:id="57" w:name="_Toc184313302"/>
      <w:bookmarkEnd w:id="57"/>
      <w:bookmarkStart w:id="58" w:name="_Toc184313283"/>
      <w:bookmarkEnd w:id="58"/>
      <w:bookmarkStart w:id="59" w:name="_Toc184313285"/>
      <w:bookmarkEnd w:id="59"/>
      <w:bookmarkStart w:id="60" w:name="_Toc184314442"/>
      <w:bookmarkEnd w:id="60"/>
      <w:bookmarkStart w:id="61" w:name="_Toc184313242"/>
      <w:bookmarkEnd w:id="61"/>
      <w:bookmarkStart w:id="62" w:name="_Toc184310291"/>
      <w:bookmarkEnd w:id="62"/>
      <w:bookmarkStart w:id="63" w:name="_Toc184310306"/>
      <w:bookmarkEnd w:id="63"/>
      <w:bookmarkStart w:id="64" w:name="_Toc184313282"/>
      <w:bookmarkEnd w:id="64"/>
      <w:bookmarkStart w:id="65" w:name="_Toc184313306"/>
      <w:bookmarkEnd w:id="65"/>
      <w:bookmarkStart w:id="66" w:name="_Toc184312127"/>
      <w:bookmarkEnd w:id="66"/>
      <w:bookmarkStart w:id="67" w:name="_Toc184308079"/>
      <w:bookmarkEnd w:id="67"/>
      <w:bookmarkStart w:id="68" w:name="_Toc184312067"/>
      <w:bookmarkEnd w:id="68"/>
      <w:bookmarkStart w:id="69" w:name="_Toc184308071"/>
      <w:bookmarkEnd w:id="69"/>
      <w:bookmarkStart w:id="70" w:name="_Toc184310327"/>
      <w:bookmarkEnd w:id="70"/>
      <w:bookmarkStart w:id="71" w:name="_Toc184313249"/>
      <w:bookmarkEnd w:id="71"/>
      <w:bookmarkStart w:id="72" w:name="_Toc184313252"/>
      <w:bookmarkEnd w:id="72"/>
      <w:bookmarkStart w:id="73" w:name="_Toc184313241"/>
      <w:bookmarkEnd w:id="73"/>
      <w:bookmarkStart w:id="74" w:name="_Toc184312117"/>
      <w:bookmarkEnd w:id="74"/>
      <w:bookmarkStart w:id="75" w:name="_Toc184308045"/>
      <w:bookmarkEnd w:id="75"/>
      <w:bookmarkStart w:id="76" w:name="_Toc184313280"/>
      <w:bookmarkEnd w:id="76"/>
      <w:bookmarkStart w:id="77" w:name="_Toc184313268"/>
      <w:bookmarkEnd w:id="77"/>
      <w:bookmarkStart w:id="78" w:name="_Toc184313262"/>
      <w:bookmarkEnd w:id="78"/>
      <w:bookmarkStart w:id="79" w:name="_Toc184314451"/>
      <w:bookmarkEnd w:id="79"/>
      <w:bookmarkStart w:id="80" w:name="_Toc184314441"/>
      <w:bookmarkEnd w:id="80"/>
      <w:bookmarkStart w:id="81" w:name="_Toc184313245"/>
      <w:bookmarkEnd w:id="81"/>
      <w:bookmarkStart w:id="82" w:name="_Toc184312122"/>
      <w:bookmarkEnd w:id="82"/>
      <w:bookmarkStart w:id="83" w:name="_Toc184313281"/>
      <w:bookmarkEnd w:id="83"/>
      <w:bookmarkStart w:id="84" w:name="_Toc184310325"/>
      <w:bookmarkEnd w:id="84"/>
      <w:bookmarkStart w:id="85" w:name="_Toc184308074"/>
      <w:bookmarkEnd w:id="85"/>
      <w:bookmarkStart w:id="86" w:name="_Toc184310336"/>
      <w:bookmarkEnd w:id="86"/>
      <w:bookmarkStart w:id="87" w:name="_Toc184308095"/>
      <w:bookmarkEnd w:id="87"/>
      <w:bookmarkStart w:id="88" w:name="_Toc184310339"/>
      <w:bookmarkEnd w:id="88"/>
      <w:bookmarkStart w:id="89" w:name="_Toc184312110"/>
      <w:bookmarkEnd w:id="89"/>
      <w:bookmarkStart w:id="90" w:name="_Toc184314411"/>
      <w:bookmarkEnd w:id="90"/>
      <w:bookmarkStart w:id="91" w:name="_Toc184308080"/>
      <w:bookmarkEnd w:id="91"/>
      <w:bookmarkStart w:id="92" w:name="_Toc184310340"/>
      <w:bookmarkEnd w:id="92"/>
      <w:bookmarkStart w:id="93" w:name="_Toc184310324"/>
      <w:bookmarkEnd w:id="93"/>
      <w:bookmarkStart w:id="94" w:name="_Toc184308104"/>
      <w:bookmarkEnd w:id="94"/>
      <w:bookmarkStart w:id="95" w:name="_Toc184310333"/>
      <w:bookmarkEnd w:id="95"/>
      <w:bookmarkStart w:id="96" w:name="_Toc184312107"/>
      <w:bookmarkEnd w:id="96"/>
      <w:bookmarkStart w:id="97" w:name="_Toc184314468"/>
      <w:bookmarkEnd w:id="97"/>
      <w:bookmarkStart w:id="98" w:name="_Toc184312111"/>
      <w:bookmarkEnd w:id="98"/>
      <w:bookmarkStart w:id="99" w:name="_Toc184308043"/>
      <w:bookmarkEnd w:id="99"/>
      <w:bookmarkStart w:id="100" w:name="_Toc184308083"/>
      <w:bookmarkEnd w:id="100"/>
      <w:bookmarkStart w:id="101" w:name="_Toc184314415"/>
      <w:bookmarkEnd w:id="101"/>
      <w:bookmarkStart w:id="102" w:name="_Toc184312113"/>
      <w:bookmarkEnd w:id="102"/>
      <w:bookmarkStart w:id="103" w:name="_Toc184314480"/>
      <w:bookmarkEnd w:id="103"/>
      <w:bookmarkStart w:id="104" w:name="_Toc184312126"/>
      <w:bookmarkEnd w:id="104"/>
      <w:bookmarkStart w:id="105" w:name="_Toc184312068"/>
      <w:bookmarkEnd w:id="105"/>
      <w:bookmarkStart w:id="106" w:name="_Toc184313278"/>
      <w:bookmarkEnd w:id="106"/>
      <w:bookmarkStart w:id="107" w:name="_Toc184310320"/>
      <w:bookmarkEnd w:id="107"/>
      <w:bookmarkStart w:id="108" w:name="_Toc184312088"/>
      <w:bookmarkEnd w:id="108"/>
      <w:bookmarkStart w:id="109" w:name="_Toc184308068"/>
      <w:bookmarkEnd w:id="109"/>
      <w:bookmarkStart w:id="110" w:name="_Toc184310319"/>
      <w:bookmarkEnd w:id="110"/>
      <w:bookmarkStart w:id="111" w:name="_Toc184308108"/>
      <w:bookmarkEnd w:id="111"/>
      <w:bookmarkStart w:id="112" w:name="_Toc184314478"/>
      <w:bookmarkEnd w:id="112"/>
      <w:bookmarkStart w:id="113" w:name="_Toc184313308"/>
      <w:bookmarkEnd w:id="113"/>
      <w:bookmarkStart w:id="114" w:name="_Toc184312106"/>
      <w:bookmarkEnd w:id="114"/>
      <w:bookmarkStart w:id="115" w:name="_Toc184308066"/>
      <w:bookmarkEnd w:id="115"/>
      <w:bookmarkStart w:id="116" w:name="_Toc184313291"/>
      <w:bookmarkEnd w:id="116"/>
      <w:bookmarkStart w:id="117" w:name="_Toc184313267"/>
      <w:bookmarkEnd w:id="117"/>
      <w:bookmarkStart w:id="118" w:name="_Toc184308064"/>
      <w:bookmarkEnd w:id="118"/>
      <w:bookmarkStart w:id="119" w:name="_Toc184314426"/>
      <w:bookmarkEnd w:id="119"/>
      <w:bookmarkStart w:id="120" w:name="_Toc184313307"/>
      <w:bookmarkEnd w:id="120"/>
      <w:bookmarkStart w:id="121" w:name="_Toc184313258"/>
      <w:bookmarkEnd w:id="121"/>
      <w:bookmarkStart w:id="122" w:name="_Toc184314420"/>
      <w:bookmarkEnd w:id="122"/>
      <w:bookmarkStart w:id="123" w:name="_Toc184310299"/>
      <w:bookmarkEnd w:id="123"/>
      <w:bookmarkStart w:id="124" w:name="_Toc184308053"/>
      <w:bookmarkEnd w:id="124"/>
      <w:bookmarkStart w:id="125" w:name="_Toc184310305"/>
      <w:bookmarkEnd w:id="125"/>
      <w:bookmarkStart w:id="126" w:name="_Toc184310304"/>
      <w:bookmarkEnd w:id="126"/>
      <w:bookmarkStart w:id="127" w:name="_Toc184308062"/>
      <w:bookmarkEnd w:id="127"/>
      <w:bookmarkStart w:id="128" w:name="_Toc184314423"/>
      <w:bookmarkEnd w:id="128"/>
      <w:bookmarkStart w:id="129" w:name="_Toc184312078"/>
      <w:bookmarkEnd w:id="129"/>
      <w:bookmarkStart w:id="130" w:name="_Toc184313243"/>
      <w:bookmarkEnd w:id="130"/>
      <w:bookmarkStart w:id="131" w:name="_Toc184312131"/>
      <w:bookmarkEnd w:id="131"/>
      <w:bookmarkStart w:id="132" w:name="_Toc184312095"/>
      <w:bookmarkEnd w:id="132"/>
      <w:bookmarkStart w:id="133" w:name="_Toc184313253"/>
      <w:bookmarkEnd w:id="133"/>
      <w:bookmarkStart w:id="134" w:name="_Toc184314482"/>
      <w:bookmarkEnd w:id="134"/>
      <w:bookmarkStart w:id="135" w:name="_Toc184308051"/>
      <w:bookmarkEnd w:id="135"/>
      <w:bookmarkStart w:id="136" w:name="_Toc184314467"/>
      <w:bookmarkEnd w:id="136"/>
      <w:bookmarkStart w:id="137" w:name="_Toc184310283"/>
      <w:bookmarkEnd w:id="137"/>
      <w:bookmarkStart w:id="138" w:name="_Toc184312077"/>
      <w:bookmarkEnd w:id="138"/>
      <w:bookmarkStart w:id="139" w:name="_Toc184312114"/>
      <w:bookmarkEnd w:id="139"/>
      <w:bookmarkStart w:id="140" w:name="_Toc184310330"/>
      <w:bookmarkEnd w:id="140"/>
      <w:bookmarkStart w:id="141" w:name="_Toc184310335"/>
      <w:bookmarkEnd w:id="141"/>
      <w:bookmarkStart w:id="142" w:name="_Toc184312083"/>
      <w:bookmarkEnd w:id="142"/>
      <w:bookmarkStart w:id="143" w:name="_Toc184314456"/>
      <w:bookmarkEnd w:id="143"/>
      <w:bookmarkStart w:id="144" w:name="_Toc184312074"/>
      <w:bookmarkEnd w:id="144"/>
      <w:bookmarkStart w:id="145" w:name="_Toc184312089"/>
      <w:bookmarkEnd w:id="145"/>
      <w:bookmarkStart w:id="146" w:name="_Toc184314410"/>
      <w:bookmarkEnd w:id="146"/>
      <w:bookmarkStart w:id="147" w:name="_Toc184313274"/>
      <w:bookmarkEnd w:id="147"/>
      <w:bookmarkStart w:id="148" w:name="_Toc184313257"/>
      <w:bookmarkEnd w:id="148"/>
      <w:bookmarkStart w:id="149" w:name="_Toc184310294"/>
      <w:bookmarkEnd w:id="149"/>
      <w:bookmarkStart w:id="150" w:name="_Toc184310281"/>
      <w:bookmarkEnd w:id="150"/>
      <w:bookmarkStart w:id="151" w:name="_Toc184313259"/>
      <w:bookmarkEnd w:id="151"/>
      <w:bookmarkStart w:id="152" w:name="_Toc184308077"/>
      <w:bookmarkEnd w:id="152"/>
      <w:bookmarkStart w:id="153" w:name="_Toc184314450"/>
      <w:bookmarkEnd w:id="153"/>
      <w:bookmarkStart w:id="154" w:name="_Toc184308088"/>
      <w:bookmarkEnd w:id="154"/>
      <w:bookmarkStart w:id="155" w:name="_Toc184313301"/>
      <w:bookmarkEnd w:id="155"/>
      <w:bookmarkStart w:id="156" w:name="_Toc184310342"/>
      <w:bookmarkEnd w:id="156"/>
      <w:bookmarkStart w:id="157" w:name="_Toc184310274"/>
      <w:bookmarkEnd w:id="157"/>
      <w:bookmarkStart w:id="158" w:name="_Toc184312081"/>
      <w:bookmarkEnd w:id="158"/>
      <w:bookmarkStart w:id="159" w:name="_Toc184308070"/>
      <w:bookmarkEnd w:id="159"/>
      <w:bookmarkStart w:id="160" w:name="_Toc184308091"/>
      <w:bookmarkEnd w:id="160"/>
      <w:bookmarkStart w:id="161" w:name="_Toc184314477"/>
      <w:bookmarkEnd w:id="161"/>
      <w:bookmarkStart w:id="162" w:name="_Toc184308046"/>
      <w:bookmarkEnd w:id="162"/>
      <w:bookmarkStart w:id="163" w:name="_Toc184308090"/>
      <w:bookmarkEnd w:id="163"/>
      <w:bookmarkStart w:id="164" w:name="_Toc184314432"/>
      <w:bookmarkEnd w:id="164"/>
      <w:bookmarkStart w:id="165" w:name="_Toc184313250"/>
      <w:bookmarkEnd w:id="165"/>
      <w:bookmarkStart w:id="166" w:name="_Toc184312071"/>
      <w:bookmarkEnd w:id="166"/>
      <w:bookmarkStart w:id="167" w:name="_Toc184310278"/>
      <w:bookmarkEnd w:id="167"/>
      <w:bookmarkStart w:id="168" w:name="_Toc184312099"/>
      <w:bookmarkEnd w:id="168"/>
      <w:bookmarkStart w:id="169" w:name="_Toc184312133"/>
      <w:bookmarkEnd w:id="169"/>
      <w:bookmarkStart w:id="170" w:name="_Toc184308103"/>
      <w:bookmarkEnd w:id="170"/>
      <w:bookmarkStart w:id="171" w:name="_Toc184308101"/>
      <w:bookmarkEnd w:id="171"/>
      <w:bookmarkStart w:id="172" w:name="_Toc184310338"/>
      <w:bookmarkEnd w:id="172"/>
      <w:bookmarkStart w:id="173" w:name="_Toc184314434"/>
      <w:bookmarkEnd w:id="173"/>
      <w:bookmarkStart w:id="174" w:name="_Toc184312101"/>
      <w:bookmarkEnd w:id="174"/>
      <w:bookmarkStart w:id="175" w:name="_Toc184310289"/>
      <w:bookmarkEnd w:id="175"/>
      <w:bookmarkStart w:id="176" w:name="_Toc184314452"/>
      <w:bookmarkEnd w:id="176"/>
      <w:bookmarkStart w:id="177" w:name="_Toc184314475"/>
      <w:bookmarkEnd w:id="177"/>
      <w:bookmarkStart w:id="178" w:name="_Toc184314440"/>
      <w:bookmarkEnd w:id="178"/>
      <w:bookmarkStart w:id="179" w:name="_Toc184312136"/>
      <w:bookmarkEnd w:id="179"/>
      <w:bookmarkStart w:id="180" w:name="_Toc184308089"/>
      <w:bookmarkEnd w:id="180"/>
      <w:bookmarkStart w:id="181" w:name="_Toc184314474"/>
      <w:bookmarkEnd w:id="181"/>
      <w:bookmarkStart w:id="182" w:name="_Toc184308057"/>
      <w:bookmarkEnd w:id="182"/>
      <w:bookmarkStart w:id="183" w:name="_Toc184312070"/>
      <w:bookmarkEnd w:id="183"/>
      <w:bookmarkStart w:id="184" w:name="_Toc184310285"/>
      <w:bookmarkEnd w:id="184"/>
      <w:bookmarkStart w:id="185" w:name="_Toc184314462"/>
      <w:bookmarkEnd w:id="185"/>
      <w:bookmarkStart w:id="186" w:name="_Toc184312116"/>
      <w:bookmarkEnd w:id="186"/>
      <w:bookmarkStart w:id="187" w:name="_Toc184313271"/>
      <w:bookmarkEnd w:id="187"/>
      <w:bookmarkStart w:id="188" w:name="_Toc184314422"/>
      <w:bookmarkEnd w:id="188"/>
      <w:bookmarkStart w:id="189" w:name="_Toc184312082"/>
      <w:bookmarkEnd w:id="189"/>
      <w:bookmarkStart w:id="190" w:name="_Toc184313295"/>
      <w:bookmarkEnd w:id="190"/>
      <w:bookmarkStart w:id="191" w:name="_Toc184308059"/>
      <w:bookmarkEnd w:id="191"/>
      <w:bookmarkStart w:id="192" w:name="_Toc184308105"/>
      <w:bookmarkEnd w:id="192"/>
      <w:bookmarkStart w:id="193" w:name="_Toc184313299"/>
      <w:bookmarkEnd w:id="193"/>
      <w:bookmarkStart w:id="194" w:name="_Toc184312075"/>
      <w:bookmarkEnd w:id="194"/>
      <w:bookmarkStart w:id="195" w:name="_Toc184310286"/>
      <w:bookmarkEnd w:id="195"/>
      <w:bookmarkStart w:id="196" w:name="_Toc184312124"/>
      <w:bookmarkEnd w:id="196"/>
      <w:bookmarkStart w:id="197" w:name="_Toc184313256"/>
      <w:bookmarkEnd w:id="197"/>
      <w:bookmarkStart w:id="198" w:name="_Toc184308042"/>
      <w:bookmarkEnd w:id="198"/>
      <w:bookmarkStart w:id="199" w:name="_Toc184308049"/>
      <w:bookmarkEnd w:id="199"/>
      <w:bookmarkStart w:id="200" w:name="_Toc184310326"/>
      <w:bookmarkEnd w:id="200"/>
      <w:bookmarkStart w:id="201" w:name="_Toc184310277"/>
      <w:bookmarkEnd w:id="201"/>
      <w:bookmarkStart w:id="202" w:name="_Toc184308102"/>
      <w:bookmarkEnd w:id="202"/>
      <w:bookmarkStart w:id="203" w:name="_Toc184314430"/>
      <w:bookmarkEnd w:id="203"/>
      <w:bookmarkStart w:id="204" w:name="_Toc184313289"/>
      <w:bookmarkEnd w:id="204"/>
      <w:bookmarkStart w:id="205" w:name="_Toc184308107"/>
      <w:bookmarkEnd w:id="205"/>
      <w:bookmarkStart w:id="206" w:name="_Toc184308086"/>
      <w:bookmarkEnd w:id="206"/>
      <w:bookmarkStart w:id="207" w:name="_Toc184313265"/>
      <w:bookmarkEnd w:id="207"/>
      <w:bookmarkStart w:id="208" w:name="_Toc184312118"/>
      <w:bookmarkEnd w:id="208"/>
      <w:bookmarkStart w:id="209" w:name="_Toc184310341"/>
      <w:bookmarkEnd w:id="209"/>
      <w:bookmarkStart w:id="210" w:name="_Toc184313300"/>
      <w:bookmarkEnd w:id="210"/>
      <w:bookmarkStart w:id="211" w:name="_Toc184308040"/>
      <w:bookmarkEnd w:id="211"/>
      <w:bookmarkStart w:id="212" w:name="_Toc184308087"/>
      <w:bookmarkEnd w:id="212"/>
      <w:bookmarkStart w:id="213" w:name="_Toc184310321"/>
      <w:bookmarkEnd w:id="213"/>
      <w:bookmarkStart w:id="214" w:name="_Toc184310315"/>
      <w:bookmarkEnd w:id="214"/>
      <w:bookmarkStart w:id="215" w:name="_Toc184312139"/>
      <w:bookmarkEnd w:id="215"/>
      <w:bookmarkStart w:id="216" w:name="_Toc184310279"/>
      <w:bookmarkEnd w:id="216"/>
      <w:bookmarkStart w:id="217" w:name="_Toc184310272"/>
      <w:bookmarkEnd w:id="217"/>
      <w:bookmarkStart w:id="218" w:name="_Toc184310314"/>
      <w:bookmarkEnd w:id="218"/>
      <w:bookmarkStart w:id="219" w:name="_Toc184313238"/>
      <w:bookmarkEnd w:id="219"/>
      <w:bookmarkStart w:id="220" w:name="_Toc184308094"/>
      <w:bookmarkEnd w:id="220"/>
      <w:bookmarkStart w:id="221" w:name="_Toc184310308"/>
      <w:bookmarkEnd w:id="221"/>
      <w:bookmarkStart w:id="222" w:name="_Toc184314435"/>
      <w:bookmarkEnd w:id="222"/>
      <w:bookmarkStart w:id="223" w:name="_Toc184312085"/>
      <w:bookmarkEnd w:id="223"/>
      <w:bookmarkStart w:id="224" w:name="_Toc184310337"/>
      <w:bookmarkEnd w:id="224"/>
      <w:bookmarkStart w:id="225" w:name="_Toc184314431"/>
      <w:bookmarkEnd w:id="225"/>
      <w:bookmarkStart w:id="226" w:name="_Toc184314424"/>
      <w:bookmarkEnd w:id="226"/>
      <w:bookmarkStart w:id="227" w:name="_Toc184312076"/>
      <w:bookmarkEnd w:id="227"/>
      <w:bookmarkStart w:id="228" w:name="_Toc184308081"/>
      <w:bookmarkEnd w:id="228"/>
      <w:bookmarkStart w:id="229" w:name="_Toc184314428"/>
      <w:bookmarkEnd w:id="229"/>
      <w:bookmarkStart w:id="230" w:name="_Toc184313244"/>
      <w:bookmarkEnd w:id="230"/>
      <w:bookmarkStart w:id="231" w:name="_Toc184314469"/>
      <w:bookmarkEnd w:id="231"/>
      <w:bookmarkStart w:id="232" w:name="_Toc184312105"/>
      <w:bookmarkEnd w:id="232"/>
      <w:bookmarkStart w:id="233" w:name="_Toc184313275"/>
      <w:bookmarkEnd w:id="233"/>
      <w:bookmarkStart w:id="234" w:name="_Toc184310317"/>
      <w:bookmarkEnd w:id="234"/>
      <w:bookmarkStart w:id="235" w:name="_Toc184310322"/>
      <w:bookmarkEnd w:id="235"/>
      <w:bookmarkStart w:id="236" w:name="_Toc184314465"/>
      <w:bookmarkEnd w:id="236"/>
      <w:bookmarkStart w:id="237" w:name="_Toc184310300"/>
      <w:bookmarkEnd w:id="237"/>
      <w:bookmarkStart w:id="238" w:name="_Toc184314455"/>
      <w:bookmarkEnd w:id="238"/>
      <w:bookmarkStart w:id="239" w:name="_Toc184312103"/>
      <w:bookmarkEnd w:id="239"/>
      <w:bookmarkStart w:id="240" w:name="_Toc184314473"/>
      <w:bookmarkEnd w:id="240"/>
      <w:bookmarkStart w:id="241" w:name="_Toc184310303"/>
      <w:bookmarkEnd w:id="241"/>
      <w:bookmarkStart w:id="242" w:name="_Toc184308038"/>
      <w:bookmarkEnd w:id="242"/>
      <w:bookmarkStart w:id="243" w:name="_Toc184310344"/>
      <w:bookmarkEnd w:id="243"/>
      <w:bookmarkStart w:id="244" w:name="_Toc184313286"/>
      <w:bookmarkEnd w:id="244"/>
      <w:bookmarkStart w:id="245" w:name="_Toc184314461"/>
      <w:bookmarkEnd w:id="245"/>
      <w:bookmarkStart w:id="246" w:name="_Toc184314466"/>
      <w:bookmarkEnd w:id="246"/>
      <w:bookmarkStart w:id="247" w:name="_Toc184312112"/>
      <w:bookmarkEnd w:id="247"/>
      <w:bookmarkStart w:id="248" w:name="_Toc184308085"/>
      <w:bookmarkEnd w:id="248"/>
      <w:bookmarkStart w:id="249" w:name="_Toc184310313"/>
      <w:bookmarkEnd w:id="249"/>
      <w:bookmarkStart w:id="250" w:name="_Toc184314446"/>
      <w:bookmarkEnd w:id="250"/>
      <w:bookmarkStart w:id="251" w:name="_Toc184313255"/>
      <w:bookmarkEnd w:id="251"/>
      <w:bookmarkStart w:id="252" w:name="_Toc184312129"/>
      <w:bookmarkEnd w:id="252"/>
      <w:bookmarkStart w:id="253" w:name="_Toc184312137"/>
      <w:bookmarkEnd w:id="253"/>
      <w:bookmarkStart w:id="254" w:name="_Toc184308084"/>
      <w:bookmarkEnd w:id="254"/>
      <w:bookmarkStart w:id="255" w:name="_Toc184314470"/>
      <w:bookmarkEnd w:id="255"/>
      <w:bookmarkStart w:id="256" w:name="_Toc184312100"/>
      <w:bookmarkEnd w:id="256"/>
      <w:bookmarkStart w:id="257" w:name="_Toc184308063"/>
      <w:bookmarkEnd w:id="257"/>
      <w:bookmarkStart w:id="258" w:name="_Toc184313304"/>
      <w:bookmarkEnd w:id="258"/>
      <w:bookmarkStart w:id="259" w:name="_Toc184314427"/>
      <w:bookmarkEnd w:id="259"/>
      <w:bookmarkStart w:id="260" w:name="_Toc184310312"/>
      <w:bookmarkEnd w:id="260"/>
      <w:bookmarkStart w:id="261" w:name="_Toc184313272"/>
      <w:bookmarkEnd w:id="261"/>
      <w:bookmarkStart w:id="262" w:name="_Toc184310309"/>
      <w:bookmarkEnd w:id="262"/>
      <w:bookmarkStart w:id="263" w:name="_Toc184308061"/>
      <w:bookmarkEnd w:id="263"/>
      <w:bookmarkStart w:id="264" w:name="_Toc184312091"/>
      <w:bookmarkEnd w:id="264"/>
      <w:bookmarkStart w:id="265" w:name="_Toc184314464"/>
      <w:bookmarkEnd w:id="265"/>
      <w:bookmarkStart w:id="266" w:name="_Toc184314449"/>
      <w:bookmarkEnd w:id="266"/>
      <w:bookmarkStart w:id="267" w:name="_Toc184312135"/>
      <w:bookmarkEnd w:id="267"/>
      <w:bookmarkStart w:id="268" w:name="_Toc184312125"/>
      <w:bookmarkEnd w:id="268"/>
      <w:bookmarkStart w:id="269" w:name="_Toc184313298"/>
      <w:bookmarkEnd w:id="269"/>
      <w:bookmarkStart w:id="270" w:name="_Toc184312115"/>
      <w:bookmarkEnd w:id="270"/>
      <w:bookmarkStart w:id="271" w:name="_Toc184310301"/>
      <w:bookmarkEnd w:id="271"/>
      <w:bookmarkStart w:id="272" w:name="_Toc184310273"/>
      <w:bookmarkEnd w:id="272"/>
      <w:bookmarkStart w:id="273" w:name="_Toc184314438"/>
      <w:bookmarkEnd w:id="273"/>
      <w:bookmarkStart w:id="274" w:name="_Toc184314444"/>
      <w:bookmarkEnd w:id="274"/>
      <w:bookmarkStart w:id="275" w:name="_Toc184314471"/>
      <w:bookmarkEnd w:id="275"/>
      <w:bookmarkStart w:id="276" w:name="_Toc184312130"/>
      <w:bookmarkEnd w:id="276"/>
      <w:bookmarkStart w:id="277" w:name="_Toc184314447"/>
      <w:bookmarkEnd w:id="277"/>
      <w:bookmarkStart w:id="278" w:name="_Toc184314437"/>
      <w:bookmarkEnd w:id="278"/>
      <w:bookmarkStart w:id="279" w:name="_Toc184314418"/>
      <w:bookmarkEnd w:id="279"/>
      <w:bookmarkStart w:id="280" w:name="_Toc184310310"/>
      <w:bookmarkEnd w:id="280"/>
      <w:bookmarkStart w:id="281" w:name="_Toc184312138"/>
      <w:bookmarkEnd w:id="281"/>
      <w:bookmarkStart w:id="282" w:name="_Toc184313266"/>
      <w:bookmarkEnd w:id="282"/>
      <w:bookmarkStart w:id="283" w:name="_Toc184310290"/>
      <w:bookmarkEnd w:id="283"/>
      <w:bookmarkStart w:id="284" w:name="_Toc184314436"/>
      <w:bookmarkEnd w:id="284"/>
      <w:bookmarkStart w:id="285" w:name="_Toc184312120"/>
      <w:bookmarkEnd w:id="285"/>
      <w:bookmarkStart w:id="286" w:name="_Toc184310293"/>
      <w:bookmarkEnd w:id="286"/>
      <w:bookmarkStart w:id="287" w:name="_Toc184314445"/>
      <w:bookmarkEnd w:id="287"/>
      <w:bookmarkStart w:id="288" w:name="_Toc184313292"/>
      <w:bookmarkEnd w:id="288"/>
      <w:bookmarkStart w:id="289" w:name="_Toc184313276"/>
      <w:bookmarkEnd w:id="289"/>
      <w:bookmarkStart w:id="290" w:name="_Toc184308065"/>
      <w:bookmarkEnd w:id="290"/>
      <w:bookmarkStart w:id="291" w:name="_Toc184312093"/>
      <w:bookmarkEnd w:id="291"/>
      <w:bookmarkStart w:id="292" w:name="_Toc184313251"/>
      <w:bookmarkEnd w:id="292"/>
      <w:bookmarkStart w:id="293" w:name="_Toc184314458"/>
      <w:bookmarkEnd w:id="293"/>
      <w:bookmarkStart w:id="294" w:name="_Toc184313246"/>
      <w:bookmarkEnd w:id="294"/>
      <w:bookmarkStart w:id="295" w:name="_Toc184313254"/>
      <w:bookmarkEnd w:id="295"/>
      <w:bookmarkStart w:id="296" w:name="_Toc184308072"/>
      <w:bookmarkEnd w:id="296"/>
      <w:bookmarkStart w:id="297" w:name="_Toc184313239"/>
      <w:bookmarkEnd w:id="297"/>
      <w:bookmarkStart w:id="298" w:name="_Toc184314457"/>
      <w:bookmarkEnd w:id="298"/>
      <w:bookmarkStart w:id="299" w:name="_Toc184312069"/>
      <w:bookmarkEnd w:id="299"/>
      <w:bookmarkStart w:id="300" w:name="_Toc184312096"/>
      <w:bookmarkEnd w:id="300"/>
      <w:bookmarkStart w:id="301" w:name="_Toc184310292"/>
      <w:bookmarkEnd w:id="301"/>
      <w:bookmarkStart w:id="302" w:name="_Toc184312098"/>
      <w:bookmarkEnd w:id="302"/>
      <w:bookmarkStart w:id="303" w:name="_Toc184310288"/>
      <w:bookmarkEnd w:id="303"/>
      <w:bookmarkStart w:id="304" w:name="_Toc184313277"/>
      <w:bookmarkEnd w:id="304"/>
      <w:bookmarkStart w:id="305" w:name="_Toc184308067"/>
      <w:bookmarkEnd w:id="305"/>
      <w:bookmarkStart w:id="306" w:name="_Toc184313279"/>
      <w:bookmarkEnd w:id="306"/>
      <w:bookmarkStart w:id="307" w:name="_Toc184314439"/>
      <w:bookmarkEnd w:id="307"/>
      <w:bookmarkStart w:id="308" w:name="_Toc184314419"/>
      <w:bookmarkEnd w:id="308"/>
      <w:bookmarkStart w:id="309" w:name="_Toc184308099"/>
      <w:bookmarkEnd w:id="309"/>
      <w:bookmarkStart w:id="310" w:name="_Toc184314448"/>
      <w:bookmarkEnd w:id="310"/>
      <w:bookmarkStart w:id="311" w:name="_Toc184313284"/>
      <w:bookmarkEnd w:id="311"/>
      <w:bookmarkStart w:id="312" w:name="_Toc184314425"/>
      <w:bookmarkEnd w:id="312"/>
      <w:bookmarkStart w:id="313" w:name="_Toc184314416"/>
      <w:bookmarkEnd w:id="313"/>
      <w:bookmarkStart w:id="314" w:name="_Toc184312094"/>
      <w:bookmarkEnd w:id="314"/>
      <w:bookmarkStart w:id="315" w:name="_Toc184308052"/>
      <w:bookmarkEnd w:id="315"/>
      <w:bookmarkStart w:id="316" w:name="_Toc184313290"/>
      <w:bookmarkEnd w:id="316"/>
      <w:bookmarkStart w:id="317" w:name="_Toc184308075"/>
      <w:bookmarkEnd w:id="317"/>
      <w:bookmarkStart w:id="318" w:name="_Toc184314413"/>
      <w:bookmarkEnd w:id="318"/>
      <w:bookmarkStart w:id="319" w:name="_Toc184313248"/>
      <w:bookmarkEnd w:id="319"/>
      <w:bookmarkStart w:id="320" w:name="_Toc184313261"/>
      <w:bookmarkEnd w:id="320"/>
      <w:bookmarkStart w:id="321" w:name="_Toc184313297"/>
      <w:bookmarkEnd w:id="321"/>
      <w:bookmarkStart w:id="322" w:name="_Toc184308048"/>
      <w:bookmarkEnd w:id="322"/>
      <w:bookmarkStart w:id="323" w:name="_Toc184313273"/>
      <w:bookmarkEnd w:id="323"/>
      <w:bookmarkStart w:id="324" w:name="_Toc184310298"/>
      <w:bookmarkEnd w:id="324"/>
      <w:bookmarkStart w:id="325" w:name="_Toc184308100"/>
      <w:bookmarkEnd w:id="325"/>
      <w:bookmarkStart w:id="326" w:name="_Toc184314412"/>
      <w:bookmarkEnd w:id="326"/>
      <w:bookmarkStart w:id="327" w:name="_Toc184308096"/>
      <w:bookmarkEnd w:id="327"/>
      <w:bookmarkStart w:id="328" w:name="_Toc184312072"/>
      <w:bookmarkEnd w:id="328"/>
      <w:bookmarkStart w:id="329" w:name="_Toc184313269"/>
      <w:bookmarkEnd w:id="329"/>
      <w:bookmarkStart w:id="330" w:name="_Toc184312092"/>
      <w:bookmarkEnd w:id="330"/>
      <w:bookmarkStart w:id="331" w:name="_Toc184308054"/>
      <w:bookmarkEnd w:id="331"/>
      <w:bookmarkStart w:id="332" w:name="_Toc184314421"/>
      <w:bookmarkEnd w:id="332"/>
      <w:bookmarkStart w:id="333" w:name="_Toc184308037"/>
      <w:bookmarkEnd w:id="333"/>
      <w:bookmarkStart w:id="334" w:name="_Toc184310280"/>
      <w:bookmarkEnd w:id="334"/>
      <w:bookmarkStart w:id="335" w:name="_Toc184310307"/>
      <w:bookmarkEnd w:id="335"/>
      <w:bookmarkStart w:id="336" w:name="_Toc184312086"/>
      <w:bookmarkEnd w:id="336"/>
      <w:bookmarkStart w:id="337" w:name="_Toc184312084"/>
      <w:bookmarkEnd w:id="337"/>
      <w:bookmarkStart w:id="338" w:name="_Toc184313240"/>
      <w:bookmarkEnd w:id="338"/>
      <w:bookmarkStart w:id="339" w:name="_Toc184310295"/>
      <w:bookmarkEnd w:id="339"/>
      <w:bookmarkStart w:id="340" w:name="_Toc184312090"/>
      <w:bookmarkEnd w:id="340"/>
      <w:bookmarkStart w:id="341" w:name="_Toc184310334"/>
      <w:bookmarkEnd w:id="341"/>
      <w:bookmarkStart w:id="342" w:name="_Toc184312123"/>
      <w:bookmarkEnd w:id="342"/>
      <w:bookmarkStart w:id="343" w:name="_Toc184308082"/>
      <w:bookmarkEnd w:id="343"/>
      <w:bookmarkStart w:id="344" w:name="_Toc184310332"/>
      <w:bookmarkEnd w:id="344"/>
      <w:bookmarkStart w:id="345" w:name="_Toc184312134"/>
      <w:bookmarkEnd w:id="345"/>
      <w:bookmarkStart w:id="346" w:name="_Toc184308078"/>
      <w:bookmarkEnd w:id="346"/>
      <w:bookmarkStart w:id="347" w:name="_Toc184313288"/>
      <w:bookmarkEnd w:id="347"/>
      <w:bookmarkStart w:id="348" w:name="_Toc184310323"/>
      <w:bookmarkEnd w:id="348"/>
      <w:bookmarkStart w:id="349" w:name="_Toc184312104"/>
      <w:bookmarkEnd w:id="349"/>
      <w:bookmarkStart w:id="350" w:name="_Toc184310282"/>
      <w:bookmarkEnd w:id="350"/>
      <w:bookmarkStart w:id="351" w:name="_Toc184312121"/>
      <w:bookmarkEnd w:id="351"/>
      <w:bookmarkStart w:id="352" w:name="_Toc184314459"/>
      <w:bookmarkEnd w:id="352"/>
      <w:bookmarkStart w:id="353" w:name="_Toc184312109"/>
      <w:bookmarkEnd w:id="353"/>
      <w:bookmarkStart w:id="354" w:name="_Toc184313310"/>
      <w:bookmarkEnd w:id="354"/>
      <w:bookmarkStart w:id="355" w:name="_Toc184308073"/>
      <w:bookmarkEnd w:id="355"/>
      <w:bookmarkStart w:id="356" w:name="_Toc184310343"/>
      <w:bookmarkEnd w:id="356"/>
      <w:bookmarkStart w:id="357" w:name="_Toc184314476"/>
      <w:bookmarkEnd w:id="357"/>
      <w:bookmarkStart w:id="358" w:name="_Toc184312128"/>
      <w:bookmarkEnd w:id="358"/>
      <w:bookmarkStart w:id="359" w:name="_Toc184313303"/>
      <w:bookmarkEnd w:id="359"/>
      <w:bookmarkStart w:id="360" w:name="_Toc184310328"/>
      <w:bookmarkEnd w:id="360"/>
      <w:bookmarkStart w:id="361" w:name="_Toc184313287"/>
      <w:bookmarkEnd w:id="361"/>
      <w:bookmarkStart w:id="362" w:name="_Toc184314460"/>
      <w:bookmarkEnd w:id="362"/>
      <w:bookmarkStart w:id="363" w:name="_Toc184308092"/>
      <w:bookmarkEnd w:id="363"/>
      <w:bookmarkStart w:id="364" w:name="_Toc184310275"/>
      <w:bookmarkEnd w:id="364"/>
      <w:bookmarkStart w:id="365" w:name="_Toc184312132"/>
      <w:bookmarkEnd w:id="365"/>
      <w:bookmarkStart w:id="366" w:name="_Toc184313247"/>
      <w:bookmarkEnd w:id="366"/>
      <w:bookmarkStart w:id="367" w:name="_Toc184314463"/>
      <w:bookmarkEnd w:id="367"/>
      <w:bookmarkStart w:id="368" w:name="_Toc184313260"/>
      <w:bookmarkEnd w:id="368"/>
      <w:bookmarkStart w:id="369" w:name="_Toc184313264"/>
      <w:bookmarkEnd w:id="369"/>
      <w:bookmarkStart w:id="370" w:name="_Toc184308056"/>
      <w:bookmarkEnd w:id="370"/>
      <w:bookmarkStart w:id="371" w:name="_Toc184314454"/>
      <w:bookmarkEnd w:id="371"/>
      <w:bookmarkStart w:id="372" w:name="_Toc184314479"/>
      <w:bookmarkEnd w:id="372"/>
      <w:bookmarkStart w:id="373" w:name="_Toc184312087"/>
      <w:bookmarkEnd w:id="373"/>
      <w:bookmarkStart w:id="374" w:name="_Toc184308058"/>
      <w:bookmarkEnd w:id="374"/>
      <w:bookmarkStart w:id="375" w:name="_Toc184314429"/>
      <w:bookmarkEnd w:id="375"/>
      <w:bookmarkStart w:id="376" w:name="_Toc184310284"/>
      <w:bookmarkEnd w:id="376"/>
      <w:bookmarkStart w:id="377" w:name="_Toc184313296"/>
      <w:bookmarkEnd w:id="377"/>
      <w:bookmarkStart w:id="378" w:name="_Toc184313263"/>
      <w:bookmarkEnd w:id="378"/>
      <w:bookmarkStart w:id="379" w:name="_Toc184310296"/>
      <w:bookmarkEnd w:id="379"/>
      <w:bookmarkStart w:id="380" w:name="_Toc184313294"/>
      <w:bookmarkEnd w:id="380"/>
      <w:bookmarkStart w:id="381" w:name="_Toc184308076"/>
      <w:bookmarkEnd w:id="381"/>
      <w:bookmarkStart w:id="382" w:name="_Toc184308041"/>
      <w:bookmarkEnd w:id="382"/>
      <w:bookmarkStart w:id="383" w:name="_Toc184312097"/>
      <w:bookmarkEnd w:id="383"/>
      <w:bookmarkStart w:id="384" w:name="_Toc184310297"/>
      <w:bookmarkEnd w:id="384"/>
      <w:bookmarkStart w:id="385" w:name="_Toc184308093"/>
      <w:bookmarkEnd w:id="385"/>
      <w:bookmarkStart w:id="386" w:name="_Toc184314443"/>
      <w:bookmarkEnd w:id="386"/>
      <w:bookmarkStart w:id="387" w:name="_Toc184310302"/>
      <w:bookmarkEnd w:id="387"/>
      <w:bookmarkStart w:id="388" w:name="_Toc184314417"/>
      <w:bookmarkEnd w:id="388"/>
      <w:bookmarkStart w:id="389" w:name="_Toc184314414"/>
      <w:bookmarkEnd w:id="389"/>
      <w:bookmarkStart w:id="390" w:name="_Toc184313309"/>
      <w:bookmarkEnd w:id="390"/>
      <w:bookmarkStart w:id="391" w:name="_Toc184314481"/>
      <w:bookmarkEnd w:id="391"/>
      <w:bookmarkStart w:id="392" w:name="_Toc184310331"/>
      <w:bookmarkEnd w:id="392"/>
      <w:bookmarkStart w:id="393" w:name="_Toc184312079"/>
      <w:bookmarkEnd w:id="393"/>
      <w:bookmarkStart w:id="394" w:name="_Toc184312102"/>
      <w:bookmarkEnd w:id="394"/>
      <w:bookmarkStart w:id="395" w:name="_Toc184310316"/>
      <w:bookmarkEnd w:id="395"/>
      <w:bookmarkStart w:id="396" w:name="_Toc184308060"/>
      <w:bookmarkEnd w:id="396"/>
      <w:r>
        <w:rPr>
          <w:rFonts w:hint="eastAsia" w:ascii="宋体" w:hAnsi="宋体" w:cs="宋体"/>
          <w:b/>
          <w:color w:val="000000" w:themeColor="text1"/>
          <w:szCs w:val="21"/>
          <w14:textFill>
            <w14:solidFill>
              <w14:schemeClr w14:val="tx1"/>
            </w14:solidFill>
          </w14:textFill>
        </w:rPr>
        <w:t>评标办法</w:t>
      </w:r>
    </w:p>
    <w:p>
      <w:pPr>
        <w:snapToGrid w:val="0"/>
        <w:spacing w:line="288" w:lineRule="auto"/>
        <w:jc w:val="center"/>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评标办法前附表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735"/>
        <w:gridCol w:w="4948"/>
        <w:gridCol w:w="660"/>
        <w:gridCol w:w="75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60" w:type="pct"/>
            <w:vAlign w:val="center"/>
          </w:tcPr>
          <w:p>
            <w:pPr>
              <w:jc w:val="center"/>
              <w:outlineLvl w:val="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431" w:type="pct"/>
            <w:vAlign w:val="center"/>
          </w:tcPr>
          <w:p>
            <w:pPr>
              <w:jc w:val="center"/>
              <w:outlineLvl w:val="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评审</w:t>
            </w:r>
          </w:p>
          <w:p>
            <w:pPr>
              <w:jc w:val="center"/>
              <w:outlineLvl w:val="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内容</w:t>
            </w:r>
          </w:p>
        </w:tc>
        <w:tc>
          <w:tcPr>
            <w:tcW w:w="2903" w:type="pct"/>
            <w:vAlign w:val="center"/>
          </w:tcPr>
          <w:p>
            <w:pPr>
              <w:jc w:val="center"/>
              <w:outlineLvl w:val="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评标标准</w:t>
            </w:r>
          </w:p>
        </w:tc>
        <w:tc>
          <w:tcPr>
            <w:tcW w:w="387" w:type="pct"/>
            <w:vAlign w:val="center"/>
          </w:tcPr>
          <w:p>
            <w:pPr>
              <w:jc w:val="center"/>
              <w:outlineLvl w:val="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权重</w:t>
            </w:r>
          </w:p>
        </w:tc>
        <w:tc>
          <w:tcPr>
            <w:tcW w:w="441" w:type="pct"/>
            <w:vAlign w:val="center"/>
          </w:tcPr>
          <w:p>
            <w:pPr>
              <w:jc w:val="center"/>
              <w:outlineLvl w:val="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主观分/客观分属性</w:t>
            </w:r>
          </w:p>
        </w:tc>
        <w:tc>
          <w:tcPr>
            <w:tcW w:w="576" w:type="pct"/>
            <w:vAlign w:val="center"/>
          </w:tcPr>
          <w:p>
            <w:pPr>
              <w:jc w:val="center"/>
              <w:outlineLvl w:val="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投标文件中评标标准相应的商务技术资料目录</w:t>
            </w:r>
            <w:r>
              <w:rPr>
                <w:rFonts w:hint="eastAsia" w:ascii="宋体" w:hAnsi="宋体" w:cs="宋体"/>
                <w:color w:val="000000" w:themeColor="text1"/>
                <w:szCs w:val="2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31" w:type="pct"/>
            <w:vAlign w:val="center"/>
          </w:tcPr>
          <w:p>
            <w:pPr>
              <w:jc w:val="cente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w:t>
            </w:r>
          </w:p>
        </w:tc>
        <w:tc>
          <w:tcPr>
            <w:tcW w:w="2903" w:type="pct"/>
            <w:vAlign w:val="center"/>
          </w:tcPr>
          <w:p>
            <w:pP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投标人自2021年1月1日以来（以合同签订时间为准）机器人导航经颅磁刺激系统同类业绩（以提供的合同扫描件为准）：每提供1份合同业绩得1分，最高得3分。</w:t>
            </w:r>
          </w:p>
        </w:tc>
        <w:tc>
          <w:tcPr>
            <w:tcW w:w="387"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4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客观分</w:t>
            </w:r>
          </w:p>
        </w:tc>
        <w:tc>
          <w:tcPr>
            <w:tcW w:w="576" w:type="pct"/>
            <w:vAlign w:val="center"/>
          </w:tcPr>
          <w:p>
            <w:pPr>
              <w:jc w:val="center"/>
              <w:outlineLvl w:val="0"/>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3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质保期</w:t>
            </w:r>
          </w:p>
        </w:tc>
        <w:tc>
          <w:tcPr>
            <w:tcW w:w="2903" w:type="pct"/>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质保期在满足招标文件要求的基础上每延长一年得1分，最多得3分，延长时间不足一年的不计入得分。</w:t>
            </w:r>
          </w:p>
        </w:tc>
        <w:tc>
          <w:tcPr>
            <w:tcW w:w="387"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4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客观分</w:t>
            </w:r>
          </w:p>
        </w:tc>
        <w:tc>
          <w:tcPr>
            <w:tcW w:w="576" w:type="pct"/>
            <w:vAlign w:val="center"/>
          </w:tcPr>
          <w:p>
            <w:pPr>
              <w:jc w:val="center"/>
              <w:outlineLvl w:val="0"/>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31" w:type="pct"/>
            <w:vAlign w:val="center"/>
          </w:tcPr>
          <w:p>
            <w:pPr>
              <w:jc w:val="cente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w:t>
            </w:r>
          </w:p>
          <w:p>
            <w:pPr>
              <w:jc w:val="center"/>
              <w:outlineLvl w:val="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程度</w:t>
            </w:r>
          </w:p>
        </w:tc>
        <w:tc>
          <w:tcPr>
            <w:tcW w:w="2903" w:type="pct"/>
            <w:vAlign w:val="center"/>
          </w:tcPr>
          <w:p>
            <w:pP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完全满足招标文件“第三部分 采购需求”-“二、技术要求”的要求得45分，实质性条款（标注▲条款）不满足的投标无效。每一项重要条款（打★条款）不满足的扣5分，每一项一般技术条款不满足的扣2.5分。扣完为止。</w:t>
            </w:r>
          </w:p>
          <w:p>
            <w:pP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注：部分技术条款要求提供证明资料（详见采购需求），未提供或不符合要求的视为不满足采购需求。</w:t>
            </w:r>
          </w:p>
        </w:tc>
        <w:tc>
          <w:tcPr>
            <w:tcW w:w="387"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w:t>
            </w:r>
          </w:p>
        </w:tc>
        <w:tc>
          <w:tcPr>
            <w:tcW w:w="44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客观分</w:t>
            </w:r>
          </w:p>
        </w:tc>
        <w:tc>
          <w:tcPr>
            <w:tcW w:w="576" w:type="pct"/>
          </w:tcPr>
          <w:p>
            <w:pPr>
              <w:outlineLvl w:val="0"/>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31" w:type="pct"/>
            <w:vAlign w:val="center"/>
          </w:tcPr>
          <w:p>
            <w:pPr>
              <w:jc w:val="cente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安装调试方案</w:t>
            </w:r>
          </w:p>
        </w:tc>
        <w:tc>
          <w:tcPr>
            <w:tcW w:w="2903" w:type="pct"/>
            <w:vAlign w:val="center"/>
          </w:tcPr>
          <w:p>
            <w:pP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安装、调试方案：根据安装、调试方案的①完整性②科学合理性③可行性及对采购需求的满足程度进行评审。（评分范围：3，2，1，0）</w:t>
            </w:r>
          </w:p>
        </w:tc>
        <w:tc>
          <w:tcPr>
            <w:tcW w:w="387"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4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576" w:type="pct"/>
          </w:tcPr>
          <w:p>
            <w:pPr>
              <w:outlineLvl w:val="0"/>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431" w:type="pct"/>
            <w:vAlign w:val="center"/>
          </w:tcPr>
          <w:p>
            <w:pPr>
              <w:jc w:val="cente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w:t>
            </w:r>
          </w:p>
          <w:p>
            <w:pPr>
              <w:jc w:val="cente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保障</w:t>
            </w:r>
          </w:p>
        </w:tc>
        <w:tc>
          <w:tcPr>
            <w:tcW w:w="2903" w:type="pct"/>
            <w:vAlign w:val="center"/>
          </w:tcPr>
          <w:p>
            <w:pP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产品质量保证措施(①提供质量保证体系②制造标准③质量监控手段④投标产品的技术支持资料等相关证明资料)及⑤质量检测设施介绍。根据质量保证措施内容完整度、科学性、可行性以及质量检测设施的先进性、可行性、保障效果进行综合评审。（评分范围：3，2，1，0）</w:t>
            </w:r>
          </w:p>
        </w:tc>
        <w:tc>
          <w:tcPr>
            <w:tcW w:w="387"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4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576" w:type="pct"/>
          </w:tcPr>
          <w:p>
            <w:pPr>
              <w:outlineLvl w:val="0"/>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43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进度控制计划</w:t>
            </w:r>
          </w:p>
        </w:tc>
        <w:tc>
          <w:tcPr>
            <w:tcW w:w="2903" w:type="pct"/>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包括并不限于①进度计划节点安排，②各节点时间进度安排及保障措施。根据投标人提供的进度计划的针对性、科学性、合理性、可行性进行评审。（评分范围：4，3，2，1，0）</w:t>
            </w:r>
          </w:p>
        </w:tc>
        <w:tc>
          <w:tcPr>
            <w:tcW w:w="387"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4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576" w:type="pct"/>
          </w:tcPr>
          <w:p>
            <w:pPr>
              <w:outlineLvl w:val="0"/>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43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w:t>
            </w:r>
          </w:p>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tc>
        <w:tc>
          <w:tcPr>
            <w:tcW w:w="2903" w:type="pct"/>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方案、售后服务承诺的可行性及服务承诺落实的保障措施（包括并不限于①售后服务内容，②售后服务响应时间及修复时间，③修复保障措施等）根据方案内容的完整性、科学性、合理性、可行性进行评审。（评分范围：3，2，1，0）</w:t>
            </w:r>
          </w:p>
        </w:tc>
        <w:tc>
          <w:tcPr>
            <w:tcW w:w="387"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4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576" w:type="pct"/>
          </w:tcPr>
          <w:p>
            <w:pPr>
              <w:outlineLvl w:val="0"/>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43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备品</w:t>
            </w:r>
          </w:p>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备件</w:t>
            </w:r>
          </w:p>
        </w:tc>
        <w:tc>
          <w:tcPr>
            <w:tcW w:w="2903" w:type="pct"/>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根据投标人提供的①配件、附件、备品备件的准备②保障措施③购买折扣④优惠承诺等情况评分。（评分范围：3，2，1，0）</w:t>
            </w:r>
          </w:p>
        </w:tc>
        <w:tc>
          <w:tcPr>
            <w:tcW w:w="387"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4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576" w:type="pct"/>
          </w:tcPr>
          <w:p>
            <w:pPr>
              <w:outlineLvl w:val="0"/>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43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培训</w:t>
            </w:r>
          </w:p>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w:t>
            </w:r>
          </w:p>
        </w:tc>
        <w:tc>
          <w:tcPr>
            <w:tcW w:w="2903" w:type="pct"/>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根据方案（包括①培训流程②培训方式③培训对象④培训内容⑤培训日程等）的完整性、可行性以及对本项目的针对性进行评审。（评分范围：3，2，1，0）</w:t>
            </w:r>
          </w:p>
        </w:tc>
        <w:tc>
          <w:tcPr>
            <w:tcW w:w="387"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41"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576" w:type="pct"/>
          </w:tcPr>
          <w:p>
            <w:pPr>
              <w:outlineLvl w:val="0"/>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60" w:type="pct"/>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431" w:type="pct"/>
            <w:vAlign w:val="center"/>
          </w:tcPr>
          <w:p>
            <w:pPr>
              <w:pStyle w:val="5"/>
              <w:spacing w:line="240" w:lineRule="auto"/>
              <w:ind w:firstLine="0"/>
              <w:jc w:val="center"/>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价格分</w:t>
            </w:r>
          </w:p>
        </w:tc>
        <w:tc>
          <w:tcPr>
            <w:tcW w:w="2903" w:type="pct"/>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有效投标报价的最低价作为评标基准价，其最低报价为满分；按［投标报价得分=（评标基准价/投标报价）*30］的计算公式计算。</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评标过程中，不得去掉报价中的最高报价和最低报价。</w:t>
            </w:r>
          </w:p>
          <w:p>
            <w:pPr>
              <w:pStyle w:val="5"/>
              <w:spacing w:line="240" w:lineRule="auto"/>
              <w:ind w:firstLine="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项目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387" w:type="pct"/>
            <w:vAlign w:val="center"/>
          </w:tcPr>
          <w:p>
            <w:pPr>
              <w:jc w:val="cente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441" w:type="pct"/>
            <w:vAlign w:val="center"/>
          </w:tcPr>
          <w:p>
            <w:pPr>
              <w:jc w:val="cente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客观分</w:t>
            </w:r>
          </w:p>
        </w:tc>
        <w:tc>
          <w:tcPr>
            <w:tcW w:w="576" w:type="pct"/>
            <w:vAlign w:val="center"/>
          </w:tcPr>
          <w:p>
            <w:pPr>
              <w:jc w:val="center"/>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pPr>
        <w:pStyle w:val="42"/>
        <w:rPr>
          <w:rFonts w:hint="eastAsia" w:ascii="宋体" w:hAnsi="宋体" w:cs="宋体"/>
          <w:color w:val="000000" w:themeColor="text1"/>
          <w14:textFill>
            <w14:solidFill>
              <w14:schemeClr w14:val="tx1"/>
            </w14:solidFill>
          </w14:textFill>
        </w:rPr>
      </w:pPr>
    </w:p>
    <w:p>
      <w:pPr>
        <w:snapToGrid w:val="0"/>
        <w:spacing w:line="288" w:lineRule="auto"/>
        <w:ind w:firstLine="210" w:firstLineChars="1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备注：</w:t>
      </w:r>
      <w:r>
        <w:rPr>
          <w:rFonts w:hint="eastAsia" w:ascii="宋体" w:hAnsi="宋体" w:cs="宋体"/>
          <w:color w:val="000000" w:themeColor="text1"/>
          <w:szCs w:val="21"/>
          <w14:textFill>
            <w14:solidFill>
              <w14:schemeClr w14:val="tx1"/>
            </w14:solidFill>
          </w14:textFill>
        </w:rPr>
        <w:t>投标人编制投标文件（商务技术文件部分）时，建议按此目录（序号和内容）提供评标标准相应的商务技术资料。 </w:t>
      </w:r>
    </w:p>
    <w:p>
      <w:pPr>
        <w:snapToGrid w:val="0"/>
        <w:spacing w:line="288" w:lineRule="auto"/>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一、评标方法</w:t>
      </w:r>
    </w:p>
    <w:p>
      <w:pPr>
        <w:adjustRightInd/>
        <w:spacing w:line="288" w:lineRule="auto"/>
        <w:ind w:firstLine="413" w:firstLineChars="196"/>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1.本项目采用综合评分法。</w:t>
      </w:r>
      <w:r>
        <w:rPr>
          <w:rFonts w:hint="eastAsia" w:ascii="宋体" w:hAnsi="宋体" w:cs="宋体"/>
          <w:color w:val="000000" w:themeColor="text1"/>
          <w:kern w:val="0"/>
          <w:szCs w:val="21"/>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288" w:lineRule="auto"/>
        <w:outlineLvl w:val="1"/>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二、评标标准</w:t>
      </w:r>
    </w:p>
    <w:p>
      <w:pPr>
        <w:spacing w:line="288" w:lineRule="auto"/>
        <w:ind w:firstLine="413" w:firstLineChars="196"/>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2.评标标准：</w:t>
      </w:r>
      <w:r>
        <w:rPr>
          <w:rFonts w:hint="eastAsia" w:ascii="宋体" w:hAnsi="宋体" w:cs="宋体"/>
          <w:color w:val="000000" w:themeColor="text1"/>
          <w:kern w:val="0"/>
          <w:szCs w:val="21"/>
          <w14:textFill>
            <w14:solidFill>
              <w14:schemeClr w14:val="tx1"/>
            </w14:solidFill>
          </w14:textFill>
        </w:rPr>
        <w:t>见评标办法前附表。</w:t>
      </w:r>
    </w:p>
    <w:p>
      <w:pPr>
        <w:spacing w:line="288" w:lineRule="auto"/>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三、评标程序</w:t>
      </w:r>
    </w:p>
    <w:p>
      <w:pPr>
        <w:spacing w:line="288" w:lineRule="auto"/>
        <w:ind w:firstLine="413" w:firstLineChars="196"/>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3.1符合性审查。</w:t>
      </w:r>
      <w:r>
        <w:rPr>
          <w:rFonts w:hint="eastAsia" w:ascii="宋体" w:hAnsi="宋体" w:cs="宋体"/>
          <w:color w:val="000000" w:themeColor="text1"/>
          <w:kern w:val="0"/>
          <w:szCs w:val="21"/>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288" w:lineRule="auto"/>
        <w:ind w:firstLine="413" w:firstLineChars="196"/>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3.2比较与评价。</w:t>
      </w:r>
      <w:r>
        <w:rPr>
          <w:rFonts w:hint="eastAsia" w:ascii="宋体" w:hAnsi="宋体" w:cs="宋体"/>
          <w:color w:val="000000" w:themeColor="text1"/>
          <w:kern w:val="0"/>
          <w:szCs w:val="21"/>
          <w14:textFill>
            <w14:solidFill>
              <w14:schemeClr w14:val="tx1"/>
            </w14:solidFill>
          </w14:textFill>
        </w:rPr>
        <w:t>评标委员会应当按照招标文件中规定的评标方法和标准，对符合性审查合格的投标文件进行商务和技术评估，综合比较与评价。</w:t>
      </w:r>
    </w:p>
    <w:p>
      <w:pPr>
        <w:spacing w:line="288" w:lineRule="auto"/>
        <w:ind w:firstLine="413" w:firstLineChars="196"/>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3.3汇总商务技术得分。</w:t>
      </w:r>
      <w:r>
        <w:rPr>
          <w:rFonts w:hint="eastAsia" w:ascii="宋体" w:hAnsi="宋体" w:cs="宋体"/>
          <w:color w:val="000000" w:themeColor="text1"/>
          <w:kern w:val="0"/>
          <w:szCs w:val="21"/>
          <w14:textFill>
            <w14:solidFill>
              <w14:schemeClr w14:val="tx1"/>
            </w14:solidFill>
          </w14:textFill>
        </w:rPr>
        <w:t>评标委员会各成员应当独立对每个投标人的商务和技术文件进行评价，并汇总商务技术得分情况。</w:t>
      </w:r>
    </w:p>
    <w:p>
      <w:pPr>
        <w:spacing w:line="288" w:lineRule="auto"/>
        <w:ind w:firstLine="413" w:firstLineChars="196"/>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3.4报价评审。</w:t>
      </w:r>
    </w:p>
    <w:p>
      <w:pPr>
        <w:pStyle w:val="131"/>
        <w:spacing w:before="0" w:line="288" w:lineRule="auto"/>
        <w:ind w:firstLine="42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3.4.1投标文件报价出现前后不一致的，按照下列规定修正：</w:t>
      </w:r>
    </w:p>
    <w:p>
      <w:pPr>
        <w:pStyle w:val="131"/>
        <w:spacing w:before="0" w:line="288" w:lineRule="auto"/>
        <w:ind w:firstLine="42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3.4.1.1投标文件中开标一览表(报价表)内容与投标文件中相应内容不一致的，以开标一览表(报价表)为准;</w:t>
      </w:r>
    </w:p>
    <w:p>
      <w:pPr>
        <w:pStyle w:val="131"/>
        <w:spacing w:before="0" w:line="288" w:lineRule="auto"/>
        <w:ind w:firstLine="42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3.4.1.2大写金额和小写金额不一致的，以大写金额为准;</w:t>
      </w:r>
    </w:p>
    <w:p>
      <w:pPr>
        <w:pStyle w:val="131"/>
        <w:spacing w:before="0" w:line="288" w:lineRule="auto"/>
        <w:ind w:firstLine="42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3.4.1.3单价金额小数点或者百分比有明显错位的，以开标一览表的总价为准，并修改单价;</w:t>
      </w:r>
    </w:p>
    <w:p>
      <w:pPr>
        <w:pStyle w:val="131"/>
        <w:spacing w:before="0" w:line="288" w:lineRule="auto"/>
        <w:ind w:firstLine="42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3.4.1.4总价金额与按单价汇总金额不一致的，以单价金额计算结果为准。</w:t>
      </w:r>
    </w:p>
    <w:p>
      <w:pPr>
        <w:pStyle w:val="131"/>
        <w:spacing w:before="0" w:line="288" w:lineRule="auto"/>
        <w:ind w:firstLine="42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288"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3.4.2投标文件出现不是唯一的、有选择性投标报价的，投标无效。</w:t>
      </w:r>
    </w:p>
    <w:p>
      <w:pPr>
        <w:snapToGrid w:val="0"/>
        <w:spacing w:line="288"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3.4.3投标报价超过招标文件中规定的预算金额或者最高限价的，投标无效。</w:t>
      </w:r>
    </w:p>
    <w:p>
      <w:pPr>
        <w:pStyle w:val="131"/>
        <w:spacing w:before="0" w:line="288" w:lineRule="auto"/>
        <w:ind w:firstLine="42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line="288" w:lineRule="auto"/>
        <w:ind w:firstLine="42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288" w:lineRule="auto"/>
        <w:ind w:firstLine="422"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3.5排序与推荐。</w:t>
      </w:r>
      <w:r>
        <w:rPr>
          <w:rFonts w:hint="eastAsia" w:ascii="宋体" w:hAnsi="宋体" w:cs="宋体"/>
          <w:color w:val="000000" w:themeColor="text1"/>
          <w:kern w:val="0"/>
          <w:szCs w:val="21"/>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420" w:firstLineChars="200"/>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288" w:lineRule="auto"/>
        <w:ind w:firstLine="413" w:firstLineChars="196"/>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3.6编写评标报告。</w:t>
      </w:r>
      <w:r>
        <w:rPr>
          <w:rFonts w:hint="eastAsia" w:ascii="宋体" w:hAnsi="宋体" w:cs="宋体"/>
          <w:color w:val="000000" w:themeColor="text1"/>
          <w:kern w:val="0"/>
          <w:szCs w:val="21"/>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288" w:lineRule="auto"/>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w:t>
      </w:r>
      <w:r>
        <w:rPr>
          <w:rFonts w:hint="eastAsia" w:ascii="宋体" w:hAnsi="宋体" w:cs="宋体"/>
          <w:b/>
          <w:color w:val="000000" w:themeColor="text1"/>
          <w:kern w:val="0"/>
          <w:szCs w:val="21"/>
          <w14:textFill>
            <w14:solidFill>
              <w14:schemeClr w14:val="tx1"/>
            </w14:solidFill>
          </w14:textFill>
        </w:rPr>
        <w:t>评标中的其他事项</w:t>
      </w:r>
    </w:p>
    <w:p>
      <w:pPr>
        <w:spacing w:line="288" w:lineRule="auto"/>
        <w:ind w:firstLine="413" w:firstLineChars="196"/>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4.1投标人澄清、说明或者补正。</w:t>
      </w:r>
      <w:r>
        <w:rPr>
          <w:rFonts w:hint="eastAsia" w:ascii="宋体" w:hAnsi="宋体" w:cs="宋体"/>
          <w:bCs/>
          <w:color w:val="000000" w:themeColor="text1"/>
          <w:kern w:val="0"/>
          <w:szCs w:val="21"/>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288" w:lineRule="auto"/>
        <w:ind w:firstLine="422"/>
        <w:rPr>
          <w:rFonts w:hint="eastAsia" w:cs="宋体"/>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4.2投标无效。</w:t>
      </w:r>
      <w:r>
        <w:rPr>
          <w:rFonts w:hint="eastAsia" w:cs="宋体"/>
          <w:color w:val="000000" w:themeColor="text1"/>
          <w:sz w:val="21"/>
          <w:szCs w:val="21"/>
          <w14:textFill>
            <w14:solidFill>
              <w14:schemeClr w14:val="tx1"/>
            </w14:solidFill>
          </w14:textFill>
        </w:rPr>
        <w:t>有下列情形之一的，投标无效：</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4.2.1投标人不具备招标文件中规定的资格要求的（投标人未提供有效的资格文件的，视为投标人不具备招标文件中规定的资格要求）；</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4.2.2投标文件未按照招标文件要求签署、盖章的；</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4.2.4投标文件含有采购人不能接受的附加条件的；</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4.2.5投标文件中承诺的投标有效期少于招标文件中载明的投标有效期的；</w:t>
      </w:r>
    </w:p>
    <w:p>
      <w:pPr>
        <w:snapToGrid w:val="0"/>
        <w:spacing w:line="288" w:lineRule="auto"/>
        <w:ind w:firstLine="105" w:firstLineChars="5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4.2.6投标文件出现不是唯一的、有选择性投标报价的；</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4.2.7投标报价超过招标文件中规定的预算金额或者最高限价的；</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4.2.9投标人对根据修正原则修正后的报价不确认的；</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4.2.10投标人提供虚假材料投标的；</w:t>
      </w:r>
    </w:p>
    <w:p>
      <w:pPr>
        <w:spacing w:line="288" w:lineRule="auto"/>
        <w:ind w:firstLine="210" w:firstLineChars="1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4.2.11投标人有恶意串通、妨碍其他投标人的竞争行为、损害采购人或者其他投标人的合法权益情形的；</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4.2.12投标人仅提交备份投标文件，未在电子交易平台传输递交投标文件的，投标无效；</w:t>
      </w:r>
    </w:p>
    <w:p>
      <w:pPr>
        <w:tabs>
          <w:tab w:val="left" w:pos="432"/>
        </w:tabs>
        <w:spacing w:line="288" w:lineRule="auto"/>
        <w:ind w:left="430" w:leftChars="205"/>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4.2.13投标文件不满足招标文件的其它实质性要求的；</w:t>
      </w:r>
    </w:p>
    <w:p>
      <w:pPr>
        <w:spacing w:line="288"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4.2.14法律、法规、规章（适用本市的）及省级以上规范性文件（适用本市的）规定的其他无效情形。</w:t>
      </w:r>
    </w:p>
    <w:p>
      <w:pPr>
        <w:pStyle w:val="24"/>
        <w:snapToGrid w:val="0"/>
        <w:spacing w:line="288" w:lineRule="auto"/>
        <w:ind w:firstLine="413" w:firstLineChars="196"/>
        <w:rPr>
          <w:rFonts w:hint="eastAsia" w:cs="宋体"/>
          <w:color w:val="000000" w:themeColor="text1"/>
          <w:sz w:val="21"/>
          <w:szCs w:val="21"/>
          <w14:textFill>
            <w14:solidFill>
              <w14:schemeClr w14:val="tx1"/>
            </w14:solidFill>
          </w14:textFill>
        </w:rPr>
      </w:pPr>
      <w:r>
        <w:rPr>
          <w:rFonts w:hint="eastAsia" w:cs="宋体"/>
          <w:b/>
          <w:color w:val="000000" w:themeColor="text1"/>
          <w:sz w:val="21"/>
          <w:szCs w:val="21"/>
          <w14:textFill>
            <w14:solidFill>
              <w14:schemeClr w14:val="tx1"/>
            </w14:solidFill>
          </w14:textFill>
        </w:rPr>
        <w:t>5.废标。</w:t>
      </w:r>
      <w:r>
        <w:rPr>
          <w:rFonts w:hint="eastAsia" w:cs="宋体"/>
          <w:color w:val="000000" w:themeColor="text1"/>
          <w:sz w:val="21"/>
          <w:szCs w:val="21"/>
          <w14:textFill>
            <w14:solidFill>
              <w14:schemeClr w14:val="tx1"/>
            </w14:solidFill>
          </w14:textFill>
        </w:rPr>
        <w:t>根据《中华人民共和国政府采购法》第三十六条之规定，在采购中，出现下列情形之一的，应予废标：</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5.1符合专业条件的供应商或者对招标文件作实质响应的供应商不足3家的；</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5.2出现影响采购公正的违法、违规行为的；</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5.3投标人的报价均超过了采购预算，采购人不能支付的；</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5.4因重大变故，采购任务取消的。</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废标后，采购代理机构应当将废标理由通知所有投标人。</w:t>
      </w:r>
    </w:p>
    <w:p>
      <w:pPr>
        <w:pStyle w:val="24"/>
        <w:snapToGrid w:val="0"/>
        <w:spacing w:line="288" w:lineRule="auto"/>
        <w:ind w:firstLine="422"/>
        <w:rPr>
          <w:rFonts w:hint="eastAsia" w:cs="宋体"/>
          <w:color w:val="000000" w:themeColor="text1"/>
          <w:sz w:val="21"/>
          <w:szCs w:val="21"/>
          <w14:textFill>
            <w14:solidFill>
              <w14:schemeClr w14:val="tx1"/>
            </w14:solidFill>
          </w14:textFill>
        </w:rPr>
      </w:pPr>
      <w:r>
        <w:rPr>
          <w:rFonts w:hint="eastAsia" w:cs="宋体"/>
          <w:b/>
          <w:color w:val="000000" w:themeColor="text1"/>
          <w:sz w:val="21"/>
          <w:szCs w:val="21"/>
          <w14:textFill>
            <w14:solidFill>
              <w14:schemeClr w14:val="tx1"/>
            </w14:solidFill>
          </w14:textFill>
        </w:rPr>
        <w:t>6.修改招标文件，重新组织采购活动。</w:t>
      </w:r>
      <w:r>
        <w:rPr>
          <w:rFonts w:hint="eastAsia" w:cs="宋体"/>
          <w:color w:val="000000" w:themeColor="text1"/>
          <w:sz w:val="21"/>
          <w:szCs w:val="2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288" w:lineRule="auto"/>
        <w:ind w:firstLine="422"/>
        <w:rPr>
          <w:rFonts w:hint="eastAsia" w:cs="宋体"/>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7.重新开展采购。</w:t>
      </w:r>
      <w:r>
        <w:rPr>
          <w:rFonts w:hint="eastAsia" w:cs="宋体"/>
          <w:color w:val="000000" w:themeColor="text1"/>
          <w:sz w:val="21"/>
          <w:szCs w:val="21"/>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7.1未确定中标供应商的，终止本次政府采购活动，重新开展政府采购活动。</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7.4政府采购合同已经履行，给采购人、供应商造成损失的，由责任人承担赔偿责任。</w:t>
      </w:r>
    </w:p>
    <w:p>
      <w:pPr>
        <w:pStyle w:val="24"/>
        <w:snapToGrid w:val="0"/>
        <w:spacing w:line="288" w:lineRule="auto"/>
        <w:ind w:firstLine="42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288" w:lineRule="auto"/>
        <w:ind w:firstLine="0" w:firstLineChars="0"/>
        <w:rPr>
          <w:rFonts w:hint="eastAsia" w:cs="宋体"/>
          <w:color w:val="000000" w:themeColor="text1"/>
          <w:sz w:val="21"/>
          <w:szCs w:val="21"/>
          <w14:textFill>
            <w14:solidFill>
              <w14:schemeClr w14:val="tx1"/>
            </w14:solidFill>
          </w14:textFill>
        </w:rPr>
      </w:pPr>
    </w:p>
    <w:bookmarkEnd w:id="31"/>
    <w:p>
      <w:pPr>
        <w:rPr>
          <w:rFonts w:hint="eastAsia" w:ascii="宋体" w:hAnsi="宋体" w:cs="宋体"/>
          <w:b/>
          <w:color w:val="000000" w:themeColor="text1"/>
          <w:szCs w:val="21"/>
          <w14:textFill>
            <w14:solidFill>
              <w14:schemeClr w14:val="tx1"/>
            </w14:solidFill>
          </w14:textFill>
        </w:rPr>
      </w:pPr>
      <w:bookmarkStart w:id="397" w:name="第五部分"/>
      <w:bookmarkStart w:id="398" w:name="_Toc86217003"/>
      <w:r>
        <w:rPr>
          <w:rFonts w:hint="eastAsia" w:ascii="宋体" w:hAnsi="宋体" w:cs="宋体"/>
          <w:b/>
          <w:color w:val="000000" w:themeColor="text1"/>
          <w:szCs w:val="21"/>
          <w14:textFill>
            <w14:solidFill>
              <w14:schemeClr w14:val="tx1"/>
            </w14:solidFill>
          </w14:textFill>
        </w:rPr>
        <w:br w:type="page"/>
      </w:r>
    </w:p>
    <w:p>
      <w:pPr>
        <w:spacing w:line="288" w:lineRule="auto"/>
        <w:jc w:val="center"/>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第五部分 拟签订的合同文本</w:t>
      </w:r>
    </w:p>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杭州师范大学采购合同（进口免税、含国内供货）</w:t>
      </w:r>
    </w:p>
    <w:p>
      <w:pPr>
        <w:spacing w:line="360" w:lineRule="auto"/>
        <w:rPr>
          <w:rFonts w:hint="eastAsia" w:ascii="宋体" w:hAnsi="宋体" w:cs="宋体"/>
          <w:snapToGrid w:val="0"/>
          <w:color w:val="000000" w:themeColor="text1"/>
          <w:sz w:val="24"/>
          <w14:textFill>
            <w14:solidFill>
              <w14:schemeClr w14:val="tx1"/>
            </w14:solidFill>
          </w14:textFill>
        </w:rPr>
      </w:pPr>
    </w:p>
    <w:p>
      <w:pPr>
        <w:spacing w:line="360" w:lineRule="auto"/>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甲  方（需  求  方）：</w:t>
      </w:r>
      <w:r>
        <w:rPr>
          <w:rFonts w:hint="eastAsia" w:ascii="宋体" w:hAnsi="宋体" w:cs="宋体"/>
          <w:b/>
          <w:snapToGrid w:val="0"/>
          <w:color w:val="000000" w:themeColor="text1"/>
          <w:szCs w:val="21"/>
          <w14:textFill>
            <w14:solidFill>
              <w14:schemeClr w14:val="tx1"/>
            </w14:solidFill>
          </w14:textFill>
        </w:rPr>
        <w:t>杭州师范大学</w:t>
      </w:r>
    </w:p>
    <w:p>
      <w:pPr>
        <w:spacing w:line="360" w:lineRule="auto"/>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乙  方（供  货  方）： </w:t>
      </w:r>
    </w:p>
    <w:p>
      <w:pPr>
        <w:spacing w:line="360" w:lineRule="auto"/>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丙  方（进口代理方）：</w:t>
      </w:r>
    </w:p>
    <w:p>
      <w:pPr>
        <w:spacing w:line="360"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合同编号：校合-2024-CGZX-</w:t>
      </w:r>
    </w:p>
    <w:p>
      <w:pPr>
        <w:spacing w:line="360" w:lineRule="auto"/>
        <w:ind w:firstLine="420" w:firstLineChars="200"/>
        <w:rPr>
          <w:rFonts w:hint="default" w:ascii="宋体" w:hAnsi="宋体" w:eastAsia="宋体" w:cs="宋体"/>
          <w:snapToGrid w:val="0"/>
          <w:color w:val="000000" w:themeColor="text1"/>
          <w:szCs w:val="21"/>
          <w:lang w:val="en-US" w:eastAsia="zh-CN"/>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标书编号：HZNU-2024</w:t>
      </w:r>
      <w:r>
        <w:rPr>
          <w:rFonts w:hint="eastAsia" w:ascii="宋体" w:hAnsi="宋体" w:cs="宋体"/>
          <w:snapToGrid w:val="0"/>
          <w:color w:val="000000" w:themeColor="text1"/>
          <w:szCs w:val="21"/>
          <w:lang w:val="en-US" w:eastAsia="zh-CN"/>
          <w14:textFill>
            <w14:solidFill>
              <w14:schemeClr w14:val="tx1"/>
            </w14:solidFill>
          </w14:textFill>
        </w:rPr>
        <w:t>440</w:t>
      </w:r>
    </w:p>
    <w:p>
      <w:pPr>
        <w:spacing w:line="360"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项目名称： </w:t>
      </w:r>
    </w:p>
    <w:p>
      <w:pPr>
        <w:spacing w:line="360"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需求部门：</w:t>
      </w:r>
    </w:p>
    <w:p>
      <w:pPr>
        <w:spacing w:line="360"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经费来源：</w:t>
      </w:r>
    </w:p>
    <w:p>
      <w:pPr>
        <w:spacing w:line="360"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经费代码：</w:t>
      </w:r>
    </w:p>
    <w:p>
      <w:pPr>
        <w:spacing w:line="360"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签约地点：杭州师范大学 </w:t>
      </w:r>
    </w:p>
    <w:p>
      <w:pPr>
        <w:spacing w:line="420" w:lineRule="exact"/>
        <w:ind w:firstLine="422" w:firstLineChars="200"/>
        <w:rPr>
          <w:rFonts w:hint="eastAsia" w:ascii="宋体" w:hAnsi="宋体" w:cs="宋体"/>
          <w:b/>
          <w:snapToGrid w:val="0"/>
          <w:color w:val="000000" w:themeColor="text1"/>
          <w:szCs w:val="21"/>
          <w14:textFill>
            <w14:solidFill>
              <w14:schemeClr w14:val="tx1"/>
            </w14:solidFill>
          </w14:textFill>
        </w:rPr>
      </w:pP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根据《中华人民共和国民法典》、《中华人民共和国政府采购法》等有关法律法规精神，杭州师范大学（甲方）经过</w:t>
      </w:r>
      <w:r>
        <w:rPr>
          <w:rFonts w:hint="eastAsia" w:ascii="宋体" w:hAnsi="宋体" w:cs="宋体"/>
          <w:snapToGrid w:val="0"/>
          <w:color w:val="000000" w:themeColor="text1"/>
          <w:szCs w:val="21"/>
          <w:u w:val="single"/>
          <w14:textFill>
            <w14:solidFill>
              <w14:schemeClr w14:val="tx1"/>
            </w14:solidFill>
          </w14:textFill>
        </w:rPr>
        <w:t xml:space="preserve">      </w:t>
      </w:r>
      <w:r>
        <w:rPr>
          <w:rFonts w:hint="eastAsia" w:ascii="宋体" w:hAnsi="宋体" w:cs="宋体"/>
          <w:snapToGrid w:val="0"/>
          <w:color w:val="000000" w:themeColor="text1"/>
          <w:szCs w:val="21"/>
          <w14:textFill>
            <w14:solidFill>
              <w14:schemeClr w14:val="tx1"/>
            </w14:solidFill>
          </w14:textFill>
        </w:rPr>
        <w:t>采购方式，确定</w:t>
      </w:r>
      <w:r>
        <w:rPr>
          <w:rFonts w:hint="eastAsia" w:ascii="宋体" w:hAnsi="宋体" w:cs="宋体"/>
          <w:snapToGrid w:val="0"/>
          <w:color w:val="000000" w:themeColor="text1"/>
          <w:szCs w:val="21"/>
          <w:u w:val="single"/>
          <w14:textFill>
            <w14:solidFill>
              <w14:schemeClr w14:val="tx1"/>
            </w14:solidFill>
          </w14:textFill>
        </w:rPr>
        <w:t xml:space="preserve">          </w:t>
      </w:r>
      <w:r>
        <w:rPr>
          <w:rFonts w:hint="eastAsia" w:ascii="宋体" w:hAnsi="宋体" w:cs="宋体"/>
          <w:snapToGrid w:val="0"/>
          <w:color w:val="000000" w:themeColor="text1"/>
          <w:szCs w:val="21"/>
          <w14:textFill>
            <w14:solidFill>
              <w14:schemeClr w14:val="tx1"/>
            </w14:solidFill>
          </w14:textFill>
        </w:rPr>
        <w:t>（乙方）为供货单位，经甲、乙、丙三方平等协商一致同意丙方为进口免税产品的进口代理方，办理包括进口产品减免税等所有手续，同时达成以下条款：</w:t>
      </w:r>
    </w:p>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 xml:space="preserve">第一条：本合同货物清单及合同价 </w:t>
      </w:r>
      <w:r>
        <w:rPr>
          <w:rFonts w:hint="eastAsia" w:ascii="宋体" w:hAnsi="宋体" w:cs="宋体"/>
          <w:b/>
          <w:snapToGrid w:val="0"/>
          <w:color w:val="000000" w:themeColor="text1"/>
          <w:szCs w:val="21"/>
          <w14:textFill>
            <w14:solidFill>
              <w14:schemeClr w14:val="tx1"/>
            </w14:solidFill>
          </w14:textFill>
        </w:rPr>
        <w:t xml:space="preserve">            </w:t>
      </w:r>
    </w:p>
    <w:tbl>
      <w:tblPr>
        <w:tblStyle w:val="62"/>
        <w:tblpPr w:leftFromText="180" w:rightFromText="180" w:vertAnchor="text" w:horzAnchor="margin" w:tblpXSpec="center" w:tblpY="15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84"/>
        <w:gridCol w:w="789"/>
        <w:gridCol w:w="656"/>
        <w:gridCol w:w="920"/>
        <w:gridCol w:w="920"/>
        <w:gridCol w:w="920"/>
        <w:gridCol w:w="789"/>
        <w:gridCol w:w="92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7"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695"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产品名称</w:t>
            </w:r>
          </w:p>
        </w:tc>
        <w:tc>
          <w:tcPr>
            <w:tcW w:w="463"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品牌</w:t>
            </w:r>
          </w:p>
        </w:tc>
        <w:tc>
          <w:tcPr>
            <w:tcW w:w="385"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 号</w:t>
            </w: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单价</w:t>
            </w:r>
          </w:p>
        </w:tc>
        <w:tc>
          <w:tcPr>
            <w:tcW w:w="540" w:type="pct"/>
            <w:vAlign w:val="center"/>
          </w:tcPr>
          <w:p>
            <w:pPr>
              <w:spacing w:line="340" w:lineRule="exact"/>
              <w:jc w:val="center"/>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预算号</w:t>
            </w:r>
          </w:p>
        </w:tc>
        <w:tc>
          <w:tcPr>
            <w:tcW w:w="463" w:type="pct"/>
            <w:vAlign w:val="center"/>
          </w:tcPr>
          <w:p>
            <w:pPr>
              <w:spacing w:line="340" w:lineRule="exact"/>
              <w:jc w:val="center"/>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执行号</w:t>
            </w: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是否进口产品</w:t>
            </w:r>
          </w:p>
        </w:tc>
        <w:tc>
          <w:tcPr>
            <w:tcW w:w="463"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7"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95" w:type="pct"/>
            <w:vAlign w:val="center"/>
          </w:tcPr>
          <w:p>
            <w:pPr>
              <w:widowControl/>
              <w:spacing w:line="340" w:lineRule="exact"/>
              <w:jc w:val="center"/>
              <w:textAlignment w:val="center"/>
              <w:rPr>
                <w:rFonts w:hint="eastAsia" w:ascii="宋体" w:hAnsi="宋体" w:cs="宋体"/>
                <w:color w:val="000000" w:themeColor="text1"/>
                <w:szCs w:val="21"/>
                <w14:textFill>
                  <w14:solidFill>
                    <w14:schemeClr w14:val="tx1"/>
                  </w14:solidFill>
                </w14:textFill>
              </w:rPr>
            </w:pPr>
          </w:p>
        </w:tc>
        <w:tc>
          <w:tcPr>
            <w:tcW w:w="463" w:type="pct"/>
            <w:vAlign w:val="center"/>
          </w:tcPr>
          <w:p>
            <w:pPr>
              <w:widowControl/>
              <w:spacing w:line="340" w:lineRule="exact"/>
              <w:jc w:val="center"/>
              <w:textAlignment w:val="center"/>
              <w:rPr>
                <w:rFonts w:hint="eastAsia" w:ascii="宋体" w:hAnsi="宋体" w:cs="宋体"/>
                <w:color w:val="000000" w:themeColor="text1"/>
                <w:kern w:val="0"/>
                <w:szCs w:val="21"/>
                <w14:textFill>
                  <w14:solidFill>
                    <w14:schemeClr w14:val="tx1"/>
                  </w14:solidFill>
                </w14:textFill>
              </w:rPr>
            </w:pPr>
          </w:p>
        </w:tc>
        <w:tc>
          <w:tcPr>
            <w:tcW w:w="385" w:type="pct"/>
            <w:vAlign w:val="center"/>
          </w:tcPr>
          <w:p>
            <w:pPr>
              <w:widowControl/>
              <w:spacing w:line="340" w:lineRule="exact"/>
              <w:jc w:val="center"/>
              <w:textAlignment w:val="center"/>
              <w:rPr>
                <w:rFonts w:hint="eastAsia" w:ascii="宋体" w:hAnsi="宋体" w:cs="宋体"/>
                <w:color w:val="000000" w:themeColor="text1"/>
                <w:kern w:val="0"/>
                <w:szCs w:val="21"/>
                <w14:textFill>
                  <w14:solidFill>
                    <w14:schemeClr w14:val="tx1"/>
                  </w14:solidFill>
                </w14:textFill>
              </w:rPr>
            </w:pPr>
          </w:p>
        </w:tc>
        <w:tc>
          <w:tcPr>
            <w:tcW w:w="540" w:type="pct"/>
            <w:vAlign w:val="center"/>
          </w:tcPr>
          <w:p>
            <w:pPr>
              <w:widowControl/>
              <w:spacing w:line="340" w:lineRule="exact"/>
              <w:jc w:val="center"/>
              <w:textAlignment w:val="center"/>
              <w:rPr>
                <w:rFonts w:hint="eastAsia" w:ascii="宋体" w:hAnsi="宋体" w:cs="宋体"/>
                <w:color w:val="000000" w:themeColor="text1"/>
                <w:kern w:val="0"/>
                <w:szCs w:val="21"/>
                <w14:textFill>
                  <w14:solidFill>
                    <w14:schemeClr w14:val="tx1"/>
                  </w14:solidFill>
                </w14:textFill>
              </w:rPr>
            </w:pP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463"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463"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7"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695" w:type="pct"/>
            <w:vAlign w:val="center"/>
          </w:tcPr>
          <w:p>
            <w:pPr>
              <w:widowControl/>
              <w:spacing w:line="340" w:lineRule="exact"/>
              <w:jc w:val="center"/>
              <w:textAlignment w:val="center"/>
              <w:rPr>
                <w:rFonts w:hint="eastAsia" w:ascii="宋体" w:hAnsi="宋体" w:cs="宋体"/>
                <w:color w:val="000000" w:themeColor="text1"/>
                <w:szCs w:val="21"/>
                <w14:textFill>
                  <w14:solidFill>
                    <w14:schemeClr w14:val="tx1"/>
                  </w14:solidFill>
                </w14:textFill>
              </w:rPr>
            </w:pPr>
          </w:p>
        </w:tc>
        <w:tc>
          <w:tcPr>
            <w:tcW w:w="463" w:type="pct"/>
            <w:vAlign w:val="center"/>
          </w:tcPr>
          <w:p>
            <w:pPr>
              <w:widowControl/>
              <w:spacing w:line="340" w:lineRule="exact"/>
              <w:jc w:val="center"/>
              <w:textAlignment w:val="center"/>
              <w:rPr>
                <w:rFonts w:hint="eastAsia" w:ascii="宋体" w:hAnsi="宋体" w:cs="宋体"/>
                <w:color w:val="000000" w:themeColor="text1"/>
                <w:kern w:val="0"/>
                <w:szCs w:val="21"/>
                <w14:textFill>
                  <w14:solidFill>
                    <w14:schemeClr w14:val="tx1"/>
                  </w14:solidFill>
                </w14:textFill>
              </w:rPr>
            </w:pPr>
          </w:p>
        </w:tc>
        <w:tc>
          <w:tcPr>
            <w:tcW w:w="385" w:type="pct"/>
            <w:vAlign w:val="center"/>
          </w:tcPr>
          <w:p>
            <w:pPr>
              <w:widowControl/>
              <w:spacing w:line="340" w:lineRule="exact"/>
              <w:jc w:val="center"/>
              <w:textAlignment w:val="center"/>
              <w:rPr>
                <w:rFonts w:hint="eastAsia" w:ascii="宋体" w:hAnsi="宋体" w:cs="宋体"/>
                <w:color w:val="000000" w:themeColor="text1"/>
                <w:kern w:val="0"/>
                <w:szCs w:val="21"/>
                <w14:textFill>
                  <w14:solidFill>
                    <w14:schemeClr w14:val="tx1"/>
                  </w14:solidFill>
                </w14:textFill>
              </w:rPr>
            </w:pPr>
          </w:p>
        </w:tc>
        <w:tc>
          <w:tcPr>
            <w:tcW w:w="540" w:type="pct"/>
            <w:vAlign w:val="center"/>
          </w:tcPr>
          <w:p>
            <w:pPr>
              <w:widowControl/>
              <w:spacing w:line="340" w:lineRule="exact"/>
              <w:jc w:val="center"/>
              <w:textAlignment w:val="center"/>
              <w:rPr>
                <w:rFonts w:hint="eastAsia" w:ascii="宋体" w:hAnsi="宋体" w:cs="宋体"/>
                <w:color w:val="000000" w:themeColor="text1"/>
                <w:kern w:val="0"/>
                <w:szCs w:val="21"/>
                <w14:textFill>
                  <w14:solidFill>
                    <w14:schemeClr w14:val="tx1"/>
                  </w14:solidFill>
                </w14:textFill>
              </w:rPr>
            </w:pP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463"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463"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7"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695" w:type="pct"/>
            <w:vAlign w:val="center"/>
          </w:tcPr>
          <w:p>
            <w:pPr>
              <w:widowControl/>
              <w:spacing w:line="340" w:lineRule="exact"/>
              <w:jc w:val="center"/>
              <w:textAlignment w:val="center"/>
              <w:rPr>
                <w:rFonts w:hint="eastAsia" w:ascii="宋体" w:hAnsi="宋体" w:cs="宋体"/>
                <w:color w:val="000000" w:themeColor="text1"/>
                <w:szCs w:val="21"/>
                <w14:textFill>
                  <w14:solidFill>
                    <w14:schemeClr w14:val="tx1"/>
                  </w14:solidFill>
                </w14:textFill>
              </w:rPr>
            </w:pPr>
          </w:p>
        </w:tc>
        <w:tc>
          <w:tcPr>
            <w:tcW w:w="463" w:type="pct"/>
            <w:vAlign w:val="center"/>
          </w:tcPr>
          <w:p>
            <w:pPr>
              <w:widowControl/>
              <w:spacing w:line="340" w:lineRule="exact"/>
              <w:jc w:val="center"/>
              <w:textAlignment w:val="center"/>
              <w:rPr>
                <w:rFonts w:hint="eastAsia" w:ascii="宋体" w:hAnsi="宋体" w:cs="宋体"/>
                <w:color w:val="000000" w:themeColor="text1"/>
                <w:kern w:val="0"/>
                <w:szCs w:val="21"/>
                <w14:textFill>
                  <w14:solidFill>
                    <w14:schemeClr w14:val="tx1"/>
                  </w14:solidFill>
                </w14:textFill>
              </w:rPr>
            </w:pPr>
          </w:p>
        </w:tc>
        <w:tc>
          <w:tcPr>
            <w:tcW w:w="385" w:type="pct"/>
            <w:vAlign w:val="center"/>
          </w:tcPr>
          <w:p>
            <w:pPr>
              <w:widowControl/>
              <w:spacing w:line="340" w:lineRule="exact"/>
              <w:jc w:val="center"/>
              <w:textAlignment w:val="center"/>
              <w:rPr>
                <w:rFonts w:hint="eastAsia" w:ascii="宋体" w:hAnsi="宋体" w:cs="宋体"/>
                <w:color w:val="000000" w:themeColor="text1"/>
                <w:kern w:val="0"/>
                <w:szCs w:val="21"/>
                <w14:textFill>
                  <w14:solidFill>
                    <w14:schemeClr w14:val="tx1"/>
                  </w14:solidFill>
                </w14:textFill>
              </w:rPr>
            </w:pPr>
          </w:p>
        </w:tc>
        <w:tc>
          <w:tcPr>
            <w:tcW w:w="540" w:type="pct"/>
            <w:vAlign w:val="center"/>
          </w:tcPr>
          <w:p>
            <w:pPr>
              <w:widowControl/>
              <w:spacing w:line="340" w:lineRule="exact"/>
              <w:jc w:val="center"/>
              <w:textAlignment w:val="center"/>
              <w:rPr>
                <w:rFonts w:hint="eastAsia" w:ascii="宋体" w:hAnsi="宋体" w:cs="宋体"/>
                <w:color w:val="000000" w:themeColor="text1"/>
                <w:kern w:val="0"/>
                <w:szCs w:val="21"/>
                <w14:textFill>
                  <w14:solidFill>
                    <w14:schemeClr w14:val="tx1"/>
                  </w14:solidFill>
                </w14:textFill>
              </w:rPr>
            </w:pP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463"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540"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c>
          <w:tcPr>
            <w:tcW w:w="463" w:type="pct"/>
            <w:vAlign w:val="center"/>
          </w:tcPr>
          <w:p>
            <w:pPr>
              <w:spacing w:line="340" w:lineRule="exact"/>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00" w:type="pct"/>
            <w:gridSpan w:val="10"/>
            <w:vAlign w:val="center"/>
          </w:tcPr>
          <w:p>
            <w:pPr>
              <w:spacing w:line="340" w:lineRule="exact"/>
              <w:ind w:right="42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总价人民币（大写）：</w:t>
            </w:r>
            <w:r>
              <w:rPr>
                <w:rFonts w:hint="eastAsia" w:ascii="宋体" w:hAnsi="宋体" w:cs="宋体"/>
                <w:color w:val="000000" w:themeColor="text1"/>
                <w:szCs w:val="21"/>
                <w:u w:val="single"/>
                <w14:textFill>
                  <w14:solidFill>
                    <w14:schemeClr w14:val="tx1"/>
                  </w14:solidFill>
                </w14:textFill>
              </w:rPr>
              <w:t xml:space="preserve">                  ￥</w:t>
            </w:r>
          </w:p>
        </w:tc>
      </w:tr>
    </w:tbl>
    <w:p>
      <w:pPr>
        <w:spacing w:line="34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设备型号、数量、配置要求等可以附页。</w:t>
      </w:r>
    </w:p>
    <w:p>
      <w:pPr>
        <w:spacing w:line="34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ascii="宋体" w:hAnsi="宋体" w:cs="宋体"/>
          <w:color w:val="000000" w:themeColor="text1"/>
          <w:kern w:val="0"/>
          <w:szCs w:val="21"/>
          <w14:textFill>
            <w14:solidFill>
              <w14:schemeClr w14:val="tx1"/>
            </w14:solidFill>
          </w14:textFill>
        </w:rPr>
        <w:t>1.配置清单和服务承诺详见合同附件。</w:t>
      </w:r>
    </w:p>
    <w:p>
      <w:pPr>
        <w:spacing w:line="340" w:lineRule="exact"/>
        <w:ind w:firstLine="396"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合同履行过程中的汇率风险由乙方承担，丙方与乙方的款项结算由其自行办理。</w:t>
      </w:r>
    </w:p>
    <w:p>
      <w:pPr>
        <w:spacing w:line="340" w:lineRule="exact"/>
        <w:ind w:firstLine="398" w:firstLineChars="200"/>
        <w:rPr>
          <w:rFonts w:hint="eastAsia" w:ascii="宋体" w:hAnsi="宋体" w:cs="宋体"/>
          <w:b/>
          <w:bCs/>
          <w:color w:val="000000" w:themeColor="text1"/>
          <w:spacing w:val="-6"/>
          <w:kern w:val="0"/>
          <w:szCs w:val="21"/>
          <w14:textFill>
            <w14:solidFill>
              <w14:schemeClr w14:val="tx1"/>
            </w14:solidFill>
          </w14:textFill>
        </w:rPr>
      </w:pPr>
      <w:r>
        <w:rPr>
          <w:rFonts w:hint="eastAsia" w:ascii="宋体" w:hAnsi="宋体" w:cs="宋体"/>
          <w:b/>
          <w:bCs/>
          <w:color w:val="000000" w:themeColor="text1"/>
          <w:spacing w:val="-6"/>
          <w:kern w:val="0"/>
          <w:szCs w:val="21"/>
          <w14:textFill>
            <w14:solidFill>
              <w14:schemeClr w14:val="tx1"/>
            </w14:solidFill>
          </w14:textFill>
        </w:rPr>
        <w:t>第二条：质量保证及售后服务</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1.乙方应按照本合同约定及采购文件规定的性能、技术要求、质量标准向甲方提供未经使用、符合国家法律规定和技术标准的原厂最新生产的全新原装合格进口货物，并系获得国家商检局颁布安全许可证的原装进口合格产品。</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货物从验收合格交付使用次日起30天内，出现非甲方人为因素造成的无法排除的故障，乙方须予整机调换或者退货退款，并承担违约责任。质保期内因货物本身的质量问题发生故障，乙方应负责免费维修。对达不到技术要求者，根据实际情况，甲方有权自行选择以下办法处理：</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（1）更换：由乙方在10个工作日内负责更换，并承担所发生的全部费用。</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（2）退货处理：乙方应全额退还甲方支付的价款，同时承担该货物的直接费用（运输、保险、检验、货款利息及银行手续费等）。</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3.如在使用过程中发生质量问题，乙方在接到甲方通知后</w:t>
      </w:r>
      <w:r>
        <w:rPr>
          <w:rFonts w:hint="eastAsia" w:ascii="宋体" w:hAnsi="宋体" w:cs="宋体"/>
          <w:color w:val="000000" w:themeColor="text1"/>
          <w:spacing w:val="-6"/>
          <w:kern w:val="0"/>
          <w:szCs w:val="21"/>
          <w:u w:val="single"/>
          <w14:textFill>
            <w14:solidFill>
              <w14:schemeClr w14:val="tx1"/>
            </w14:solidFill>
          </w14:textFill>
        </w:rPr>
        <w:t xml:space="preserve">  </w:t>
      </w:r>
      <w:r>
        <w:rPr>
          <w:rFonts w:hint="eastAsia" w:ascii="宋体" w:hAnsi="宋体" w:cs="宋体"/>
          <w:color w:val="000000" w:themeColor="text1"/>
          <w:spacing w:val="-6"/>
          <w:kern w:val="0"/>
          <w:szCs w:val="21"/>
          <w14:textFill>
            <w14:solidFill>
              <w14:schemeClr w14:val="tx1"/>
            </w14:solidFill>
          </w14:textFill>
        </w:rPr>
        <w:t>小时内到达甲方现场，最迟在</w:t>
      </w:r>
      <w:r>
        <w:rPr>
          <w:rFonts w:hint="eastAsia" w:ascii="宋体" w:hAnsi="宋体" w:cs="宋体"/>
          <w:color w:val="000000" w:themeColor="text1"/>
          <w:spacing w:val="-6"/>
          <w:kern w:val="0"/>
          <w:szCs w:val="21"/>
          <w:u w:val="single"/>
          <w14:textFill>
            <w14:solidFill>
              <w14:schemeClr w14:val="tx1"/>
            </w14:solidFill>
          </w14:textFill>
        </w:rPr>
        <w:t xml:space="preserve">  </w:t>
      </w:r>
      <w:r>
        <w:rPr>
          <w:rFonts w:hint="eastAsia" w:ascii="宋体" w:hAnsi="宋体" w:cs="宋体"/>
          <w:color w:val="000000" w:themeColor="text1"/>
          <w:spacing w:val="-6"/>
          <w:kern w:val="0"/>
          <w:szCs w:val="21"/>
          <w14:textFill>
            <w14:solidFill>
              <w14:schemeClr w14:val="tx1"/>
            </w14:solidFill>
          </w14:textFill>
        </w:rPr>
        <w:t>小时内解决问题（排除故障等），同时采取临时替换等措施，以确保甲方的正常使用。</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4.本合同货物质保期_____（自定义）个月，在质保期内，乙方应对货物出现的质量及安全问题承担全部责任及一切费用。</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pacing w:val="-6"/>
          <w:kern w:val="0"/>
          <w:szCs w:val="21"/>
          <w14:textFill>
            <w14:solidFill>
              <w14:schemeClr w14:val="tx1"/>
            </w14:solidFill>
          </w14:textFill>
        </w:rPr>
        <w:t>乙方须确保货物自验收合格交付使用后</w:t>
      </w:r>
      <w:r>
        <w:rPr>
          <w:rFonts w:hint="eastAsia" w:ascii="宋体" w:hAnsi="宋体" w:cs="宋体"/>
          <w:color w:val="000000" w:themeColor="text1"/>
          <w:spacing w:val="-6"/>
          <w:kern w:val="0"/>
          <w:szCs w:val="21"/>
          <w:u w:val="single"/>
          <w14:textFill>
            <w14:solidFill>
              <w14:schemeClr w14:val="tx1"/>
            </w14:solidFill>
          </w14:textFill>
        </w:rPr>
        <w:t xml:space="preserve">    </w:t>
      </w:r>
      <w:r>
        <w:rPr>
          <w:rFonts w:hint="eastAsia" w:ascii="宋体" w:hAnsi="宋体" w:cs="宋体"/>
          <w:color w:val="000000" w:themeColor="text1"/>
          <w:spacing w:val="-6"/>
          <w:kern w:val="0"/>
          <w:szCs w:val="21"/>
          <w14:textFill>
            <w14:solidFill>
              <w14:schemeClr w14:val="tx1"/>
            </w14:solidFill>
          </w14:textFill>
        </w:rPr>
        <w:t xml:space="preserve">年内制造商原厂及有资质售后工程师上门维保服务。软件终身免费升级。故障响应时间 </w:t>
      </w:r>
      <w:r>
        <w:rPr>
          <w:rFonts w:hint="eastAsia" w:ascii="宋体" w:hAnsi="宋体" w:cs="宋体"/>
          <w:color w:val="000000" w:themeColor="text1"/>
          <w:spacing w:val="-6"/>
          <w:kern w:val="0"/>
          <w:szCs w:val="21"/>
          <w:u w:val="single"/>
          <w14:textFill>
            <w14:solidFill>
              <w14:schemeClr w14:val="tx1"/>
            </w14:solidFill>
          </w14:textFill>
        </w:rPr>
        <w:t xml:space="preserve">    </w:t>
      </w:r>
      <w:r>
        <w:rPr>
          <w:rFonts w:hint="eastAsia" w:ascii="宋体" w:hAnsi="宋体" w:cs="宋体"/>
          <w:color w:val="000000" w:themeColor="text1"/>
          <w:spacing w:val="-6"/>
          <w:kern w:val="0"/>
          <w:szCs w:val="21"/>
          <w14:textFill>
            <w14:solidFill>
              <w14:schemeClr w14:val="tx1"/>
            </w14:solidFill>
          </w14:textFill>
        </w:rPr>
        <w:t>小时以内，每日24小时电话技术支持；凡电话技术支持无法排除的故障，确保</w:t>
      </w:r>
      <w:r>
        <w:rPr>
          <w:rFonts w:hint="eastAsia" w:ascii="宋体" w:hAnsi="宋体" w:cs="宋体"/>
          <w:color w:val="000000" w:themeColor="text1"/>
          <w:spacing w:val="-6"/>
          <w:kern w:val="0"/>
          <w:szCs w:val="21"/>
          <w:u w:val="single"/>
          <w14:textFill>
            <w14:solidFill>
              <w14:schemeClr w14:val="tx1"/>
            </w14:solidFill>
          </w14:textFill>
        </w:rPr>
        <w:t xml:space="preserve">   </w:t>
      </w:r>
      <w:r>
        <w:rPr>
          <w:rFonts w:hint="eastAsia" w:ascii="宋体" w:hAnsi="宋体" w:cs="宋体"/>
          <w:color w:val="000000" w:themeColor="text1"/>
          <w:spacing w:val="-6"/>
          <w:kern w:val="0"/>
          <w:szCs w:val="21"/>
          <w14:textFill>
            <w14:solidFill>
              <w14:schemeClr w14:val="tx1"/>
            </w14:solidFill>
          </w14:textFill>
        </w:rPr>
        <w:t>小时内到达现场并完成故障排除；保修期后，乙方继续为甲方提供维保服务，仅收取零配件成本费，故障排除时间同前约定。保修期内出现无法排除的故障，乙方须无条件为甲方更换同型号全新产品，并承担相应违约责任。保修期后的维保应确保</w:t>
      </w:r>
      <w:r>
        <w:rPr>
          <w:rFonts w:hint="eastAsia" w:ascii="宋体" w:hAnsi="宋体" w:cs="宋体"/>
          <w:color w:val="000000" w:themeColor="text1"/>
          <w:spacing w:val="-6"/>
          <w:kern w:val="0"/>
          <w:szCs w:val="21"/>
          <w:u w:val="single"/>
          <w14:textFill>
            <w14:solidFill>
              <w14:schemeClr w14:val="tx1"/>
            </w14:solidFill>
          </w14:textFill>
        </w:rPr>
        <w:t xml:space="preserve">   </w:t>
      </w:r>
      <w:r>
        <w:rPr>
          <w:rFonts w:hint="eastAsia" w:ascii="宋体" w:hAnsi="宋体" w:cs="宋体"/>
          <w:color w:val="000000" w:themeColor="text1"/>
          <w:spacing w:val="-6"/>
          <w:kern w:val="0"/>
          <w:szCs w:val="21"/>
          <w14:textFill>
            <w14:solidFill>
              <w14:schemeClr w14:val="tx1"/>
            </w14:solidFill>
          </w14:textFill>
        </w:rPr>
        <w:t>天内排除故障。</w:t>
      </w: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第三条：技术资料</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pacing w:val="-6"/>
          <w:kern w:val="0"/>
          <w:szCs w:val="21"/>
          <w14:textFill>
            <w14:solidFill>
              <w14:schemeClr w14:val="tx1"/>
            </w14:solidFill>
          </w14:textFill>
        </w:rPr>
        <w:t>乙方应按采购文件或本合同规定的时间向甲方提供货物的有关技术资料和必备的附件，进口产品还需提供全套中英文对照的技术资料。</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pacing w:val="-6"/>
          <w:kern w:val="0"/>
          <w:szCs w:val="21"/>
          <w14:textFill>
            <w14:solidFill>
              <w14:schemeClr w14:val="tx1"/>
            </w14:solidFill>
          </w14:textFill>
        </w:rPr>
        <w:t>没有甲方事先书面同意，乙方不得将由甲方提供的有关合同或任何合同条文、规格、计划、图纸、样品或资料提供给与履行本合同无关的任何第三方。即使因履行本合同项下义务向有关的人员提供，也应注意保密并限于履行合同的必需范围。</w:t>
      </w: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第四条：知识产权</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乙方应保证所提供的货物及含软件或其任何一部分均不会侵犯任何第三方的知识产权。</w:t>
      </w: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第五条：交货时间、地点</w:t>
      </w:r>
    </w:p>
    <w:p>
      <w:pPr>
        <w:pStyle w:val="42"/>
        <w:spacing w:line="340" w:lineRule="exact"/>
        <w:ind w:firstLine="338" w:firstLineChars="16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交货时间：</w:t>
      </w:r>
      <w:r>
        <w:rPr>
          <w:rStyle w:val="964"/>
          <w:rFonts w:hint="eastAsia" w:ascii="宋体" w:hAnsi="宋体" w:cs="宋体"/>
          <w:color w:val="000000" w:themeColor="text1"/>
          <w:szCs w:val="21"/>
          <w:shd w:val="clear" w:color="auto" w:fill="FFFFFF"/>
          <w14:textFill>
            <w14:solidFill>
              <w14:schemeClr w14:val="tx1"/>
            </w14:solidFill>
          </w14:textFill>
        </w:rPr>
        <w:t>自合同签订之日起，</w:t>
      </w:r>
      <w:r>
        <w:rPr>
          <w:rFonts w:hint="eastAsia" w:ascii="宋体" w:hAnsi="宋体" w:cs="宋体"/>
          <w:color w:val="000000" w:themeColor="text1"/>
          <w:szCs w:val="21"/>
          <w:u w:val="single"/>
          <w:shd w:val="clear" w:color="auto" w:fill="FFFFFF"/>
          <w14:textFill>
            <w14:solidFill>
              <w14:schemeClr w14:val="tx1"/>
            </w14:solidFill>
          </w14:textFill>
        </w:rPr>
        <w:t>　</w:t>
      </w:r>
      <w:r>
        <w:rPr>
          <w:rFonts w:hint="eastAsia" w:ascii="宋体" w:hAnsi="宋体" w:cs="宋体"/>
          <w:color w:val="000000" w:themeColor="text1"/>
          <w:szCs w:val="21"/>
          <w:shd w:val="clear" w:color="auto" w:fill="FFFFFF"/>
          <w14:textFill>
            <w14:solidFill>
              <w14:schemeClr w14:val="tx1"/>
            </w14:solidFill>
          </w14:textFill>
        </w:rPr>
        <w:t>个日历日内，按甲方提供的地址供货到位（具体时间以甲方通知为准），并按甲方要求安装调试完毕。</w:t>
      </w:r>
      <w:r>
        <w:rPr>
          <w:rFonts w:hint="eastAsia" w:ascii="宋体" w:hAnsi="宋体" w:cs="宋体"/>
          <w:color w:val="000000" w:themeColor="text1"/>
          <w:szCs w:val="21"/>
          <w14:textFill>
            <w14:solidFill>
              <w14:schemeClr w14:val="tx1"/>
            </w14:solidFill>
          </w14:textFill>
        </w:rPr>
        <w:t>。</w:t>
      </w:r>
    </w:p>
    <w:p>
      <w:pPr>
        <w:spacing w:line="340" w:lineRule="exact"/>
        <w:ind w:firstLine="378" w:firstLineChars="18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交货地点及方式：</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3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使用方联系人及联系方式：</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340" w:lineRule="exact"/>
        <w:ind w:firstLine="420" w:firstLineChars="200"/>
        <w:rPr>
          <w:rFonts w:hint="eastAsia" w:ascii="宋体" w:hAnsi="宋体" w:cs="宋体"/>
          <w:color w:val="000000" w:themeColor="text1"/>
          <w:szCs w:val="21"/>
          <w14:textFill>
            <w14:solidFill>
              <w14:schemeClr w14:val="tx1"/>
            </w14:solidFill>
          </w14:textFill>
        </w:rPr>
      </w:pP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第六条：调试与验收</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甲方对乙方交付的货物依据本合同约定和采购文件上的技术规格或要求及有关质量标准进行现场到货验收，外观、说明书符合采购文件技术要求的，给予签收，到货验收不合格的不予签收。到货验收并非最终验收，乙方安装调试完毕后的验收方为最终验收。</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乙方须按约定期限完成安装调试并达到本合同约定的技术要求，同时负责培训甲方的操作人员，做好各种操作指导，直到甲方人员能独立、熟练操作，甲方才进行交付验收，交付验收合格前的风险责任由乙方承担。</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4.对技术复杂的货物，甲方有权聘请国家认可的专业检测机构参与到货验收及交付验收，并由其出具质量检测报告。</w:t>
      </w:r>
    </w:p>
    <w:p>
      <w:pPr>
        <w:spacing w:line="340" w:lineRule="exact"/>
        <w:ind w:firstLine="396" w:firstLineChars="200"/>
        <w:rPr>
          <w:rFonts w:hint="eastAsia" w:ascii="宋体" w:hAnsi="宋体" w:cs="宋体"/>
          <w:color w:val="000000" w:themeColor="text1"/>
          <w:spacing w:val="-6"/>
          <w:szCs w:val="21"/>
          <w:highlight w:val="red"/>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5.货物验收时乙方必须在现场，验收完毕后甲方出具验收报告；</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6.对货物质量有异议的，甲、乙双方均同意提请国家法定检测机构鉴定，如检测结果证明产品无质量问题，由甲方承担检测费用；如检测结果证明产品有质量问题，由乙方承担检测费用，同时乙方同意甲方无条件退货，并承担违约责任。</w:t>
      </w: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第七条：合同价款的支付</w:t>
      </w:r>
    </w:p>
    <w:p>
      <w:pPr>
        <w:spacing w:line="3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1.本合同总价款的</w:t>
      </w:r>
      <w:r>
        <w:rPr>
          <w:rFonts w:hint="eastAsia"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w:t>
      </w:r>
      <w:r>
        <w:rPr>
          <w:rFonts w:hint="eastAsia" w:ascii="宋体" w:hAnsi="宋体" w:cs="宋体"/>
          <w:color w:val="000000" w:themeColor="text1"/>
          <w:szCs w:val="21"/>
          <w:u w:val="single"/>
          <w:shd w:val="clear" w:color="auto" w:fill="FFFFFF"/>
          <w14:textFill>
            <w14:solidFill>
              <w14:schemeClr w14:val="tx1"/>
            </w14:solidFill>
          </w14:textFill>
        </w:rPr>
        <w:t>　　</w:t>
      </w:r>
      <w:r>
        <w:rPr>
          <w:rFonts w:hint="eastAsia" w:ascii="宋体" w:hAnsi="宋体" w:cs="宋体"/>
          <w:color w:val="000000" w:themeColor="text1"/>
          <w:szCs w:val="21"/>
          <w:shd w:val="clear" w:color="auto" w:fill="FFFFFF"/>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作为</w:t>
      </w:r>
      <w:r>
        <w:rPr>
          <w:rFonts w:hint="eastAsia" w:ascii="宋体" w:hAnsi="宋体" w:cs="宋体"/>
          <w:color w:val="000000" w:themeColor="text1"/>
          <w:spacing w:val="-6"/>
          <w:szCs w:val="21"/>
          <w14:textFill>
            <w14:solidFill>
              <w14:schemeClr w14:val="tx1"/>
            </w14:solidFill>
          </w14:textFill>
        </w:rPr>
        <w:t>履约保证金</w:t>
      </w:r>
      <w:r>
        <w:rPr>
          <w:rFonts w:hint="eastAsia" w:ascii="宋体" w:hAnsi="宋体" w:cs="宋体"/>
          <w:color w:val="000000" w:themeColor="text1"/>
          <w:szCs w:val="21"/>
          <w14:textFill>
            <w14:solidFill>
              <w14:schemeClr w14:val="tx1"/>
            </w14:solidFill>
          </w14:textFill>
        </w:rPr>
        <w:t>，本合同签订后七个工作日内由乙方</w:t>
      </w:r>
      <w:r>
        <w:rPr>
          <w:rFonts w:hint="eastAsia" w:ascii="宋体" w:hAnsi="宋体" w:cs="宋体"/>
          <w:color w:val="000000" w:themeColor="text1"/>
          <w:spacing w:val="-6"/>
          <w:szCs w:val="21"/>
          <w14:textFill>
            <w14:solidFill>
              <w14:schemeClr w14:val="tx1"/>
            </w14:solidFill>
          </w14:textFill>
        </w:rPr>
        <w:t>汇入本合同载明的甲方账户，</w:t>
      </w:r>
      <w:r>
        <w:rPr>
          <w:rFonts w:hint="eastAsia" w:ascii="宋体" w:hAnsi="宋体" w:cs="宋体"/>
          <w:color w:val="000000" w:themeColor="text1"/>
          <w:szCs w:val="21"/>
          <w14:textFill>
            <w14:solidFill>
              <w14:schemeClr w14:val="tx1"/>
            </w14:solidFill>
          </w14:textFill>
        </w:rPr>
        <w:t>最终验收合格后，由甲方无息退回乙方。</w:t>
      </w:r>
    </w:p>
    <w:p>
      <w:pPr>
        <w:spacing w:line="340" w:lineRule="exact"/>
        <w:ind w:firstLine="420"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pacing w:val="-6"/>
          <w:szCs w:val="21"/>
          <w14:textFill>
            <w14:solidFill>
              <w14:schemeClr w14:val="tx1"/>
            </w14:solidFill>
          </w14:textFill>
        </w:rPr>
        <w:t>乙方同意在丙方免税申报表办理完成后，凭丙方开具的收款收据，甲方于7个工作日内将预付款（</w:t>
      </w:r>
      <w:r>
        <w:rPr>
          <w:rFonts w:hint="eastAsia" w:ascii="宋体" w:hAnsi="宋体" w:cs="宋体"/>
          <w:color w:val="000000" w:themeColor="text1"/>
          <w:szCs w:val="21"/>
          <w:shd w:val="clear" w:color="auto" w:fill="FFFFFF"/>
          <w14:textFill>
            <w14:solidFill>
              <w14:schemeClr w14:val="tx1"/>
            </w14:solidFill>
          </w14:textFill>
        </w:rPr>
        <w:t>¥___________</w:t>
      </w:r>
      <w:r>
        <w:rPr>
          <w:rFonts w:hint="eastAsia" w:ascii="宋体" w:hAnsi="宋体" w:cs="宋体"/>
          <w:color w:val="000000" w:themeColor="text1"/>
          <w:spacing w:val="-6"/>
          <w:szCs w:val="21"/>
          <w14:textFill>
            <w14:solidFill>
              <w14:schemeClr w14:val="tx1"/>
            </w14:solidFill>
          </w14:textFill>
        </w:rPr>
        <w:t>）付给丙方，丙方收到预付款后，向乙方指定的境外公司（外贸合同卖方）开具同比例的即期信用证，由外贸合同卖方发货后向银行提交单据进行议付，或通过对外电汇方式支付预付款。货物验收合格后，丙方向甲方开具合同总价款的全额增值税发票且经乙方鉴证合格的，甲方于7个工作日内将剩余的价款支付给丙方，丙方以收到尾款为指令，按照对外合同的约定及时对外支付剩余价款。丙方与乙方的费用结算自行协商，与甲方无涉。</w:t>
      </w: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第八条：其他约定</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1.甲方、乙方协助丙方在到货前办好进口货物审批和免税手续。</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2.乙方应根据本次招标结果（本合同约定的）提供双方确认的进口货物的品名、型号规格、配置配件、技术要求、价格、制造厂商或生产国别、售后服务等相关书面资料，以便丙方对外签订外贸合同。</w:t>
      </w:r>
    </w:p>
    <w:p>
      <w:pPr>
        <w:pStyle w:val="42"/>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由丙方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pPr>
        <w:pStyle w:val="42"/>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货物原产地和制造商：</w:t>
      </w:r>
    </w:p>
    <w:p>
      <w:pPr>
        <w:pStyle w:val="42"/>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运输方式、装运港和目的港：</w:t>
      </w:r>
    </w:p>
    <w:p>
      <w:pPr>
        <w:pStyle w:val="42"/>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境外公司名称：</w:t>
      </w:r>
    </w:p>
    <w:p>
      <w:pPr>
        <w:pStyle w:val="42"/>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联系人姓名：</w:t>
      </w:r>
    </w:p>
    <w:p>
      <w:pPr>
        <w:pStyle w:val="42"/>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联系人电话：</w:t>
      </w:r>
    </w:p>
    <w:p>
      <w:pPr>
        <w:pStyle w:val="42"/>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联系人Email：</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3.丙方负责对外签订外贸合同、协助商谈运输方式、到货地点，办理法定商检、对外承付货款、办理进口报关、并在到货后负责送货上门和安装调试等事宜。</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4.丙方应根据合同的约定积极履行合同义务，并及时向甲方和乙方书面通报外贸合同的履行情况，特别是货物备妥期、装运期、预计抵达情况，以便甲方及时了解供货进度。</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5.对需办理《机电产品进口许可证》的设备，丙方应协助甲方办理网上申报等有关事宜，并及时领取进口批件。</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6.丙方应协助甲方催缴乙方履约保证金。</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7.进口货物到货后，丙方应向甲方提供一套完整的进口单证。如进口货物发生质量、数量与外贸合同不符的，应及时完成商检，并尽早自行启动索赔程序，但并不因此减轻或免除乙方的相关责任。</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8.因丙方工作失误，造成进口货物不能及时清关而产生的海关滞报金，超期仓储费等额外费用由丙方自行承担。</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9.丙方应协助甲方完成海关等政府主管部门例行年检、抽检及其他相关工作，并提供相关检查资料。</w:t>
      </w: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第九条：违约责任</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1.乙方未按期供货、侵犯他人知识产权、货物品种、型号、规格、技术参数、质量等与合同不符，甲方有权拒收或随时退货，乙方应全额退还甲方已付款项，并按合同总价款的20%向甲方支付违约金，由此造成的损失及其他一切责任和后果均由乙方承担。</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2.质保期内因货物本身的质量问题发生故障，甲方选择更换、退货的，乙方应按合同总价款的20%向甲方支付违约金。</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3.除本合同另有约定的外，乙方逾期履行合同义务的，自逾期之日起，向甲方偿付合同总价款万分之五每日的违约金。</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4.甲方逾期支付价款的，自逾期之日起，向乙方偿付逾期金额万分之五每日的违约金。</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5.如货物验收不能达到质量或功能（性能）标准的，乙方应于该次验收工作结束后一周内将货物运离甲方安装地点，所需费用由乙方承担。如乙方在一个月内不处理（运离）货物的，视为乙方放弃其所有权，甲方有权自行处置（包括作废弃物处理）。</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6．如乙方在合同生效后未能按合同约定的交货时间供货或未能如期履行合同规定的其他内容等违约形式造成甲方实际损失的，甲方有权通过调解、诉讼等方式向乙方追偿，并将实际情况报相关采购监管部门。</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7．乙方应保证甲方所采购的商品及其任何一部分，在使用时不受第三方提出侵犯其专利权、版权、商标权或其他权利的起诉。一旦出现侵权，乙方应承担全部责任。</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8．有下列情形之一的，乙方承担相关责任，造成损失的乙方承担损失赔偿；如有争议，则按本条9处理。</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1）在商品交付验收合格之日起质保期内发生质量问题；</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2）售后服务或维护未按照合同约定或国家法律、规章制度规定完成的。</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9.本合同在发生所供商品的质量、售后服务等问题纠纷时，各使用方有权直接向乙方索赔，签订必要的书面处理协议。如协商不成，向合同签订地人民法院提起诉讼解决。</w:t>
      </w:r>
    </w:p>
    <w:p>
      <w:pPr>
        <w:spacing w:line="320" w:lineRule="exact"/>
        <w:ind w:firstLine="420" w:firstLineChars="200"/>
        <w:rPr>
          <w:rFonts w:hint="eastAsia" w:ascii="宋体" w:hAnsi="宋体" w:cs="宋体"/>
          <w:color w:val="000000" w:themeColor="text1"/>
          <w:szCs w:val="21"/>
          <w14:textFill>
            <w14:solidFill>
              <w14:schemeClr w14:val="tx1"/>
            </w14:solidFill>
          </w14:textFill>
        </w:rPr>
      </w:pPr>
    </w:p>
    <w:p>
      <w:pPr>
        <w:spacing w:line="340" w:lineRule="exact"/>
        <w:ind w:firstLine="396" w:firstLineChars="200"/>
        <w:rPr>
          <w:rFonts w:hint="eastAsia" w:ascii="宋体" w:hAnsi="宋体" w:cs="宋体"/>
          <w:strike/>
          <w:color w:val="000000" w:themeColor="text1"/>
          <w:spacing w:val="-6"/>
          <w:szCs w:val="21"/>
          <w14:textFill>
            <w14:solidFill>
              <w14:schemeClr w14:val="tx1"/>
            </w14:solidFill>
          </w14:textFill>
        </w:rPr>
      </w:pP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第十条：不可抗力事件处理</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1本合同有效期内，任何一方因不可抗力事件导致不能履行合同的，则本合同履行期可延长，其延长期与不可抗力影响期相同。</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2.不可抗力事件发生后，应立即书面通知对方，并寄送有关权威机构出具的证明。</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3.不可抗力事件延续20天以上，双方应通过友好协商，确定是否继续履行合同。</w:t>
      </w: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第十一条：争议解决</w:t>
      </w:r>
    </w:p>
    <w:p>
      <w:pPr>
        <w:spacing w:line="340" w:lineRule="exact"/>
        <w:ind w:firstLine="396" w:firstLineChars="200"/>
        <w:rPr>
          <w:rFonts w:hint="eastAsia"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本合同未尽事宜及纠纷由四方协商解决，并签订书面协议，如协商不成，由甲方所在地人民法院诉讼解决。</w:t>
      </w:r>
    </w:p>
    <w:p>
      <w:pPr>
        <w:spacing w:line="340" w:lineRule="exact"/>
        <w:ind w:firstLine="398" w:firstLineChars="200"/>
        <w:rPr>
          <w:rFonts w:hint="eastAsia" w:ascii="宋体" w:hAnsi="宋体" w:cs="宋体"/>
          <w:b/>
          <w:bCs/>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第十二条：合同生效</w:t>
      </w:r>
    </w:p>
    <w:p>
      <w:pPr>
        <w:snapToGrid w:val="0"/>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1．本合同经三方法定代表人或其授权委托人签字并加盖双方印章（合同专用章）之日起生效。</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2．本合同一式 伍份，甲方执 贰份，乙方执 壹 份，丙方执 壹 份，招标代理公司__________执壹份，具有同等法律效力。</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3．下列文件为本合同的组成部分，并构成一个整体，需综合解释、相互补充。如果下列文件内容出现不一致的情形，在保证按照采购文件确定的事项的前提下，组成本合同的多个文件的优先适用顺序如下：</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3.1.1 本合同及其补充合同、变更协议；</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3.1.2 中标通知书；</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3.1.3 投标文件（含澄清或者说明文件）；</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3.1.4 招标文件（含澄清或者修改文件）；</w:t>
      </w:r>
    </w:p>
    <w:p>
      <w:pPr>
        <w:spacing w:line="340" w:lineRule="exact"/>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3.1.5 其他相关采购文件。</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甲方（公章）：</w:t>
      </w:r>
      <w:r>
        <w:rPr>
          <w:rFonts w:hint="eastAsia" w:ascii="宋体" w:hAnsi="宋体" w:cs="宋体"/>
          <w:b/>
          <w:snapToGrid w:val="0"/>
          <w:color w:val="000000" w:themeColor="text1"/>
          <w:szCs w:val="21"/>
          <w14:textFill>
            <w14:solidFill>
              <w14:schemeClr w14:val="tx1"/>
            </w14:solidFill>
          </w14:textFill>
        </w:rPr>
        <w:t>杭州师范大学</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法定代表人或授权委托人：</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邮编：311121</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使用部门联系人： </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电话：0571-2886</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传真：0571-2886</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采购中心联系人：汪涌海 </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电话：28865850</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附：增值税专用发票开票资料</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纳税人：杭州师范大学                  </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地址：浙江省杭州市余杭区仓前街道余杭塘路2318号</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统一社会信息代码（税号）：12330100470103303W  </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学校财务政策咨询电话：28869903      财务报销电话：28869738     </w:t>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开户银行：交通银行杭州下沙支行</w:t>
      </w:r>
      <w:r>
        <w:rPr>
          <w:rFonts w:hint="eastAsia" w:ascii="宋体" w:hAnsi="宋体" w:cs="宋体"/>
          <w:snapToGrid w:val="0"/>
          <w:color w:val="000000" w:themeColor="text1"/>
          <w:szCs w:val="21"/>
          <w14:textFill>
            <w14:solidFill>
              <w14:schemeClr w14:val="tx1"/>
            </w14:solidFill>
          </w14:textFill>
        </w:rPr>
        <w:tab/>
      </w:r>
    </w:p>
    <w:p>
      <w:pPr>
        <w:snapToGrid w:val="0"/>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账号：331065950018000482533</w:t>
      </w:r>
      <w:r>
        <w:rPr>
          <w:rFonts w:hint="eastAsia" w:ascii="宋体" w:hAnsi="宋体" w:cs="宋体"/>
          <w:snapToGrid w:val="0"/>
          <w:color w:val="000000" w:themeColor="text1"/>
          <w:szCs w:val="21"/>
          <w14:textFill>
            <w14:solidFill>
              <w14:schemeClr w14:val="tx1"/>
            </w14:solidFill>
          </w14:textFill>
        </w:rPr>
        <w:tab/>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p>
    <w:p>
      <w:pPr>
        <w:spacing w:line="340" w:lineRule="exact"/>
        <w:ind w:firstLine="422" w:firstLineChars="200"/>
        <w:rPr>
          <w:rFonts w:hint="eastAsia" w:ascii="宋体" w:hAnsi="宋体" w:cs="宋体"/>
          <w:b/>
          <w:bCs/>
          <w:snapToGrid w:val="0"/>
          <w:color w:val="000000" w:themeColor="text1"/>
          <w:szCs w:val="21"/>
          <w14:textFill>
            <w14:solidFill>
              <w14:schemeClr w14:val="tx1"/>
            </w14:solidFill>
          </w14:textFill>
        </w:rPr>
      </w:pPr>
      <w:r>
        <w:rPr>
          <w:rFonts w:hint="eastAsia" w:ascii="宋体" w:hAnsi="宋体" w:cs="宋体"/>
          <w:b/>
          <w:bCs/>
          <w:snapToGrid w:val="0"/>
          <w:color w:val="000000" w:themeColor="text1"/>
          <w:szCs w:val="21"/>
          <w14:textFill>
            <w14:solidFill>
              <w14:schemeClr w14:val="tx1"/>
            </w14:solidFill>
          </w14:textFill>
        </w:rPr>
        <w:t xml:space="preserve">乙方（公章）： </w:t>
      </w:r>
    </w:p>
    <w:p>
      <w:pPr>
        <w:spacing w:line="340" w:lineRule="exact"/>
        <w:ind w:firstLine="420" w:firstLineChars="200"/>
        <w:rPr>
          <w:rFonts w:hint="eastAsia" w:ascii="宋体" w:hAnsi="宋体" w:cs="宋体"/>
          <w:b/>
          <w:bCs/>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法定代表人或授权委托人：</w:t>
      </w:r>
      <w:r>
        <w:rPr>
          <w:rFonts w:hint="eastAsia" w:ascii="宋体" w:hAnsi="宋体" w:cs="宋体"/>
          <w:b/>
          <w:bCs/>
          <w:snapToGrid w:val="0"/>
          <w:color w:val="000000" w:themeColor="text1"/>
          <w:szCs w:val="21"/>
          <w14:textFill>
            <w14:solidFill>
              <w14:schemeClr w14:val="tx1"/>
            </w14:solidFill>
          </w14:textFill>
        </w:rPr>
        <w:t>纸质合同上必须亲笔签名</w:t>
      </w:r>
    </w:p>
    <w:p>
      <w:pPr>
        <w:spacing w:line="340" w:lineRule="exact"/>
        <w:ind w:firstLine="422" w:firstLineChars="200"/>
        <w:rPr>
          <w:rFonts w:hint="eastAsia" w:ascii="宋体" w:hAnsi="宋体" w:cs="宋体"/>
          <w:b/>
          <w:bCs/>
          <w:snapToGrid w:val="0"/>
          <w:color w:val="000000" w:themeColor="text1"/>
          <w:szCs w:val="21"/>
          <w14:textFill>
            <w14:solidFill>
              <w14:schemeClr w14:val="tx1"/>
            </w14:solidFill>
          </w14:textFill>
        </w:rPr>
      </w:pPr>
      <w:r>
        <w:rPr>
          <w:rFonts w:hint="eastAsia" w:ascii="宋体" w:hAnsi="宋体" w:cs="宋体"/>
          <w:b/>
          <w:bCs/>
          <w:snapToGrid w:val="0"/>
          <w:color w:val="000000" w:themeColor="text1"/>
          <w:szCs w:val="21"/>
          <w14:textFill>
            <w14:solidFill>
              <w14:schemeClr w14:val="tx1"/>
            </w14:solidFill>
          </w14:textFill>
        </w:rPr>
        <w:t>地址：</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邮编：</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统一社会信息代码（税号）:</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联系人：</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电话：          手机： </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传真：</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开户银行：</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账号：</w:t>
      </w:r>
    </w:p>
    <w:p>
      <w:pPr>
        <w:spacing w:line="340" w:lineRule="exact"/>
        <w:ind w:firstLine="420" w:firstLineChars="200"/>
        <w:rPr>
          <w:rFonts w:hint="eastAsia" w:ascii="宋体" w:hAnsi="宋体" w:cs="宋体"/>
          <w:snapToGrid w:val="0"/>
          <w:color w:val="000000" w:themeColor="text1"/>
          <w:szCs w:val="21"/>
          <w14:textFill>
            <w14:solidFill>
              <w14:schemeClr w14:val="tx1"/>
            </w14:solidFill>
          </w14:textFill>
        </w:rPr>
      </w:pPr>
    </w:p>
    <w:p>
      <w:pPr>
        <w:spacing w:line="380" w:lineRule="exact"/>
        <w:ind w:firstLine="422" w:firstLineChars="200"/>
        <w:rPr>
          <w:rFonts w:hint="eastAsia" w:ascii="宋体" w:hAnsi="宋体" w:cs="宋体"/>
          <w:b/>
          <w:bCs/>
          <w:snapToGrid w:val="0"/>
          <w:color w:val="000000" w:themeColor="text1"/>
          <w:szCs w:val="21"/>
          <w14:textFill>
            <w14:solidFill>
              <w14:schemeClr w14:val="tx1"/>
            </w14:solidFill>
          </w14:textFill>
        </w:rPr>
      </w:pPr>
      <w:r>
        <w:rPr>
          <w:rFonts w:hint="eastAsia" w:ascii="宋体" w:hAnsi="宋体" w:cs="宋体"/>
          <w:b/>
          <w:bCs/>
          <w:snapToGrid w:val="0"/>
          <w:color w:val="000000" w:themeColor="text1"/>
          <w:szCs w:val="21"/>
          <w14:textFill>
            <w14:solidFill>
              <w14:schemeClr w14:val="tx1"/>
            </w14:solidFill>
          </w14:textFill>
        </w:rPr>
        <w:t>丙方（公章）： 浙江省科学器材进出口有限责任公司</w:t>
      </w:r>
    </w:p>
    <w:p>
      <w:pPr>
        <w:spacing w:line="38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法定代表人或授权委托人：</w:t>
      </w:r>
      <w:r>
        <w:rPr>
          <w:rFonts w:hint="eastAsia" w:ascii="宋体" w:hAnsi="宋体" w:cs="宋体"/>
          <w:b/>
          <w:bCs/>
          <w:snapToGrid w:val="0"/>
          <w:color w:val="000000" w:themeColor="text1"/>
          <w:szCs w:val="21"/>
          <w14:textFill>
            <w14:solidFill>
              <w14:schemeClr w14:val="tx1"/>
            </w14:solidFill>
          </w14:textFill>
        </w:rPr>
        <w:t>纸质合同上必须亲笔签名</w:t>
      </w:r>
    </w:p>
    <w:p>
      <w:pPr>
        <w:spacing w:line="38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地址：杭州市西湖区天目山路97号</w:t>
      </w:r>
    </w:p>
    <w:p>
      <w:pPr>
        <w:spacing w:line="38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邮编：310007</w:t>
      </w:r>
    </w:p>
    <w:p>
      <w:pPr>
        <w:spacing w:line="38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统一社会信息代码（税号）:91330000142931038M</w:t>
      </w:r>
    </w:p>
    <w:p>
      <w:pPr>
        <w:spacing w:line="38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联系人：管旦凤</w:t>
      </w:r>
    </w:p>
    <w:p>
      <w:pPr>
        <w:spacing w:line="38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电话：057187967117          手机： 13758150914</w:t>
      </w:r>
    </w:p>
    <w:p>
      <w:pPr>
        <w:spacing w:line="38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传真：</w:t>
      </w:r>
    </w:p>
    <w:p>
      <w:pPr>
        <w:spacing w:line="38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开户银行：工行保俶支行</w:t>
      </w:r>
    </w:p>
    <w:p>
      <w:pPr>
        <w:spacing w:line="380" w:lineRule="exact"/>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账号：1202022709006500176</w:t>
      </w:r>
    </w:p>
    <w:p>
      <w:pPr>
        <w:spacing w:line="340" w:lineRule="exact"/>
        <w:ind w:firstLine="4427" w:firstLineChars="2100"/>
        <w:rPr>
          <w:rFonts w:hint="eastAsia" w:ascii="宋体" w:hAnsi="宋体" w:cs="宋体"/>
          <w:b/>
          <w:color w:val="000000" w:themeColor="text1"/>
          <w:szCs w:val="21"/>
          <w14:textFill>
            <w14:solidFill>
              <w14:schemeClr w14:val="tx1"/>
            </w14:solidFill>
          </w14:textFill>
        </w:rPr>
      </w:pPr>
    </w:p>
    <w:p>
      <w:pPr>
        <w:spacing w:line="340" w:lineRule="exact"/>
        <w:ind w:firstLine="4849" w:firstLineChars="23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合同签发日期：  </w:t>
      </w:r>
      <w:r>
        <w:rPr>
          <w:rFonts w:hint="eastAsia" w:ascii="宋体" w:hAnsi="宋体" w:cs="宋体"/>
          <w:color w:val="000000" w:themeColor="text1"/>
          <w:szCs w:val="21"/>
          <w14:textFill>
            <w14:solidFill>
              <w14:schemeClr w14:val="tx1"/>
            </w14:solidFill>
          </w14:textFill>
        </w:rPr>
        <w:t xml:space="preserve">  年    月    日</w:t>
      </w:r>
    </w:p>
    <w:p>
      <w:pPr>
        <w:spacing w:line="420" w:lineRule="exact"/>
        <w:ind w:firstLine="420" w:firstLineChars="200"/>
        <w:rPr>
          <w:rFonts w:hint="eastAsia" w:ascii="宋体" w:hAnsi="宋体" w:cs="宋体"/>
          <w:snapToGrid w:val="0"/>
          <w:color w:val="000000" w:themeColor="text1"/>
          <w:szCs w:val="21"/>
          <w14:textFill>
            <w14:solidFill>
              <w14:schemeClr w14:val="tx1"/>
            </w14:solidFill>
          </w14:textFill>
        </w:rPr>
      </w:pPr>
    </w:p>
    <w:p>
      <w:pPr>
        <w:spacing w:line="420" w:lineRule="exact"/>
        <w:ind w:firstLine="4427" w:firstLineChars="2100"/>
        <w:rPr>
          <w:rFonts w:hint="eastAsia" w:ascii="宋体" w:hAnsi="宋体" w:cs="宋体"/>
          <w:b/>
          <w:color w:val="000000" w:themeColor="text1"/>
          <w:szCs w:val="21"/>
          <w14:textFill>
            <w14:solidFill>
              <w14:schemeClr w14:val="tx1"/>
            </w14:solidFill>
          </w14:textFill>
        </w:rPr>
      </w:pPr>
    </w:p>
    <w:p>
      <w:pPr>
        <w:spacing w:line="340" w:lineRule="exact"/>
        <w:ind w:firstLine="4410" w:firstLineChars="2100"/>
        <w:rPr>
          <w:rFonts w:hint="eastAsia" w:ascii="宋体" w:hAnsi="宋体" w:cs="宋体"/>
          <w:color w:val="000000" w:themeColor="text1"/>
          <w:szCs w:val="21"/>
          <w14:textFill>
            <w14:solidFill>
              <w14:schemeClr w14:val="tx1"/>
            </w14:solidFill>
          </w14:textFill>
        </w:rPr>
      </w:pPr>
    </w:p>
    <w:p>
      <w:pPr>
        <w:spacing w:line="340" w:lineRule="exact"/>
        <w:rPr>
          <w:rFonts w:hint="eastAsia" w:ascii="宋体" w:hAnsi="宋体" w:cs="宋体"/>
          <w:bCs/>
          <w:color w:val="000000" w:themeColor="text1"/>
          <w:szCs w:val="21"/>
          <w14:textFill>
            <w14:solidFill>
              <w14:schemeClr w14:val="tx1"/>
            </w14:solidFill>
          </w14:textFill>
        </w:rPr>
      </w:pPr>
    </w:p>
    <w:p>
      <w:pPr>
        <w:spacing w:line="340" w:lineRule="exact"/>
        <w:ind w:firstLine="1680" w:firstLineChars="800"/>
        <w:rPr>
          <w:rFonts w:hint="eastAsia" w:ascii="宋体" w:hAnsi="宋体" w:cs="宋体"/>
          <w:bCs/>
          <w:color w:val="000000" w:themeColor="text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440" w:lineRule="exact"/>
        <w:ind w:firstLine="5421" w:firstLineChars="1800"/>
        <w:rPr>
          <w:rFonts w:hint="eastAsia" w:ascii="宋体" w:hAnsi="宋体" w:cs="宋体"/>
          <w:b/>
          <w:snapToGrid w:val="0"/>
          <w:color w:val="000000" w:themeColor="text1"/>
          <w:sz w:val="30"/>
          <w:szCs w:val="30"/>
          <w14:textFill>
            <w14:solidFill>
              <w14:schemeClr w14:val="tx1"/>
            </w14:solidFill>
          </w14:textFill>
        </w:rPr>
      </w:pPr>
      <w:r>
        <w:rPr>
          <w:rFonts w:hint="eastAsia" w:ascii="宋体" w:hAnsi="宋体" w:cs="宋体"/>
          <w:b/>
          <w:snapToGrid w:val="0"/>
          <w:color w:val="000000" w:themeColor="text1"/>
          <w:sz w:val="30"/>
          <w:szCs w:val="30"/>
          <w14:textFill>
            <w14:solidFill>
              <w14:schemeClr w14:val="tx1"/>
            </w14:solidFill>
          </w14:textFill>
        </w:rPr>
        <w:t>配  置  清  单</w:t>
      </w:r>
    </w:p>
    <w:tbl>
      <w:tblPr>
        <w:tblStyle w:val="62"/>
        <w:tblpPr w:leftFromText="180" w:rightFromText="180" w:vertAnchor="text" w:horzAnchor="margin" w:tblpXSpec="center" w:tblpY="222"/>
        <w:tblW w:w="15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1559"/>
        <w:gridCol w:w="3157"/>
        <w:gridCol w:w="960"/>
        <w:gridCol w:w="750"/>
        <w:gridCol w:w="1110"/>
        <w:gridCol w:w="174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29"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序号</w:t>
            </w:r>
          </w:p>
        </w:tc>
        <w:tc>
          <w:tcPr>
            <w:tcW w:w="2127"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设 备 名 称</w:t>
            </w:r>
          </w:p>
        </w:tc>
        <w:tc>
          <w:tcPr>
            <w:tcW w:w="1559"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品 牌型 号</w:t>
            </w:r>
          </w:p>
        </w:tc>
        <w:tc>
          <w:tcPr>
            <w:tcW w:w="3157"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产品描述</w:t>
            </w:r>
          </w:p>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（规格和功能）</w:t>
            </w:r>
          </w:p>
        </w:tc>
        <w:tc>
          <w:tcPr>
            <w:tcW w:w="960"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数量</w:t>
            </w:r>
          </w:p>
        </w:tc>
        <w:tc>
          <w:tcPr>
            <w:tcW w:w="750"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数量单位</w:t>
            </w:r>
          </w:p>
        </w:tc>
        <w:tc>
          <w:tcPr>
            <w:tcW w:w="1110"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单价</w:t>
            </w:r>
          </w:p>
        </w:tc>
        <w:tc>
          <w:tcPr>
            <w:tcW w:w="1744"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合计价格</w:t>
            </w:r>
          </w:p>
        </w:tc>
        <w:tc>
          <w:tcPr>
            <w:tcW w:w="1276"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制 造 商</w:t>
            </w:r>
          </w:p>
        </w:tc>
        <w:tc>
          <w:tcPr>
            <w:tcW w:w="1276" w:type="dxa"/>
            <w:vAlign w:val="center"/>
          </w:tcPr>
          <w:p>
            <w:pPr>
              <w:jc w:val="center"/>
              <w:rPr>
                <w:rFonts w:hint="eastAsia" w:ascii="宋体" w:hAnsi="宋体" w:cs="宋体"/>
                <w:b/>
                <w:snapToGrid w:val="0"/>
                <w:color w:val="000000" w:themeColor="text1"/>
                <w:sz w:val="18"/>
                <w:szCs w:val="18"/>
                <w14:textFill>
                  <w14:solidFill>
                    <w14:schemeClr w14:val="tx1"/>
                  </w14:solidFill>
                </w14:textFill>
              </w:rPr>
            </w:pPr>
            <w:r>
              <w:rPr>
                <w:rFonts w:hint="eastAsia" w:ascii="宋体" w:hAnsi="宋体" w:cs="宋体"/>
                <w:b/>
                <w:snapToGrid w:val="0"/>
                <w:color w:val="000000" w:themeColor="text1"/>
                <w:sz w:val="18"/>
                <w:szCs w:val="18"/>
                <w14:textFill>
                  <w14:solidFill>
                    <w14:schemeClr w14:val="tx1"/>
                  </w14:solidFill>
                </w14:textFill>
              </w:rPr>
              <w:t>产 地（国别或境外地址）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212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55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315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96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75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11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744"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212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55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315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96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75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11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744"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212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55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315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96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75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11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744"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212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55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315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96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75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11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744"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212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55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315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96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75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11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744"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212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55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315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96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75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11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744"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212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559"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3157"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96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75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110"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744"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c>
          <w:tcPr>
            <w:tcW w:w="1276" w:type="dxa"/>
            <w:vAlign w:val="center"/>
          </w:tcPr>
          <w:p>
            <w:pPr>
              <w:jc w:val="center"/>
              <w:rPr>
                <w:rFonts w:hint="eastAsia" w:ascii="宋体" w:hAnsi="宋体" w:cs="宋体"/>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12" w:type="dxa"/>
            <w:gridSpan w:val="9"/>
            <w:vAlign w:val="center"/>
          </w:tcPr>
          <w:p>
            <w:pPr>
              <w:rPr>
                <w:rFonts w:hint="eastAsia" w:ascii="宋体" w:hAnsi="宋体" w:cs="宋体"/>
                <w:snapToGrid w:val="0"/>
                <w:color w:val="000000" w:themeColor="text1"/>
                <w:sz w:val="18"/>
                <w:szCs w:val="18"/>
                <w14:textFill>
                  <w14:solidFill>
                    <w14:schemeClr w14:val="tx1"/>
                  </w14:solidFill>
                </w14:textFill>
              </w:rPr>
            </w:pPr>
            <w:r>
              <w:rPr>
                <w:rFonts w:hint="eastAsia" w:ascii="宋体" w:hAnsi="宋体" w:cs="宋体"/>
                <w:snapToGrid w:val="0"/>
                <w:color w:val="000000" w:themeColor="text1"/>
                <w:sz w:val="18"/>
                <w:szCs w:val="18"/>
                <w14:textFill>
                  <w14:solidFill>
                    <w14:schemeClr w14:val="tx1"/>
                  </w14:solidFill>
                </w14:textFill>
              </w:rPr>
              <w:t>总计人民币（大写）：</w:t>
            </w:r>
          </w:p>
        </w:tc>
        <w:tc>
          <w:tcPr>
            <w:tcW w:w="1276" w:type="dxa"/>
            <w:vAlign w:val="center"/>
          </w:tcPr>
          <w:p>
            <w:pPr>
              <w:rPr>
                <w:rFonts w:hint="eastAsia" w:ascii="宋体" w:hAnsi="宋体" w:cs="宋体"/>
                <w:snapToGrid w:val="0"/>
                <w:color w:val="000000" w:themeColor="text1"/>
                <w:sz w:val="18"/>
                <w:szCs w:val="18"/>
                <w14:textFill>
                  <w14:solidFill>
                    <w14:schemeClr w14:val="tx1"/>
                  </w14:solidFill>
                </w14:textFill>
              </w:rPr>
            </w:pPr>
          </w:p>
        </w:tc>
      </w:tr>
    </w:tbl>
    <w:p>
      <w:pPr>
        <w:widowControl/>
        <w:jc w:val="left"/>
        <w:rPr>
          <w:rFonts w:hint="eastAsia" w:ascii="宋体" w:hAnsi="宋体" w:cs="宋体"/>
          <w:color w:val="000000" w:themeColor="text1"/>
          <w:kern w:val="0"/>
          <w:sz w:val="24"/>
          <w14:textFill>
            <w14:solidFill>
              <w14:schemeClr w14:val="tx1"/>
            </w14:solidFill>
          </w14:textFill>
        </w:rPr>
      </w:pPr>
    </w:p>
    <w:p>
      <w:pPr>
        <w:pStyle w:val="234"/>
        <w:rPr>
          <w:rFonts w:hint="eastAsia" w:ascii="宋体" w:hAnsi="宋体" w:eastAsia="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spacing w:line="288" w:lineRule="auto"/>
        <w:jc w:val="center"/>
        <w:outlineLvl w:val="0"/>
        <w:rPr>
          <w:rFonts w:hint="eastAsia" w:ascii="宋体" w:hAnsi="宋体" w:cs="宋体"/>
          <w:b/>
          <w:color w:val="000000" w:themeColor="text1"/>
          <w:szCs w:val="21"/>
          <w14:textFill>
            <w14:solidFill>
              <w14:schemeClr w14:val="tx1"/>
            </w14:solidFill>
          </w14:textFill>
        </w:rPr>
        <w:sectPr>
          <w:headerReference r:id="rId9" w:type="first"/>
          <w:footerReference r:id="rId11" w:type="first"/>
          <w:headerReference r:id="rId8" w:type="default"/>
          <w:footerReference r:id="rId10" w:type="default"/>
          <w:pgSz w:w="16838" w:h="11905" w:orient="landscape"/>
          <w:pgMar w:top="1247" w:right="1247" w:bottom="1247" w:left="1247" w:header="851" w:footer="992" w:gutter="0"/>
          <w:cols w:space="0" w:num="1"/>
          <w:titlePg/>
          <w:docGrid w:linePitch="312" w:charSpace="0"/>
        </w:sectPr>
      </w:pPr>
    </w:p>
    <w:p>
      <w:pPr>
        <w:widowControl/>
        <w:jc w:val="left"/>
        <w:rPr>
          <w:rFonts w:hint="eastAsia" w:ascii="宋体" w:hAnsi="宋体" w:cs="宋体"/>
          <w:color w:val="000000" w:themeColor="text1"/>
          <w:sz w:val="36"/>
          <w:szCs w:val="36"/>
          <w14:textFill>
            <w14:solidFill>
              <w14:schemeClr w14:val="tx1"/>
            </w14:solidFill>
          </w14:textFill>
        </w:rPr>
      </w:pPr>
    </w:p>
    <w:p>
      <w:pPr>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杭州师范大学采购合同（国内供货）</w:t>
      </w:r>
    </w:p>
    <w:p>
      <w:pPr>
        <w:spacing w:line="276"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甲方（需方）：</w:t>
      </w:r>
      <w:r>
        <w:rPr>
          <w:rFonts w:hint="eastAsia" w:ascii="宋体" w:hAnsi="宋体" w:cs="宋体"/>
          <w:b/>
          <w:bCs/>
          <w:color w:val="000000" w:themeColor="text1"/>
          <w:szCs w:val="21"/>
          <w14:textFill>
            <w14:solidFill>
              <w14:schemeClr w14:val="tx1"/>
            </w14:solidFill>
          </w14:textFill>
        </w:rPr>
        <w:t>杭州师范大学</w:t>
      </w:r>
      <w:r>
        <w:rPr>
          <w:rFonts w:hint="eastAsia" w:ascii="宋体" w:hAnsi="宋体" w:cs="宋体"/>
          <w:b/>
          <w:bCs/>
          <w:color w:val="000000" w:themeColor="text1"/>
          <w:szCs w:val="21"/>
          <w14:textFill>
            <w14:solidFill>
              <w14:schemeClr w14:val="tx1"/>
            </w14:solidFill>
          </w14:textFill>
        </w:rPr>
        <w:tab/>
      </w:r>
    </w:p>
    <w:p>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乙方（供方）：</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合同编号：校合-2024-CGZX-</w:t>
      </w:r>
    </w:p>
    <w:p>
      <w:pPr>
        <w:spacing w:line="276" w:lineRule="auto"/>
        <w:ind w:firstLine="420" w:firstLineChars="200"/>
        <w:rPr>
          <w:rFonts w:hint="default" w:ascii="宋体" w:hAnsi="宋体" w:eastAsia="宋体" w:cs="宋体"/>
          <w:snapToGrid w:val="0"/>
          <w:color w:val="000000" w:themeColor="text1"/>
          <w:szCs w:val="21"/>
          <w:lang w:val="en-US" w:eastAsia="zh-CN"/>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标书编号：HZNU-2024</w:t>
      </w:r>
      <w:r>
        <w:rPr>
          <w:rFonts w:hint="eastAsia" w:ascii="宋体" w:hAnsi="宋体" w:cs="宋体"/>
          <w:snapToGrid w:val="0"/>
          <w:color w:val="000000" w:themeColor="text1"/>
          <w:szCs w:val="21"/>
          <w:lang w:val="en-US" w:eastAsia="zh-CN"/>
          <w14:textFill>
            <w14:solidFill>
              <w14:schemeClr w14:val="tx1"/>
            </w14:solidFill>
          </w14:textFill>
        </w:rPr>
        <w:t>440</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项目名称： </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需求部门：</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经费来源：</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经费代码：</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签约地点：杭州师范大学 </w:t>
      </w:r>
    </w:p>
    <w:p>
      <w:pPr>
        <w:spacing w:line="276" w:lineRule="auto"/>
        <w:ind w:firstLine="422" w:firstLineChars="200"/>
        <w:rPr>
          <w:rFonts w:hint="eastAsia" w:ascii="宋体" w:hAnsi="宋体" w:cs="宋体"/>
          <w:b/>
          <w:snapToGrid w:val="0"/>
          <w:color w:val="000000" w:themeColor="text1"/>
          <w:szCs w:val="21"/>
          <w14:textFill>
            <w14:solidFill>
              <w14:schemeClr w14:val="tx1"/>
            </w14:solidFill>
          </w14:textFill>
        </w:rPr>
      </w:pP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根据《中华人民共和国民法典》、《中华人民共和国政府采购法》等有关法律法规精神，杭州师范大学（甲方）经过</w:t>
      </w:r>
      <w:r>
        <w:rPr>
          <w:rFonts w:hint="eastAsia" w:ascii="宋体" w:hAnsi="宋体" w:cs="宋体"/>
          <w:snapToGrid w:val="0"/>
          <w:color w:val="000000" w:themeColor="text1"/>
          <w:szCs w:val="21"/>
          <w:u w:val="single"/>
          <w14:textFill>
            <w14:solidFill>
              <w14:schemeClr w14:val="tx1"/>
            </w14:solidFill>
          </w14:textFill>
        </w:rPr>
        <w:t xml:space="preserve">      </w:t>
      </w:r>
      <w:r>
        <w:rPr>
          <w:rFonts w:hint="eastAsia" w:ascii="宋体" w:hAnsi="宋体" w:cs="宋体"/>
          <w:snapToGrid w:val="0"/>
          <w:color w:val="000000" w:themeColor="text1"/>
          <w:szCs w:val="21"/>
          <w14:textFill>
            <w14:solidFill>
              <w14:schemeClr w14:val="tx1"/>
            </w14:solidFill>
          </w14:textFill>
        </w:rPr>
        <w:t>采购方式，确定</w:t>
      </w:r>
      <w:r>
        <w:rPr>
          <w:rFonts w:hint="eastAsia" w:ascii="宋体" w:hAnsi="宋体" w:cs="宋体"/>
          <w:snapToGrid w:val="0"/>
          <w:color w:val="000000" w:themeColor="text1"/>
          <w:szCs w:val="21"/>
          <w:u w:val="single"/>
          <w14:textFill>
            <w14:solidFill>
              <w14:schemeClr w14:val="tx1"/>
            </w14:solidFill>
          </w14:textFill>
        </w:rPr>
        <w:t xml:space="preserve">          </w:t>
      </w:r>
      <w:r>
        <w:rPr>
          <w:rFonts w:hint="eastAsia" w:ascii="宋体" w:hAnsi="宋体" w:cs="宋体"/>
          <w:snapToGrid w:val="0"/>
          <w:color w:val="000000" w:themeColor="text1"/>
          <w:szCs w:val="21"/>
          <w14:textFill>
            <w14:solidFill>
              <w14:schemeClr w14:val="tx1"/>
            </w14:solidFill>
          </w14:textFill>
        </w:rPr>
        <w:t>（乙方）为供货单位，双方经协商达成以下条款：</w:t>
      </w:r>
    </w:p>
    <w:p>
      <w:pPr>
        <w:spacing w:line="276" w:lineRule="auto"/>
        <w:ind w:firstLine="422"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 xml:space="preserve">第一条：采购货物配置清单及合同价                 </w:t>
      </w:r>
      <w:r>
        <w:rPr>
          <w:rFonts w:hint="eastAsia" w:ascii="宋体" w:hAnsi="宋体" w:cs="宋体"/>
          <w:snapToGrid w:val="0"/>
          <w:color w:val="000000" w:themeColor="text1"/>
          <w:szCs w:val="21"/>
          <w14:textFill>
            <w14:solidFill>
              <w14:schemeClr w14:val="tx1"/>
            </w14:solidFill>
          </w14:textFill>
        </w:rPr>
        <w:t>金额单位：元（人民币）</w:t>
      </w:r>
    </w:p>
    <w:tbl>
      <w:tblPr>
        <w:tblStyle w:val="62"/>
        <w:tblpPr w:leftFromText="180" w:rightFromText="180" w:vertAnchor="text" w:horzAnchor="margin" w:tblpXSpec="center" w:tblpY="15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45"/>
        <w:gridCol w:w="1065"/>
        <w:gridCol w:w="1245"/>
        <w:gridCol w:w="926"/>
        <w:gridCol w:w="1213"/>
        <w:gridCol w:w="118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编号</w:t>
            </w:r>
          </w:p>
        </w:tc>
        <w:tc>
          <w:tcPr>
            <w:tcW w:w="1545" w:type="dxa"/>
            <w:vAlign w:val="center"/>
          </w:tcPr>
          <w:p>
            <w:pPr>
              <w:spacing w:line="276"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产品名称</w:t>
            </w:r>
          </w:p>
        </w:tc>
        <w:tc>
          <w:tcPr>
            <w:tcW w:w="1065" w:type="dxa"/>
            <w:vAlign w:val="center"/>
          </w:tcPr>
          <w:p>
            <w:pPr>
              <w:spacing w:line="276"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型 号</w:t>
            </w:r>
          </w:p>
        </w:tc>
        <w:tc>
          <w:tcPr>
            <w:tcW w:w="1245" w:type="dxa"/>
            <w:vAlign w:val="center"/>
          </w:tcPr>
          <w:p>
            <w:pPr>
              <w:spacing w:line="276"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数量</w:t>
            </w:r>
          </w:p>
        </w:tc>
        <w:tc>
          <w:tcPr>
            <w:tcW w:w="926" w:type="dxa"/>
            <w:vAlign w:val="center"/>
          </w:tcPr>
          <w:p>
            <w:pPr>
              <w:spacing w:line="276"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snapToGrid w:val="0"/>
                <w:color w:val="000000" w:themeColor="text1"/>
                <w:szCs w:val="21"/>
                <w14:textFill>
                  <w14:solidFill>
                    <w14:schemeClr w14:val="tx1"/>
                  </w14:solidFill>
                </w14:textFill>
              </w:rPr>
              <w:t xml:space="preserve">单价   </w:t>
            </w:r>
          </w:p>
        </w:tc>
        <w:tc>
          <w:tcPr>
            <w:tcW w:w="1213" w:type="dxa"/>
            <w:vAlign w:val="center"/>
          </w:tcPr>
          <w:p>
            <w:pPr>
              <w:spacing w:line="276" w:lineRule="auto"/>
              <w:jc w:val="center"/>
              <w:rPr>
                <w:rFonts w:hint="eastAsia" w:ascii="宋体" w:hAnsi="宋体" w:cs="宋体"/>
                <w:b/>
                <w:bCs/>
                <w:snapToGrid w:val="0"/>
                <w:color w:val="000000" w:themeColor="text1"/>
                <w:szCs w:val="21"/>
                <w14:textFill>
                  <w14:solidFill>
                    <w14:schemeClr w14:val="tx1"/>
                  </w14:solidFill>
                </w14:textFill>
              </w:rPr>
            </w:pPr>
            <w:r>
              <w:rPr>
                <w:rFonts w:hint="eastAsia" w:ascii="宋体" w:hAnsi="宋体" w:cs="宋体"/>
                <w:b/>
                <w:bCs/>
                <w:snapToGrid w:val="0"/>
                <w:color w:val="000000" w:themeColor="text1"/>
                <w:szCs w:val="21"/>
                <w14:textFill>
                  <w14:solidFill>
                    <w14:schemeClr w14:val="tx1"/>
                  </w14:solidFill>
                </w14:textFill>
              </w:rPr>
              <w:t>合计价格</w:t>
            </w:r>
          </w:p>
        </w:tc>
        <w:tc>
          <w:tcPr>
            <w:tcW w:w="1185" w:type="dxa"/>
            <w:vAlign w:val="center"/>
          </w:tcPr>
          <w:p>
            <w:pPr>
              <w:spacing w:line="276" w:lineRule="auto"/>
              <w:jc w:val="center"/>
              <w:rPr>
                <w:rFonts w:hint="eastAsia" w:ascii="宋体" w:hAnsi="宋体" w:cs="宋体"/>
                <w:b/>
                <w:bCs/>
                <w:snapToGrid w:val="0"/>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预算号</w:t>
            </w:r>
          </w:p>
        </w:tc>
        <w:tc>
          <w:tcPr>
            <w:tcW w:w="1084" w:type="dxa"/>
            <w:vAlign w:val="center"/>
          </w:tcPr>
          <w:p>
            <w:pPr>
              <w:spacing w:line="276"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545" w:type="dxa"/>
            <w:vAlign w:val="center"/>
          </w:tcPr>
          <w:p>
            <w:pPr>
              <w:widowControl/>
              <w:spacing w:line="276" w:lineRule="auto"/>
              <w:jc w:val="center"/>
              <w:textAlignment w:val="center"/>
              <w:rPr>
                <w:rFonts w:hint="eastAsia" w:ascii="宋体" w:hAnsi="宋体" w:cs="宋体"/>
                <w:color w:val="000000" w:themeColor="text1"/>
                <w:szCs w:val="21"/>
                <w14:textFill>
                  <w14:solidFill>
                    <w14:schemeClr w14:val="tx1"/>
                  </w14:solidFill>
                </w14:textFill>
              </w:rPr>
            </w:pPr>
          </w:p>
        </w:tc>
        <w:tc>
          <w:tcPr>
            <w:tcW w:w="1065" w:type="dxa"/>
            <w:vAlign w:val="center"/>
          </w:tcPr>
          <w:p>
            <w:pPr>
              <w:widowControl/>
              <w:spacing w:line="276" w:lineRule="auto"/>
              <w:jc w:val="center"/>
              <w:textAlignment w:val="center"/>
              <w:rPr>
                <w:rFonts w:hint="eastAsia" w:ascii="宋体" w:hAnsi="宋体" w:cs="宋体"/>
                <w:color w:val="000000" w:themeColor="text1"/>
                <w:kern w:val="0"/>
                <w:szCs w:val="21"/>
                <w14:textFill>
                  <w14:solidFill>
                    <w14:schemeClr w14:val="tx1"/>
                  </w14:solidFill>
                </w14:textFill>
              </w:rPr>
            </w:pPr>
          </w:p>
        </w:tc>
        <w:tc>
          <w:tcPr>
            <w:tcW w:w="1245" w:type="dxa"/>
            <w:vAlign w:val="center"/>
          </w:tcPr>
          <w:p>
            <w:pPr>
              <w:widowControl/>
              <w:spacing w:line="276" w:lineRule="auto"/>
              <w:jc w:val="center"/>
              <w:textAlignment w:val="center"/>
              <w:rPr>
                <w:rFonts w:hint="eastAsia" w:ascii="宋体" w:hAnsi="宋体" w:cs="宋体"/>
                <w:color w:val="000000" w:themeColor="text1"/>
                <w:kern w:val="0"/>
                <w:szCs w:val="21"/>
                <w14:textFill>
                  <w14:solidFill>
                    <w14:schemeClr w14:val="tx1"/>
                  </w14:solidFill>
                </w14:textFill>
              </w:rPr>
            </w:pPr>
          </w:p>
        </w:tc>
        <w:tc>
          <w:tcPr>
            <w:tcW w:w="926" w:type="dxa"/>
            <w:vAlign w:val="center"/>
          </w:tcPr>
          <w:p>
            <w:pPr>
              <w:spacing w:line="276" w:lineRule="auto"/>
              <w:jc w:val="center"/>
              <w:rPr>
                <w:rFonts w:hint="eastAsia" w:ascii="宋体" w:hAnsi="宋体" w:cs="宋体"/>
                <w:color w:val="000000" w:themeColor="text1"/>
                <w:szCs w:val="21"/>
                <w14:textFill>
                  <w14:solidFill>
                    <w14:schemeClr w14:val="tx1"/>
                  </w14:solidFill>
                </w14:textFill>
              </w:rPr>
            </w:pPr>
          </w:p>
        </w:tc>
        <w:tc>
          <w:tcPr>
            <w:tcW w:w="1213" w:type="dxa"/>
          </w:tcPr>
          <w:p>
            <w:pPr>
              <w:spacing w:line="276" w:lineRule="auto"/>
              <w:rPr>
                <w:rFonts w:hint="eastAsia" w:ascii="宋体" w:hAnsi="宋体" w:cs="宋体"/>
                <w:color w:val="000000" w:themeColor="text1"/>
                <w:szCs w:val="21"/>
                <w14:textFill>
                  <w14:solidFill>
                    <w14:schemeClr w14:val="tx1"/>
                  </w14:solidFill>
                </w14:textFill>
              </w:rPr>
            </w:pPr>
          </w:p>
        </w:tc>
        <w:tc>
          <w:tcPr>
            <w:tcW w:w="1185" w:type="dxa"/>
          </w:tcPr>
          <w:p>
            <w:pPr>
              <w:spacing w:line="276" w:lineRule="auto"/>
              <w:rPr>
                <w:rFonts w:hint="eastAsia" w:ascii="宋体" w:hAnsi="宋体" w:cs="宋体"/>
                <w:color w:val="000000" w:themeColor="text1"/>
                <w:szCs w:val="21"/>
                <w14:textFill>
                  <w14:solidFill>
                    <w14:schemeClr w14:val="tx1"/>
                  </w14:solidFill>
                </w14:textFill>
              </w:rPr>
            </w:pPr>
          </w:p>
        </w:tc>
        <w:tc>
          <w:tcPr>
            <w:tcW w:w="1084" w:type="dxa"/>
          </w:tcPr>
          <w:p>
            <w:pPr>
              <w:spacing w:line="276" w:lineRule="auto"/>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45" w:type="dxa"/>
            <w:vAlign w:val="center"/>
          </w:tcPr>
          <w:p>
            <w:pPr>
              <w:widowControl/>
              <w:spacing w:line="276" w:lineRule="auto"/>
              <w:jc w:val="center"/>
              <w:textAlignment w:val="center"/>
              <w:rPr>
                <w:rFonts w:hint="eastAsia" w:ascii="宋体" w:hAnsi="宋体" w:cs="宋体"/>
                <w:color w:val="000000" w:themeColor="text1"/>
                <w:szCs w:val="21"/>
                <w14:textFill>
                  <w14:solidFill>
                    <w14:schemeClr w14:val="tx1"/>
                  </w14:solidFill>
                </w14:textFill>
              </w:rPr>
            </w:pPr>
          </w:p>
        </w:tc>
        <w:tc>
          <w:tcPr>
            <w:tcW w:w="1065" w:type="dxa"/>
            <w:vAlign w:val="center"/>
          </w:tcPr>
          <w:p>
            <w:pPr>
              <w:widowControl/>
              <w:spacing w:line="276" w:lineRule="auto"/>
              <w:jc w:val="center"/>
              <w:textAlignment w:val="center"/>
              <w:rPr>
                <w:rFonts w:hint="eastAsia" w:ascii="宋体" w:hAnsi="宋体" w:cs="宋体"/>
                <w:color w:val="000000" w:themeColor="text1"/>
                <w:kern w:val="0"/>
                <w:szCs w:val="21"/>
                <w14:textFill>
                  <w14:solidFill>
                    <w14:schemeClr w14:val="tx1"/>
                  </w14:solidFill>
                </w14:textFill>
              </w:rPr>
            </w:pPr>
          </w:p>
        </w:tc>
        <w:tc>
          <w:tcPr>
            <w:tcW w:w="1245" w:type="dxa"/>
            <w:vAlign w:val="center"/>
          </w:tcPr>
          <w:p>
            <w:pPr>
              <w:widowControl/>
              <w:spacing w:line="276" w:lineRule="auto"/>
              <w:jc w:val="center"/>
              <w:textAlignment w:val="center"/>
              <w:rPr>
                <w:rFonts w:hint="eastAsia" w:ascii="宋体" w:hAnsi="宋体" w:cs="宋体"/>
                <w:color w:val="000000" w:themeColor="text1"/>
                <w:kern w:val="0"/>
                <w:szCs w:val="21"/>
                <w14:textFill>
                  <w14:solidFill>
                    <w14:schemeClr w14:val="tx1"/>
                  </w14:solidFill>
                </w14:textFill>
              </w:rPr>
            </w:pPr>
          </w:p>
        </w:tc>
        <w:tc>
          <w:tcPr>
            <w:tcW w:w="926" w:type="dxa"/>
            <w:vAlign w:val="center"/>
          </w:tcPr>
          <w:p>
            <w:pPr>
              <w:spacing w:line="276" w:lineRule="auto"/>
              <w:jc w:val="center"/>
              <w:rPr>
                <w:rFonts w:hint="eastAsia" w:ascii="宋体" w:hAnsi="宋体" w:cs="宋体"/>
                <w:color w:val="000000" w:themeColor="text1"/>
                <w:szCs w:val="21"/>
                <w14:textFill>
                  <w14:solidFill>
                    <w14:schemeClr w14:val="tx1"/>
                  </w14:solidFill>
                </w14:textFill>
              </w:rPr>
            </w:pPr>
          </w:p>
        </w:tc>
        <w:tc>
          <w:tcPr>
            <w:tcW w:w="1213" w:type="dxa"/>
          </w:tcPr>
          <w:p>
            <w:pPr>
              <w:spacing w:line="276" w:lineRule="auto"/>
              <w:rPr>
                <w:rFonts w:hint="eastAsia" w:ascii="宋体" w:hAnsi="宋体" w:cs="宋体"/>
                <w:color w:val="000000" w:themeColor="text1"/>
                <w:szCs w:val="21"/>
                <w14:textFill>
                  <w14:solidFill>
                    <w14:schemeClr w14:val="tx1"/>
                  </w14:solidFill>
                </w14:textFill>
              </w:rPr>
            </w:pPr>
          </w:p>
        </w:tc>
        <w:tc>
          <w:tcPr>
            <w:tcW w:w="1185" w:type="dxa"/>
          </w:tcPr>
          <w:p>
            <w:pPr>
              <w:spacing w:line="276" w:lineRule="auto"/>
              <w:rPr>
                <w:rFonts w:hint="eastAsia" w:ascii="宋体" w:hAnsi="宋体" w:cs="宋体"/>
                <w:color w:val="000000" w:themeColor="text1"/>
                <w:szCs w:val="21"/>
                <w14:textFill>
                  <w14:solidFill>
                    <w14:schemeClr w14:val="tx1"/>
                  </w14:solidFill>
                </w14:textFill>
              </w:rPr>
            </w:pPr>
          </w:p>
        </w:tc>
        <w:tc>
          <w:tcPr>
            <w:tcW w:w="1084" w:type="dxa"/>
          </w:tcPr>
          <w:p>
            <w:pPr>
              <w:spacing w:line="276" w:lineRule="auto"/>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45" w:type="dxa"/>
            <w:vAlign w:val="center"/>
          </w:tcPr>
          <w:p>
            <w:pPr>
              <w:widowControl/>
              <w:spacing w:line="276" w:lineRule="auto"/>
              <w:jc w:val="center"/>
              <w:textAlignment w:val="center"/>
              <w:rPr>
                <w:rFonts w:hint="eastAsia" w:ascii="宋体" w:hAnsi="宋体" w:cs="宋体"/>
                <w:color w:val="000000" w:themeColor="text1"/>
                <w:szCs w:val="21"/>
                <w14:textFill>
                  <w14:solidFill>
                    <w14:schemeClr w14:val="tx1"/>
                  </w14:solidFill>
                </w14:textFill>
              </w:rPr>
            </w:pPr>
          </w:p>
        </w:tc>
        <w:tc>
          <w:tcPr>
            <w:tcW w:w="1065" w:type="dxa"/>
            <w:vAlign w:val="center"/>
          </w:tcPr>
          <w:p>
            <w:pPr>
              <w:widowControl/>
              <w:spacing w:line="276" w:lineRule="auto"/>
              <w:jc w:val="center"/>
              <w:textAlignment w:val="center"/>
              <w:rPr>
                <w:rFonts w:hint="eastAsia" w:ascii="宋体" w:hAnsi="宋体" w:cs="宋体"/>
                <w:color w:val="000000" w:themeColor="text1"/>
                <w:kern w:val="0"/>
                <w:szCs w:val="21"/>
                <w14:textFill>
                  <w14:solidFill>
                    <w14:schemeClr w14:val="tx1"/>
                  </w14:solidFill>
                </w14:textFill>
              </w:rPr>
            </w:pPr>
          </w:p>
        </w:tc>
        <w:tc>
          <w:tcPr>
            <w:tcW w:w="1245" w:type="dxa"/>
            <w:vAlign w:val="center"/>
          </w:tcPr>
          <w:p>
            <w:pPr>
              <w:widowControl/>
              <w:spacing w:line="276" w:lineRule="auto"/>
              <w:jc w:val="center"/>
              <w:textAlignment w:val="center"/>
              <w:rPr>
                <w:rFonts w:hint="eastAsia" w:ascii="宋体" w:hAnsi="宋体" w:cs="宋体"/>
                <w:color w:val="000000" w:themeColor="text1"/>
                <w:kern w:val="0"/>
                <w:szCs w:val="21"/>
                <w14:textFill>
                  <w14:solidFill>
                    <w14:schemeClr w14:val="tx1"/>
                  </w14:solidFill>
                </w14:textFill>
              </w:rPr>
            </w:pPr>
          </w:p>
        </w:tc>
        <w:tc>
          <w:tcPr>
            <w:tcW w:w="926" w:type="dxa"/>
            <w:vAlign w:val="center"/>
          </w:tcPr>
          <w:p>
            <w:pPr>
              <w:spacing w:line="276" w:lineRule="auto"/>
              <w:jc w:val="center"/>
              <w:rPr>
                <w:rFonts w:hint="eastAsia" w:ascii="宋体" w:hAnsi="宋体" w:cs="宋体"/>
                <w:color w:val="000000" w:themeColor="text1"/>
                <w:szCs w:val="21"/>
                <w14:textFill>
                  <w14:solidFill>
                    <w14:schemeClr w14:val="tx1"/>
                  </w14:solidFill>
                </w14:textFill>
              </w:rPr>
            </w:pPr>
          </w:p>
        </w:tc>
        <w:tc>
          <w:tcPr>
            <w:tcW w:w="1213" w:type="dxa"/>
          </w:tcPr>
          <w:p>
            <w:pPr>
              <w:spacing w:line="276" w:lineRule="auto"/>
              <w:rPr>
                <w:rFonts w:hint="eastAsia" w:ascii="宋体" w:hAnsi="宋体" w:cs="宋体"/>
                <w:color w:val="000000" w:themeColor="text1"/>
                <w:szCs w:val="21"/>
                <w14:textFill>
                  <w14:solidFill>
                    <w14:schemeClr w14:val="tx1"/>
                  </w14:solidFill>
                </w14:textFill>
              </w:rPr>
            </w:pPr>
          </w:p>
        </w:tc>
        <w:tc>
          <w:tcPr>
            <w:tcW w:w="1185" w:type="dxa"/>
          </w:tcPr>
          <w:p>
            <w:pPr>
              <w:spacing w:line="276" w:lineRule="auto"/>
              <w:rPr>
                <w:rFonts w:hint="eastAsia" w:ascii="宋体" w:hAnsi="宋体" w:cs="宋体"/>
                <w:color w:val="000000" w:themeColor="text1"/>
                <w:szCs w:val="21"/>
                <w14:textFill>
                  <w14:solidFill>
                    <w14:schemeClr w14:val="tx1"/>
                  </w14:solidFill>
                </w14:textFill>
              </w:rPr>
            </w:pPr>
          </w:p>
        </w:tc>
        <w:tc>
          <w:tcPr>
            <w:tcW w:w="1084" w:type="dxa"/>
          </w:tcPr>
          <w:p>
            <w:pPr>
              <w:spacing w:line="276" w:lineRule="auto"/>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508" w:type="dxa"/>
            <w:gridSpan w:val="8"/>
          </w:tcPr>
          <w:p>
            <w:pPr>
              <w:spacing w:line="276" w:lineRule="auto"/>
              <w:ind w:right="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合同总价人民币（大写）：</w:t>
            </w:r>
            <w:r>
              <w:rPr>
                <w:rFonts w:hint="eastAsia" w:ascii="宋体" w:hAnsi="宋体" w:cs="宋体"/>
                <w:color w:val="000000" w:themeColor="text1"/>
                <w:szCs w:val="21"/>
                <w:u w:val="single"/>
                <w14:textFill>
                  <w14:solidFill>
                    <w14:schemeClr w14:val="tx1"/>
                  </w14:solidFill>
                </w14:textFill>
              </w:rPr>
              <w:t xml:space="preserve">                  ￥                        </w:t>
            </w:r>
          </w:p>
        </w:tc>
      </w:tr>
    </w:tbl>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注：1．设备型号、数量、配置要求等详见配置清单。</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2．以上合同总价包括运抵各使用单位的运费及安装调试等所有费用。</w:t>
      </w:r>
    </w:p>
    <w:p>
      <w:pPr>
        <w:spacing w:line="276"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第二条：质量保证</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乙方保证本合同中所供应的国产商品是</w:t>
      </w:r>
      <w:r>
        <w:rPr>
          <w:rFonts w:hint="eastAsia" w:ascii="宋体" w:hAnsi="宋体" w:cs="宋体"/>
          <w:color w:val="000000" w:themeColor="text1"/>
          <w:szCs w:val="21"/>
          <w:u w:val="single"/>
          <w14:textFill>
            <w14:solidFill>
              <w14:schemeClr w14:val="tx1"/>
            </w14:solidFill>
          </w14:textFill>
        </w:rPr>
        <w:t xml:space="preserve"> 2024 </w:t>
      </w:r>
      <w:r>
        <w:rPr>
          <w:rFonts w:hint="eastAsia" w:ascii="宋体" w:hAnsi="宋体" w:cs="宋体"/>
          <w:color w:val="000000" w:themeColor="text1"/>
          <w:szCs w:val="21"/>
          <w14:textFill>
            <w14:solidFill>
              <w14:schemeClr w14:val="tx1"/>
            </w14:solidFill>
          </w14:textFill>
        </w:rPr>
        <w:t>年以后(最新）生产的，符合国家技术规格和质量标准的出厂原装合格产品。如发生所供商品与合同不符，甲方有权拒收或退货，由此产生的一切责任和后果由乙方承担。</w:t>
      </w:r>
    </w:p>
    <w:p>
      <w:pPr>
        <w:spacing w:line="276"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第三条：交货</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1．合同签订后，乙方应将商品安全运至甲方事先指定的地点（仪器设备乙方负责安装、调试完毕达到验收条件），交甲方验收。</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2．在所提供商品交付使用时，乙方必须向甲方提供产品说明书、质量保证书、保修卡等必须具备的相关资料和必备的附件。并免费提供现场技术培训。</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3．交货时间：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276" w:lineRule="auto"/>
        <w:ind w:firstLine="707" w:firstLineChars="33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交货地点：</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276" w:lineRule="auto"/>
        <w:ind w:firstLine="735" w:firstLineChars="3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使用方联系人及联系方式：</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276"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第四条：售后服务</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1．合同商品（系统）的质保期从验收合格之日起为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年。质保期满后，乙方仍提供</w:t>
      </w:r>
      <w:r>
        <w:rPr>
          <w:rFonts w:hint="eastAsia" w:ascii="宋体" w:hAnsi="宋体" w:cs="宋体"/>
          <w:color w:val="000000" w:themeColor="text1"/>
          <w:kern w:val="0"/>
          <w:szCs w:val="21"/>
          <w14:textFill>
            <w14:solidFill>
              <w14:schemeClr w14:val="tx1"/>
            </w14:solidFill>
          </w14:textFill>
        </w:rPr>
        <w:t>整机维修和系统维护</w:t>
      </w:r>
      <w:r>
        <w:rPr>
          <w:rFonts w:hint="eastAsia" w:ascii="宋体" w:hAnsi="宋体" w:cs="宋体"/>
          <w:color w:val="000000" w:themeColor="text1"/>
          <w:szCs w:val="21"/>
          <w14:textFill>
            <w14:solidFill>
              <w14:schemeClr w14:val="tx1"/>
            </w14:solidFill>
          </w14:textFill>
        </w:rPr>
        <w:t>服务，收取成本费。</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2．其它优惠条件：</w:t>
      </w:r>
    </w:p>
    <w:p>
      <w:pPr>
        <w:spacing w:line="276"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第五条：验收</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1．乙方将所供商品运至交货地点拆箱并安装调试完毕后，由甲方使用者当场负责初次（品牌、外观、数量等）验收；甲方需要另行组织专家等验收的，验收期为</w:t>
      </w:r>
      <w:r>
        <w:rPr>
          <w:rFonts w:hint="eastAsia" w:ascii="宋体" w:hAnsi="宋体" w:cs="宋体"/>
          <w:color w:val="000000" w:themeColor="text1"/>
          <w:szCs w:val="21"/>
          <w:u w:val="single"/>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天(双方另有约定的从约定）。</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2．合同商品从验收合格之日起</w:t>
      </w:r>
      <w:r>
        <w:rPr>
          <w:rFonts w:hint="eastAsia" w:ascii="宋体" w:hAnsi="宋体" w:cs="宋体"/>
          <w:color w:val="000000" w:themeColor="text1"/>
          <w:szCs w:val="21"/>
          <w:u w:val="single"/>
          <w14:textFill>
            <w14:solidFill>
              <w14:schemeClr w14:val="tx1"/>
            </w14:solidFill>
          </w14:textFill>
        </w:rPr>
        <w:t xml:space="preserve"> 30 </w:t>
      </w:r>
      <w:r>
        <w:rPr>
          <w:rFonts w:hint="eastAsia" w:ascii="宋体" w:hAnsi="宋体" w:cs="宋体"/>
          <w:color w:val="000000" w:themeColor="text1"/>
          <w:szCs w:val="21"/>
          <w14:textFill>
            <w14:solidFill>
              <w14:schemeClr w14:val="tx1"/>
            </w14:solidFill>
          </w14:textFill>
        </w:rPr>
        <w:t>日内，出现非使用方人为因素造成的无法排除的故障由乙方予以整机调换。</w:t>
      </w:r>
    </w:p>
    <w:p>
      <w:pPr>
        <w:snapToGrid w:val="0"/>
        <w:spacing w:line="276"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第六条：履约保证金</w:t>
      </w:r>
    </w:p>
    <w:p>
      <w:pPr>
        <w:spacing w:line="276" w:lineRule="auto"/>
        <w:ind w:firstLine="420" w:firstLineChars="200"/>
        <w:rPr>
          <w:rFonts w:hint="eastAsia"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1.合同签订后一周内，乙方向甲方提交合同总价1% 的履约保证金，履约保证金在合同履约期间无违约情形的，项目验收结束后，于一周内退还（不计息），逾期退还的，自逾期之日起，向乙方每日偿付履约保证金的0.05%的违约金；</w:t>
      </w:r>
    </w:p>
    <w:p>
      <w:pPr>
        <w:spacing w:line="276" w:lineRule="auto"/>
        <w:ind w:firstLine="420" w:firstLineChars="200"/>
        <w:rPr>
          <w:rFonts w:hint="eastAsia"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2.提交方式：支票、汇票、本票或金融机构、担保机构出具的保函等非现金形式。</w:t>
      </w:r>
    </w:p>
    <w:p>
      <w:pPr>
        <w:spacing w:line="276" w:lineRule="auto"/>
        <w:ind w:firstLine="422" w:firstLineChars="200"/>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第七条：货款的支付</w:t>
      </w:r>
    </w:p>
    <w:p>
      <w:pPr>
        <w:numPr>
          <w:ilvl w:val="0"/>
          <w:numId w:val="1"/>
        </w:numPr>
        <w:spacing w:line="276"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合同生效以及具备实施条件后5个工作日内，甲方凭乙方开具的预付款发票，</w:t>
      </w:r>
      <w:r>
        <w:rPr>
          <w:rFonts w:hint="eastAsia" w:ascii="宋体" w:hAnsi="宋体" w:cs="宋体"/>
          <w:b/>
          <w:bCs/>
          <w:color w:val="000000" w:themeColor="text1"/>
          <w:spacing w:val="-6"/>
          <w:kern w:val="0"/>
          <w:szCs w:val="21"/>
          <w:lang w:val="en-US" w:eastAsia="zh-CN"/>
          <w14:textFill>
            <w14:solidFill>
              <w14:schemeClr w14:val="tx1"/>
            </w14:solidFill>
          </w14:textFill>
        </w:rPr>
        <w:t>支付预算金额的</w:t>
      </w:r>
      <w:r>
        <w:rPr>
          <w:rFonts w:hint="eastAsia" w:ascii="宋体" w:hAnsi="宋体" w:cs="宋体"/>
          <w:b/>
          <w:bCs/>
          <w:color w:val="000000" w:themeColor="text1"/>
          <w:spacing w:val="-6"/>
          <w:kern w:val="0"/>
          <w:szCs w:val="21"/>
          <w14:textFill>
            <w14:solidFill>
              <w14:schemeClr w14:val="tx1"/>
            </w14:solidFill>
          </w14:textFill>
        </w:rPr>
        <w:t>65%</w:t>
      </w:r>
      <w:r>
        <w:rPr>
          <w:rFonts w:hint="eastAsia" w:ascii="宋体" w:hAnsi="宋体" w:cs="宋体"/>
          <w:b/>
          <w:bCs/>
          <w:color w:val="000000" w:themeColor="text1"/>
          <w:spacing w:val="-6"/>
          <w:kern w:val="0"/>
          <w:szCs w:val="21"/>
          <w:lang w:val="en-US" w:eastAsia="zh-CN"/>
          <w14:textFill>
            <w14:solidFill>
              <w14:schemeClr w14:val="tx1"/>
            </w14:solidFill>
          </w14:textFill>
        </w:rPr>
        <w:t>且不超过合同金额的70%</w:t>
      </w:r>
      <w:r>
        <w:rPr>
          <w:rFonts w:hint="eastAsia" w:ascii="宋体" w:hAnsi="宋体" w:cs="宋体"/>
          <w:bCs/>
          <w:color w:val="000000" w:themeColor="text1"/>
          <w:szCs w:val="21"/>
          <w14:textFill>
            <w14:solidFill>
              <w14:schemeClr w14:val="tx1"/>
            </w14:solidFill>
          </w14:textFill>
        </w:rPr>
        <w:t>给乙方；在签订合同时，供应商明确表示无需预付款或者主动要求降低预付款比例的，可降低预付款比例。</w:t>
      </w:r>
    </w:p>
    <w:p>
      <w:pPr>
        <w:numPr>
          <w:ilvl w:val="0"/>
          <w:numId w:val="1"/>
        </w:numPr>
        <w:spacing w:line="276"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乙方按照甲方要求将货物送至各个使用点；经甲方组织验收，送货时间、地点、产品规格、型号、数量、质量及参数要求完全符合合同约定。</w:t>
      </w:r>
    </w:p>
    <w:p>
      <w:pPr>
        <w:numPr>
          <w:ilvl w:val="0"/>
          <w:numId w:val="1"/>
        </w:numPr>
        <w:spacing w:line="276"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乙方向甲方开具符合法律、法规规范及行业要求的真实、有效的增值税专用发票</w:t>
      </w:r>
    </w:p>
    <w:p>
      <w:pPr>
        <w:numPr>
          <w:ilvl w:val="0"/>
          <w:numId w:val="1"/>
        </w:numPr>
        <w:spacing w:line="276"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甲方凭乙方的供货发票，校内验收单、入库单等支付凭证办理相关支付手续，经甲方验收合格后，5个工作日内，向乙方付清全部合同款。</w:t>
      </w:r>
    </w:p>
    <w:p>
      <w:pPr>
        <w:spacing w:line="276"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第八条：违约责任</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1．乙方无正当理由逾期履行合同的，自逾期之日起，向甲方每日偿付合同总价款0.05%（计￥</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元）的违约金。</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2．甲方无正当理由逾期支付货款的，自逾期之日起，向乙方每日偿付合同总价款0.05%（计￥</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元）的违约金。</w:t>
      </w:r>
    </w:p>
    <w:p>
      <w:pPr>
        <w:snapToGrid w:val="0"/>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3．如乙方在合同生效后未能按合同约定的交货时间供货或未能如期履行合同规定的其他内容，造成甲方实际损失的，甲方有权通过调解、诉讼等方式向乙方追偿，并将实际情况报相关采购监管部门。</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4．乙方应保证甲方所采购的商品及其任何一部分，在使用时不受第三方提出侵犯其专利权、版权、商标权或其他权利的起诉。一旦出现侵权，乙方应承担全部责任。</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5．有下列情形之一的，乙方承担相关责任，造成损失的乙方承担损失赔偿；如有争议，则按本合同第九条处理。</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1）在商品交付验收合格之日起质保期内发生质量问题；</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2）售后服务或维护未按照合同约定或国家法律、规章制度规定完成的。</w:t>
      </w:r>
    </w:p>
    <w:p>
      <w:pPr>
        <w:spacing w:line="276"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第九条：争议解决</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本合同在发生所供商品的质量、售后服务等问题时，各使用方有权直接向乙方索赔，签订必要的书面处理协议。如协商不成，向合同签订地人民法院提起诉讼解决。</w:t>
      </w:r>
    </w:p>
    <w:p>
      <w:pPr>
        <w:spacing w:line="276" w:lineRule="auto"/>
        <w:ind w:firstLine="422" w:firstLineChars="200"/>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第十条：双方约定的其他事项</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p>
    <w:p>
      <w:pPr>
        <w:spacing w:line="276"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第十一条：合同生效</w:t>
      </w:r>
    </w:p>
    <w:p>
      <w:pPr>
        <w:snapToGrid w:val="0"/>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1．本合同经双方法定代表人或其授权委托人签字并加盖双方公章之日起生效。</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2．本合同一式</w:t>
      </w:r>
      <w:r>
        <w:rPr>
          <w:rFonts w:hint="eastAsia" w:ascii="宋体" w:hAnsi="宋体" w:cs="宋体"/>
          <w:snapToGrid w:val="0"/>
          <w:color w:val="000000" w:themeColor="text1"/>
          <w:szCs w:val="21"/>
          <w:u w:val="single"/>
          <w14:textFill>
            <w14:solidFill>
              <w14:schemeClr w14:val="tx1"/>
            </w14:solidFill>
          </w14:textFill>
        </w:rPr>
        <w:t xml:space="preserve">  陆 </w:t>
      </w:r>
      <w:r>
        <w:rPr>
          <w:rFonts w:hint="eastAsia" w:ascii="宋体" w:hAnsi="宋体" w:cs="宋体"/>
          <w:snapToGrid w:val="0"/>
          <w:color w:val="000000" w:themeColor="text1"/>
          <w:szCs w:val="21"/>
          <w14:textFill>
            <w14:solidFill>
              <w14:schemeClr w14:val="tx1"/>
            </w14:solidFill>
          </w14:textFill>
        </w:rPr>
        <w:t>份，甲方执</w:t>
      </w:r>
      <w:r>
        <w:rPr>
          <w:rFonts w:hint="eastAsia" w:ascii="宋体" w:hAnsi="宋体" w:cs="宋体"/>
          <w:snapToGrid w:val="0"/>
          <w:color w:val="000000" w:themeColor="text1"/>
          <w:szCs w:val="21"/>
          <w:u w:val="single"/>
          <w14:textFill>
            <w14:solidFill>
              <w14:schemeClr w14:val="tx1"/>
            </w14:solidFill>
          </w14:textFill>
        </w:rPr>
        <w:t xml:space="preserve"> 肆 </w:t>
      </w:r>
      <w:r>
        <w:rPr>
          <w:rFonts w:hint="eastAsia" w:ascii="宋体" w:hAnsi="宋体" w:cs="宋体"/>
          <w:snapToGrid w:val="0"/>
          <w:color w:val="000000" w:themeColor="text1"/>
          <w:szCs w:val="21"/>
          <w14:textFill>
            <w14:solidFill>
              <w14:schemeClr w14:val="tx1"/>
            </w14:solidFill>
          </w14:textFill>
        </w:rPr>
        <w:t>份，乙方执</w:t>
      </w:r>
      <w:r>
        <w:rPr>
          <w:rFonts w:hint="eastAsia" w:ascii="宋体" w:hAnsi="宋体" w:cs="宋体"/>
          <w:snapToGrid w:val="0"/>
          <w:color w:val="000000" w:themeColor="text1"/>
          <w:szCs w:val="21"/>
          <w:u w:val="single"/>
          <w14:textFill>
            <w14:solidFill>
              <w14:schemeClr w14:val="tx1"/>
            </w14:solidFill>
          </w14:textFill>
        </w:rPr>
        <w:t xml:space="preserve"> 壹 </w:t>
      </w:r>
      <w:r>
        <w:rPr>
          <w:rFonts w:hint="eastAsia" w:ascii="宋体" w:hAnsi="宋体" w:cs="宋体"/>
          <w:snapToGrid w:val="0"/>
          <w:color w:val="000000" w:themeColor="text1"/>
          <w:szCs w:val="21"/>
          <w14:textFill>
            <w14:solidFill>
              <w14:schemeClr w14:val="tx1"/>
            </w14:solidFill>
          </w14:textFill>
        </w:rPr>
        <w:t>份，XXX招标代理公司执</w:t>
      </w:r>
      <w:r>
        <w:rPr>
          <w:rFonts w:hint="eastAsia" w:ascii="宋体" w:hAnsi="宋体" w:cs="宋体"/>
          <w:snapToGrid w:val="0"/>
          <w:color w:val="000000" w:themeColor="text1"/>
          <w:szCs w:val="21"/>
          <w:u w:val="single"/>
          <w14:textFill>
            <w14:solidFill>
              <w14:schemeClr w14:val="tx1"/>
            </w14:solidFill>
          </w14:textFill>
        </w:rPr>
        <w:t xml:space="preserve"> 壹 </w:t>
      </w:r>
      <w:r>
        <w:rPr>
          <w:rFonts w:hint="eastAsia" w:ascii="宋体" w:hAnsi="宋体" w:cs="宋体"/>
          <w:snapToGrid w:val="0"/>
          <w:color w:val="000000" w:themeColor="text1"/>
          <w:szCs w:val="21"/>
          <w14:textFill>
            <w14:solidFill>
              <w14:schemeClr w14:val="tx1"/>
            </w14:solidFill>
          </w14:textFill>
        </w:rPr>
        <w:t>份</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3．与本合同有关的招标文件、投标文件、询价纪要、澄清回复、补充协议等与本合同具有同等法律效力。</w:t>
      </w:r>
      <w:bookmarkStart w:id="399" w:name="OLE_LINK1"/>
      <w:bookmarkStart w:id="400" w:name="OLE_LINK2"/>
      <w:r>
        <w:rPr>
          <w:rFonts w:hint="eastAsia" w:ascii="宋体" w:hAnsi="宋体" w:cs="宋体"/>
          <w:snapToGrid w:val="0"/>
          <w:color w:val="000000" w:themeColor="text1"/>
          <w:szCs w:val="21"/>
          <w14:textFill>
            <w14:solidFill>
              <w14:schemeClr w14:val="tx1"/>
            </w14:solidFill>
          </w14:textFill>
        </w:rPr>
        <w:t>除法定条件及程序外，合同、补充协议不得对有关的招标文件、投标文件等作实质性修改；产生歧义或履行中有冲突的以招、投标文件为准。</w:t>
      </w:r>
    </w:p>
    <w:bookmarkEnd w:id="399"/>
    <w:bookmarkEnd w:id="400"/>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甲方（公章）：</w:t>
      </w:r>
      <w:r>
        <w:rPr>
          <w:rFonts w:hint="eastAsia" w:ascii="宋体" w:hAnsi="宋体" w:cs="宋体"/>
          <w:b/>
          <w:snapToGrid w:val="0"/>
          <w:color w:val="000000" w:themeColor="text1"/>
          <w:szCs w:val="21"/>
          <w14:textFill>
            <w14:solidFill>
              <w14:schemeClr w14:val="tx1"/>
            </w14:solidFill>
          </w14:textFill>
        </w:rPr>
        <w:t>杭州师范大学</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法定代表人或授权委托人：</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邮编：311121</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使用部门联系人：</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电话：0571-2886 </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传真：0571-2886</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采购中心联系人： </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电话：28865850</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附：增值税专用发票开票资料)</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纳税人：杭州师范大学 </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地址：浙江省杭州市余杭区仓前街道余杭塘路2318号</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统一社会信息代码（税号）：12330100470103303W </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发票开具咨询电话：28869903</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开户银行：交通银行杭州下沙支行</w:t>
      </w:r>
      <w:r>
        <w:rPr>
          <w:rFonts w:hint="eastAsia" w:ascii="宋体" w:hAnsi="宋体" w:cs="宋体"/>
          <w:snapToGrid w:val="0"/>
          <w:color w:val="000000" w:themeColor="text1"/>
          <w:szCs w:val="21"/>
          <w14:textFill>
            <w14:solidFill>
              <w14:schemeClr w14:val="tx1"/>
            </w14:solidFill>
          </w14:textFill>
        </w:rPr>
        <w:tab/>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账号：331065950018000482533</w:t>
      </w:r>
      <w:r>
        <w:rPr>
          <w:rFonts w:hint="eastAsia" w:ascii="宋体" w:hAnsi="宋体" w:cs="宋体"/>
          <w:snapToGrid w:val="0"/>
          <w:color w:val="000000" w:themeColor="text1"/>
          <w:szCs w:val="21"/>
          <w14:textFill>
            <w14:solidFill>
              <w14:schemeClr w14:val="tx1"/>
            </w14:solidFill>
          </w14:textFill>
        </w:rPr>
        <w:tab/>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乙方（公章）：</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法定代表人或授权委托人：纸质合同上必须亲笔签名</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地址：</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邮编：</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统一社会信息代码（税号）:</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联系人：</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 xml:space="preserve">电话：          手机： </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传真：</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开户银行：</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账号：</w:t>
      </w:r>
    </w:p>
    <w:p>
      <w:pPr>
        <w:spacing w:line="276" w:lineRule="auto"/>
        <w:ind w:firstLine="420" w:firstLineChars="200"/>
        <w:rPr>
          <w:rFonts w:hint="eastAsia" w:ascii="宋体" w:hAnsi="宋体" w:cs="宋体"/>
          <w:snapToGrid w:val="0"/>
          <w:color w:val="000000" w:themeColor="text1"/>
          <w:szCs w:val="21"/>
          <w14:textFill>
            <w14:solidFill>
              <w14:schemeClr w14:val="tx1"/>
            </w14:solidFill>
          </w14:textFill>
        </w:rPr>
      </w:pPr>
    </w:p>
    <w:p>
      <w:pPr>
        <w:spacing w:line="276"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合同签发日期：  </w:t>
      </w:r>
      <w:r>
        <w:rPr>
          <w:rFonts w:hint="eastAsia" w:ascii="宋体" w:hAnsi="宋体" w:cs="宋体"/>
          <w:color w:val="000000" w:themeColor="text1"/>
          <w:szCs w:val="21"/>
          <w14:textFill>
            <w14:solidFill>
              <w14:schemeClr w14:val="tx1"/>
            </w14:solidFill>
          </w14:textFill>
        </w:rPr>
        <w:t xml:space="preserve">  年    月 </w:t>
      </w:r>
    </w:p>
    <w:p>
      <w:pPr>
        <w:widowControl/>
        <w:jc w:val="left"/>
        <w:rPr>
          <w:rFonts w:hint="eastAsia" w:ascii="宋体" w:hAnsi="宋体" w:cs="宋体"/>
          <w:color w:val="000000" w:themeColor="text1"/>
          <w:szCs w:val="21"/>
          <w14:textFill>
            <w14:solidFill>
              <w14:schemeClr w14:val="tx1"/>
            </w14:solidFill>
          </w14:textFill>
        </w:rPr>
        <w:sectPr>
          <w:pgSz w:w="11905" w:h="16838"/>
          <w:pgMar w:top="1247" w:right="1247" w:bottom="1247" w:left="1247" w:header="851" w:footer="992" w:gutter="0"/>
          <w:cols w:space="0" w:num="1"/>
          <w:titlePg/>
          <w:docGrid w:linePitch="312" w:charSpace="0"/>
        </w:sectPr>
      </w:pPr>
      <w:r>
        <w:rPr>
          <w:rFonts w:hint="eastAsia" w:ascii="宋体" w:hAnsi="宋体" w:cs="宋体"/>
          <w:color w:val="000000" w:themeColor="text1"/>
          <w:szCs w:val="21"/>
          <w14:textFill>
            <w14:solidFill>
              <w14:schemeClr w14:val="tx1"/>
            </w14:solidFill>
          </w14:textFill>
        </w:rPr>
        <w:br w:type="page"/>
      </w:r>
    </w:p>
    <w:p>
      <w:pPr>
        <w:pStyle w:val="234"/>
        <w:rPr>
          <w:rFonts w:hint="eastAsia" w:ascii="宋体" w:hAnsi="宋体" w:eastAsia="宋体" w:cs="宋体"/>
          <w:color w:val="000000" w:themeColor="text1"/>
          <w14:textFill>
            <w14:solidFill>
              <w14:schemeClr w14:val="tx1"/>
            </w14:solidFill>
          </w14:textFill>
        </w:rPr>
      </w:pPr>
    </w:p>
    <w:p>
      <w:pPr>
        <w:spacing w:line="276" w:lineRule="auto"/>
        <w:jc w:val="center"/>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配  置  清  单</w:t>
      </w:r>
    </w:p>
    <w:tbl>
      <w:tblPr>
        <w:tblStyle w:val="62"/>
        <w:tblpPr w:leftFromText="180" w:rightFromText="180" w:vertAnchor="text" w:horzAnchor="margin" w:tblpXSpec="center" w:tblpY="2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648"/>
        <w:gridCol w:w="1650"/>
        <w:gridCol w:w="2637"/>
        <w:gridCol w:w="993"/>
        <w:gridCol w:w="1650"/>
        <w:gridCol w:w="993"/>
        <w:gridCol w:w="1650"/>
        <w:gridCol w:w="1327"/>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40" w:type="pct"/>
            <w:vAlign w:val="center"/>
          </w:tcPr>
          <w:p>
            <w:pPr>
              <w:snapToGrid w:val="0"/>
              <w:spacing w:line="276" w:lineRule="auto"/>
              <w:jc w:val="lef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序号</w:t>
            </w:r>
          </w:p>
        </w:tc>
        <w:tc>
          <w:tcPr>
            <w:tcW w:w="566" w:type="pct"/>
            <w:vAlign w:val="center"/>
          </w:tcPr>
          <w:p>
            <w:pPr>
              <w:snapToGrid w:val="0"/>
              <w:spacing w:line="276" w:lineRule="auto"/>
              <w:jc w:val="lef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设备名称</w:t>
            </w:r>
          </w:p>
        </w:tc>
        <w:tc>
          <w:tcPr>
            <w:tcW w:w="567" w:type="pct"/>
            <w:vAlign w:val="center"/>
          </w:tcPr>
          <w:p>
            <w:pPr>
              <w:snapToGrid w:val="0"/>
              <w:spacing w:line="276" w:lineRule="auto"/>
              <w:jc w:val="lef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品牌型号</w:t>
            </w:r>
          </w:p>
        </w:tc>
        <w:tc>
          <w:tcPr>
            <w:tcW w:w="906" w:type="pct"/>
            <w:vAlign w:val="center"/>
          </w:tcPr>
          <w:p>
            <w:pPr>
              <w:snapToGrid w:val="0"/>
              <w:spacing w:line="276" w:lineRule="auto"/>
              <w:jc w:val="center"/>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产品描述</w:t>
            </w:r>
          </w:p>
          <w:p>
            <w:pPr>
              <w:snapToGrid w:val="0"/>
              <w:spacing w:line="276" w:lineRule="auto"/>
              <w:jc w:val="center"/>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（规格和功能）</w:t>
            </w:r>
          </w:p>
        </w:tc>
        <w:tc>
          <w:tcPr>
            <w:tcW w:w="341" w:type="pct"/>
            <w:vAlign w:val="center"/>
          </w:tcPr>
          <w:p>
            <w:pPr>
              <w:snapToGrid w:val="0"/>
              <w:spacing w:line="276" w:lineRule="auto"/>
              <w:jc w:val="lef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数量</w:t>
            </w:r>
          </w:p>
        </w:tc>
        <w:tc>
          <w:tcPr>
            <w:tcW w:w="567" w:type="pct"/>
            <w:vAlign w:val="center"/>
          </w:tcPr>
          <w:p>
            <w:pPr>
              <w:snapToGrid w:val="0"/>
              <w:spacing w:line="276" w:lineRule="auto"/>
              <w:jc w:val="lef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数量单位</w:t>
            </w:r>
          </w:p>
        </w:tc>
        <w:tc>
          <w:tcPr>
            <w:tcW w:w="341" w:type="pct"/>
            <w:vAlign w:val="center"/>
          </w:tcPr>
          <w:p>
            <w:pPr>
              <w:snapToGrid w:val="0"/>
              <w:spacing w:line="276" w:lineRule="auto"/>
              <w:jc w:val="lef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单价</w:t>
            </w:r>
          </w:p>
        </w:tc>
        <w:tc>
          <w:tcPr>
            <w:tcW w:w="567" w:type="pct"/>
            <w:vAlign w:val="center"/>
          </w:tcPr>
          <w:p>
            <w:pPr>
              <w:snapToGrid w:val="0"/>
              <w:spacing w:line="276" w:lineRule="auto"/>
              <w:jc w:val="lef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合计价格</w:t>
            </w:r>
          </w:p>
        </w:tc>
        <w:tc>
          <w:tcPr>
            <w:tcW w:w="454" w:type="pct"/>
            <w:vAlign w:val="center"/>
          </w:tcPr>
          <w:p>
            <w:pPr>
              <w:snapToGrid w:val="0"/>
              <w:spacing w:line="276" w:lineRule="auto"/>
              <w:jc w:val="lef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制造商</w:t>
            </w:r>
          </w:p>
        </w:tc>
        <w:tc>
          <w:tcPr>
            <w:tcW w:w="348" w:type="pct"/>
            <w:vAlign w:val="center"/>
          </w:tcPr>
          <w:p>
            <w:pPr>
              <w:snapToGrid w:val="0"/>
              <w:spacing w:line="276" w:lineRule="auto"/>
              <w:jc w:val="lef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90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454"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8"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90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454"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8"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90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454"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8"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90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454"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8"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90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454"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8"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90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454"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8"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906"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1"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567"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454"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c>
          <w:tcPr>
            <w:tcW w:w="348"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51" w:type="pct"/>
            <w:gridSpan w:val="9"/>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总计人民币（大写）：</w:t>
            </w:r>
          </w:p>
        </w:tc>
        <w:tc>
          <w:tcPr>
            <w:tcW w:w="348" w:type="pct"/>
            <w:vAlign w:val="center"/>
          </w:tcPr>
          <w:p>
            <w:pPr>
              <w:snapToGrid w:val="0"/>
              <w:spacing w:line="276" w:lineRule="auto"/>
              <w:jc w:val="left"/>
              <w:rPr>
                <w:rFonts w:hint="eastAsia" w:ascii="宋体" w:hAnsi="宋体" w:cs="宋体"/>
                <w:snapToGrid w:val="0"/>
                <w:color w:val="000000" w:themeColor="text1"/>
                <w:szCs w:val="21"/>
                <w14:textFill>
                  <w14:solidFill>
                    <w14:schemeClr w14:val="tx1"/>
                  </w14:solidFill>
                </w14:textFill>
              </w:rPr>
            </w:pPr>
          </w:p>
        </w:tc>
      </w:tr>
    </w:tbl>
    <w:p>
      <w:pPr>
        <w:pStyle w:val="60"/>
        <w:rPr>
          <w:rFonts w:hint="eastAsia" w:hAnsi="宋体" w:cs="宋体"/>
          <w:color w:val="000000" w:themeColor="text1"/>
          <w14:textFill>
            <w14:solidFill>
              <w14:schemeClr w14:val="tx1"/>
            </w14:solidFill>
          </w14:textFill>
        </w:rPr>
        <w:sectPr>
          <w:pgSz w:w="16838" w:h="11905" w:orient="landscape"/>
          <w:pgMar w:top="1247" w:right="1247" w:bottom="1247" w:left="1247" w:header="851" w:footer="992" w:gutter="0"/>
          <w:cols w:space="0" w:num="1"/>
          <w:titlePg/>
          <w:docGrid w:linePitch="312" w:charSpace="0"/>
        </w:sectPr>
      </w:pPr>
    </w:p>
    <w:p>
      <w:pPr>
        <w:spacing w:line="276"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设备交货信息反馈表(样板）</w:t>
      </w:r>
    </w:p>
    <w:p>
      <w:pPr>
        <w:spacing w:line="276" w:lineRule="auto"/>
        <w:ind w:firstLine="105" w:firstLine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234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收货部门/学院</w:t>
            </w:r>
          </w:p>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（加盖公章）</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 备 名 称</w:t>
            </w:r>
          </w:p>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（附供货清单）</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  同  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 货 日 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      额</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数量（台/套）</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接收人</w:t>
            </w:r>
          </w:p>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（签字及联系方式）</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 收 日 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反馈至采购</w:t>
            </w:r>
          </w:p>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中心日期</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p>
          <w:p>
            <w:pPr>
              <w:spacing w:line="276" w:lineRule="auto"/>
              <w:ind w:firstLine="105" w:firstLineChars="5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延期交货说明</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000000" w:themeColor="text1"/>
                <w:szCs w:val="21"/>
                <w14:textFill>
                  <w14:solidFill>
                    <w14:schemeClr w14:val="tx1"/>
                  </w14:solidFill>
                </w14:textFill>
              </w:rPr>
            </w:pPr>
          </w:p>
        </w:tc>
      </w:tr>
    </w:tbl>
    <w:p>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供货单位：送货人：</w:t>
      </w:r>
    </w:p>
    <w:p>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p>
      <w:pPr>
        <w:spacing w:line="276" w:lineRule="auto"/>
        <w:ind w:firstLine="5460" w:firstLineChars="26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了核查合同的到货执行情况，保障货物的及时安装和中标商的顺利汇款，请供货单位仔细填写、核实该表，并在货物运至指定地点时交使用部门老师，使用部门老师核实、盖章后及时交学校办事大厅采购中心窗口处理。</w:t>
      </w: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本表作为供应商是否逾期交货、是否需缴纳违约金的依据;考核使用部门是否及时报销、支付货款的依据。</w:t>
      </w:r>
    </w:p>
    <w:p>
      <w:pPr>
        <w:pStyle w:val="234"/>
        <w:rPr>
          <w:rFonts w:hint="eastAsia" w:ascii="宋体" w:hAnsi="宋体" w:eastAsia="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spacing w:line="288" w:lineRule="auto"/>
        <w:jc w:val="center"/>
        <w:outlineLvl w:val="0"/>
        <w:rPr>
          <w:rFonts w:hint="eastAsia" w:ascii="宋体" w:hAnsi="宋体" w:cs="宋体"/>
          <w:b/>
          <w:color w:val="000000" w:themeColor="text1"/>
          <w:szCs w:val="21"/>
          <w14:textFill>
            <w14:solidFill>
              <w14:schemeClr w14:val="tx1"/>
            </w14:solidFill>
          </w14:textFill>
        </w:rPr>
        <w:sectPr>
          <w:headerReference r:id="rId13" w:type="first"/>
          <w:footerReference r:id="rId15" w:type="first"/>
          <w:headerReference r:id="rId12" w:type="default"/>
          <w:footerReference r:id="rId14" w:type="default"/>
          <w:pgSz w:w="11905" w:h="16838"/>
          <w:pgMar w:top="1247" w:right="1247" w:bottom="1247" w:left="1247" w:header="851" w:footer="992" w:gutter="0"/>
          <w:cols w:space="0" w:num="1"/>
          <w:titlePg/>
          <w:docGrid w:linePitch="312" w:charSpace="0"/>
        </w:sectPr>
      </w:pPr>
    </w:p>
    <w:p>
      <w:pPr>
        <w:spacing w:line="288" w:lineRule="auto"/>
        <w:jc w:val="center"/>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第六部分</w:t>
      </w:r>
      <w:bookmarkEnd w:id="397"/>
      <w:r>
        <w:rPr>
          <w:rFonts w:hint="eastAsia" w:ascii="宋体" w:hAnsi="宋体" w:cs="宋体"/>
          <w:b/>
          <w:color w:val="000000" w:themeColor="text1"/>
          <w:szCs w:val="21"/>
          <w14:textFill>
            <w14:solidFill>
              <w14:schemeClr w14:val="tx1"/>
            </w14:solidFill>
          </w14:textFill>
        </w:rPr>
        <w:t xml:space="preserve"> </w:t>
      </w:r>
      <w:bookmarkEnd w:id="398"/>
      <w:r>
        <w:rPr>
          <w:rFonts w:hint="eastAsia" w:ascii="宋体" w:hAnsi="宋体" w:cs="宋体"/>
          <w:b/>
          <w:color w:val="000000" w:themeColor="text1"/>
          <w:szCs w:val="21"/>
          <w14:textFill>
            <w14:solidFill>
              <w14:schemeClr w14:val="tx1"/>
            </w14:solidFill>
          </w14:textFill>
        </w:rPr>
        <w:t>应提交的有关格式范例</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outlineLvl w:val="1"/>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资格文件部分</w:t>
      </w:r>
    </w:p>
    <w:p>
      <w:pPr>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目录</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（1）符合参加政府采购活动应当具备的一般条件的承诺函…………………………………………（页码）</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snapToGrid w:val="0"/>
          <w:color w:val="000000" w:themeColor="text1"/>
          <w:kern w:val="28"/>
          <w:szCs w:val="21"/>
          <w14:textFill>
            <w14:solidFill>
              <w14:schemeClr w14:val="tx1"/>
            </w14:solidFill>
          </w14:textFill>
        </w:rPr>
        <w:t>（2）联合协议</w:t>
      </w:r>
      <w:r>
        <w:rPr>
          <w:rFonts w:hint="eastAsia" w:ascii="宋体" w:hAnsi="宋体" w:cs="宋体"/>
          <w:color w:val="000000" w:themeColor="text1"/>
          <w:szCs w:val="21"/>
          <w14:textFill>
            <w14:solidFill>
              <w14:schemeClr w14:val="tx1"/>
            </w14:solidFill>
          </w14:textFill>
        </w:rPr>
        <w:t>……………………………………………………………………………………………（页码）</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（3）落实政府采购政策需满足的资格要求……………………………………………………………（页码）</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（4）本项目的特定资格要求……………………………………………………………………………（页码）</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p>
    <w:p>
      <w:pPr>
        <w:spacing w:line="288" w:lineRule="auto"/>
        <w:ind w:firstLine="420" w:firstLineChars="200"/>
        <w:rPr>
          <w:rFonts w:hint="eastAsia" w:ascii="宋体" w:hAnsi="宋体" w:cs="宋体"/>
          <w:color w:val="000000" w:themeColor="text1"/>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b/>
          <w:color w:val="000000" w:themeColor="text1"/>
          <w:kern w:val="0"/>
          <w:szCs w:val="21"/>
          <w14:textFill>
            <w14:solidFill>
              <w14:schemeClr w14:val="tx1"/>
            </w14:solidFill>
          </w14:textFill>
        </w:rPr>
        <w:t xml:space="preserve">  一、 符合参加政府采购活动应当具备的一般条件的承诺函</w:t>
      </w:r>
    </w:p>
    <w:p>
      <w:pPr>
        <w:snapToGrid w:val="0"/>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杭州师范大学、浙江豪圣建设项目管理有限公司</w:t>
      </w:r>
      <w:r>
        <w:rPr>
          <w:rFonts w:hint="eastAsia" w:ascii="宋体" w:hAnsi="宋体" w:cs="宋体"/>
          <w:color w:val="000000" w:themeColor="text1"/>
          <w:szCs w:val="21"/>
          <w14:textFill>
            <w14:solidFill>
              <w14:schemeClr w14:val="tx1"/>
            </w14:solidFill>
          </w14:textFill>
        </w:rPr>
        <w:t>：</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我方参与机器人导航经颅磁刺激系统【招标编号：</w:t>
      </w:r>
      <w:r>
        <w:rPr>
          <w:rFonts w:hint="eastAsia" w:ascii="宋体" w:hAnsi="宋体" w:cs="宋体"/>
          <w:color w:val="000000" w:themeColor="text1"/>
          <w:szCs w:val="21"/>
          <w:lang w:eastAsia="zh-CN"/>
          <w14:textFill>
            <w14:solidFill>
              <w14:schemeClr w14:val="tx1"/>
            </w14:solidFill>
          </w14:textFill>
        </w:rPr>
        <w:t>HZNU-2024440</w:t>
      </w:r>
      <w:r>
        <w:rPr>
          <w:rFonts w:hint="eastAsia" w:ascii="宋体" w:hAnsi="宋体" w:cs="宋体"/>
          <w:color w:val="000000" w:themeColor="text1"/>
          <w:szCs w:val="21"/>
          <w14:textFill>
            <w14:solidFill>
              <w14:schemeClr w14:val="tx1"/>
            </w14:solidFill>
          </w14:textFill>
        </w:rPr>
        <w:t>】政府采购活动，郑重承诺：</w:t>
      </w:r>
    </w:p>
    <w:p>
      <w:pPr>
        <w:snapToGrid w:val="0"/>
        <w:spacing w:line="288" w:lineRule="auto"/>
        <w:ind w:firstLine="315" w:firstLineChars="1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（一）具备《中华人民共和国政府采购法》第二十二条第一款规定的条件：</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1、具有独立承担民事责任的能力；</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2、具有良好的商业信誉和健全的财务会计制度； </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3、具有履行合同所必需的设备和专业技术能力；</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4、有依法缴纳税收和社会保障资金的良好记录；</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5、参加政府采购活动前三年内，在经营活动中没有重大违法记录；</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6、具有法律、行政法规规定的其他条件。</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（三）不存在以下情况：</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1、单位负责人为同一人或者存在直接控股、管理关系的不同供应商参加同一合同项下的政府采购活动的；</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2、为采购项目提供整体设计、规范编制或者项目管理、监理、检测等服务后再参加该采购项目的其他采购活动的。</w:t>
      </w:r>
    </w:p>
    <w:p>
      <w:pPr>
        <w:snapToGrid w:val="0"/>
        <w:spacing w:line="288" w:lineRule="auto"/>
        <w:ind w:firstLine="4830" w:firstLineChars="23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投标人名称(电子签名)：</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日期</w:t>
      </w:r>
      <w:r>
        <w:rPr>
          <w:rFonts w:hint="eastAsia" w:ascii="宋体" w:hAnsi="宋体" w:cs="宋体"/>
          <w:color w:val="000000" w:themeColor="text1"/>
          <w:kern w:val="0"/>
          <w:szCs w:val="21"/>
          <w14:textFill>
            <w14:solidFill>
              <w14:schemeClr w14:val="tx1"/>
            </w14:solidFill>
          </w14:textFill>
        </w:rPr>
        <w:t xml:space="preserve">：  年  </w:t>
      </w:r>
      <w:r>
        <w:rPr>
          <w:rFonts w:hint="eastAsia" w:ascii="宋体" w:hAnsi="宋体" w:cs="宋体"/>
          <w:color w:val="000000" w:themeColor="text1"/>
          <w:kern w:val="0"/>
          <w:szCs w:val="21"/>
          <w:lang w:val="zh-CN"/>
          <w14:textFill>
            <w14:solidFill>
              <w14:schemeClr w14:val="tx1"/>
            </w14:solidFill>
          </w14:textFill>
        </w:rPr>
        <w:t>月</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日</w:t>
      </w: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widowControl/>
        <w:spacing w:line="288" w:lineRule="auto"/>
        <w:ind w:firstLine="422" w:firstLineChars="200"/>
        <w:jc w:val="center"/>
        <w:rPr>
          <w:rFonts w:hint="eastAsia" w:ascii="宋体" w:hAnsi="宋体" w:cs="宋体"/>
          <w:b/>
          <w:color w:val="000000" w:themeColor="text1"/>
          <w:kern w:val="0"/>
          <w:szCs w:val="21"/>
          <w14:textFill>
            <w14:solidFill>
              <w14:schemeClr w14:val="tx1"/>
            </w14:solidFill>
          </w14:textFill>
        </w:rPr>
      </w:pPr>
    </w:p>
    <w:p>
      <w:pPr>
        <w:spacing w:line="288" w:lineRule="auto"/>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br w:type="page"/>
      </w:r>
    </w:p>
    <w:p>
      <w:pPr>
        <w:widowControl/>
        <w:spacing w:line="288" w:lineRule="auto"/>
        <w:ind w:firstLine="422" w:firstLineChars="20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二、联合协议（如果有）</w:t>
      </w:r>
    </w:p>
    <w:p>
      <w:pPr>
        <w:widowControl/>
        <w:spacing w:line="288"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[以联合体形式投标的，提供联合协议（附件5）；本项目不接受联合体投标或者投标人不以联合体形式投标的，则不需要提供]</w:t>
      </w: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pacing w:line="288" w:lineRule="auto"/>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br w:type="page"/>
      </w: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三、落实政府采购政策需满足的资格要求</w:t>
      </w:r>
    </w:p>
    <w:p>
      <w:pPr>
        <w:spacing w:line="288"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（根据招标公告落实政府采购政策需满足的资格要求选择提供相应的材料；未要求的，无需提供）</w:t>
      </w:r>
    </w:p>
    <w:p>
      <w:pPr>
        <w:snapToGrid w:val="0"/>
        <w:spacing w:before="50" w:after="50" w:line="288" w:lineRule="auto"/>
        <w:ind w:firstLine="413" w:firstLineChars="196"/>
        <w:jc w:val="lef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 xml:space="preserve">.专门面向中小企业，货物全部由符合政策要求的中小企业（或小微企业）制造的，提供相应的中小企业声明函（附件7）。 </w:t>
      </w:r>
    </w:p>
    <w:p>
      <w:pPr>
        <w:widowControl/>
        <w:spacing w:line="288" w:lineRule="auto"/>
        <w:ind w:firstLine="480"/>
        <w:jc w:val="left"/>
        <w:rPr>
          <w:rFonts w:hint="eastAsia" w:ascii="宋体" w:hAnsi="宋体" w:cs="宋体"/>
          <w:color w:val="000000" w:themeColor="text1"/>
          <w:szCs w:val="21"/>
          <w14:textFill>
            <w14:solidFill>
              <w14:schemeClr w14:val="tx1"/>
            </w14:solidFill>
          </w14:textFill>
        </w:rPr>
      </w:pPr>
    </w:p>
    <w:p>
      <w:pPr>
        <w:widowControl/>
        <w:spacing w:line="288" w:lineRule="auto"/>
        <w:ind w:firstLine="413" w:firstLineChars="196"/>
        <w:jc w:val="lef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Cs w:val="21"/>
          <w14:textFill>
            <w14:solidFill>
              <w14:schemeClr w14:val="tx1"/>
            </w14:solidFill>
          </w14:textFill>
        </w:rPr>
        <w:t>并相应达到了前述比例要求，</w:t>
      </w:r>
      <w:r>
        <w:rPr>
          <w:rFonts w:hint="eastAsia" w:ascii="宋体" w:hAnsi="宋体" w:cs="宋体"/>
          <w:color w:val="000000" w:themeColor="text1"/>
          <w:szCs w:val="21"/>
          <w14:textFill>
            <w14:solidFill>
              <w14:schemeClr w14:val="tx1"/>
            </w14:solidFill>
          </w14:textFill>
        </w:rPr>
        <w:t>视同符合了资格条件，无需再与其他中小企业组成联合体参加政府采购活动，无需提供联合协议。</w:t>
      </w:r>
    </w:p>
    <w:p>
      <w:pPr>
        <w:snapToGrid w:val="0"/>
        <w:spacing w:before="50" w:after="50"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w:t>
      </w:r>
    </w:p>
    <w:p>
      <w:pPr>
        <w:spacing w:line="288"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Cs w:val="21"/>
          <w14:textFill>
            <w14:solidFill>
              <w14:schemeClr w14:val="tx1"/>
            </w14:solidFill>
          </w14:textFill>
        </w:rPr>
        <w:t>并相应达到了前述比例要求，</w:t>
      </w:r>
      <w:r>
        <w:rPr>
          <w:rFonts w:hint="eastAsia" w:ascii="宋体" w:hAnsi="宋体" w:cs="宋体"/>
          <w:color w:val="000000" w:themeColor="text1"/>
          <w:szCs w:val="21"/>
          <w14:textFill>
            <w14:solidFill>
              <w14:schemeClr w14:val="tx1"/>
            </w14:solidFill>
          </w14:textFill>
        </w:rPr>
        <w:t>视同符合了资格条件，无需再向中小企业分包，无需提供分包意向协议。</w:t>
      </w:r>
    </w:p>
    <w:p>
      <w:pPr>
        <w:widowControl/>
        <w:spacing w:line="288" w:lineRule="auto"/>
        <w:ind w:left="150"/>
        <w:jc w:val="center"/>
        <w:rPr>
          <w:rFonts w:hint="eastAsia" w:ascii="宋体" w:hAnsi="宋体" w:cs="宋体"/>
          <w:b/>
          <w:color w:val="000000" w:themeColor="text1"/>
          <w:kern w:val="0"/>
          <w:szCs w:val="21"/>
          <w14:textFill>
            <w14:solidFill>
              <w14:schemeClr w14:val="tx1"/>
            </w14:solidFill>
          </w14:textFill>
        </w:rPr>
      </w:pPr>
    </w:p>
    <w:p>
      <w:pPr>
        <w:spacing w:line="288" w:lineRule="auto"/>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br w:type="page"/>
      </w:r>
    </w:p>
    <w:p>
      <w:pPr>
        <w:widowControl/>
        <w:spacing w:line="288" w:lineRule="auto"/>
        <w:ind w:left="15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四、本项目的特定资格要求</w:t>
      </w:r>
    </w:p>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（根据招标公告本项目的特定资格要求提供相应的材料；未要求的，无需提供）</w:t>
      </w:r>
    </w:p>
    <w:p>
      <w:pPr>
        <w:spacing w:line="288" w:lineRule="auto"/>
        <w:rPr>
          <w:rFonts w:hint="eastAsia" w:ascii="宋体" w:hAnsi="宋体" w:cs="宋体"/>
          <w:color w:val="000000" w:themeColor="text1"/>
          <w:szCs w:val="21"/>
          <w14:textFill>
            <w14:solidFill>
              <w14:schemeClr w14:val="tx1"/>
            </w14:solidFill>
          </w14:textFill>
        </w:rPr>
      </w:pPr>
    </w:p>
    <w:p>
      <w:pPr>
        <w:widowControl/>
        <w:adjustRightInd/>
        <w:spacing w:line="288" w:lineRule="auto"/>
        <w:jc w:val="lef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br w:type="page"/>
      </w:r>
    </w:p>
    <w:p>
      <w:pPr>
        <w:spacing w:line="288" w:lineRule="auto"/>
        <w:ind w:right="420"/>
        <w:jc w:val="center"/>
        <w:outlineLvl w:val="1"/>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商务技术文件部分</w:t>
      </w:r>
    </w:p>
    <w:p>
      <w:pPr>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目录</w:t>
      </w:r>
    </w:p>
    <w:p>
      <w:pPr>
        <w:numPr>
          <w:ilvl w:val="0"/>
          <w:numId w:val="2"/>
        </w:numPr>
        <w:snapToGrid w:val="0"/>
        <w:spacing w:line="288" w:lineRule="auto"/>
        <w:ind w:left="479" w:leftChars="22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投标函…………………………………………………………………………………（页码）</w:t>
      </w:r>
    </w:p>
    <w:p>
      <w:pPr>
        <w:numPr>
          <w:ilvl w:val="0"/>
          <w:numId w:val="2"/>
        </w:numPr>
        <w:snapToGrid w:val="0"/>
        <w:spacing w:line="288" w:lineRule="auto"/>
        <w:ind w:left="479" w:leftChars="22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授权委托书或法定代表人（单位负责人、自然人本人）身份证明………………（页码）</w:t>
      </w:r>
    </w:p>
    <w:p>
      <w:pPr>
        <w:snapToGrid w:val="0"/>
        <w:spacing w:line="288" w:lineRule="auto"/>
        <w:ind w:left="479" w:leftChars="22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（3）分包意向协议…………………………………………………………………………（页码）</w:t>
      </w:r>
    </w:p>
    <w:p>
      <w:pPr>
        <w:snapToGrid w:val="0"/>
        <w:spacing w:line="288" w:lineRule="auto"/>
        <w:ind w:left="479" w:leftChars="22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（4）符合性审查资料………………………………………………………………………（页码）</w:t>
      </w:r>
    </w:p>
    <w:p>
      <w:pPr>
        <w:snapToGrid w:val="0"/>
        <w:spacing w:line="288" w:lineRule="auto"/>
        <w:ind w:left="479" w:leftChars="22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（5）评标标准相应的商务技术资料………………………………………………………（页码）</w:t>
      </w:r>
    </w:p>
    <w:p>
      <w:pPr>
        <w:snapToGrid w:val="0"/>
        <w:spacing w:line="288" w:lineRule="auto"/>
        <w:ind w:left="479" w:leftChars="22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（6）投标标的清单…………………………………………………………………………（页码）</w:t>
      </w:r>
    </w:p>
    <w:p>
      <w:pPr>
        <w:snapToGrid w:val="0"/>
        <w:spacing w:line="288" w:lineRule="auto"/>
        <w:ind w:left="479" w:leftChars="22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（7）商务技术偏离表………………………………………………………………………（页码）</w:t>
      </w:r>
    </w:p>
    <w:p>
      <w:pPr>
        <w:snapToGrid w:val="0"/>
        <w:spacing w:line="288" w:lineRule="auto"/>
        <w:ind w:left="479" w:leftChars="22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lang w:val="zh-CN"/>
          <w14:textFill>
            <w14:solidFill>
              <w14:schemeClr w14:val="tx1"/>
            </w14:solidFill>
          </w14:textFill>
        </w:rPr>
        <w:t>）政府采购供应商廉洁自律承诺书</w:t>
      </w:r>
      <w:r>
        <w:rPr>
          <w:rFonts w:hint="eastAsia" w:ascii="宋体" w:hAnsi="宋体" w:cs="宋体"/>
          <w:color w:val="000000" w:themeColor="text1"/>
          <w:szCs w:val="21"/>
          <w14:textFill>
            <w14:solidFill>
              <w14:schemeClr w14:val="tx1"/>
            </w14:solidFill>
          </w14:textFill>
        </w:rPr>
        <w:t>……………………………………………………（页码）</w:t>
      </w:r>
    </w:p>
    <w:p>
      <w:pPr>
        <w:snapToGrid w:val="0"/>
        <w:spacing w:line="288" w:lineRule="auto"/>
        <w:jc w:val="center"/>
        <w:rPr>
          <w:rFonts w:hint="eastAsia" w:ascii="宋体" w:hAnsi="宋体" w:cs="宋体"/>
          <w:b/>
          <w:color w:val="000000" w:themeColor="text1"/>
          <w:kern w:val="0"/>
          <w:szCs w:val="21"/>
          <w:lang w:val="zh-CN"/>
          <w14:textFill>
            <w14:solidFill>
              <w14:schemeClr w14:val="tx1"/>
            </w14:solidFill>
          </w14:textFill>
        </w:rPr>
      </w:pPr>
    </w:p>
    <w:p>
      <w:pPr>
        <w:snapToGrid w:val="0"/>
        <w:spacing w:line="288" w:lineRule="auto"/>
        <w:jc w:val="center"/>
        <w:rPr>
          <w:rFonts w:hint="eastAsia" w:ascii="宋体" w:hAnsi="宋体" w:cs="宋体"/>
          <w:b/>
          <w:color w:val="000000" w:themeColor="text1"/>
          <w:kern w:val="0"/>
          <w:szCs w:val="21"/>
          <w:lang w:val="zh-CN"/>
          <w14:textFill>
            <w14:solidFill>
              <w14:schemeClr w14:val="tx1"/>
            </w14:solidFill>
          </w14:textFill>
        </w:rPr>
      </w:pPr>
    </w:p>
    <w:p>
      <w:pPr>
        <w:snapToGrid w:val="0"/>
        <w:spacing w:line="288" w:lineRule="auto"/>
        <w:jc w:val="center"/>
        <w:rPr>
          <w:rFonts w:hint="eastAsia" w:ascii="宋体" w:hAnsi="宋体" w:cs="宋体"/>
          <w:b/>
          <w:color w:val="000000" w:themeColor="text1"/>
          <w:kern w:val="0"/>
          <w:szCs w:val="21"/>
          <w:lang w:val="zh-CN"/>
          <w14:textFill>
            <w14:solidFill>
              <w14:schemeClr w14:val="tx1"/>
            </w14:solidFill>
          </w14:textFill>
        </w:rPr>
      </w:pPr>
    </w:p>
    <w:p>
      <w:pPr>
        <w:snapToGrid w:val="0"/>
        <w:spacing w:line="288" w:lineRule="auto"/>
        <w:jc w:val="center"/>
        <w:rPr>
          <w:rFonts w:hint="eastAsia" w:ascii="宋体" w:hAnsi="宋体" w:cs="宋体"/>
          <w:b/>
          <w:color w:val="000000" w:themeColor="text1"/>
          <w:kern w:val="0"/>
          <w:szCs w:val="21"/>
          <w:lang w:val="zh-CN"/>
          <w14:textFill>
            <w14:solidFill>
              <w14:schemeClr w14:val="tx1"/>
            </w14:solidFill>
          </w14:textFill>
        </w:rPr>
      </w:pPr>
    </w:p>
    <w:p>
      <w:pPr>
        <w:snapToGrid w:val="0"/>
        <w:spacing w:line="288" w:lineRule="auto"/>
        <w:jc w:val="center"/>
        <w:rPr>
          <w:rFonts w:hint="eastAsia" w:ascii="宋体" w:hAnsi="宋体" w:cs="宋体"/>
          <w:b/>
          <w:color w:val="000000" w:themeColor="text1"/>
          <w:kern w:val="0"/>
          <w:szCs w:val="21"/>
          <w:lang w:val="zh-CN"/>
          <w14:textFill>
            <w14:solidFill>
              <w14:schemeClr w14:val="tx1"/>
            </w14:solidFill>
          </w14:textFill>
        </w:rPr>
      </w:pPr>
    </w:p>
    <w:p>
      <w:pPr>
        <w:snapToGrid w:val="0"/>
        <w:spacing w:line="288" w:lineRule="auto"/>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firstLine="2530" w:firstLineChars="1200"/>
        <w:rPr>
          <w:rFonts w:hint="eastAsia" w:ascii="宋体" w:hAnsi="宋体" w:cs="宋体"/>
          <w:b/>
          <w:color w:val="000000" w:themeColor="text1"/>
          <w:kern w:val="0"/>
          <w:szCs w:val="21"/>
          <w14:textFill>
            <w14:solidFill>
              <w14:schemeClr w14:val="tx1"/>
            </w14:solidFill>
          </w14:textFill>
        </w:rPr>
      </w:pPr>
    </w:p>
    <w:p>
      <w:pPr>
        <w:snapToGrid w:val="0"/>
        <w:spacing w:line="288" w:lineRule="auto"/>
        <w:ind w:firstLine="2530" w:firstLineChars="1200"/>
        <w:rPr>
          <w:rFonts w:hint="eastAsia" w:ascii="宋体" w:hAnsi="宋体" w:cs="宋体"/>
          <w:b/>
          <w:color w:val="000000" w:themeColor="text1"/>
          <w:kern w:val="0"/>
          <w:szCs w:val="21"/>
          <w14:textFill>
            <w14:solidFill>
              <w14:schemeClr w14:val="tx1"/>
            </w14:solidFill>
          </w14:textFill>
        </w:rPr>
      </w:pPr>
    </w:p>
    <w:p>
      <w:pPr>
        <w:snapToGrid w:val="0"/>
        <w:spacing w:line="288" w:lineRule="auto"/>
        <w:ind w:firstLine="2530" w:firstLineChars="1200"/>
        <w:rPr>
          <w:rFonts w:hint="eastAsia" w:ascii="宋体" w:hAnsi="宋体" w:cs="宋体"/>
          <w:b/>
          <w:color w:val="000000" w:themeColor="text1"/>
          <w:kern w:val="0"/>
          <w:szCs w:val="21"/>
          <w14:textFill>
            <w14:solidFill>
              <w14:schemeClr w14:val="tx1"/>
            </w14:solidFill>
          </w14:textFill>
        </w:rPr>
      </w:pPr>
    </w:p>
    <w:p>
      <w:pPr>
        <w:widowControl/>
        <w:adjustRightInd/>
        <w:spacing w:line="288" w:lineRule="auto"/>
        <w:jc w:val="lef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br w:type="page"/>
      </w:r>
    </w:p>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一、投标</w:t>
      </w:r>
      <w:r>
        <w:rPr>
          <w:rFonts w:hint="eastAsia" w:ascii="宋体" w:hAnsi="宋体" w:cs="宋体"/>
          <w:b/>
          <w:color w:val="000000" w:themeColor="text1"/>
          <w:szCs w:val="21"/>
          <w14:textFill>
            <w14:solidFill>
              <w14:schemeClr w14:val="tx1"/>
            </w14:solidFill>
          </w14:textFill>
        </w:rPr>
        <w:t>函</w:t>
      </w:r>
    </w:p>
    <w:p>
      <w:pPr>
        <w:snapToGrid w:val="0"/>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杭州师范大学、浙江豪圣建设项目管理有限公司</w:t>
      </w:r>
      <w:r>
        <w:rPr>
          <w:rFonts w:hint="eastAsia" w:ascii="宋体" w:hAnsi="宋体" w:cs="宋体"/>
          <w:color w:val="000000" w:themeColor="text1"/>
          <w:szCs w:val="21"/>
          <w14:textFill>
            <w14:solidFill>
              <w14:schemeClr w14:val="tx1"/>
            </w14:solidFill>
          </w14:textFill>
        </w:rPr>
        <w:t>：</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我方参加你方组织的机器人导航经颅磁刺激系统【招标编号：</w:t>
      </w:r>
      <w:r>
        <w:rPr>
          <w:rFonts w:hint="eastAsia" w:ascii="宋体" w:hAnsi="宋体" w:cs="宋体"/>
          <w:color w:val="000000" w:themeColor="text1"/>
          <w:szCs w:val="21"/>
          <w:lang w:eastAsia="zh-CN"/>
          <w14:textFill>
            <w14:solidFill>
              <w14:schemeClr w14:val="tx1"/>
            </w14:solidFill>
          </w14:textFill>
        </w:rPr>
        <w:t>HZNU-2024440</w:t>
      </w:r>
      <w:r>
        <w:rPr>
          <w:rFonts w:hint="eastAsia" w:ascii="宋体" w:hAnsi="宋体" w:cs="宋体"/>
          <w:color w:val="000000" w:themeColor="text1"/>
          <w:szCs w:val="21"/>
          <w14:textFill>
            <w14:solidFill>
              <w14:schemeClr w14:val="tx1"/>
            </w14:solidFill>
          </w14:textFill>
        </w:rPr>
        <w:t>】招标的有关活动，并对此项目进行投标。为此：</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1、我方承诺投标有效期从提交投标文件的截止之日起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天（不少于90天），本投标文件在投标有效期满之前均具有约束力。</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2、我方的投标文件包括以下内容：</w:t>
      </w:r>
    </w:p>
    <w:p>
      <w:pPr>
        <w:snapToGrid w:val="0"/>
        <w:spacing w:line="288" w:lineRule="auto"/>
        <w:ind w:left="210" w:leftChars="1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2.1资格文件：</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2.1.1承诺函；</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w:t>
      </w:r>
      <w:r>
        <w:rPr>
          <w:rFonts w:hint="eastAsia" w:ascii="宋体" w:hAnsi="宋体" w:cs="宋体"/>
          <w:snapToGrid w:val="0"/>
          <w:color w:val="000000" w:themeColor="text1"/>
          <w:kern w:val="28"/>
          <w:szCs w:val="21"/>
          <w14:textFill>
            <w14:solidFill>
              <w14:schemeClr w14:val="tx1"/>
            </w14:solidFill>
          </w14:textFill>
        </w:rPr>
        <w:t>联合协议（如果有)；</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2.1.3落实政府采购政策需满足的资格要求</w:t>
      </w:r>
      <w:r>
        <w:rPr>
          <w:rFonts w:hint="eastAsia" w:ascii="宋体" w:hAnsi="宋体" w:cs="宋体"/>
          <w:snapToGrid w:val="0"/>
          <w:color w:val="000000" w:themeColor="text1"/>
          <w:kern w:val="28"/>
          <w:szCs w:val="21"/>
          <w14:textFill>
            <w14:solidFill>
              <w14:schemeClr w14:val="tx1"/>
            </w14:solidFill>
          </w14:textFill>
        </w:rPr>
        <w:t>（如果有）</w:t>
      </w:r>
      <w:r>
        <w:rPr>
          <w:rFonts w:hint="eastAsia" w:ascii="宋体" w:hAnsi="宋体" w:cs="宋体"/>
          <w:color w:val="000000" w:themeColor="text1"/>
          <w:szCs w:val="21"/>
          <w14:textFill>
            <w14:solidFill>
              <w14:schemeClr w14:val="tx1"/>
            </w14:solidFill>
          </w14:textFill>
        </w:rPr>
        <w:t>；</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2.1.4本项目的特定资格要求</w:t>
      </w:r>
      <w:r>
        <w:rPr>
          <w:rFonts w:hint="eastAsia" w:ascii="宋体" w:hAnsi="宋体" w:cs="宋体"/>
          <w:snapToGrid w:val="0"/>
          <w:color w:val="000000" w:themeColor="text1"/>
          <w:kern w:val="28"/>
          <w:szCs w:val="21"/>
          <w14:textFill>
            <w14:solidFill>
              <w14:schemeClr w14:val="tx1"/>
            </w14:solidFill>
          </w14:textFill>
        </w:rPr>
        <w:t>（如果有）</w:t>
      </w:r>
      <w:r>
        <w:rPr>
          <w:rFonts w:hint="eastAsia" w:ascii="宋体" w:hAnsi="宋体" w:cs="宋体"/>
          <w:color w:val="000000" w:themeColor="text1"/>
          <w:szCs w:val="21"/>
          <w14:textFill>
            <w14:solidFill>
              <w14:schemeClr w14:val="tx1"/>
            </w14:solidFill>
          </w14:textFill>
        </w:rPr>
        <w:t>。</w:t>
      </w:r>
    </w:p>
    <w:p>
      <w:pPr>
        <w:snapToGrid w:val="0"/>
        <w:spacing w:line="288" w:lineRule="auto"/>
        <w:ind w:left="210" w:leftChars="100"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商务技术</w:t>
      </w:r>
      <w:r>
        <w:rPr>
          <w:rFonts w:hint="eastAsia" w:ascii="宋体" w:hAnsi="宋体" w:cs="宋体"/>
          <w:color w:val="000000" w:themeColor="text1"/>
          <w:szCs w:val="21"/>
          <w:lang w:val="zh-CN"/>
          <w14:textFill>
            <w14:solidFill>
              <w14:schemeClr w14:val="tx1"/>
            </w14:solidFill>
          </w14:textFill>
        </w:rPr>
        <w:t>文件：</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2.2.1投标函；</w:t>
      </w:r>
      <w:r>
        <w:rPr>
          <w:rFonts w:hint="eastAsia" w:ascii="宋体" w:hAnsi="宋体" w:cs="宋体"/>
          <w:color w:val="000000" w:themeColor="text1"/>
          <w:szCs w:val="21"/>
          <w:lang w:val="zh-CN"/>
          <w14:textFill>
            <w14:solidFill>
              <w14:schemeClr w14:val="tx1"/>
            </w14:solidFill>
          </w14:textFill>
        </w:rPr>
        <w:t xml:space="preserve"> </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2.2.2授权委托书或法定代表人（单位负责人）身份证明；</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2.2.3分包意向协议</w:t>
      </w:r>
      <w:r>
        <w:rPr>
          <w:rFonts w:hint="eastAsia" w:ascii="宋体" w:hAnsi="宋体" w:cs="宋体"/>
          <w:snapToGrid w:val="0"/>
          <w:color w:val="000000" w:themeColor="text1"/>
          <w:kern w:val="28"/>
          <w:szCs w:val="21"/>
          <w14:textFill>
            <w14:solidFill>
              <w14:schemeClr w14:val="tx1"/>
            </w14:solidFill>
          </w14:textFill>
        </w:rPr>
        <w:t>（如果有）</w:t>
      </w:r>
      <w:r>
        <w:rPr>
          <w:rFonts w:hint="eastAsia" w:ascii="宋体" w:hAnsi="宋体" w:cs="宋体"/>
          <w:color w:val="000000" w:themeColor="text1"/>
          <w:szCs w:val="21"/>
          <w14:textFill>
            <w14:solidFill>
              <w14:schemeClr w14:val="tx1"/>
            </w14:solidFill>
          </w14:textFill>
        </w:rPr>
        <w:t>；</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2.2.4符合性审查资料；</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2.2.5评标标准相应的商务技术资料；</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2.2.6投标标的清单；</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2.2.7商务技术偏离表；</w:t>
      </w:r>
    </w:p>
    <w:p>
      <w:pPr>
        <w:snapToGrid w:val="0"/>
        <w:spacing w:line="288" w:lineRule="auto"/>
        <w:ind w:left="420" w:leftChars="200"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lang w:val="zh-CN"/>
          <w14:textFill>
            <w14:solidFill>
              <w14:schemeClr w14:val="tx1"/>
            </w14:solidFill>
          </w14:textFill>
        </w:rPr>
        <w:t>政府采购供应商廉洁自律承诺书；</w:t>
      </w:r>
    </w:p>
    <w:p>
      <w:pPr>
        <w:snapToGrid w:val="0"/>
        <w:spacing w:line="288" w:lineRule="auto"/>
        <w:ind w:left="210" w:leftChars="1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3报价文件</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2.3.1开标一览表（报价表）；</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 报价情况说明（如果有）；</w:t>
      </w:r>
    </w:p>
    <w:p>
      <w:pPr>
        <w:snapToGrid w:val="0"/>
        <w:spacing w:line="288"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2.3.3中小企业声明函（如果有）。</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3、我方承诺除商务技术偏离表列出的偏离外，我方响应招标文件的全部要求。对投标文件中材料的真实性、合法性负责。</w:t>
      </w:r>
    </w:p>
    <w:p>
      <w:pPr>
        <w:snapToGri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4、如我方中标，我方承诺：</w:t>
      </w:r>
    </w:p>
    <w:p>
      <w:pPr>
        <w:snapToGrid w:val="0"/>
        <w:spacing w:line="288" w:lineRule="auto"/>
        <w:ind w:left="210" w:leftChars="1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4.1在收到中标通知书后，在中标通知书规定的期限内与你方签订合同； </w:t>
      </w:r>
    </w:p>
    <w:p>
      <w:pPr>
        <w:snapToGrid w:val="0"/>
        <w:spacing w:line="288" w:lineRule="auto"/>
        <w:ind w:left="210" w:leftChars="1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4.2在签订合同时不向你方提出附加条件； </w:t>
      </w:r>
    </w:p>
    <w:p>
      <w:pPr>
        <w:snapToGrid w:val="0"/>
        <w:spacing w:line="288" w:lineRule="auto"/>
        <w:ind w:left="210" w:leftChars="1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4.3按照招标文件要求提交履约保证金； </w:t>
      </w:r>
    </w:p>
    <w:p>
      <w:pPr>
        <w:snapToGrid w:val="0"/>
        <w:spacing w:line="288" w:lineRule="auto"/>
        <w:ind w:left="210" w:leftChars="1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4.4在合同约定的期限内完成合同规定的全部义务。 </w:t>
      </w:r>
    </w:p>
    <w:p>
      <w:pPr>
        <w:snapToGrid w:val="0"/>
        <w:spacing w:line="288" w:lineRule="auto"/>
        <w:ind w:left="210" w:leftChars="1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5、其他补充说明: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288" w:lineRule="auto"/>
        <w:ind w:firstLine="3150" w:firstLineChars="1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投标人名称（电子签名）：                          </w:t>
      </w:r>
    </w:p>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  年   月   日</w:t>
      </w:r>
    </w:p>
    <w:p>
      <w:pPr>
        <w:snapToGrid w:val="0"/>
        <w:spacing w:line="288" w:lineRule="auto"/>
        <w:ind w:left="420" w:leftChars="200" w:firstLine="3675" w:firstLineChars="1750"/>
        <w:rPr>
          <w:rFonts w:hint="eastAsia" w:ascii="宋体" w:hAnsi="宋体" w:cs="宋体"/>
          <w:color w:val="000000" w:themeColor="text1"/>
          <w:kern w:val="0"/>
          <w:szCs w:val="21"/>
          <w:u w:val="single"/>
          <w14:textFill>
            <w14:solidFill>
              <w14:schemeClr w14:val="tx1"/>
            </w14:solidFill>
          </w14:textFill>
        </w:rPr>
      </w:pPr>
    </w:p>
    <w:p>
      <w:pPr>
        <w:spacing w:line="288" w:lineRule="auto"/>
        <w:ind w:right="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注：按本格式和要求提供。</w:t>
      </w:r>
    </w:p>
    <w:p>
      <w:pPr>
        <w:snapToGrid w:val="0"/>
        <w:spacing w:line="288" w:lineRule="auto"/>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rPr>
          <w:rFonts w:hint="eastAsia" w:ascii="宋体" w:hAnsi="宋体" w:cs="宋体"/>
          <w:color w:val="000000" w:themeColor="text1"/>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br w:type="page"/>
      </w:r>
    </w:p>
    <w:p>
      <w:pPr>
        <w:widowControl/>
        <w:adjustRightInd/>
        <w:spacing w:line="288" w:lineRule="auto"/>
        <w:jc w:val="center"/>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二、授权委托书或法定代表人（单位负责人、自然人本人）身份证明</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napToGrid w:val="0"/>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授权委托书（适用于非联合体投标）</w:t>
      </w:r>
    </w:p>
    <w:p>
      <w:pPr>
        <w:snapToGrid w:val="0"/>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杭州师范大学、浙江豪圣建设项目管理有限公司</w:t>
      </w:r>
      <w:r>
        <w:rPr>
          <w:rFonts w:hint="eastAsia" w:ascii="宋体" w:hAnsi="宋体" w:cs="宋体"/>
          <w:color w:val="000000" w:themeColor="text1"/>
          <w:kern w:val="0"/>
          <w:szCs w:val="21"/>
          <w:lang w:val="zh-CN"/>
          <w14:textFill>
            <w14:solidFill>
              <w14:schemeClr w14:val="tx1"/>
            </w14:solidFill>
          </w14:textFill>
        </w:rPr>
        <w:t>：</w:t>
      </w:r>
    </w:p>
    <w:p>
      <w:pPr>
        <w:snapToGrid w:val="0"/>
        <w:spacing w:line="288" w:lineRule="auto"/>
        <w:ind w:firstLine="576"/>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w:t>
      </w:r>
      <w:r>
        <w:rPr>
          <w:rFonts w:hint="eastAsia" w:ascii="宋体" w:hAnsi="宋体" w:cs="宋体"/>
          <w:color w:val="000000" w:themeColor="text1"/>
          <w:kern w:val="0"/>
          <w:szCs w:val="21"/>
          <w:lang w:val="zh-CN"/>
          <w14:textFill>
            <w14:solidFill>
              <w14:schemeClr w14:val="tx1"/>
            </w14:solidFill>
          </w14:textFill>
        </w:rPr>
        <w:t>委托</w:t>
      </w:r>
      <w:r>
        <w:rPr>
          <w:rFonts w:hint="eastAsia" w:ascii="宋体" w:hAnsi="宋体" w:cs="宋体"/>
          <w:color w:val="000000" w:themeColor="text1"/>
          <w:kern w:val="0"/>
          <w:szCs w:val="21"/>
          <w:u w:val="single"/>
          <w:lang w:val="zh-CN"/>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（姓名）为我方代理人（身份证号码：</w:t>
      </w:r>
      <w:r>
        <w:rPr>
          <w:rFonts w:hint="eastAsia" w:ascii="宋体" w:hAnsi="宋体" w:cs="宋体"/>
          <w:color w:val="000000" w:themeColor="text1"/>
          <w:kern w:val="0"/>
          <w:szCs w:val="21"/>
          <w:u w:val="single"/>
          <w:lang w:val="zh-CN"/>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，手机：</w:t>
      </w:r>
      <w:r>
        <w:rPr>
          <w:rFonts w:hint="eastAsia" w:ascii="宋体" w:hAnsi="宋体" w:cs="宋体"/>
          <w:color w:val="000000" w:themeColor="text1"/>
          <w:kern w:val="0"/>
          <w:szCs w:val="21"/>
          <w:u w:val="single"/>
          <w:lang w:val="zh-CN"/>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，所在单位：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），以我方名义处理</w:t>
      </w:r>
      <w:r>
        <w:rPr>
          <w:rFonts w:hint="eastAsia" w:ascii="宋体" w:hAnsi="宋体" w:cs="宋体"/>
          <w:color w:val="000000" w:themeColor="text1"/>
          <w:szCs w:val="21"/>
          <w14:textFill>
            <w14:solidFill>
              <w14:schemeClr w14:val="tx1"/>
            </w14:solidFill>
          </w14:textFill>
        </w:rPr>
        <w:t>机器人导航经颅磁刺激系统【招标编号：</w:t>
      </w:r>
      <w:r>
        <w:rPr>
          <w:rFonts w:hint="eastAsia" w:ascii="宋体" w:hAnsi="宋体" w:cs="宋体"/>
          <w:color w:val="000000" w:themeColor="text1"/>
          <w:szCs w:val="21"/>
          <w:lang w:eastAsia="zh-CN"/>
          <w14:textFill>
            <w14:solidFill>
              <w14:schemeClr w14:val="tx1"/>
            </w14:solidFill>
          </w14:textFill>
        </w:rPr>
        <w:t>HZNU-2024440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政府采购投标的一切事项，其法律后果由我方承担。</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委托期限</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自</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年</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月</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日起至</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年</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月</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日止。</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特此告知。</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投标人名称(电子签名)：</w:t>
      </w:r>
    </w:p>
    <w:p>
      <w:pPr>
        <w:snapToGrid w:val="0"/>
        <w:spacing w:line="288" w:lineRule="auto"/>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签发日期：  年  月   日</w:t>
      </w:r>
    </w:p>
    <w:p>
      <w:pPr>
        <w:snapToGrid w:val="0"/>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rPr>
          <w:rFonts w:hint="eastAsia" w:ascii="宋体" w:hAnsi="宋体" w:cs="宋体"/>
          <w:color w:val="000000" w:themeColor="text1"/>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授权委托书（适用于联合体投标）</w:t>
      </w:r>
    </w:p>
    <w:p>
      <w:pPr>
        <w:snapToGrid w:val="0"/>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杭州师范大学、浙江豪圣建设项目管理有限公司</w:t>
      </w:r>
      <w:r>
        <w:rPr>
          <w:rFonts w:hint="eastAsia" w:ascii="宋体" w:hAnsi="宋体" w:cs="宋体"/>
          <w:color w:val="000000" w:themeColor="text1"/>
          <w:kern w:val="0"/>
          <w:szCs w:val="21"/>
          <w:lang w:val="zh-CN"/>
          <w14:textFill>
            <w14:solidFill>
              <w14:schemeClr w14:val="tx1"/>
            </w14:solidFill>
          </w14:textFill>
        </w:rPr>
        <w:t>：</w:t>
      </w:r>
    </w:p>
    <w:p>
      <w:pPr>
        <w:snapToGrid w:val="0"/>
        <w:spacing w:line="288" w:lineRule="auto"/>
        <w:ind w:firstLine="576"/>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w:t>
      </w:r>
      <w:r>
        <w:rPr>
          <w:rFonts w:hint="eastAsia" w:ascii="宋体" w:hAnsi="宋体" w:cs="宋体"/>
          <w:color w:val="000000" w:themeColor="text1"/>
          <w:kern w:val="0"/>
          <w:szCs w:val="21"/>
          <w:lang w:val="zh-CN"/>
          <w14:textFill>
            <w14:solidFill>
              <w14:schemeClr w14:val="tx1"/>
            </w14:solidFill>
          </w14:textFill>
        </w:rPr>
        <w:t>委托</w:t>
      </w:r>
      <w:r>
        <w:rPr>
          <w:rFonts w:hint="eastAsia" w:ascii="宋体" w:hAnsi="宋体" w:cs="宋体"/>
          <w:color w:val="000000" w:themeColor="text1"/>
          <w:kern w:val="0"/>
          <w:szCs w:val="21"/>
          <w:u w:val="single"/>
          <w:lang w:val="zh-CN"/>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（姓名）为我方代理人（身份证号码：</w:t>
      </w:r>
      <w:r>
        <w:rPr>
          <w:rFonts w:hint="eastAsia" w:ascii="宋体" w:hAnsi="宋体" w:cs="宋体"/>
          <w:color w:val="000000" w:themeColor="text1"/>
          <w:kern w:val="0"/>
          <w:szCs w:val="21"/>
          <w:u w:val="single"/>
          <w:lang w:val="zh-CN"/>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，手机：</w:t>
      </w:r>
      <w:r>
        <w:rPr>
          <w:rFonts w:hint="eastAsia" w:ascii="宋体" w:hAnsi="宋体" w:cs="宋体"/>
          <w:color w:val="000000" w:themeColor="text1"/>
          <w:kern w:val="0"/>
          <w:szCs w:val="21"/>
          <w:u w:val="single"/>
          <w:lang w:val="zh-CN"/>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，所在单位：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），以我方名义处理</w:t>
      </w:r>
      <w:r>
        <w:rPr>
          <w:rFonts w:hint="eastAsia" w:ascii="宋体" w:hAnsi="宋体" w:cs="宋体"/>
          <w:color w:val="000000" w:themeColor="text1"/>
          <w:szCs w:val="21"/>
          <w14:textFill>
            <w14:solidFill>
              <w14:schemeClr w14:val="tx1"/>
            </w14:solidFill>
          </w14:textFill>
        </w:rPr>
        <w:t>机器人导航经颅磁刺激系统【招标编号：</w:t>
      </w:r>
      <w:r>
        <w:rPr>
          <w:rFonts w:hint="eastAsia" w:ascii="宋体" w:hAnsi="宋体" w:cs="宋体"/>
          <w:color w:val="000000" w:themeColor="text1"/>
          <w:szCs w:val="21"/>
          <w:lang w:eastAsia="zh-CN"/>
          <w14:textFill>
            <w14:solidFill>
              <w14:schemeClr w14:val="tx1"/>
            </w14:solidFill>
          </w14:textFill>
        </w:rPr>
        <w:t>HZNU-2024440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政府采购投标的一切事项，其法律后果由我方承担。</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委托期限</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自</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年</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月</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日起至</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年</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月</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日止。</w:t>
      </w: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特此告知。</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ind w:firstLine="4410" w:firstLineChars="21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联合体成员名称(电子签名/公章)：</w:t>
      </w:r>
    </w:p>
    <w:p>
      <w:pPr>
        <w:snapToGrid w:val="0"/>
        <w:spacing w:line="288" w:lineRule="auto"/>
        <w:ind w:firstLine="4410" w:firstLineChars="21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联合体成员名称(电子签名/公章)：</w:t>
      </w:r>
    </w:p>
    <w:p>
      <w:pPr>
        <w:snapToGrid w:val="0"/>
        <w:spacing w:line="288" w:lineRule="auto"/>
        <w:ind w:firstLine="5040" w:firstLineChars="2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p>
    <w:p>
      <w:pPr>
        <w:snapToGrid w:val="0"/>
        <w:spacing w:line="288" w:lineRule="auto"/>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日期：  年  月   日</w:t>
      </w:r>
    </w:p>
    <w:p>
      <w:pPr>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br w:type="page"/>
      </w:r>
    </w:p>
    <w:p>
      <w:pPr>
        <w:autoSpaceDE w:val="0"/>
        <w:autoSpaceDN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法定代表人、单位负责人或自然人本人</w:t>
      </w:r>
      <w:r>
        <w:rPr>
          <w:rFonts w:hint="eastAsia" w:ascii="宋体" w:hAnsi="宋体" w:cs="宋体"/>
          <w:b/>
          <w:color w:val="000000" w:themeColor="text1"/>
          <w:szCs w:val="21"/>
          <w14:textFill>
            <w14:solidFill>
              <w14:schemeClr w14:val="tx1"/>
            </w14:solidFill>
          </w14:textFill>
        </w:rPr>
        <w:t>的身份证明（适用于法定代表人、单位负责人或者自然人本人代表投标人参加投标）</w:t>
      </w:r>
    </w:p>
    <w:p>
      <w:pPr>
        <w:pStyle w:val="149"/>
        <w:spacing w:line="288" w:lineRule="auto"/>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288" w:lineRule="auto"/>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正面：                                 反面：</w:t>
            </w:r>
          </w:p>
          <w:p>
            <w:pPr>
              <w:pStyle w:val="149"/>
              <w:adjustRightInd w:val="0"/>
              <w:spacing w:line="288" w:lineRule="auto"/>
              <w:rPr>
                <w:rFonts w:hint="eastAsia" w:hAnsi="宋体" w:cs="宋体"/>
                <w:bCs/>
                <w:color w:val="000000" w:themeColor="text1"/>
                <w14:textFill>
                  <w14:solidFill>
                    <w14:schemeClr w14:val="tx1"/>
                  </w14:solidFill>
                </w14:textFill>
              </w:rPr>
            </w:pPr>
          </w:p>
        </w:tc>
      </w:tr>
    </w:tbl>
    <w:p>
      <w:pPr>
        <w:snapToGrid w:val="0"/>
        <w:spacing w:line="288" w:lineRule="auto"/>
        <w:ind w:firstLine="576"/>
        <w:jc w:val="center"/>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w:t>
      </w:r>
    </w:p>
    <w:p>
      <w:pPr>
        <w:snapToGrid w:val="0"/>
        <w:spacing w:line="288" w:lineRule="auto"/>
        <w:ind w:firstLine="576"/>
        <w:jc w:val="center"/>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投标人名称(电子签名)：                              </w:t>
      </w:r>
    </w:p>
    <w:p>
      <w:pPr>
        <w:spacing w:line="288" w:lineRule="auto"/>
        <w:jc w:val="center"/>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日期：  年  月  日</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rPr>
          <w:rFonts w:hint="eastAsia" w:ascii="宋体" w:hAnsi="宋体" w:cs="宋体"/>
          <w:b/>
          <w:color w:val="000000" w:themeColor="text1"/>
          <w:kern w:val="0"/>
          <w:szCs w:val="21"/>
          <w14:textFill>
            <w14:solidFill>
              <w14:schemeClr w14:val="tx1"/>
            </w14:solidFill>
          </w14:textFill>
        </w:rPr>
        <w:sectPr>
          <w:pgSz w:w="11905" w:h="16838"/>
          <w:pgMar w:top="1247" w:right="1247" w:bottom="1247" w:left="1247" w:header="851" w:footer="992" w:gutter="0"/>
          <w:cols w:space="0" w:num="1"/>
          <w:titlePg/>
          <w:docGrid w:linePitch="312" w:charSpace="0"/>
        </w:sectPr>
      </w:pPr>
    </w:p>
    <w:p>
      <w:pPr>
        <w:snapToGrid w:val="0"/>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三、分包意向协议（如果有）</w:t>
      </w:r>
    </w:p>
    <w:p>
      <w:pPr>
        <w:widowControl/>
        <w:spacing w:line="288" w:lineRule="auto"/>
        <w:ind w:firstLine="105" w:firstLineChars="50"/>
        <w:jc w:val="left"/>
        <w:rPr>
          <w:rFonts w:hint="eastAsia" w:ascii="宋体" w:hAnsi="宋体" w:cs="宋体"/>
          <w:color w:val="000000" w:themeColor="text1"/>
          <w:szCs w:val="21"/>
          <w14:textFill>
            <w14:solidFill>
              <w14:schemeClr w14:val="tx1"/>
            </w14:solidFill>
          </w14:textFill>
        </w:rPr>
      </w:pPr>
      <w:bookmarkStart w:id="401" w:name="_Hlk101169080"/>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cs="宋体"/>
          <w:color w:val="000000" w:themeColor="text1"/>
          <w:szCs w:val="21"/>
          <w14:textFill>
            <w14:solidFill>
              <w14:schemeClr w14:val="tx1"/>
            </w14:solidFill>
          </w14:textFill>
        </w:rPr>
        <w:t>]</w:t>
      </w:r>
    </w:p>
    <w:bookmarkEnd w:id="401"/>
    <w:p>
      <w:pPr>
        <w:snapToGrid w:val="0"/>
        <w:spacing w:line="288" w:lineRule="auto"/>
        <w:rPr>
          <w:rFonts w:hint="eastAsia" w:ascii="宋体" w:hAnsi="宋体" w:cs="宋体"/>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tabs>
          <w:tab w:val="left" w:pos="432"/>
        </w:tabs>
        <w:spacing w:line="288" w:lineRule="auto"/>
        <w:rPr>
          <w:rFonts w:hint="eastAsia" w:ascii="宋体" w:hAnsi="宋体" w:cs="宋体"/>
          <w:color w:val="000000" w:themeColor="text1"/>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四、符合性审查资料</w:t>
      </w:r>
    </w:p>
    <w:p>
      <w:pPr>
        <w:spacing w:line="288" w:lineRule="auto"/>
        <w:jc w:val="center"/>
        <w:rPr>
          <w:rFonts w:hint="eastAsia" w:ascii="宋体" w:hAnsi="宋体" w:cs="宋体"/>
          <w:b/>
          <w:color w:val="000000" w:themeColor="text1"/>
          <w:kern w:val="0"/>
          <w:szCs w:val="21"/>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19"/>
        <w:gridCol w:w="322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4319" w:type="dxa"/>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实质性要求</w:t>
            </w:r>
          </w:p>
        </w:tc>
        <w:tc>
          <w:tcPr>
            <w:tcW w:w="3223" w:type="dxa"/>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需要提供的符合性审查资料</w:t>
            </w:r>
          </w:p>
        </w:tc>
        <w:tc>
          <w:tcPr>
            <w:tcW w:w="1418" w:type="dxa"/>
            <w:vAlign w:val="center"/>
          </w:tcPr>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投标文件中的</w:t>
            </w:r>
          </w:p>
          <w:p>
            <w:pPr>
              <w:snapToGrid w:val="0"/>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319"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投标文件按照招标文件要求签署、盖章。</w:t>
            </w:r>
          </w:p>
        </w:tc>
        <w:tc>
          <w:tcPr>
            <w:tcW w:w="3223"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需要使用电子签名或者签字盖章的投标文件的组成部分</w:t>
            </w:r>
          </w:p>
        </w:tc>
        <w:tc>
          <w:tcPr>
            <w:tcW w:w="1418"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见投标文件</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319"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投标文件中承诺的投标有效期不少于招标文件中载明的投标有效期。</w:t>
            </w:r>
          </w:p>
        </w:tc>
        <w:tc>
          <w:tcPr>
            <w:tcW w:w="3223"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投标函</w:t>
            </w:r>
          </w:p>
        </w:tc>
        <w:tc>
          <w:tcPr>
            <w:tcW w:w="1418"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见投标文件第</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319"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投标文件满足招标文件的其它实质性要求。</w:t>
            </w:r>
          </w:p>
        </w:tc>
        <w:tc>
          <w:tcPr>
            <w:tcW w:w="3223"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见投标文件第</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页</w:t>
            </w:r>
          </w:p>
        </w:tc>
      </w:tr>
    </w:tbl>
    <w:p>
      <w:pPr>
        <w:spacing w:line="288" w:lineRule="auto"/>
        <w:ind w:right="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注：按本格式和要求提供。</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            </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widowControl/>
        <w:adjustRightInd/>
        <w:spacing w:line="288" w:lineRule="auto"/>
        <w:jc w:val="lef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br w:type="page"/>
      </w:r>
    </w:p>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五、评标标准相应的商务技术资料</w:t>
      </w:r>
    </w:p>
    <w:p>
      <w:pPr>
        <w:snapToGrid w:val="0"/>
        <w:spacing w:line="288"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（按招标文件第四部分评标办法前附表中“投标文件中评标标准相应的商务技术资料目录”提供资料。）</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六、投标标的清单</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032"/>
        <w:gridCol w:w="2742"/>
        <w:gridCol w:w="1718"/>
        <w:gridCol w:w="1032"/>
        <w:gridCol w:w="103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w:t>
            </w:r>
          </w:p>
        </w:tc>
        <w:tc>
          <w:tcPr>
            <w:tcW w:w="1424" w:type="pct"/>
            <w:tcBorders>
              <w:top w:val="single" w:color="auto" w:sz="4" w:space="0"/>
              <w:left w:val="single" w:color="auto" w:sz="4" w:space="0"/>
              <w:bottom w:val="single" w:color="auto" w:sz="4" w:space="0"/>
              <w:right w:val="single" w:color="auto" w:sz="4" w:space="0"/>
            </w:tcBorders>
          </w:tcPr>
          <w:p>
            <w:pPr>
              <w:spacing w:line="288" w:lineRule="auto"/>
              <w:jc w:val="center"/>
              <w:rPr>
                <w:rFonts w:hint="eastAsia" w:ascii="宋体" w:hAnsi="宋体" w:cs="宋体"/>
                <w:b/>
                <w:color w:val="000000" w:themeColor="text1"/>
                <w:szCs w:val="21"/>
                <w14:textFill>
                  <w14:solidFill>
                    <w14:schemeClr w14:val="tx1"/>
                  </w14:solidFill>
                </w14:textFill>
              </w:rPr>
            </w:pPr>
          </w:p>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品牌（如果有）</w:t>
            </w:r>
          </w:p>
        </w:tc>
        <w:tc>
          <w:tcPr>
            <w:tcW w:w="892"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规格型号</w:t>
            </w: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36"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1424"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36"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1424"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36"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1424"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cs="宋体"/>
                <w:color w:val="000000" w:themeColor="text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themeColor="text1"/>
                <w:szCs w:val="21"/>
                <w14:textFill>
                  <w14:solidFill>
                    <w14:schemeClr w14:val="tx1"/>
                  </w14:solidFill>
                </w14:textFill>
              </w:rPr>
            </w:pPr>
          </w:p>
        </w:tc>
      </w:tr>
    </w:tbl>
    <w:p>
      <w:pPr>
        <w:spacing w:line="288" w:lineRule="auto"/>
        <w:ind w:right="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注：按本格式和要求提供。</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288"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3683" w:type="dxa"/>
          </w:tcPr>
          <w:p>
            <w:pPr>
              <w:spacing w:line="288"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招标文件章节及具体内容</w:t>
            </w:r>
          </w:p>
        </w:tc>
        <w:tc>
          <w:tcPr>
            <w:tcW w:w="3546" w:type="dxa"/>
          </w:tcPr>
          <w:p>
            <w:pPr>
              <w:spacing w:line="288"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投标文件章节及具体内容</w:t>
            </w:r>
          </w:p>
        </w:tc>
        <w:tc>
          <w:tcPr>
            <w:tcW w:w="1276" w:type="dxa"/>
          </w:tcPr>
          <w:p>
            <w:pPr>
              <w:spacing w:line="288"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288"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683" w:type="dxa"/>
          </w:tcPr>
          <w:p>
            <w:pPr>
              <w:spacing w:line="288" w:lineRule="auto"/>
              <w:jc w:val="center"/>
              <w:rPr>
                <w:rFonts w:hint="eastAsia" w:ascii="宋体" w:hAnsi="宋体" w:cs="宋体"/>
                <w:b/>
                <w:color w:val="000000" w:themeColor="text1"/>
                <w:kern w:val="0"/>
                <w:szCs w:val="21"/>
                <w14:textFill>
                  <w14:solidFill>
                    <w14:schemeClr w14:val="tx1"/>
                  </w14:solidFill>
                </w14:textFill>
              </w:rPr>
            </w:pPr>
          </w:p>
        </w:tc>
        <w:tc>
          <w:tcPr>
            <w:tcW w:w="3546" w:type="dxa"/>
          </w:tcPr>
          <w:p>
            <w:pPr>
              <w:spacing w:line="288" w:lineRule="auto"/>
              <w:jc w:val="center"/>
              <w:rPr>
                <w:rFonts w:hint="eastAsia" w:ascii="宋体" w:hAnsi="宋体" w:cs="宋体"/>
                <w:b/>
                <w:color w:val="000000" w:themeColor="text1"/>
                <w:kern w:val="0"/>
                <w:szCs w:val="21"/>
                <w14:textFill>
                  <w14:solidFill>
                    <w14:schemeClr w14:val="tx1"/>
                  </w14:solidFill>
                </w14:textFill>
              </w:rPr>
            </w:pPr>
          </w:p>
        </w:tc>
        <w:tc>
          <w:tcPr>
            <w:tcW w:w="1276" w:type="dxa"/>
          </w:tcPr>
          <w:p>
            <w:pPr>
              <w:spacing w:line="288" w:lineRule="auto"/>
              <w:jc w:val="center"/>
              <w:rPr>
                <w:rFonts w:hint="eastAsia" w:ascii="宋体" w:hAnsi="宋体" w:cs="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288"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3683" w:type="dxa"/>
          </w:tcPr>
          <w:p>
            <w:pPr>
              <w:spacing w:line="288" w:lineRule="auto"/>
              <w:jc w:val="center"/>
              <w:rPr>
                <w:rFonts w:hint="eastAsia" w:ascii="宋体" w:hAnsi="宋体" w:cs="宋体"/>
                <w:b/>
                <w:color w:val="000000" w:themeColor="text1"/>
                <w:kern w:val="0"/>
                <w:szCs w:val="21"/>
                <w14:textFill>
                  <w14:solidFill>
                    <w14:schemeClr w14:val="tx1"/>
                  </w14:solidFill>
                </w14:textFill>
              </w:rPr>
            </w:pPr>
          </w:p>
        </w:tc>
        <w:tc>
          <w:tcPr>
            <w:tcW w:w="3546" w:type="dxa"/>
          </w:tcPr>
          <w:p>
            <w:pPr>
              <w:spacing w:line="288" w:lineRule="auto"/>
              <w:jc w:val="center"/>
              <w:rPr>
                <w:rFonts w:hint="eastAsia" w:ascii="宋体" w:hAnsi="宋体" w:cs="宋体"/>
                <w:b/>
                <w:color w:val="000000" w:themeColor="text1"/>
                <w:kern w:val="0"/>
                <w:szCs w:val="21"/>
                <w14:textFill>
                  <w14:solidFill>
                    <w14:schemeClr w14:val="tx1"/>
                  </w14:solidFill>
                </w14:textFill>
              </w:rPr>
            </w:pPr>
          </w:p>
        </w:tc>
        <w:tc>
          <w:tcPr>
            <w:tcW w:w="1276" w:type="dxa"/>
          </w:tcPr>
          <w:p>
            <w:pPr>
              <w:spacing w:line="288" w:lineRule="auto"/>
              <w:jc w:val="center"/>
              <w:rPr>
                <w:rFonts w:hint="eastAsia" w:ascii="宋体" w:hAnsi="宋体" w:cs="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288"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3683" w:type="dxa"/>
          </w:tcPr>
          <w:p>
            <w:pPr>
              <w:spacing w:line="288" w:lineRule="auto"/>
              <w:jc w:val="center"/>
              <w:rPr>
                <w:rFonts w:hint="eastAsia" w:ascii="宋体" w:hAnsi="宋体" w:cs="宋体"/>
                <w:b/>
                <w:color w:val="000000" w:themeColor="text1"/>
                <w:kern w:val="0"/>
                <w:szCs w:val="21"/>
                <w14:textFill>
                  <w14:solidFill>
                    <w14:schemeClr w14:val="tx1"/>
                  </w14:solidFill>
                </w14:textFill>
              </w:rPr>
            </w:pPr>
          </w:p>
        </w:tc>
        <w:tc>
          <w:tcPr>
            <w:tcW w:w="3546" w:type="dxa"/>
          </w:tcPr>
          <w:p>
            <w:pPr>
              <w:spacing w:line="288" w:lineRule="auto"/>
              <w:jc w:val="center"/>
              <w:rPr>
                <w:rFonts w:hint="eastAsia" w:ascii="宋体" w:hAnsi="宋体" w:cs="宋体"/>
                <w:b/>
                <w:color w:val="000000" w:themeColor="text1"/>
                <w:kern w:val="0"/>
                <w:szCs w:val="21"/>
                <w14:textFill>
                  <w14:solidFill>
                    <w14:schemeClr w14:val="tx1"/>
                  </w14:solidFill>
                </w14:textFill>
              </w:rPr>
            </w:pPr>
          </w:p>
        </w:tc>
        <w:tc>
          <w:tcPr>
            <w:tcW w:w="1276" w:type="dxa"/>
          </w:tcPr>
          <w:p>
            <w:pPr>
              <w:spacing w:line="288" w:lineRule="auto"/>
              <w:jc w:val="center"/>
              <w:rPr>
                <w:rFonts w:hint="eastAsia" w:ascii="宋体" w:hAnsi="宋体" w:cs="宋体"/>
                <w:b/>
                <w:color w:val="000000" w:themeColor="text1"/>
                <w:kern w:val="0"/>
                <w:szCs w:val="21"/>
                <w14:textFill>
                  <w14:solidFill>
                    <w14:schemeClr w14:val="tx1"/>
                  </w14:solidFill>
                </w14:textFill>
              </w:rPr>
            </w:pPr>
          </w:p>
        </w:tc>
      </w:tr>
    </w:tbl>
    <w:p>
      <w:pPr>
        <w:spacing w:line="288"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投标人保证：除商务技术偏离表列出的偏离外，投标人响应招标文件的全部要求</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spacing w:line="288" w:lineRule="auto"/>
        <w:ind w:right="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注：按本格式和要求提供。</w:t>
      </w:r>
    </w:p>
    <w:p>
      <w:pPr>
        <w:spacing w:line="288" w:lineRule="auto"/>
        <w:ind w:firstLine="1254" w:firstLineChars="595"/>
        <w:rPr>
          <w:rFonts w:hint="eastAsia" w:ascii="宋体" w:hAnsi="宋体" w:cs="宋体"/>
          <w:b/>
          <w:bCs/>
          <w:color w:val="000000" w:themeColor="text1"/>
          <w:szCs w:val="21"/>
          <w14:textFill>
            <w14:solidFill>
              <w14:schemeClr w14:val="tx1"/>
            </w14:solidFill>
          </w14:textFill>
        </w:rPr>
      </w:pPr>
    </w:p>
    <w:p>
      <w:pPr>
        <w:spacing w:line="288" w:lineRule="auto"/>
        <w:ind w:firstLine="1254" w:firstLineChars="595"/>
        <w:rPr>
          <w:rFonts w:hint="eastAsia" w:ascii="宋体" w:hAnsi="宋体" w:cs="宋体"/>
          <w:b/>
          <w:bCs/>
          <w:color w:val="000000" w:themeColor="text1"/>
          <w:szCs w:val="21"/>
          <w14:textFill>
            <w14:solidFill>
              <w14:schemeClr w14:val="tx1"/>
            </w14:solidFill>
          </w14:textFill>
        </w:rPr>
      </w:pPr>
    </w:p>
    <w:p>
      <w:pPr>
        <w:spacing w:line="288" w:lineRule="auto"/>
        <w:ind w:firstLine="1254" w:firstLineChars="595"/>
        <w:rPr>
          <w:rFonts w:hint="eastAsia" w:ascii="宋体" w:hAnsi="宋体" w:cs="宋体"/>
          <w:b/>
          <w:bCs/>
          <w:color w:val="000000" w:themeColor="text1"/>
          <w:szCs w:val="21"/>
          <w14:textFill>
            <w14:solidFill>
              <w14:schemeClr w14:val="tx1"/>
            </w14:solidFill>
          </w14:textFill>
        </w:rPr>
      </w:pPr>
    </w:p>
    <w:p>
      <w:pPr>
        <w:spacing w:line="288" w:lineRule="auto"/>
        <w:ind w:firstLine="1254" w:firstLineChars="595"/>
        <w:rPr>
          <w:rFonts w:hint="eastAsia" w:ascii="宋体" w:hAnsi="宋体" w:cs="宋体"/>
          <w:b/>
          <w:bCs/>
          <w:color w:val="000000" w:themeColor="text1"/>
          <w:szCs w:val="21"/>
          <w14:textFill>
            <w14:solidFill>
              <w14:schemeClr w14:val="tx1"/>
            </w14:solidFill>
          </w14:textFill>
        </w:rPr>
      </w:pPr>
    </w:p>
    <w:p>
      <w:pPr>
        <w:spacing w:line="288" w:lineRule="auto"/>
        <w:ind w:firstLine="1254" w:firstLineChars="595"/>
        <w:rPr>
          <w:rFonts w:hint="eastAsia" w:ascii="宋体" w:hAnsi="宋体" w:cs="宋体"/>
          <w:b/>
          <w:bCs/>
          <w:color w:val="000000" w:themeColor="text1"/>
          <w:szCs w:val="21"/>
          <w14:textFill>
            <w14:solidFill>
              <w14:schemeClr w14:val="tx1"/>
            </w14:solidFill>
          </w14:textFill>
        </w:rPr>
      </w:pPr>
    </w:p>
    <w:p>
      <w:pPr>
        <w:widowControl/>
        <w:adjustRightInd/>
        <w:spacing w:line="288" w:lineRule="auto"/>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br w:type="page"/>
      </w:r>
    </w:p>
    <w:p>
      <w:pPr>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w:t>
      </w: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政府采购供应商廉洁自律承诺书</w:t>
      </w:r>
    </w:p>
    <w:p>
      <w:pPr>
        <w:snapToGrid w:val="0"/>
        <w:spacing w:line="288" w:lineRule="auto"/>
        <w:rPr>
          <w:rFonts w:hint="eastAsia" w:ascii="宋体" w:hAnsi="宋体" w:cs="宋体"/>
          <w:color w:val="000000" w:themeColor="text1"/>
          <w:szCs w:val="21"/>
          <w14:textFill>
            <w14:solidFill>
              <w14:schemeClr w14:val="tx1"/>
            </w14:solidFill>
          </w14:textFill>
        </w:rPr>
      </w:pPr>
    </w:p>
    <w:p>
      <w:pPr>
        <w:snapToGrid w:val="0"/>
        <w:spacing w:line="288"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杭州师范大学、浙江豪圣建设项目管理有限公司</w:t>
      </w:r>
      <w:r>
        <w:rPr>
          <w:rFonts w:hint="eastAsia" w:ascii="宋体" w:hAnsi="宋体" w:cs="宋体"/>
          <w:color w:val="000000" w:themeColor="text1"/>
          <w:kern w:val="0"/>
          <w:szCs w:val="21"/>
          <w:lang w:val="zh-CN"/>
          <w14:textFill>
            <w14:solidFill>
              <w14:schemeClr w14:val="tx1"/>
            </w14:solidFill>
          </w14:textFill>
        </w:rPr>
        <w:t>：</w:t>
      </w:r>
    </w:p>
    <w:p>
      <w:pPr>
        <w:autoSpaceDE w:val="0"/>
        <w:autoSpaceDN w:val="0"/>
        <w:spacing w:line="288" w:lineRule="auto"/>
        <w:ind w:left="2" w:leftChars="1"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我单位响应你</w:t>
      </w:r>
      <w:r>
        <w:rPr>
          <w:rFonts w:hint="eastAsia" w:ascii="宋体" w:hAnsi="宋体" w:cs="宋体"/>
          <w:color w:val="000000" w:themeColor="text1"/>
          <w:szCs w:val="21"/>
          <w14:textFill>
            <w14:solidFill>
              <w14:schemeClr w14:val="tx1"/>
            </w14:solidFill>
          </w14:textFill>
        </w:rPr>
        <w:t>单位</w:t>
      </w:r>
      <w:r>
        <w:rPr>
          <w:rFonts w:hint="eastAsia" w:ascii="宋体" w:hAnsi="宋体" w:cs="宋体"/>
          <w:color w:val="000000" w:themeColor="text1"/>
          <w:kern w:val="0"/>
          <w:szCs w:val="21"/>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288" w:lineRule="auto"/>
        <w:ind w:left="2" w:leftChars="1"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288" w:lineRule="auto"/>
        <w:ind w:left="2" w:leftChars="1"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二、不为项目有关人员及部门报销应由你方单位或个人支付的费用； </w:t>
      </w:r>
    </w:p>
    <w:p>
      <w:pPr>
        <w:autoSpaceDE w:val="0"/>
        <w:autoSpaceDN w:val="0"/>
        <w:spacing w:line="288" w:lineRule="auto"/>
        <w:ind w:left="2" w:leftChars="1"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三、不向项目有关人员及部门提供有可能影响公正的宴请和健身娱乐等活动； </w:t>
      </w:r>
    </w:p>
    <w:p>
      <w:pPr>
        <w:autoSpaceDE w:val="0"/>
        <w:autoSpaceDN w:val="0"/>
        <w:spacing w:line="288" w:lineRule="auto"/>
        <w:ind w:left="2" w:leftChars="1"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四、不为项目有关人员及部门出国（境）、旅游等提供方便；</w:t>
      </w:r>
    </w:p>
    <w:p>
      <w:pPr>
        <w:autoSpaceDE w:val="0"/>
        <w:autoSpaceDN w:val="0"/>
        <w:spacing w:line="288" w:lineRule="auto"/>
        <w:ind w:left="481" w:leftChars="229"/>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五、不为项目有关人员个人装修住房、婚丧嫁娶、配偶子女工作安排等提供</w:t>
      </w:r>
    </w:p>
    <w:p>
      <w:pPr>
        <w:autoSpaceDE w:val="0"/>
        <w:autoSpaceDN w:val="0"/>
        <w:spacing w:line="288" w:lineRule="auto"/>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好处；</w:t>
      </w:r>
    </w:p>
    <w:p>
      <w:pPr>
        <w:autoSpaceDE w:val="0"/>
        <w:autoSpaceDN w:val="0"/>
        <w:spacing w:line="288" w:lineRule="auto"/>
        <w:ind w:left="481" w:leftChars="229"/>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六、严格遵守《</w:t>
      </w:r>
      <w:r>
        <w:rPr>
          <w:rFonts w:hint="eastAsia" w:ascii="宋体" w:hAnsi="宋体" w:cs="宋体"/>
          <w:color w:val="000000" w:themeColor="text1"/>
          <w:szCs w:val="21"/>
          <w:lang w:val="zh-CN"/>
          <w14:textFill>
            <w14:solidFill>
              <w14:schemeClr w14:val="tx1"/>
            </w14:solidFill>
          </w14:textFill>
        </w:rPr>
        <w:t>中华人民共和国</w:t>
      </w:r>
      <w:r>
        <w:rPr>
          <w:rFonts w:hint="eastAsia" w:ascii="宋体" w:hAnsi="宋体" w:cs="宋体"/>
          <w:color w:val="000000" w:themeColor="text1"/>
          <w:kern w:val="0"/>
          <w:szCs w:val="21"/>
          <w:lang w:val="zh-CN"/>
          <w14:textFill>
            <w14:solidFill>
              <w14:schemeClr w14:val="tx1"/>
            </w14:solidFill>
          </w14:textFill>
        </w:rPr>
        <w:t>政府采购法》《</w:t>
      </w:r>
      <w:r>
        <w:rPr>
          <w:rFonts w:hint="eastAsia" w:ascii="宋体" w:hAnsi="宋体" w:cs="宋体"/>
          <w:color w:val="000000" w:themeColor="text1"/>
          <w:szCs w:val="21"/>
          <w:lang w:val="zh-CN"/>
          <w14:textFill>
            <w14:solidFill>
              <w14:schemeClr w14:val="tx1"/>
            </w14:solidFill>
          </w14:textFill>
        </w:rPr>
        <w:t>中华人民共和国</w:t>
      </w:r>
      <w:r>
        <w:rPr>
          <w:rFonts w:hint="eastAsia" w:ascii="宋体" w:hAnsi="宋体" w:cs="宋体"/>
          <w:color w:val="000000" w:themeColor="text1"/>
          <w:kern w:val="0"/>
          <w:szCs w:val="21"/>
          <w:lang w:val="zh-CN"/>
          <w14:textFill>
            <w14:solidFill>
              <w14:schemeClr w14:val="tx1"/>
            </w14:solidFill>
          </w14:textFill>
        </w:rPr>
        <w:t>招标投标</w:t>
      </w:r>
    </w:p>
    <w:p>
      <w:pPr>
        <w:autoSpaceDE w:val="0"/>
        <w:autoSpaceDN w:val="0"/>
        <w:spacing w:line="288" w:lineRule="auto"/>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w:t>
      </w:r>
      <w:r>
        <w:rPr>
          <w:rFonts w:hint="eastAsia" w:ascii="宋体" w:hAnsi="宋体" w:cs="宋体"/>
          <w:color w:val="000000" w:themeColor="text1"/>
          <w:szCs w:val="21"/>
          <w:lang w:val="zh-CN"/>
          <w14:textFill>
            <w14:solidFill>
              <w14:schemeClr w14:val="tx1"/>
            </w14:solidFill>
          </w14:textFill>
        </w:rPr>
        <w:t>《中华人民共和国民法典》</w:t>
      </w:r>
      <w:r>
        <w:rPr>
          <w:rFonts w:hint="eastAsia" w:ascii="宋体" w:hAnsi="宋体" w:cs="宋体"/>
          <w:color w:val="000000" w:themeColor="text1"/>
          <w:kern w:val="0"/>
          <w:szCs w:val="21"/>
          <w:lang w:val="zh-CN"/>
          <w14:textFill>
            <w14:solidFill>
              <w14:schemeClr w14:val="tx1"/>
            </w14:solidFill>
          </w14:textFill>
        </w:rPr>
        <w:t xml:space="preserve">等法律法规，诚实守信，合法经营，坚决抵制各种违法违纪行为。 </w:t>
      </w:r>
    </w:p>
    <w:p>
      <w:pPr>
        <w:autoSpaceDE w:val="0"/>
        <w:autoSpaceDN w:val="0"/>
        <w:spacing w:line="288" w:lineRule="auto"/>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如违反上述承诺，你</w:t>
      </w:r>
      <w:r>
        <w:rPr>
          <w:rFonts w:hint="eastAsia" w:ascii="宋体" w:hAnsi="宋体" w:cs="宋体"/>
          <w:color w:val="000000" w:themeColor="text1"/>
          <w:szCs w:val="21"/>
          <w14:textFill>
            <w14:solidFill>
              <w14:schemeClr w14:val="tx1"/>
            </w14:solidFill>
          </w14:textFill>
        </w:rPr>
        <w:t>单位</w:t>
      </w:r>
      <w:r>
        <w:rPr>
          <w:rFonts w:hint="eastAsia" w:ascii="宋体" w:hAnsi="宋体" w:cs="宋体"/>
          <w:color w:val="000000" w:themeColor="text1"/>
          <w:kern w:val="0"/>
          <w:szCs w:val="21"/>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Cs w:val="21"/>
          <w14:textFill>
            <w14:solidFill>
              <w14:schemeClr w14:val="tx1"/>
            </w14:solidFill>
          </w14:textFill>
        </w:rPr>
        <w:t>单位</w:t>
      </w:r>
      <w:r>
        <w:rPr>
          <w:rFonts w:hint="eastAsia" w:ascii="宋体" w:hAnsi="宋体" w:cs="宋体"/>
          <w:color w:val="000000" w:themeColor="text1"/>
          <w:kern w:val="0"/>
          <w:szCs w:val="21"/>
          <w:lang w:val="zh-CN"/>
          <w14:textFill>
            <w14:solidFill>
              <w14:schemeClr w14:val="tx1"/>
            </w14:solidFill>
          </w14:textFill>
        </w:rPr>
        <w:t>进行项目建设或其他经营活动，并通报市财政局。由此引起的相应损失均由我单位承担。</w:t>
      </w:r>
    </w:p>
    <w:p>
      <w:pPr>
        <w:autoSpaceDE w:val="0"/>
        <w:autoSpaceDN w:val="0"/>
        <w:spacing w:line="288" w:lineRule="auto"/>
        <w:ind w:left="2"/>
        <w:jc w:val="left"/>
        <w:rPr>
          <w:rFonts w:hint="eastAsia" w:ascii="宋体" w:hAnsi="宋体" w:cs="宋体"/>
          <w:color w:val="000000" w:themeColor="text1"/>
          <w:kern w:val="0"/>
          <w:szCs w:val="21"/>
          <w:lang w:val="zh-CN"/>
          <w14:textFill>
            <w14:solidFill>
              <w14:schemeClr w14:val="tx1"/>
            </w14:solidFill>
          </w14:textFill>
        </w:rPr>
      </w:pPr>
    </w:p>
    <w:p>
      <w:pPr>
        <w:autoSpaceDE w:val="0"/>
        <w:autoSpaceDN w:val="0"/>
        <w:spacing w:line="288" w:lineRule="auto"/>
        <w:ind w:left="2"/>
        <w:jc w:val="left"/>
        <w:rPr>
          <w:rFonts w:hint="eastAsia" w:ascii="宋体" w:hAnsi="宋体" w:cs="宋体"/>
          <w:color w:val="000000" w:themeColor="text1"/>
          <w:kern w:val="0"/>
          <w:szCs w:val="21"/>
          <w:lang w:val="zh-CN"/>
          <w14:textFill>
            <w14:solidFill>
              <w14:schemeClr w14:val="tx1"/>
            </w14:solidFill>
          </w14:textFill>
        </w:rPr>
      </w:pPr>
    </w:p>
    <w:p>
      <w:pPr>
        <w:autoSpaceDE w:val="0"/>
        <w:autoSpaceDN w:val="0"/>
        <w:spacing w:line="288" w:lineRule="auto"/>
        <w:ind w:left="2"/>
        <w:jc w:val="left"/>
        <w:rPr>
          <w:rFonts w:hint="eastAsia" w:ascii="宋体" w:hAnsi="宋体" w:cs="宋体"/>
          <w:color w:val="000000" w:themeColor="text1"/>
          <w:kern w:val="0"/>
          <w:szCs w:val="21"/>
          <w:lang w:val="zh-CN"/>
          <w14:textFill>
            <w14:solidFill>
              <w14:schemeClr w14:val="tx1"/>
            </w14:solidFill>
          </w14:textFill>
        </w:rPr>
      </w:pPr>
    </w:p>
    <w:p>
      <w:pPr>
        <w:autoSpaceDE w:val="0"/>
        <w:autoSpaceDN w:val="0"/>
        <w:spacing w:line="288" w:lineRule="auto"/>
        <w:ind w:left="2" w:leftChars="1" w:right="1120" w:firstLine="3990" w:firstLineChars="19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电子签名</w:t>
      </w:r>
      <w:r>
        <w:rPr>
          <w:rFonts w:hint="eastAsia" w:ascii="宋体" w:hAnsi="宋体" w:cs="宋体"/>
          <w:color w:val="000000" w:themeColor="text1"/>
          <w:kern w:val="0"/>
          <w:szCs w:val="21"/>
          <w:lang w:val="zh-CN"/>
          <w14:textFill>
            <w14:solidFill>
              <w14:schemeClr w14:val="tx1"/>
            </w14:solidFill>
          </w14:textFill>
        </w:rPr>
        <w:t xml:space="preserve">）：                                                                                                                                                                                                               </w:t>
      </w:r>
    </w:p>
    <w:p>
      <w:pPr>
        <w:spacing w:line="288" w:lineRule="auto"/>
        <w:ind w:left="4620" w:leftChars="2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日期</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 xml:space="preserve">   年   月   日</w:t>
      </w:r>
    </w:p>
    <w:p>
      <w:pPr>
        <w:spacing w:line="288" w:lineRule="auto"/>
        <w:jc w:val="center"/>
        <w:rPr>
          <w:rFonts w:hint="eastAsia" w:ascii="宋体" w:hAnsi="宋体" w:cs="宋体"/>
          <w:b/>
          <w:bCs/>
          <w:color w:val="000000" w:themeColor="text1"/>
          <w:szCs w:val="21"/>
          <w14:textFill>
            <w14:solidFill>
              <w14:schemeClr w14:val="tx1"/>
            </w14:solidFill>
          </w14:textFill>
        </w:rPr>
      </w:pPr>
    </w:p>
    <w:p>
      <w:pPr>
        <w:spacing w:line="288" w:lineRule="auto"/>
        <w:ind w:right="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注：按本格式和要求提供。</w:t>
      </w:r>
    </w:p>
    <w:p>
      <w:pPr>
        <w:spacing w:line="288" w:lineRule="auto"/>
        <w:jc w:val="center"/>
        <w:rPr>
          <w:rFonts w:hint="eastAsia" w:ascii="宋体" w:hAnsi="宋体" w:cs="宋体"/>
          <w:b/>
          <w:bCs/>
          <w:color w:val="000000" w:themeColor="text1"/>
          <w:szCs w:val="21"/>
          <w14:textFill>
            <w14:solidFill>
              <w14:schemeClr w14:val="tx1"/>
            </w14:solidFill>
          </w14:textFill>
        </w:rPr>
        <w:sectPr>
          <w:headerReference r:id="rId17" w:type="first"/>
          <w:footerReference r:id="rId19" w:type="first"/>
          <w:headerReference r:id="rId16" w:type="default"/>
          <w:footerReference r:id="rId18" w:type="default"/>
          <w:pgSz w:w="11905" w:h="16838"/>
          <w:pgMar w:top="1247" w:right="1247" w:bottom="1247" w:left="1247" w:header="851" w:footer="992" w:gutter="0"/>
          <w:cols w:space="0" w:num="1"/>
          <w:titlePg/>
          <w:docGrid w:linePitch="312" w:charSpace="0"/>
        </w:sectPr>
      </w:pPr>
    </w:p>
    <w:p>
      <w:pPr>
        <w:spacing w:line="288" w:lineRule="auto"/>
        <w:jc w:val="center"/>
        <w:outlineLvl w:val="1"/>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报价文件部分</w:t>
      </w:r>
    </w:p>
    <w:p>
      <w:pPr>
        <w:spacing w:line="288"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目录</w:t>
      </w:r>
    </w:p>
    <w:p>
      <w:pPr>
        <w:spacing w:line="288" w:lineRule="auto"/>
        <w:jc w:val="center"/>
        <w:rPr>
          <w:rFonts w:hint="eastAsia" w:ascii="宋体" w:hAnsi="宋体" w:cs="宋体"/>
          <w:b/>
          <w:color w:val="000000" w:themeColor="text1"/>
          <w:kern w:val="0"/>
          <w:szCs w:val="21"/>
          <w14:textFill>
            <w14:solidFill>
              <w14:schemeClr w14:val="tx1"/>
            </w14:solidFill>
          </w14:textFill>
        </w:rPr>
      </w:pPr>
    </w:p>
    <w:p>
      <w:pPr>
        <w:numPr>
          <w:ilvl w:val="0"/>
          <w:numId w:val="3"/>
        </w:num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开标一览表（报价表）………………………………………………………（页码）</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snapToGrid w:val="0"/>
          <w:color w:val="000000" w:themeColor="text1"/>
          <w:szCs w:val="21"/>
          <w14:textFill>
            <w14:solidFill>
              <w14:schemeClr w14:val="tx1"/>
            </w14:solidFill>
          </w14:textFill>
        </w:rPr>
        <w:t>报价情况说明</w:t>
      </w:r>
      <w:r>
        <w:rPr>
          <w:rFonts w:hint="eastAsia" w:ascii="宋体" w:hAnsi="宋体" w:cs="宋体"/>
          <w:color w:val="000000" w:themeColor="text1"/>
          <w:szCs w:val="21"/>
          <w14:textFill>
            <w14:solidFill>
              <w14:schemeClr w14:val="tx1"/>
            </w14:solidFill>
          </w14:textFill>
        </w:rPr>
        <w:t>…………………………………………………………………（页码）</w:t>
      </w:r>
    </w:p>
    <w:p>
      <w:pPr>
        <w:snapToGrid w:val="0"/>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（3）中小企业声明函………………………………………………………………（页码）</w:t>
      </w:r>
    </w:p>
    <w:p>
      <w:pPr>
        <w:pStyle w:val="81"/>
        <w:spacing w:line="288" w:lineRule="auto"/>
        <w:ind w:firstLine="420"/>
        <w:rPr>
          <w:rFonts w:hint="eastAsia" w:ascii="宋体" w:hAnsi="宋体" w:eastAsia="宋体" w:cs="宋体"/>
          <w:color w:val="000000" w:themeColor="text1"/>
          <w:sz w:val="21"/>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snapToGrid w:val="0"/>
        <w:spacing w:line="288" w:lineRule="auto"/>
        <w:ind w:right="480"/>
        <w:jc w:val="center"/>
        <w:rPr>
          <w:rFonts w:hint="eastAsia" w:ascii="宋体" w:hAnsi="宋体" w:cs="宋体"/>
          <w:b/>
          <w:color w:val="000000" w:themeColor="text1"/>
          <w:kern w:val="0"/>
          <w:szCs w:val="21"/>
          <w14:textFill>
            <w14:solidFill>
              <w14:schemeClr w14:val="tx1"/>
            </w14:solidFill>
          </w14:textFill>
        </w:rPr>
      </w:pPr>
    </w:p>
    <w:p>
      <w:pPr>
        <w:pStyle w:val="692"/>
        <w:keepNext w:val="0"/>
        <w:pageBreakBefore w:val="0"/>
        <w:tabs>
          <w:tab w:val="clear" w:pos="720"/>
        </w:tabs>
        <w:snapToGrid w:val="0"/>
        <w:spacing w:before="120" w:after="120" w:line="288" w:lineRule="auto"/>
        <w:ind w:firstLine="643"/>
        <w:outlineLvl w:val="9"/>
        <w:rPr>
          <w:rFonts w:hint="eastAsia" w:ascii="宋体" w:hAnsi="宋体" w:eastAsia="宋体" w:cs="宋体"/>
          <w:color w:val="000000" w:themeColor="text1"/>
          <w:kern w:val="2"/>
          <w:sz w:val="21"/>
          <w:szCs w:val="21"/>
          <w14:textFill>
            <w14:solidFill>
              <w14:schemeClr w14:val="tx1"/>
            </w14:solidFill>
          </w14:textFill>
        </w:rPr>
        <w:sectPr>
          <w:headerReference r:id="rId21" w:type="first"/>
          <w:footerReference r:id="rId23" w:type="first"/>
          <w:headerReference r:id="rId20" w:type="default"/>
          <w:footerReference r:id="rId22" w:type="default"/>
          <w:pgSz w:w="11905" w:h="16838"/>
          <w:pgMar w:top="1247" w:right="1247" w:bottom="1247" w:left="1247" w:header="851" w:footer="992" w:gutter="0"/>
          <w:cols w:space="0" w:num="1"/>
          <w:titlePg/>
          <w:docGrid w:linePitch="312" w:charSpace="0"/>
        </w:sectPr>
      </w:pPr>
    </w:p>
    <w:p>
      <w:pPr>
        <w:pStyle w:val="692"/>
        <w:keepNext w:val="0"/>
        <w:pageBreakBefore w:val="0"/>
        <w:tabs>
          <w:tab w:val="clear" w:pos="720"/>
        </w:tabs>
        <w:snapToGrid w:val="0"/>
        <w:spacing w:before="120" w:after="120" w:line="288" w:lineRule="auto"/>
        <w:ind w:firstLine="643"/>
        <w:outlineLvl w:val="9"/>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一、开标一览表（报价表）</w:t>
      </w:r>
    </w:p>
    <w:p>
      <w:pPr>
        <w:snapToGrid w:val="0"/>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（采购人）、（采购代理机构）</w:t>
      </w:r>
      <w:r>
        <w:rPr>
          <w:rFonts w:hint="eastAsia" w:ascii="宋体" w:hAnsi="宋体" w:cs="宋体"/>
          <w:color w:val="000000" w:themeColor="text1"/>
          <w:kern w:val="0"/>
          <w:szCs w:val="21"/>
          <w:lang w:val="zh-CN"/>
          <w14:textFill>
            <w14:solidFill>
              <w14:schemeClr w14:val="tx1"/>
            </w14:solidFill>
          </w14:textFill>
        </w:rPr>
        <w:t>：</w:t>
      </w:r>
    </w:p>
    <w:p>
      <w:pPr>
        <w:snapToGrid w:val="0"/>
        <w:spacing w:line="360" w:lineRule="auto"/>
        <w:ind w:firstLine="482"/>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kern w:val="0"/>
          <w:szCs w:val="21"/>
          <w:lang w:val="zh-CN"/>
          <w14:textFill>
            <w14:solidFill>
              <w14:schemeClr w14:val="tx1"/>
            </w14:solidFill>
          </w14:textFill>
        </w:rPr>
        <w:t>【招标编号：</w:t>
      </w:r>
      <w:r>
        <w:rPr>
          <w:rFonts w:hint="eastAsia" w:ascii="宋体" w:hAnsi="宋体" w:cs="宋体"/>
          <w:color w:val="000000" w:themeColor="text1"/>
          <w:szCs w:val="21"/>
          <w14:textFill>
            <w14:solidFill>
              <w14:schemeClr w14:val="tx1"/>
            </w14:solidFill>
          </w14:textFill>
        </w:rPr>
        <w:t>（采购编号）】的实施</w:t>
      </w:r>
      <w:r>
        <w:rPr>
          <w:rFonts w:hint="eastAsia" w:ascii="宋体" w:hAnsi="宋体" w:cs="宋体"/>
          <w:color w:val="000000" w:themeColor="text1"/>
          <w:kern w:val="0"/>
          <w:szCs w:val="21"/>
          <w:lang w:val="zh-CN"/>
          <w14:textFill>
            <w14:solidFill>
              <w14:schemeClr w14:val="tx1"/>
            </w14:solidFill>
          </w14:textFill>
        </w:rPr>
        <w:t>。</w:t>
      </w:r>
    </w:p>
    <w:p>
      <w:pPr>
        <w:spacing w:line="360" w:lineRule="auto"/>
        <w:jc w:val="center"/>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开标一览表（报价表）(单位均为人民币元)</w:t>
      </w:r>
    </w:p>
    <w:tbl>
      <w:tblPr>
        <w:tblStyle w:val="62"/>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47"/>
        <w:gridCol w:w="1843"/>
        <w:gridCol w:w="3118"/>
        <w:gridCol w:w="993"/>
        <w:gridCol w:w="1559"/>
        <w:gridCol w:w="198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04" w:type="dxa"/>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247" w:type="dxa"/>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w:t>
            </w:r>
          </w:p>
        </w:tc>
        <w:tc>
          <w:tcPr>
            <w:tcW w:w="1843" w:type="dxa"/>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w:t>
            </w:r>
          </w:p>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（如果有）</w:t>
            </w:r>
          </w:p>
        </w:tc>
        <w:tc>
          <w:tcPr>
            <w:tcW w:w="3118" w:type="dxa"/>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规格型号（或具体服务）</w:t>
            </w:r>
          </w:p>
        </w:tc>
        <w:tc>
          <w:tcPr>
            <w:tcW w:w="993" w:type="dxa"/>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1559" w:type="dxa"/>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w:t>
            </w:r>
          </w:p>
        </w:tc>
        <w:tc>
          <w:tcPr>
            <w:tcW w:w="1984" w:type="dxa"/>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总价</w:t>
            </w:r>
          </w:p>
        </w:tc>
        <w:tc>
          <w:tcPr>
            <w:tcW w:w="2297" w:type="dxa"/>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47"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84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3118"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99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559"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198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2297"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247"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84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3118"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99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559"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198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2297"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47"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84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3118"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99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559"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198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2297"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1247"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84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3118"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99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559"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198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2297"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1247"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84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3118"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993"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559"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1984"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c>
          <w:tcPr>
            <w:tcW w:w="2297"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投标报价（小写）</w:t>
            </w:r>
          </w:p>
        </w:tc>
        <w:tc>
          <w:tcPr>
            <w:tcW w:w="6833" w:type="dxa"/>
            <w:gridSpan w:val="4"/>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投标报价（大写）</w:t>
            </w:r>
          </w:p>
        </w:tc>
        <w:tc>
          <w:tcPr>
            <w:tcW w:w="6833" w:type="dxa"/>
            <w:gridSpan w:val="4"/>
            <w:vAlign w:val="center"/>
          </w:tcPr>
          <w:p>
            <w:pPr>
              <w:spacing w:line="360" w:lineRule="auto"/>
              <w:jc w:val="center"/>
              <w:rPr>
                <w:rFonts w:hint="eastAsia" w:ascii="宋体" w:hAnsi="宋体" w:cs="宋体"/>
                <w:color w:val="000000" w:themeColor="text1"/>
                <w:szCs w:val="21"/>
                <w14:textFill>
                  <w14:solidFill>
                    <w14:schemeClr w14:val="tx1"/>
                  </w14:solidFill>
                </w14:textFill>
              </w:rPr>
            </w:pPr>
          </w:p>
        </w:tc>
      </w:tr>
    </w:tbl>
    <w:p>
      <w:pPr>
        <w:snapToGrid w:val="0"/>
        <w:spacing w:line="360" w:lineRule="auto"/>
        <w:ind w:left="480"/>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b/>
          <w:color w:val="000000" w:themeColor="text1"/>
          <w:kern w:val="0"/>
          <w:szCs w:val="21"/>
          <w:lang w:val="zh-CN"/>
          <w14:textFill>
            <w14:solidFill>
              <w14:schemeClr w14:val="tx1"/>
            </w14:solidFill>
          </w14:textFill>
        </w:rPr>
        <w:t>注：</w:t>
      </w:r>
    </w:p>
    <w:p>
      <w:pPr>
        <w:spacing w:line="360" w:lineRule="auto"/>
        <w:ind w:left="-2" w:leftChars="-1"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1、投标人需按本表格式填写，不得自行更改。</w:t>
      </w:r>
    </w:p>
    <w:p>
      <w:pPr>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Cs w:val="21"/>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不得出现“0元”“免费赠送”等形式的无偿报价，</w:t>
      </w:r>
      <w:r>
        <w:rPr>
          <w:rFonts w:hint="eastAsia" w:ascii="宋体" w:hAnsi="宋体" w:cs="宋体"/>
          <w:b/>
          <w:color w:val="000000" w:themeColor="text1"/>
          <w:kern w:val="0"/>
          <w:szCs w:val="21"/>
          <w14:textFill>
            <w14:solidFill>
              <w14:schemeClr w14:val="tx1"/>
            </w14:solidFill>
          </w14:textFill>
        </w:rPr>
        <w:t>否则视为</w:t>
      </w:r>
      <w:r>
        <w:rPr>
          <w:rFonts w:hint="eastAsia" w:ascii="宋体" w:hAnsi="宋体" w:cs="宋体"/>
          <w:b/>
          <w:color w:val="000000" w:themeColor="text1"/>
          <w:szCs w:val="21"/>
          <w14:textFill>
            <w14:solidFill>
              <w14:schemeClr w14:val="tx1"/>
            </w14:solidFill>
          </w14:textFill>
        </w:rPr>
        <w:t>投标文件含有采购人不能接受的附加条件的，投标无效</w:t>
      </w:r>
      <w:r>
        <w:rPr>
          <w:rFonts w:hint="eastAsia" w:ascii="宋体" w:hAnsi="宋体" w:cs="宋体"/>
          <w:b/>
          <w:color w:val="000000" w:themeColor="text1"/>
          <w:kern w:val="0"/>
          <w:szCs w:val="21"/>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Cs w:val="21"/>
          <w14:textFill>
            <w14:solidFill>
              <w14:schemeClr w14:val="tx1"/>
            </w14:solidFill>
          </w14:textFill>
        </w:rPr>
        <w:t>视为</w:t>
      </w:r>
      <w:r>
        <w:rPr>
          <w:rFonts w:hint="eastAsia" w:ascii="宋体" w:hAnsi="宋体" w:cs="宋体"/>
          <w:b/>
          <w:color w:val="000000" w:themeColor="text1"/>
          <w:szCs w:val="21"/>
          <w14:textFill>
            <w14:solidFill>
              <w14:schemeClr w14:val="tx1"/>
            </w14:solidFill>
          </w14:textFill>
        </w:rPr>
        <w:t>投标文件含有采购人不能接受的附加条件的，投标无效。</w:t>
      </w:r>
    </w:p>
    <w:p>
      <w:pPr>
        <w:snapToGrid w:val="0"/>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3、以上表格要求细分项目及报价，在“规格型号（或具体服务）”一栏中，货物类项目填写规格型号，服务类项目填写具体服务。</w:t>
      </w:r>
    </w:p>
    <w:p>
      <w:pPr>
        <w:snapToGrid w:val="0"/>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snapToGrid w:val="0"/>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6、如投标设备为国产设备，以人民币报价，投标报价包含设备(包括主机、标准附件、备品备件、专用工具)、设备运杂费、保险费、利润、税金等。</w:t>
      </w:r>
    </w:p>
    <w:p>
      <w:pPr>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7、如投标设备为进口设备，以人民币报价，交货方式为CIP杭州师范大学。投标报价须包含设备（包括主机、标准附件、备品备件、专用工具）、</w:t>
      </w:r>
      <w:r>
        <w:rPr>
          <w:rFonts w:hint="eastAsia" w:ascii="宋体" w:hAnsi="宋体" w:cs="宋体"/>
          <w:b/>
          <w:color w:val="000000" w:themeColor="text1"/>
          <w:kern w:val="0"/>
          <w:szCs w:val="21"/>
          <w14:textFill>
            <w14:solidFill>
              <w14:schemeClr w14:val="tx1"/>
            </w14:solidFill>
          </w14:textFill>
        </w:rPr>
        <w:t>国际运费及运输保险费、国内运费及运输保险费、进口关税及增值税（①是否免税，由投标人根据国家相关规定自行判断并考虑在投标报价中；②因贸易战等产生的加征关税，如对原产于美国的进口设备加征的关税费等）</w:t>
      </w:r>
      <w:r>
        <w:rPr>
          <w:rFonts w:hint="eastAsia" w:ascii="宋体" w:hAnsi="宋体" w:cs="宋体"/>
          <w:color w:val="000000" w:themeColor="text1"/>
          <w:kern w:val="0"/>
          <w:szCs w:val="21"/>
          <w14:textFill>
            <w14:solidFill>
              <w14:schemeClr w14:val="tx1"/>
            </w14:solidFill>
          </w14:textFill>
        </w:rPr>
        <w:t>、利润、税金、外贸代理费等。</w:t>
      </w:r>
    </w:p>
    <w:p>
      <w:pPr>
        <w:ind w:firstLine="422" w:firstLineChars="200"/>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8、经公开招标，确定浙江省科学器材进出口有限责任公司为我校外贸代理机构，由中标人委托浙江省科学器材进出口有限责任公司办理免税事宜，采购人予以协助，所需费用由中标人承担。外贸代理费按代理项目技术协议金额乘以收费费率计算。各档次费率按下表执行：</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Layout w:type="autofit"/>
        <w:tblCellMar>
          <w:top w:w="0" w:type="dxa"/>
          <w:left w:w="10" w:type="dxa"/>
          <w:bottom w:w="0" w:type="dxa"/>
          <w:right w:w="10" w:type="dxa"/>
        </w:tblCellMar>
      </w:tblPr>
      <w:tblGrid>
        <w:gridCol w:w="5662"/>
        <w:gridCol w:w="4569"/>
        <w:gridCol w:w="2661"/>
      </w:tblGrid>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bottom w:val="single" w:color="000000" w:sz="6" w:space="0"/>
              <w:right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代理金额(单票)</w:t>
            </w:r>
          </w:p>
        </w:tc>
        <w:tc>
          <w:tcPr>
            <w:tcW w:w="4569" w:type="dxa"/>
            <w:tcBorders>
              <w:left w:val="nil"/>
              <w:bottom w:val="single" w:color="000000" w:sz="6" w:space="0"/>
              <w:right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代理费率</w:t>
            </w:r>
          </w:p>
        </w:tc>
        <w:tc>
          <w:tcPr>
            <w:tcW w:w="2661" w:type="dxa"/>
            <w:tcBorders>
              <w:left w:val="nil"/>
              <w:bottom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10万人民币及以下项目</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【3600】元人民币</w:t>
            </w:r>
          </w:p>
        </w:tc>
        <w:tc>
          <w:tcPr>
            <w:tcW w:w="2661" w:type="dxa"/>
            <w:tcBorders>
              <w:top w:val="nil"/>
              <w:left w:val="nil"/>
              <w:bottom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固定金额收费</w:t>
            </w: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大于10万人民币且小于35万人民币</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2661" w:type="dxa"/>
            <w:vMerge w:val="restart"/>
            <w:tcBorders>
              <w:top w:val="nil"/>
              <w:left w:val="nil"/>
              <w:bottom w:val="nil"/>
            </w:tcBorders>
            <w:vAlign w:val="center"/>
          </w:tcPr>
          <w:p>
            <w:pPr>
              <w:wordWrap w:val="0"/>
              <w:spacing w:line="323" w:lineRule="exact"/>
              <w:ind w:firstLine="210" w:firstLineChars="100"/>
              <w:jc w:val="left"/>
              <w:rPr>
                <w:rFonts w:hint="eastAsia" w:ascii="宋体" w:hAnsi="宋体" w:cs="宋体"/>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[35万（含），70万（不含）]</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【1.35】%</w:t>
            </w:r>
          </w:p>
        </w:tc>
        <w:tc>
          <w:tcPr>
            <w:tcW w:w="2661" w:type="dxa"/>
            <w:vMerge w:val="continue"/>
            <w:tcBorders>
              <w:top w:val="nil"/>
              <w:left w:val="nil"/>
              <w:bottom w:val="nil"/>
            </w:tcBorders>
          </w:tcPr>
          <w:p>
            <w:pPr>
              <w:rPr>
                <w:rFonts w:hint="eastAsia" w:ascii="宋体" w:hAnsi="宋体" w:cs="宋体"/>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[70万（含），140万（不含）]</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【1.08】%</w:t>
            </w:r>
          </w:p>
        </w:tc>
        <w:tc>
          <w:tcPr>
            <w:tcW w:w="2661" w:type="dxa"/>
            <w:vMerge w:val="continue"/>
            <w:tcBorders>
              <w:top w:val="nil"/>
              <w:left w:val="nil"/>
              <w:bottom w:val="nil"/>
            </w:tcBorders>
          </w:tcPr>
          <w:p>
            <w:pPr>
              <w:rPr>
                <w:rFonts w:hint="eastAsia" w:ascii="宋体" w:hAnsi="宋体" w:cs="宋体"/>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[140万（含），350万（不含）]</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【0.63】%</w:t>
            </w:r>
          </w:p>
        </w:tc>
        <w:tc>
          <w:tcPr>
            <w:tcW w:w="2661" w:type="dxa"/>
            <w:vMerge w:val="continue"/>
            <w:tcBorders>
              <w:top w:val="nil"/>
              <w:left w:val="nil"/>
              <w:bottom w:val="nil"/>
            </w:tcBorders>
          </w:tcPr>
          <w:p>
            <w:pPr>
              <w:rPr>
                <w:rFonts w:hint="eastAsia" w:ascii="宋体" w:hAnsi="宋体" w:cs="宋体"/>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right w:val="single" w:color="000000" w:sz="6" w:space="0"/>
            </w:tcBorders>
            <w:vAlign w:val="center"/>
          </w:tcPr>
          <w:p>
            <w:pPr>
              <w:wordWrap w:val="0"/>
              <w:spacing w:line="323"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[350万及以上]</w:t>
            </w:r>
          </w:p>
        </w:tc>
        <w:tc>
          <w:tcPr>
            <w:tcW w:w="4569" w:type="dxa"/>
            <w:tcBorders>
              <w:top w:val="nil"/>
              <w:left w:val="nil"/>
              <w:right w:val="single" w:color="000000" w:sz="6" w:space="0"/>
            </w:tcBorders>
            <w:vAlign w:val="center"/>
          </w:tcPr>
          <w:p>
            <w:pPr>
              <w:wordWrap w:val="0"/>
              <w:spacing w:line="378"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【0.45】%</w:t>
            </w:r>
          </w:p>
        </w:tc>
        <w:tc>
          <w:tcPr>
            <w:tcW w:w="2661" w:type="dxa"/>
            <w:vMerge w:val="continue"/>
            <w:tcBorders>
              <w:top w:val="nil"/>
              <w:left w:val="nil"/>
            </w:tcBorders>
          </w:tcPr>
          <w:p>
            <w:pPr>
              <w:rPr>
                <w:rFonts w:hint="eastAsia" w:ascii="宋体" w:hAnsi="宋体" w:cs="宋体"/>
                <w:color w:val="000000" w:themeColor="text1"/>
                <w:szCs w:val="21"/>
                <w14:textFill>
                  <w14:solidFill>
                    <w14:schemeClr w14:val="tx1"/>
                  </w14:solidFill>
                </w14:textFill>
              </w:rPr>
            </w:pPr>
          </w:p>
        </w:tc>
      </w:tr>
    </w:tbl>
    <w:p>
      <w:pPr>
        <w:pStyle w:val="60"/>
        <w:ind w:firstLine="241"/>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外贸代理费不包含内容：</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进口代理费仅包含银行费用（一次）、报关、海关监管费、仓储、运输等费用，不含进口环节增值税、消费税、关税。因代理项目用户或代理项目供应商的原因导致的额外支出，原则上由代理项目用户或代理项目供应商支出，如以下费用：</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1）将一次性支付变更为多次付费的，由提出方承担增加的银行费用。如一个成交项目需要分开签署多份外贸合同的，每个合同根据合同金额所处区间确定代理费率。</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2）货物到港地为杭州以外的异地目的港，或者货物最终目的地为杭州以外的异地地点时，需要产生的额外运费、保险费和搬卸费。</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3）海运进口换单费超出300元/票的部分（此条款针对个别海运进口的供应商，在发货当地选择价格特别低廉甚至0成本运费的方式，从而把物流成本转嫁到国内段，以换单费等形式向国内客户收取的情况）。</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4）特种设备检测费、能效检测费、最终用户和最终用途说明办理费用；</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特殊物品生物卫生检验备案费等其它特殊收费；</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因特殊原因导致额外增加的仓储费，如入冷冻仓库和危险品仓库的仓储费；</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需要使用特殊运输车辆（如避震车、冷链运输等）的费用；</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试剂类产品额外增加费用。</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5）因供应商指定货代导致的额外费用。</w:t>
      </w:r>
    </w:p>
    <w:p>
      <w:pPr>
        <w:pStyle w:val="60"/>
        <w:ind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如遇以上未涉及的收费，参照以上处理。采购人可根据实际情况，对以上例外内容与各供应商进行商量后调整本附件内容。</w:t>
      </w:r>
    </w:p>
    <w:p>
      <w:pPr>
        <w:snapToGrid w:val="0"/>
        <w:spacing w:line="288" w:lineRule="auto"/>
        <w:ind w:firstLine="420" w:firstLineChars="200"/>
        <w:jc w:val="left"/>
        <w:rPr>
          <w:rFonts w:hint="eastAsia" w:ascii="宋体" w:hAnsi="宋体" w:cs="宋体"/>
          <w:color w:val="000000" w:themeColor="text1"/>
          <w:kern w:val="0"/>
          <w:szCs w:val="21"/>
          <w:lang w:val="zh-CN"/>
          <w14:textFill>
            <w14:solidFill>
              <w14:schemeClr w14:val="tx1"/>
            </w14:solidFill>
          </w14:textFill>
        </w:rPr>
        <w:sectPr>
          <w:pgSz w:w="16838" w:h="11905" w:orient="landscape"/>
          <w:pgMar w:top="1247" w:right="1247" w:bottom="1247" w:left="1247" w:header="851" w:footer="992" w:gutter="0"/>
          <w:cols w:space="0" w:num="1"/>
          <w:titlePg/>
          <w:docGrid w:linePitch="312" w:charSpace="0"/>
        </w:sectPr>
      </w:pPr>
      <w:r>
        <w:rPr>
          <w:rFonts w:hint="eastAsia" w:ascii="宋体" w:hAnsi="宋体" w:cs="宋体"/>
          <w:color w:val="000000" w:themeColor="text1"/>
          <w:szCs w:val="21"/>
          <w14:textFill>
            <w14:solidFill>
              <w14:schemeClr w14:val="tx1"/>
            </w14:solidFill>
          </w14:textFill>
        </w:rPr>
        <w:t>所有超出费用据实结算，在结算时需要向收费人列出明细及单据，并向杭州师范大学备案。同意其对此明细进行公示。</w:t>
      </w:r>
    </w:p>
    <w:p>
      <w:pPr>
        <w:pStyle w:val="692"/>
        <w:keepNext w:val="0"/>
        <w:pageBreakBefore w:val="0"/>
        <w:numPr>
          <w:ilvl w:val="0"/>
          <w:numId w:val="4"/>
        </w:numPr>
        <w:tabs>
          <w:tab w:val="clear" w:pos="720"/>
        </w:tabs>
        <w:snapToGrid w:val="0"/>
        <w:spacing w:before="120" w:after="120" w:line="288" w:lineRule="auto"/>
        <w:ind w:firstLine="643"/>
        <w:outlineLvl w:val="9"/>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报价情况说明（如果有）</w:t>
      </w:r>
    </w:p>
    <w:p>
      <w:pPr>
        <w:pStyle w:val="3"/>
        <w:keepNext w:val="0"/>
        <w:numPr>
          <w:ilvl w:val="255"/>
          <w:numId w:val="0"/>
        </w:numPr>
        <w:tabs>
          <w:tab w:val="clear" w:pos="432"/>
        </w:tabs>
        <w:snapToGrid w:val="0"/>
        <w:spacing w:before="120" w:after="120" w:line="288" w:lineRule="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b w:val="0"/>
          <w:bCs w:val="0"/>
          <w:color w:val="000000" w:themeColor="text1"/>
          <w:sz w:val="21"/>
          <w:szCs w:val="21"/>
          <w:lang w:val="en-US"/>
          <w14:textFill>
            <w14:solidFill>
              <w14:schemeClr w14:val="tx1"/>
            </w14:solidFill>
          </w14:textFill>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line="288" w:lineRule="auto"/>
        <w:ind w:firstLine="643"/>
        <w:outlineLvl w:val="9"/>
        <w:rPr>
          <w:rFonts w:hint="eastAsia" w:ascii="宋体" w:hAnsi="宋体" w:eastAsia="宋体" w:cs="宋体"/>
          <w:color w:val="000000" w:themeColor="text1"/>
          <w:kern w:val="2"/>
          <w:sz w:val="21"/>
          <w:szCs w:val="21"/>
          <w14:textFill>
            <w14:solidFill>
              <w14:schemeClr w14:val="tx1"/>
            </w14:solidFill>
          </w14:textFill>
        </w:rPr>
      </w:pPr>
    </w:p>
    <w:p>
      <w:pPr>
        <w:pStyle w:val="692"/>
        <w:keepNext w:val="0"/>
        <w:pageBreakBefore w:val="0"/>
        <w:tabs>
          <w:tab w:val="clear" w:pos="720"/>
        </w:tabs>
        <w:snapToGrid w:val="0"/>
        <w:spacing w:before="120" w:after="120" w:line="288" w:lineRule="auto"/>
        <w:ind w:firstLine="643"/>
        <w:outlineLvl w:val="9"/>
        <w:rPr>
          <w:rFonts w:hint="eastAsia" w:ascii="宋体" w:hAnsi="宋体" w:eastAsia="宋体" w:cs="宋体"/>
          <w:color w:val="000000" w:themeColor="text1"/>
          <w:kern w:val="2"/>
          <w:sz w:val="21"/>
          <w:szCs w:val="21"/>
          <w14:textFill>
            <w14:solidFill>
              <w14:schemeClr w14:val="tx1"/>
            </w14:solidFill>
          </w14:textFill>
        </w:rPr>
      </w:pPr>
    </w:p>
    <w:p>
      <w:pPr>
        <w:pStyle w:val="692"/>
        <w:keepNext w:val="0"/>
        <w:pageBreakBefore w:val="0"/>
        <w:tabs>
          <w:tab w:val="clear" w:pos="720"/>
        </w:tabs>
        <w:snapToGrid w:val="0"/>
        <w:spacing w:before="120" w:after="120" w:line="288" w:lineRule="auto"/>
        <w:ind w:firstLine="643"/>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中小企业声明函</w:t>
      </w:r>
      <w:bookmarkStart w:id="402" w:name="_Hlk101259491"/>
      <w:r>
        <w:rPr>
          <w:rFonts w:hint="eastAsia" w:ascii="宋体" w:hAnsi="宋体" w:eastAsia="宋体" w:cs="宋体"/>
          <w:color w:val="000000" w:themeColor="text1"/>
          <w:sz w:val="21"/>
          <w:szCs w:val="21"/>
          <w14:textFill>
            <w14:solidFill>
              <w14:schemeClr w14:val="tx1"/>
            </w14:solidFill>
          </w14:textFill>
        </w:rPr>
        <w:t>（如果有）</w:t>
      </w:r>
      <w:bookmarkEnd w:id="402"/>
    </w:p>
    <w:p>
      <w:pPr>
        <w:widowControl/>
        <w:spacing w:line="288" w:lineRule="auto"/>
        <w:ind w:firstLine="105" w:firstLineChars="5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line="288" w:lineRule="auto"/>
        <w:ind w:firstLine="643"/>
        <w:outlineLvl w:val="9"/>
        <w:rPr>
          <w:rFonts w:hint="eastAsia" w:ascii="宋体" w:hAnsi="宋体" w:eastAsia="宋体" w:cs="宋体"/>
          <w:b w:val="0"/>
          <w:color w:val="000000" w:themeColor="text1"/>
          <w:sz w:val="21"/>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spacing w:line="288" w:lineRule="auto"/>
        <w:ind w:right="420" w:firstLine="2108" w:firstLineChars="1000"/>
        <w:rPr>
          <w:rFonts w:hint="eastAsia" w:ascii="宋体" w:hAnsi="宋体" w:cs="宋体"/>
          <w:b/>
          <w:color w:val="000000" w:themeColor="text1"/>
          <w:kern w:val="0"/>
          <w:szCs w:val="21"/>
          <w14:textFill>
            <w14:solidFill>
              <w14:schemeClr w14:val="tx1"/>
            </w14:solidFill>
          </w14:textFill>
        </w:rPr>
      </w:pPr>
    </w:p>
    <w:p>
      <w:pPr>
        <w:pStyle w:val="2"/>
        <w:keepNext w:val="0"/>
        <w:keepLines w:val="0"/>
        <w:pageBreakBefore/>
        <w:widowControl/>
        <w:spacing w:before="100" w:beforeAutospacing="1" w:after="100" w:afterAutospacing="1" w:line="288" w:lineRule="auto"/>
        <w:jc w:val="center"/>
        <w:rPr>
          <w:rFonts w:hint="eastAsia" w:ascii="宋体" w:hAnsi="宋体" w:cs="宋体"/>
          <w:color w:val="000000" w:themeColor="text1"/>
          <w:sz w:val="21"/>
          <w:szCs w:val="21"/>
          <w14:textFill>
            <w14:solidFill>
              <w14:schemeClr w14:val="tx1"/>
            </w14:solidFill>
          </w14:textFill>
        </w:rPr>
      </w:pPr>
      <w:bookmarkStart w:id="403" w:name="_Toc465665161"/>
      <w:r>
        <w:rPr>
          <w:rFonts w:hint="eastAsia" w:ascii="宋体" w:hAnsi="宋体" w:cs="宋体"/>
          <w:color w:val="000000" w:themeColor="text1"/>
          <w:sz w:val="21"/>
          <w:szCs w:val="21"/>
          <w14:textFill>
            <w14:solidFill>
              <w14:schemeClr w14:val="tx1"/>
            </w14:solidFill>
          </w14:textFill>
        </w:rPr>
        <w:t>附件</w:t>
      </w:r>
      <w:bookmarkEnd w:id="403"/>
    </w:p>
    <w:p>
      <w:pPr>
        <w:spacing w:line="288" w:lineRule="auto"/>
        <w:rPr>
          <w:rFonts w:hint="eastAsia" w:ascii="宋体" w:hAnsi="宋体" w:cs="宋体"/>
          <w:b/>
          <w:color w:val="000000" w:themeColor="text1"/>
          <w:spacing w:val="6"/>
          <w:szCs w:val="21"/>
          <w14:textFill>
            <w14:solidFill>
              <w14:schemeClr w14:val="tx1"/>
            </w14:solidFill>
          </w14:textFill>
        </w:rPr>
      </w:pPr>
      <w:r>
        <w:rPr>
          <w:rFonts w:hint="eastAsia" w:ascii="宋体" w:hAnsi="宋体" w:cs="宋体"/>
          <w:b/>
          <w:color w:val="000000" w:themeColor="text1"/>
          <w:spacing w:val="6"/>
          <w:szCs w:val="21"/>
          <w14:textFill>
            <w14:solidFill>
              <w14:schemeClr w14:val="tx1"/>
            </w14:solidFill>
          </w14:textFill>
        </w:rPr>
        <w:t>附件1：</w:t>
      </w:r>
    </w:p>
    <w:p>
      <w:pPr>
        <w:spacing w:line="288" w:lineRule="auto"/>
        <w:jc w:val="center"/>
        <w:rPr>
          <w:rFonts w:hint="eastAsia" w:ascii="宋体" w:hAnsi="宋体" w:cs="宋体"/>
          <w:b/>
          <w:color w:val="000000" w:themeColor="text1"/>
          <w:spacing w:val="6"/>
          <w:szCs w:val="21"/>
          <w14:textFill>
            <w14:solidFill>
              <w14:schemeClr w14:val="tx1"/>
            </w14:solidFill>
          </w14:textFill>
        </w:rPr>
      </w:pPr>
      <w:bookmarkStart w:id="404" w:name="OLE_LINK13"/>
      <w:bookmarkStart w:id="405" w:name="OLE_LINK14"/>
      <w:r>
        <w:rPr>
          <w:rFonts w:hint="eastAsia" w:ascii="宋体" w:hAnsi="宋体" w:cs="宋体"/>
          <w:b/>
          <w:color w:val="000000" w:themeColor="text1"/>
          <w:spacing w:val="6"/>
          <w:szCs w:val="21"/>
          <w14:textFill>
            <w14:solidFill>
              <w14:schemeClr w14:val="tx1"/>
            </w14:solidFill>
          </w14:textFill>
        </w:rPr>
        <w:t>残疾人福利性单位声明函</w:t>
      </w:r>
    </w:p>
    <w:bookmarkEnd w:id="404"/>
    <w:bookmarkEnd w:id="405"/>
    <w:p>
      <w:pPr>
        <w:spacing w:line="288" w:lineRule="auto"/>
        <w:rPr>
          <w:rFonts w:hint="eastAsia" w:ascii="宋体" w:hAnsi="宋体" w:cs="宋体"/>
          <w:b/>
          <w:color w:val="000000" w:themeColor="text1"/>
          <w:spacing w:val="6"/>
          <w:szCs w:val="21"/>
          <w14:textFill>
            <w14:solidFill>
              <w14:schemeClr w14:val="tx1"/>
            </w14:solidFill>
          </w14:textFill>
        </w:rPr>
      </w:pP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Cs w:val="21"/>
          <w:u w:val="single"/>
          <w14:textFill>
            <w14:solidFill>
              <w14:schemeClr w14:val="tx1"/>
            </w14:solidFill>
          </w14:textFill>
        </w:rPr>
        <w:t>（杭州师范大学）</w:t>
      </w:r>
      <w:r>
        <w:rPr>
          <w:rFonts w:hint="eastAsia" w:ascii="宋体" w:hAnsi="宋体" w:cs="宋体"/>
          <w:color w:val="000000" w:themeColor="text1"/>
          <w:szCs w:val="21"/>
          <w14:textFill>
            <w14:solidFill>
              <w14:schemeClr w14:val="tx1"/>
            </w14:solidFill>
          </w14:textFill>
        </w:rPr>
        <w:t>_单位的_</w:t>
      </w:r>
      <w:r>
        <w:rPr>
          <w:rFonts w:hint="eastAsia" w:ascii="宋体" w:hAnsi="宋体" w:cs="宋体"/>
          <w:color w:val="000000" w:themeColor="text1"/>
          <w:szCs w:val="21"/>
          <w:u w:val="single"/>
          <w14:textFill>
            <w14:solidFill>
              <w14:schemeClr w14:val="tx1"/>
            </w14:solidFill>
          </w14:textFill>
        </w:rPr>
        <w:t>机器人导航经颅磁刺激系统</w:t>
      </w:r>
      <w:r>
        <w:rPr>
          <w:rFonts w:hint="eastAsia" w:ascii="宋体" w:hAnsi="宋体" w:cs="宋体"/>
          <w:color w:val="000000" w:themeColor="text1"/>
          <w:szCs w:val="21"/>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本单位对上述声明的真实性负责。如有虚假，将依法承担相应责任。</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p>
    <w:p>
      <w:pPr>
        <w:spacing w:line="288" w:lineRule="auto"/>
        <w:ind w:firstLine="420" w:firstLineChars="200"/>
        <w:rPr>
          <w:rFonts w:hint="eastAsia" w:ascii="宋体" w:hAnsi="宋体" w:cs="宋体"/>
          <w:color w:val="000000" w:themeColor="text1"/>
          <w:szCs w:val="21"/>
          <w14:textFill>
            <w14:solidFill>
              <w14:schemeClr w14:val="tx1"/>
            </w14:solidFill>
          </w14:textFill>
        </w:rPr>
      </w:pPr>
    </w:p>
    <w:p>
      <w:pPr>
        <w:tabs>
          <w:tab w:val="left" w:pos="4860"/>
        </w:tabs>
        <w:spacing w:line="288" w:lineRule="auto"/>
        <w:ind w:right="1560"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投标人名称（电子签名）</w:t>
      </w:r>
      <w:r>
        <w:rPr>
          <w:rFonts w:hint="eastAsia" w:ascii="宋体" w:hAnsi="宋体" w:cs="宋体"/>
          <w:color w:val="000000" w:themeColor="text1"/>
          <w:szCs w:val="21"/>
          <w14:textFill>
            <w14:solidFill>
              <w14:schemeClr w14:val="tx1"/>
            </w14:solidFill>
          </w14:textFill>
        </w:rPr>
        <w:t>：</w:t>
      </w:r>
    </w:p>
    <w:p>
      <w:pPr>
        <w:tabs>
          <w:tab w:val="left" w:pos="4860"/>
        </w:tabs>
        <w:spacing w:line="288" w:lineRule="auto"/>
        <w:ind w:right="1560"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  期：</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p>
    <w:p>
      <w:pPr>
        <w:spacing w:line="288" w:lineRule="auto"/>
        <w:ind w:firstLine="420" w:firstLineChars="200"/>
        <w:rPr>
          <w:rFonts w:hint="eastAsia" w:ascii="宋体" w:hAnsi="宋体" w:cs="宋体"/>
          <w:color w:val="000000" w:themeColor="text1"/>
          <w:szCs w:val="21"/>
          <w14:textFill>
            <w14:solidFill>
              <w14:schemeClr w14:val="tx1"/>
            </w14:solidFill>
          </w14:textFill>
        </w:rPr>
      </w:pPr>
    </w:p>
    <w:p>
      <w:pPr>
        <w:spacing w:line="288" w:lineRule="auto"/>
        <w:ind w:firstLine="420" w:firstLineChars="200"/>
        <w:rPr>
          <w:rFonts w:hint="eastAsia" w:ascii="宋体" w:hAnsi="宋体" w:cs="宋体"/>
          <w:color w:val="000000" w:themeColor="text1"/>
          <w:szCs w:val="21"/>
          <w14:textFill>
            <w14:solidFill>
              <w14:schemeClr w14:val="tx1"/>
            </w14:solidFill>
          </w14:textFill>
        </w:rPr>
      </w:pPr>
    </w:p>
    <w:p>
      <w:pPr>
        <w:spacing w:line="288" w:lineRule="auto"/>
        <w:ind w:firstLine="420" w:firstLineChars="200"/>
        <w:rPr>
          <w:rFonts w:hint="eastAsia" w:ascii="宋体" w:hAnsi="宋体" w:cs="宋体"/>
          <w:color w:val="000000" w:themeColor="text1"/>
          <w:szCs w:val="21"/>
          <w14:textFill>
            <w14:solidFill>
              <w14:schemeClr w14:val="tx1"/>
            </w14:solidFill>
          </w14:textFill>
        </w:rPr>
      </w:pPr>
    </w:p>
    <w:p>
      <w:pPr>
        <w:spacing w:line="288" w:lineRule="auto"/>
        <w:ind w:firstLine="420" w:firstLineChars="200"/>
        <w:rPr>
          <w:rFonts w:hint="eastAsia" w:ascii="宋体" w:hAnsi="宋体" w:cs="宋体"/>
          <w:color w:val="000000" w:themeColor="text1"/>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spacing w:line="288" w:lineRule="auto"/>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288"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288"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288" w:lineRule="auto"/>
        <w:jc w:val="center"/>
        <w:rPr>
          <w:rFonts w:hint="eastAsia" w:ascii="宋体" w:hAnsi="宋体" w:cs="宋体"/>
          <w:b/>
          <w:bCs/>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pPr>
        <w:spacing w:line="288"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288" w:lineRule="auto"/>
        <w:ind w:firstLine="600" w:firstLineChars="200"/>
        <w:jc w:val="left"/>
        <w:rPr>
          <w:rFonts w:hint="eastAsia" w:ascii="宋体" w:hAnsi="宋体" w:cs="宋体"/>
          <w:color w:val="000000" w:themeColor="text1"/>
          <w:sz w:val="30"/>
          <w:szCs w:val="30"/>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pacing w:line="288" w:lineRule="auto"/>
        <w:jc w:val="left"/>
        <w:rPr>
          <w:rFonts w:hint="eastAsia" w:ascii="宋体" w:hAnsi="宋体" w:cs="宋体"/>
          <w:b/>
          <w:color w:val="000000" w:themeColor="text1"/>
          <w:spacing w:val="6"/>
          <w:sz w:val="32"/>
          <w:szCs w:val="32"/>
          <w14:textFill>
            <w14:solidFill>
              <w14:schemeClr w14:val="tx1"/>
            </w14:solidFill>
          </w14:textFill>
        </w:rPr>
      </w:pPr>
    </w:p>
    <w:p>
      <w:pPr>
        <w:spacing w:line="288" w:lineRule="auto"/>
        <w:jc w:val="left"/>
        <w:rPr>
          <w:rFonts w:hint="eastAsia" w:ascii="宋体" w:hAnsi="宋体" w:cs="宋体"/>
          <w:b/>
          <w:color w:val="000000" w:themeColor="text1"/>
          <w:spacing w:val="6"/>
          <w:sz w:val="32"/>
          <w:szCs w:val="32"/>
          <w14:textFill>
            <w14:solidFill>
              <w14:schemeClr w14:val="tx1"/>
            </w14:solidFill>
          </w14:textFill>
        </w:rPr>
      </w:pPr>
    </w:p>
    <w:p>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spacing w:line="288" w:lineRule="auto"/>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288" w:lineRule="auto"/>
        <w:jc w:val="center"/>
        <w:rPr>
          <w:rFonts w:hint="eastAsia" w:ascii="宋体" w:hAnsi="宋体" w:cs="宋体"/>
          <w:b/>
          <w:color w:val="000000" w:themeColor="text1"/>
          <w:sz w:val="24"/>
          <w14:textFill>
            <w14:solidFill>
              <w14:schemeClr w14:val="tx1"/>
            </w14:solidFill>
          </w14:textFill>
        </w:rPr>
      </w:pPr>
    </w:p>
    <w:p>
      <w:pPr>
        <w:spacing w:line="288" w:lineRule="auto"/>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288"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288" w:lineRule="auto"/>
        <w:ind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288"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288"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p>
    <w:p>
      <w:pPr>
        <w:spacing w:line="288"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288"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288"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288"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288"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288" w:lineRule="auto"/>
        <w:rPr>
          <w:rFonts w:hint="eastAsia" w:ascii="宋体" w:hAnsi="宋体" w:cs="宋体"/>
          <w:b/>
          <w:color w:val="000000" w:themeColor="text1"/>
          <w:sz w:val="24"/>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autoSpaceDE w:val="0"/>
        <w:autoSpaceDN w:val="0"/>
        <w:spacing w:line="288"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288" w:lineRule="auto"/>
        <w:rPr>
          <w:rFonts w:hint="eastAsia" w:ascii="宋体" w:hAnsi="宋体" w:cs="宋体"/>
          <w:color w:val="000000" w:themeColor="text1"/>
          <w:sz w:val="24"/>
          <w:u w:val="single"/>
          <w14:textFill>
            <w14:solidFill>
              <w14:schemeClr w14:val="tx1"/>
            </w14:solidFill>
          </w14:textFill>
        </w:rPr>
      </w:pPr>
    </w:p>
    <w:p>
      <w:pPr>
        <w:spacing w:line="288"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杭州师范大学、浙江豪圣建设项目管理有限公司：</w:t>
      </w:r>
    </w:p>
    <w:p>
      <w:pPr>
        <w:spacing w:line="288"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你方组织的机器人导航经颅磁刺激系统【招标编号：</w:t>
      </w:r>
      <w:r>
        <w:rPr>
          <w:rFonts w:hint="eastAsia" w:ascii="宋体" w:hAnsi="宋体" w:cs="宋体"/>
          <w:color w:val="000000" w:themeColor="text1"/>
          <w:sz w:val="24"/>
          <w:lang w:eastAsia="zh-CN"/>
          <w14:textFill>
            <w14:solidFill>
              <w14:schemeClr w14:val="tx1"/>
            </w14:solidFill>
          </w14:textFill>
        </w:rPr>
        <w:t>HZNU-2024440</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288"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288" w:lineRule="auto"/>
        <w:ind w:firstLine="494"/>
        <w:rPr>
          <w:rFonts w:hint="eastAsia" w:ascii="宋体" w:hAnsi="宋体" w:cs="宋体"/>
          <w:color w:val="000000" w:themeColor="text1"/>
          <w:sz w:val="24"/>
          <w14:textFill>
            <w14:solidFill>
              <w14:schemeClr w14:val="tx1"/>
            </w14:solidFill>
          </w14:textFill>
        </w:rPr>
      </w:pPr>
    </w:p>
    <w:p>
      <w:pPr>
        <w:spacing w:line="288" w:lineRule="auto"/>
        <w:ind w:firstLine="494"/>
        <w:rPr>
          <w:rFonts w:hint="eastAsia" w:ascii="宋体" w:hAnsi="宋体" w:cs="宋体"/>
          <w:color w:val="000000" w:themeColor="text1"/>
          <w:sz w:val="24"/>
          <w14:textFill>
            <w14:solidFill>
              <w14:schemeClr w14:val="tx1"/>
            </w14:solidFill>
          </w14:textFill>
        </w:rPr>
      </w:pPr>
    </w:p>
    <w:p>
      <w:pPr>
        <w:spacing w:line="288" w:lineRule="auto"/>
        <w:ind w:firstLine="494"/>
        <w:rPr>
          <w:rFonts w:hint="eastAsia" w:ascii="宋体" w:hAnsi="宋体" w:cs="宋体"/>
          <w:color w:val="000000" w:themeColor="text1"/>
          <w:sz w:val="24"/>
          <w14:textFill>
            <w14:solidFill>
              <w14:schemeClr w14:val="tx1"/>
            </w14:solidFill>
          </w14:textFill>
        </w:rPr>
      </w:pPr>
    </w:p>
    <w:p>
      <w:pPr>
        <w:spacing w:line="288" w:lineRule="auto"/>
        <w:ind w:right="480" w:firstLine="4080" w:firstLineChars="17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spacing w:line="288" w:lineRule="auto"/>
        <w:ind w:right="1440" w:firstLine="494"/>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288"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snapToGrid w:val="0"/>
        <w:spacing w:line="288" w:lineRule="auto"/>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附件5：联合协议</w:t>
      </w:r>
    </w:p>
    <w:p>
      <w:pPr>
        <w:widowControl/>
        <w:spacing w:line="288" w:lineRule="auto"/>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机器人导航经颅磁刺激系统【招标编号：</w:t>
      </w:r>
      <w:r>
        <w:rPr>
          <w:rFonts w:hint="eastAsia" w:ascii="宋体" w:hAnsi="宋体" w:cs="宋体"/>
          <w:color w:val="000000" w:themeColor="text1"/>
          <w:sz w:val="24"/>
          <w:lang w:eastAsia="zh-CN"/>
          <w14:textFill>
            <w14:solidFill>
              <w14:schemeClr w14:val="tx1"/>
            </w14:solidFill>
          </w14:textFill>
        </w:rPr>
        <w:t>HZNU-2024440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bookmarkStart w:id="406"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（联合体成员2）</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06"/>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288" w:lineRule="auto"/>
        <w:ind w:firstLine="576"/>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（联合体成员X,……）</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288"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288"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288" w:lineRule="auto"/>
        <w:ind w:right="96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288"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288"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spacing w:line="288" w:lineRule="auto"/>
        <w:ind w:right="42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附件6：分包意向协议</w:t>
      </w:r>
    </w:p>
    <w:p>
      <w:pPr>
        <w:widowControl/>
        <w:spacing w:line="288" w:lineRule="auto"/>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机器人导航经颅磁刺激系统【招标编号：</w:t>
      </w:r>
      <w:r>
        <w:rPr>
          <w:rFonts w:hint="eastAsia" w:ascii="宋体" w:hAnsi="宋体" w:cs="宋体"/>
          <w:color w:val="000000" w:themeColor="text1"/>
          <w:sz w:val="24"/>
          <w:lang w:eastAsia="zh-CN"/>
          <w14:textFill>
            <w14:solidFill>
              <w14:schemeClr w14:val="tx1"/>
            </w14:solidFill>
          </w14:textFill>
        </w:rPr>
        <w:t>HZNU-2024440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tabs>
          <w:tab w:val="left" w:pos="432"/>
        </w:tabs>
        <w:spacing w:line="288" w:lineRule="auto"/>
        <w:ind w:left="664" w:leftChars="316" w:firstLine="228" w:firstLineChars="95"/>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288" w:lineRule="auto"/>
        <w:ind w:firstLine="576"/>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288" w:lineRule="auto"/>
        <w:ind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07"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07"/>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288" w:lineRule="auto"/>
        <w:ind w:firstLine="576"/>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288" w:lineRule="auto"/>
        <w:ind w:left="573" w:leftChars="273"/>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288" w:lineRule="auto"/>
        <w:ind w:left="573" w:leftChars="273"/>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288"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288" w:lineRule="auto"/>
        <w:ind w:left="5758" w:leftChars="342" w:hanging="5040" w:hanging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288"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pPr>
        <w:snapToGrid w:val="0"/>
        <w:spacing w:line="288" w:lineRule="auto"/>
        <w:ind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pacing w:line="288" w:lineRule="auto"/>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288"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autoSpaceDE w:val="0"/>
        <w:autoSpaceDN w:val="0"/>
        <w:spacing w:line="288" w:lineRule="auto"/>
        <w:jc w:val="center"/>
        <w:rPr>
          <w:rFonts w:hint="eastAsia" w:ascii="宋体" w:hAnsi="宋体" w:cs="宋体"/>
          <w:b/>
          <w:color w:val="000000" w:themeColor="text1"/>
          <w:spacing w:val="6"/>
          <w:sz w:val="32"/>
          <w:szCs w:val="32"/>
          <w14:textFill>
            <w14:solidFill>
              <w14:schemeClr w14:val="tx1"/>
            </w14:solidFill>
          </w14:textFill>
        </w:rPr>
      </w:pPr>
    </w:p>
    <w:p>
      <w:pPr>
        <w:widowControl/>
        <w:adjustRightInd/>
        <w:spacing w:line="288" w:lineRule="auto"/>
        <w:jc w:val="center"/>
        <w:rPr>
          <w:rFonts w:hint="eastAsia" w:ascii="宋体" w:hAnsi="宋体" w:cs="宋体"/>
          <w:b/>
          <w:color w:val="000000" w:themeColor="text1"/>
          <w:kern w:val="0"/>
          <w:sz w:val="44"/>
          <w:szCs w:val="44"/>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附件7：中小企业声明函</w:t>
      </w:r>
    </w:p>
    <w:p>
      <w:pPr>
        <w:spacing w:line="288" w:lineRule="auto"/>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pPr>
        <w:spacing w:line="288"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（杭州师范大学）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机器人导航经颅磁刺激系统</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288"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机器人导航经颅磁刺激系统</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工业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pPr>
        <w:spacing w:line="288"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288"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288"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napToGrid w:val="0"/>
        <w:spacing w:line="288" w:lineRule="auto"/>
        <w:ind w:firstLine="5160" w:firstLineChars="215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pPr>
        <w:snapToGrid w:val="0"/>
        <w:spacing w:line="288"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pacing w:line="288" w:lineRule="auto"/>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pPr>
        <w:spacing w:line="288"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spacing w:line="288"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color w:val="000000" w:themeColor="text1"/>
          <w:sz w:val="24"/>
          <w14:textFill>
            <w14:solidFill>
              <w14:schemeClr w14:val="tx1"/>
            </w14:solidFill>
          </w14:textFill>
        </w:rPr>
        <w:t>逐一填写，不得缺漏</w:t>
      </w:r>
      <w:r>
        <w:rPr>
          <w:rFonts w:hint="eastAsia" w:ascii="宋体" w:hAnsi="宋体" w:cs="宋体"/>
          <w:color w:val="000000" w:themeColor="text1"/>
          <w:sz w:val="24"/>
          <w14:textFill>
            <w14:solidFill>
              <w14:schemeClr w14:val="tx1"/>
            </w14:solidFill>
          </w14:textFill>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288"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88" w:lineRule="auto"/>
        <w:jc w:val="center"/>
        <w:rPr>
          <w:rFonts w:hint="eastAsia" w:ascii="宋体" w:hAnsi="宋体" w:cs="宋体"/>
          <w:b/>
          <w:color w:val="000000" w:themeColor="text1"/>
          <w:sz w:val="32"/>
          <w:szCs w:val="32"/>
          <w14:textFill>
            <w14:solidFill>
              <w14:schemeClr w14:val="tx1"/>
            </w14:solidFill>
          </w14:textFill>
        </w:rPr>
      </w:pPr>
    </w:p>
    <w:p>
      <w:pPr>
        <w:spacing w:line="288" w:lineRule="auto"/>
        <w:jc w:val="center"/>
        <w:rPr>
          <w:rFonts w:hint="eastAsia" w:ascii="宋体" w:hAnsi="宋体" w:cs="宋体"/>
          <w:b/>
          <w:color w:val="000000" w:themeColor="text1"/>
          <w:sz w:val="32"/>
          <w:szCs w:val="32"/>
          <w14:textFill>
            <w14:solidFill>
              <w14:schemeClr w14:val="tx1"/>
            </w14:solidFill>
          </w14:textFill>
        </w:rPr>
      </w:pPr>
    </w:p>
    <w:p>
      <w:pPr>
        <w:spacing w:line="288" w:lineRule="auto"/>
        <w:rPr>
          <w:rFonts w:hint="eastAsia" w:ascii="宋体" w:hAnsi="宋体" w:cs="宋体"/>
          <w:b/>
          <w:color w:val="000000" w:themeColor="text1"/>
          <w:sz w:val="32"/>
          <w:szCs w:val="32"/>
          <w14:textFill>
            <w14:solidFill>
              <w14:schemeClr w14:val="tx1"/>
            </w14:solidFill>
          </w14:textFill>
        </w:rPr>
      </w:pPr>
    </w:p>
    <w:sectPr>
      <w:headerReference r:id="rId25" w:type="first"/>
      <w:footerReference r:id="rId28" w:type="first"/>
      <w:headerReference r:id="rId24" w:type="default"/>
      <w:footerReference r:id="rId26" w:type="default"/>
      <w:footerReference r:id="rId27" w:type="even"/>
      <w:pgSz w:w="11905" w:h="16838"/>
      <w:pgMar w:top="1247" w:right="1247" w:bottom="1247"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08" w:name="_Toc91899912"/>
    <w:bookmarkStart w:id="409" w:name="_Toc36110187"/>
    <w:bookmarkStart w:id="410" w:name="_Toc164085800"/>
    <w:bookmarkStart w:id="411" w:name="_Toc13184514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 xml:space="preserve"> 杭州师范大学招标文件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FFE12CC3"/>
    <w:multiLevelType w:val="singleLevel"/>
    <w:tmpl w:val="FFE12CC3"/>
    <w:lvl w:ilvl="0" w:tentative="0">
      <w:start w:val="1"/>
      <w:numFmt w:val="decimal"/>
      <w:suff w:val="nothing"/>
      <w:lvlText w:val="（%1）"/>
      <w:lvlJc w:val="left"/>
    </w:lvl>
  </w:abstractNum>
  <w:abstractNum w:abstractNumId="2">
    <w:nsid w:val="095B5BD6"/>
    <w:multiLevelType w:val="singleLevel"/>
    <w:tmpl w:val="095B5BD6"/>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yMzVlY2ZlNTE3OWZhMzQzZmU3MTJiNWYxNTdm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65F"/>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589"/>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650"/>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A69"/>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AF2"/>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FC8"/>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1D5"/>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E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5F9A"/>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52"/>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6A"/>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941D1"/>
    <w:rsid w:val="02DC4B10"/>
    <w:rsid w:val="02DD76CE"/>
    <w:rsid w:val="02F36323"/>
    <w:rsid w:val="02F5619C"/>
    <w:rsid w:val="0326446A"/>
    <w:rsid w:val="032D5555"/>
    <w:rsid w:val="036634D2"/>
    <w:rsid w:val="03DD35E4"/>
    <w:rsid w:val="040556DD"/>
    <w:rsid w:val="04076900"/>
    <w:rsid w:val="041A5A3B"/>
    <w:rsid w:val="042311BA"/>
    <w:rsid w:val="042B157A"/>
    <w:rsid w:val="04732647"/>
    <w:rsid w:val="047604C1"/>
    <w:rsid w:val="048F763B"/>
    <w:rsid w:val="049F330E"/>
    <w:rsid w:val="04AA775C"/>
    <w:rsid w:val="04AF1889"/>
    <w:rsid w:val="04F66F48"/>
    <w:rsid w:val="05251E14"/>
    <w:rsid w:val="0553333D"/>
    <w:rsid w:val="056B77C2"/>
    <w:rsid w:val="057F2518"/>
    <w:rsid w:val="058645FB"/>
    <w:rsid w:val="05A16594"/>
    <w:rsid w:val="05A7762D"/>
    <w:rsid w:val="060E5941"/>
    <w:rsid w:val="06110FAF"/>
    <w:rsid w:val="06493CA7"/>
    <w:rsid w:val="064E6EC7"/>
    <w:rsid w:val="065A6178"/>
    <w:rsid w:val="066F1CF3"/>
    <w:rsid w:val="06744454"/>
    <w:rsid w:val="06871610"/>
    <w:rsid w:val="06930BB8"/>
    <w:rsid w:val="07245D42"/>
    <w:rsid w:val="07264C62"/>
    <w:rsid w:val="0779354C"/>
    <w:rsid w:val="07B92A66"/>
    <w:rsid w:val="08061376"/>
    <w:rsid w:val="08452D77"/>
    <w:rsid w:val="086401F8"/>
    <w:rsid w:val="08751CAA"/>
    <w:rsid w:val="087E4C40"/>
    <w:rsid w:val="08A871D0"/>
    <w:rsid w:val="08D66AD6"/>
    <w:rsid w:val="08DA33A3"/>
    <w:rsid w:val="08E80F13"/>
    <w:rsid w:val="09335624"/>
    <w:rsid w:val="0944690F"/>
    <w:rsid w:val="09535675"/>
    <w:rsid w:val="09556F76"/>
    <w:rsid w:val="095F057D"/>
    <w:rsid w:val="09642282"/>
    <w:rsid w:val="09733572"/>
    <w:rsid w:val="09772C16"/>
    <w:rsid w:val="097E7AC3"/>
    <w:rsid w:val="098353B5"/>
    <w:rsid w:val="09A92330"/>
    <w:rsid w:val="09B06B87"/>
    <w:rsid w:val="09C13146"/>
    <w:rsid w:val="09E04166"/>
    <w:rsid w:val="0A1C0718"/>
    <w:rsid w:val="0A3E7710"/>
    <w:rsid w:val="0A5B7E63"/>
    <w:rsid w:val="0AA374A5"/>
    <w:rsid w:val="0AAB7649"/>
    <w:rsid w:val="0ABC5606"/>
    <w:rsid w:val="0ACC2AB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67D00"/>
    <w:rsid w:val="0EB803EE"/>
    <w:rsid w:val="0EF94D4B"/>
    <w:rsid w:val="0F4958DC"/>
    <w:rsid w:val="0F515DF7"/>
    <w:rsid w:val="0F596BA8"/>
    <w:rsid w:val="0F6248D2"/>
    <w:rsid w:val="0F693536"/>
    <w:rsid w:val="0F6E2388"/>
    <w:rsid w:val="0F7B0511"/>
    <w:rsid w:val="0F7B76D9"/>
    <w:rsid w:val="0F816ACD"/>
    <w:rsid w:val="0F9832DB"/>
    <w:rsid w:val="0FBF3FD2"/>
    <w:rsid w:val="0FBF55C6"/>
    <w:rsid w:val="0FBF7FF3"/>
    <w:rsid w:val="0FCB1A98"/>
    <w:rsid w:val="0FF02D9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97320"/>
    <w:rsid w:val="127723A9"/>
    <w:rsid w:val="12862074"/>
    <w:rsid w:val="12883966"/>
    <w:rsid w:val="129E45B4"/>
    <w:rsid w:val="12D270D2"/>
    <w:rsid w:val="12D81596"/>
    <w:rsid w:val="13072A44"/>
    <w:rsid w:val="13261CC6"/>
    <w:rsid w:val="135F4BE2"/>
    <w:rsid w:val="139B1A0A"/>
    <w:rsid w:val="139D25C7"/>
    <w:rsid w:val="13BF3CE4"/>
    <w:rsid w:val="141008D8"/>
    <w:rsid w:val="14125FE6"/>
    <w:rsid w:val="146D271E"/>
    <w:rsid w:val="14982588"/>
    <w:rsid w:val="149A5AD9"/>
    <w:rsid w:val="14A7619D"/>
    <w:rsid w:val="150536C3"/>
    <w:rsid w:val="150C1963"/>
    <w:rsid w:val="151447A0"/>
    <w:rsid w:val="153E27FD"/>
    <w:rsid w:val="154A6454"/>
    <w:rsid w:val="15762120"/>
    <w:rsid w:val="15AE1730"/>
    <w:rsid w:val="160973A4"/>
    <w:rsid w:val="16A8729C"/>
    <w:rsid w:val="16B33777"/>
    <w:rsid w:val="16BC70A7"/>
    <w:rsid w:val="16C6339E"/>
    <w:rsid w:val="16EF0253"/>
    <w:rsid w:val="172F2D79"/>
    <w:rsid w:val="17557BEF"/>
    <w:rsid w:val="17D349C1"/>
    <w:rsid w:val="181D0DEF"/>
    <w:rsid w:val="18244F26"/>
    <w:rsid w:val="1830729E"/>
    <w:rsid w:val="1852128A"/>
    <w:rsid w:val="18567E5D"/>
    <w:rsid w:val="1870062C"/>
    <w:rsid w:val="18817102"/>
    <w:rsid w:val="18830A15"/>
    <w:rsid w:val="18852B28"/>
    <w:rsid w:val="188B5321"/>
    <w:rsid w:val="191D1F6C"/>
    <w:rsid w:val="19932372"/>
    <w:rsid w:val="19A20DD5"/>
    <w:rsid w:val="19AE03F1"/>
    <w:rsid w:val="1A071A03"/>
    <w:rsid w:val="1A1F16AE"/>
    <w:rsid w:val="1A3B5C77"/>
    <w:rsid w:val="1A984BAD"/>
    <w:rsid w:val="1AA66E7A"/>
    <w:rsid w:val="1AB8220E"/>
    <w:rsid w:val="1AE4166C"/>
    <w:rsid w:val="1AF06CFB"/>
    <w:rsid w:val="1AF11B8D"/>
    <w:rsid w:val="1B11359C"/>
    <w:rsid w:val="1B2A271F"/>
    <w:rsid w:val="1B426652"/>
    <w:rsid w:val="1B530544"/>
    <w:rsid w:val="1B530684"/>
    <w:rsid w:val="1B713184"/>
    <w:rsid w:val="1BA209CF"/>
    <w:rsid w:val="1BB4777D"/>
    <w:rsid w:val="1BD75AB8"/>
    <w:rsid w:val="1BD90FDD"/>
    <w:rsid w:val="1BF14125"/>
    <w:rsid w:val="1C0459C2"/>
    <w:rsid w:val="1C1B3B4A"/>
    <w:rsid w:val="1C33298F"/>
    <w:rsid w:val="1C36422E"/>
    <w:rsid w:val="1C88086E"/>
    <w:rsid w:val="1D266CE1"/>
    <w:rsid w:val="1D3963AF"/>
    <w:rsid w:val="1D6A673C"/>
    <w:rsid w:val="1D9247AE"/>
    <w:rsid w:val="1DB567EC"/>
    <w:rsid w:val="1DF51A98"/>
    <w:rsid w:val="1E051CD9"/>
    <w:rsid w:val="1E3D060F"/>
    <w:rsid w:val="1E3F7D2E"/>
    <w:rsid w:val="1E4134E4"/>
    <w:rsid w:val="1E5062B3"/>
    <w:rsid w:val="1E523514"/>
    <w:rsid w:val="1E6432D4"/>
    <w:rsid w:val="1E714A66"/>
    <w:rsid w:val="1E802593"/>
    <w:rsid w:val="1E8B6156"/>
    <w:rsid w:val="1EA703CC"/>
    <w:rsid w:val="1EB7330C"/>
    <w:rsid w:val="1F0A0FF3"/>
    <w:rsid w:val="1F2E5690"/>
    <w:rsid w:val="1F5771FF"/>
    <w:rsid w:val="1FD52574"/>
    <w:rsid w:val="1FE868A9"/>
    <w:rsid w:val="20034907"/>
    <w:rsid w:val="20173E4B"/>
    <w:rsid w:val="204E48BC"/>
    <w:rsid w:val="205B24B5"/>
    <w:rsid w:val="208921B3"/>
    <w:rsid w:val="20973DEB"/>
    <w:rsid w:val="20B26522"/>
    <w:rsid w:val="20B44310"/>
    <w:rsid w:val="20D65FDF"/>
    <w:rsid w:val="211116EB"/>
    <w:rsid w:val="216133FC"/>
    <w:rsid w:val="219519F6"/>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84126"/>
    <w:rsid w:val="243A5D93"/>
    <w:rsid w:val="245375B0"/>
    <w:rsid w:val="24642C0A"/>
    <w:rsid w:val="24B22173"/>
    <w:rsid w:val="24B95AD9"/>
    <w:rsid w:val="24BE24DA"/>
    <w:rsid w:val="24CF5825"/>
    <w:rsid w:val="24D663E6"/>
    <w:rsid w:val="24D77F2B"/>
    <w:rsid w:val="258B00E2"/>
    <w:rsid w:val="25A917A6"/>
    <w:rsid w:val="25BE27CC"/>
    <w:rsid w:val="25D30D3F"/>
    <w:rsid w:val="25F74A5C"/>
    <w:rsid w:val="2628662C"/>
    <w:rsid w:val="262D45DE"/>
    <w:rsid w:val="26333B05"/>
    <w:rsid w:val="26871DC8"/>
    <w:rsid w:val="26A53EF9"/>
    <w:rsid w:val="26A64C5A"/>
    <w:rsid w:val="26A94201"/>
    <w:rsid w:val="26AC274F"/>
    <w:rsid w:val="27044A29"/>
    <w:rsid w:val="271D34C8"/>
    <w:rsid w:val="276142BF"/>
    <w:rsid w:val="27651E6B"/>
    <w:rsid w:val="27783712"/>
    <w:rsid w:val="27907362"/>
    <w:rsid w:val="280F72D3"/>
    <w:rsid w:val="28333E1D"/>
    <w:rsid w:val="28454BD6"/>
    <w:rsid w:val="28455253"/>
    <w:rsid w:val="284877C3"/>
    <w:rsid w:val="28551971"/>
    <w:rsid w:val="285B1C53"/>
    <w:rsid w:val="286D0FD7"/>
    <w:rsid w:val="289F7086"/>
    <w:rsid w:val="28C32028"/>
    <w:rsid w:val="28CC490F"/>
    <w:rsid w:val="28DE40AA"/>
    <w:rsid w:val="28E374EB"/>
    <w:rsid w:val="29345E77"/>
    <w:rsid w:val="294C65AD"/>
    <w:rsid w:val="29806583"/>
    <w:rsid w:val="298B3C4C"/>
    <w:rsid w:val="29F26D24"/>
    <w:rsid w:val="2A15033F"/>
    <w:rsid w:val="2A1662C1"/>
    <w:rsid w:val="2A1C7367"/>
    <w:rsid w:val="2A2815FA"/>
    <w:rsid w:val="2A53244F"/>
    <w:rsid w:val="2A6D6092"/>
    <w:rsid w:val="2A7D76B4"/>
    <w:rsid w:val="2B437463"/>
    <w:rsid w:val="2B7807EE"/>
    <w:rsid w:val="2BA50BF7"/>
    <w:rsid w:val="2BBF00EC"/>
    <w:rsid w:val="2BC37CFD"/>
    <w:rsid w:val="2BD5237F"/>
    <w:rsid w:val="2BDB094E"/>
    <w:rsid w:val="2BDD0222"/>
    <w:rsid w:val="2BE536CE"/>
    <w:rsid w:val="2BE758D9"/>
    <w:rsid w:val="2BF346BB"/>
    <w:rsid w:val="2C09049E"/>
    <w:rsid w:val="2C0A653C"/>
    <w:rsid w:val="2C191F85"/>
    <w:rsid w:val="2CE82D6F"/>
    <w:rsid w:val="2D343236"/>
    <w:rsid w:val="2D575011"/>
    <w:rsid w:val="2D6F75A0"/>
    <w:rsid w:val="2D7A0407"/>
    <w:rsid w:val="2DD15014"/>
    <w:rsid w:val="2DF72DE4"/>
    <w:rsid w:val="2E0220AF"/>
    <w:rsid w:val="2E4B082A"/>
    <w:rsid w:val="2E59653C"/>
    <w:rsid w:val="2E5C5D76"/>
    <w:rsid w:val="2E5D4E86"/>
    <w:rsid w:val="2E5D790B"/>
    <w:rsid w:val="2E9A3C18"/>
    <w:rsid w:val="2EBB0FEE"/>
    <w:rsid w:val="2EC63002"/>
    <w:rsid w:val="2EE572FA"/>
    <w:rsid w:val="2EF51D26"/>
    <w:rsid w:val="2F063F34"/>
    <w:rsid w:val="2F0A6B38"/>
    <w:rsid w:val="2F114DB8"/>
    <w:rsid w:val="2F946CCB"/>
    <w:rsid w:val="2FD25781"/>
    <w:rsid w:val="2FD858D0"/>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0D1551"/>
    <w:rsid w:val="33263B3F"/>
    <w:rsid w:val="336963EB"/>
    <w:rsid w:val="33816EEB"/>
    <w:rsid w:val="33E34843"/>
    <w:rsid w:val="33EB55CD"/>
    <w:rsid w:val="33EC4C02"/>
    <w:rsid w:val="340D2360"/>
    <w:rsid w:val="3410665D"/>
    <w:rsid w:val="3417388E"/>
    <w:rsid w:val="34211214"/>
    <w:rsid w:val="342E63AB"/>
    <w:rsid w:val="34950E68"/>
    <w:rsid w:val="34986E94"/>
    <w:rsid w:val="34AF62C9"/>
    <w:rsid w:val="34CB4388"/>
    <w:rsid w:val="34FA6E12"/>
    <w:rsid w:val="35150A2C"/>
    <w:rsid w:val="354D7158"/>
    <w:rsid w:val="358D5588"/>
    <w:rsid w:val="358E7C87"/>
    <w:rsid w:val="363A3B40"/>
    <w:rsid w:val="365302AE"/>
    <w:rsid w:val="36607A0A"/>
    <w:rsid w:val="366E227C"/>
    <w:rsid w:val="366F2E0D"/>
    <w:rsid w:val="367B6A5C"/>
    <w:rsid w:val="36A74ADA"/>
    <w:rsid w:val="36AD60D5"/>
    <w:rsid w:val="36B224F9"/>
    <w:rsid w:val="36EC0CC9"/>
    <w:rsid w:val="37202102"/>
    <w:rsid w:val="373F410B"/>
    <w:rsid w:val="37EE7094"/>
    <w:rsid w:val="38296C89"/>
    <w:rsid w:val="382B0567"/>
    <w:rsid w:val="383002EB"/>
    <w:rsid w:val="38586797"/>
    <w:rsid w:val="385D15DF"/>
    <w:rsid w:val="389D76B7"/>
    <w:rsid w:val="38BC0149"/>
    <w:rsid w:val="38D87D1C"/>
    <w:rsid w:val="39636459"/>
    <w:rsid w:val="396B7F6C"/>
    <w:rsid w:val="39801AB6"/>
    <w:rsid w:val="399B69AB"/>
    <w:rsid w:val="39B417A9"/>
    <w:rsid w:val="39D37108"/>
    <w:rsid w:val="39FC5695"/>
    <w:rsid w:val="3A006D8E"/>
    <w:rsid w:val="3A3651E5"/>
    <w:rsid w:val="3A514FCD"/>
    <w:rsid w:val="3A744481"/>
    <w:rsid w:val="3A8C7BEF"/>
    <w:rsid w:val="3A906246"/>
    <w:rsid w:val="3AE72E6B"/>
    <w:rsid w:val="3B2349B7"/>
    <w:rsid w:val="3B616CFF"/>
    <w:rsid w:val="3B6259F6"/>
    <w:rsid w:val="3B976654"/>
    <w:rsid w:val="3BA42CAD"/>
    <w:rsid w:val="3BC01EFC"/>
    <w:rsid w:val="3BCA786A"/>
    <w:rsid w:val="3BD31E2F"/>
    <w:rsid w:val="3BF15831"/>
    <w:rsid w:val="3BF770DE"/>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B09D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05AAD"/>
    <w:rsid w:val="40C31A53"/>
    <w:rsid w:val="40FF545D"/>
    <w:rsid w:val="410067C8"/>
    <w:rsid w:val="41041AE4"/>
    <w:rsid w:val="418F0D2A"/>
    <w:rsid w:val="41D01505"/>
    <w:rsid w:val="424362C0"/>
    <w:rsid w:val="42474939"/>
    <w:rsid w:val="424C3C57"/>
    <w:rsid w:val="42613FF3"/>
    <w:rsid w:val="42660D96"/>
    <w:rsid w:val="428667D2"/>
    <w:rsid w:val="42AD0808"/>
    <w:rsid w:val="42B21FB1"/>
    <w:rsid w:val="42B75819"/>
    <w:rsid w:val="42CD1CE0"/>
    <w:rsid w:val="42E1381E"/>
    <w:rsid w:val="42ED6459"/>
    <w:rsid w:val="42FE58DD"/>
    <w:rsid w:val="43174B3D"/>
    <w:rsid w:val="434B790E"/>
    <w:rsid w:val="4360274F"/>
    <w:rsid w:val="43762FDE"/>
    <w:rsid w:val="437C1D47"/>
    <w:rsid w:val="43977AB6"/>
    <w:rsid w:val="43A3342B"/>
    <w:rsid w:val="43BD0C0D"/>
    <w:rsid w:val="43C77C27"/>
    <w:rsid w:val="43DE09EE"/>
    <w:rsid w:val="43DE0B83"/>
    <w:rsid w:val="43E91A02"/>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01D98"/>
    <w:rsid w:val="4774026A"/>
    <w:rsid w:val="477B778F"/>
    <w:rsid w:val="478203EC"/>
    <w:rsid w:val="47B025FA"/>
    <w:rsid w:val="47D20620"/>
    <w:rsid w:val="47D227AD"/>
    <w:rsid w:val="47FF1985"/>
    <w:rsid w:val="4809698F"/>
    <w:rsid w:val="4811697D"/>
    <w:rsid w:val="487A3E25"/>
    <w:rsid w:val="488B5503"/>
    <w:rsid w:val="48937E21"/>
    <w:rsid w:val="489A0361"/>
    <w:rsid w:val="48B94FF3"/>
    <w:rsid w:val="48E37AAB"/>
    <w:rsid w:val="48FD4B4C"/>
    <w:rsid w:val="490A68E0"/>
    <w:rsid w:val="491055FE"/>
    <w:rsid w:val="493B40BC"/>
    <w:rsid w:val="495F5B3E"/>
    <w:rsid w:val="496F77D7"/>
    <w:rsid w:val="49757894"/>
    <w:rsid w:val="497654FD"/>
    <w:rsid w:val="49B64211"/>
    <w:rsid w:val="49C43A8A"/>
    <w:rsid w:val="49F6167F"/>
    <w:rsid w:val="49F7474D"/>
    <w:rsid w:val="49FC1EF0"/>
    <w:rsid w:val="4A064FA0"/>
    <w:rsid w:val="4A0A0924"/>
    <w:rsid w:val="4A16615C"/>
    <w:rsid w:val="4A2D7D47"/>
    <w:rsid w:val="4A4424D7"/>
    <w:rsid w:val="4A8E3303"/>
    <w:rsid w:val="4AB82D0F"/>
    <w:rsid w:val="4AEB7664"/>
    <w:rsid w:val="4AFD7C19"/>
    <w:rsid w:val="4B0567D1"/>
    <w:rsid w:val="4B236AAE"/>
    <w:rsid w:val="4B707271"/>
    <w:rsid w:val="4B8C001B"/>
    <w:rsid w:val="4B9739F7"/>
    <w:rsid w:val="4BEE2503"/>
    <w:rsid w:val="4C245A30"/>
    <w:rsid w:val="4C2A0E0A"/>
    <w:rsid w:val="4C5916EF"/>
    <w:rsid w:val="4CB6685F"/>
    <w:rsid w:val="4CC367FE"/>
    <w:rsid w:val="4CC528E0"/>
    <w:rsid w:val="4D077F3C"/>
    <w:rsid w:val="4D123355"/>
    <w:rsid w:val="4D2A3B31"/>
    <w:rsid w:val="4D2E492A"/>
    <w:rsid w:val="4D312C52"/>
    <w:rsid w:val="4D905305"/>
    <w:rsid w:val="4D964A72"/>
    <w:rsid w:val="4D9C1254"/>
    <w:rsid w:val="4E793892"/>
    <w:rsid w:val="4E800872"/>
    <w:rsid w:val="4EC569ED"/>
    <w:rsid w:val="4ED50EA1"/>
    <w:rsid w:val="4EEC050C"/>
    <w:rsid w:val="4F104EC3"/>
    <w:rsid w:val="4F47354A"/>
    <w:rsid w:val="4F911C54"/>
    <w:rsid w:val="4FE625E0"/>
    <w:rsid w:val="4FE64956"/>
    <w:rsid w:val="5021480F"/>
    <w:rsid w:val="505352CC"/>
    <w:rsid w:val="50962ECB"/>
    <w:rsid w:val="50A42E38"/>
    <w:rsid w:val="50A4577F"/>
    <w:rsid w:val="50B73D1F"/>
    <w:rsid w:val="50BD5BC9"/>
    <w:rsid w:val="50C04D5F"/>
    <w:rsid w:val="50C11EEE"/>
    <w:rsid w:val="50E97CFC"/>
    <w:rsid w:val="50F43794"/>
    <w:rsid w:val="50FA4028"/>
    <w:rsid w:val="510D65B7"/>
    <w:rsid w:val="511157AB"/>
    <w:rsid w:val="51357465"/>
    <w:rsid w:val="5142540C"/>
    <w:rsid w:val="51752B27"/>
    <w:rsid w:val="518832C8"/>
    <w:rsid w:val="519D3C50"/>
    <w:rsid w:val="51A0432A"/>
    <w:rsid w:val="51A86090"/>
    <w:rsid w:val="51B7396D"/>
    <w:rsid w:val="522E4CC3"/>
    <w:rsid w:val="5244713B"/>
    <w:rsid w:val="52615633"/>
    <w:rsid w:val="526F4DE4"/>
    <w:rsid w:val="52977FD4"/>
    <w:rsid w:val="52A25790"/>
    <w:rsid w:val="52A96B6F"/>
    <w:rsid w:val="52AC0229"/>
    <w:rsid w:val="52B45975"/>
    <w:rsid w:val="52D94AA4"/>
    <w:rsid w:val="52EA3A62"/>
    <w:rsid w:val="52F50BB8"/>
    <w:rsid w:val="53097272"/>
    <w:rsid w:val="53347A0C"/>
    <w:rsid w:val="53544462"/>
    <w:rsid w:val="5397158E"/>
    <w:rsid w:val="53CB1124"/>
    <w:rsid w:val="54013861"/>
    <w:rsid w:val="54487265"/>
    <w:rsid w:val="544D6070"/>
    <w:rsid w:val="545367A6"/>
    <w:rsid w:val="54605E1E"/>
    <w:rsid w:val="54647E7B"/>
    <w:rsid w:val="54756C8B"/>
    <w:rsid w:val="54B3506A"/>
    <w:rsid w:val="54C3004D"/>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2548A"/>
    <w:rsid w:val="56471638"/>
    <w:rsid w:val="566B6D1E"/>
    <w:rsid w:val="567C4958"/>
    <w:rsid w:val="56E778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23409"/>
    <w:rsid w:val="5B9938B6"/>
    <w:rsid w:val="5BAF6C35"/>
    <w:rsid w:val="5C02690E"/>
    <w:rsid w:val="5C196DA7"/>
    <w:rsid w:val="5C2A048C"/>
    <w:rsid w:val="5C80234E"/>
    <w:rsid w:val="5C8A680C"/>
    <w:rsid w:val="5D0C4701"/>
    <w:rsid w:val="5D0F0395"/>
    <w:rsid w:val="5D221076"/>
    <w:rsid w:val="5D397964"/>
    <w:rsid w:val="5D513CA1"/>
    <w:rsid w:val="5D5A391C"/>
    <w:rsid w:val="5D5F10C0"/>
    <w:rsid w:val="5D891B7B"/>
    <w:rsid w:val="5D902A97"/>
    <w:rsid w:val="5DAD38EE"/>
    <w:rsid w:val="5E006862"/>
    <w:rsid w:val="5E0207B9"/>
    <w:rsid w:val="5E1834A1"/>
    <w:rsid w:val="5E261785"/>
    <w:rsid w:val="5E2F22B0"/>
    <w:rsid w:val="5E3E0745"/>
    <w:rsid w:val="5E4A7017"/>
    <w:rsid w:val="5E552BBA"/>
    <w:rsid w:val="5E5910D4"/>
    <w:rsid w:val="5E611C10"/>
    <w:rsid w:val="5E702F21"/>
    <w:rsid w:val="5E7A0F3F"/>
    <w:rsid w:val="5EE5430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363E5"/>
    <w:rsid w:val="60D94755"/>
    <w:rsid w:val="60FA2EE8"/>
    <w:rsid w:val="61054A27"/>
    <w:rsid w:val="610A52BC"/>
    <w:rsid w:val="611D2366"/>
    <w:rsid w:val="612964D7"/>
    <w:rsid w:val="61421856"/>
    <w:rsid w:val="615227C4"/>
    <w:rsid w:val="61654E3F"/>
    <w:rsid w:val="6182292A"/>
    <w:rsid w:val="619F7F92"/>
    <w:rsid w:val="61A12D8D"/>
    <w:rsid w:val="61F41846"/>
    <w:rsid w:val="61F94C26"/>
    <w:rsid w:val="62000E56"/>
    <w:rsid w:val="622D6B06"/>
    <w:rsid w:val="624F3E49"/>
    <w:rsid w:val="6256605D"/>
    <w:rsid w:val="62632286"/>
    <w:rsid w:val="62885958"/>
    <w:rsid w:val="62A019CE"/>
    <w:rsid w:val="62D60F4C"/>
    <w:rsid w:val="62F40B65"/>
    <w:rsid w:val="62FC2CFE"/>
    <w:rsid w:val="63024505"/>
    <w:rsid w:val="635600A5"/>
    <w:rsid w:val="635B1DB5"/>
    <w:rsid w:val="63711FED"/>
    <w:rsid w:val="63880DDC"/>
    <w:rsid w:val="638D750D"/>
    <w:rsid w:val="63AC6CC0"/>
    <w:rsid w:val="63E87188"/>
    <w:rsid w:val="64055776"/>
    <w:rsid w:val="64240056"/>
    <w:rsid w:val="643E143A"/>
    <w:rsid w:val="64491666"/>
    <w:rsid w:val="648B6EEF"/>
    <w:rsid w:val="64A532CB"/>
    <w:rsid w:val="64C158BF"/>
    <w:rsid w:val="64CE2EAA"/>
    <w:rsid w:val="653C3090"/>
    <w:rsid w:val="65675336"/>
    <w:rsid w:val="657C09D8"/>
    <w:rsid w:val="65854376"/>
    <w:rsid w:val="658767BE"/>
    <w:rsid w:val="65892531"/>
    <w:rsid w:val="66195831"/>
    <w:rsid w:val="662E75B1"/>
    <w:rsid w:val="66342C2E"/>
    <w:rsid w:val="663E784C"/>
    <w:rsid w:val="668B6A45"/>
    <w:rsid w:val="66E83943"/>
    <w:rsid w:val="672F3F24"/>
    <w:rsid w:val="673E055F"/>
    <w:rsid w:val="67551CE3"/>
    <w:rsid w:val="6759039D"/>
    <w:rsid w:val="67A22552"/>
    <w:rsid w:val="67B22DCC"/>
    <w:rsid w:val="67BC2A2B"/>
    <w:rsid w:val="67BE71AA"/>
    <w:rsid w:val="67D90273"/>
    <w:rsid w:val="67DC5256"/>
    <w:rsid w:val="67DE5875"/>
    <w:rsid w:val="67E55852"/>
    <w:rsid w:val="67EB1AB4"/>
    <w:rsid w:val="67FA1285"/>
    <w:rsid w:val="68551F4F"/>
    <w:rsid w:val="686E1C26"/>
    <w:rsid w:val="687C10C9"/>
    <w:rsid w:val="68840C16"/>
    <w:rsid w:val="68876EFB"/>
    <w:rsid w:val="68884654"/>
    <w:rsid w:val="689F444F"/>
    <w:rsid w:val="68B96DBB"/>
    <w:rsid w:val="68CA2805"/>
    <w:rsid w:val="68D002D4"/>
    <w:rsid w:val="68E937A3"/>
    <w:rsid w:val="693E15D3"/>
    <w:rsid w:val="69627681"/>
    <w:rsid w:val="6977531D"/>
    <w:rsid w:val="6985191D"/>
    <w:rsid w:val="69CC2BFF"/>
    <w:rsid w:val="69DF25E6"/>
    <w:rsid w:val="69FD55B8"/>
    <w:rsid w:val="6A0B1C62"/>
    <w:rsid w:val="6A2406C8"/>
    <w:rsid w:val="6ADE0BD1"/>
    <w:rsid w:val="6AE96859"/>
    <w:rsid w:val="6B147746"/>
    <w:rsid w:val="6B24787C"/>
    <w:rsid w:val="6B573233"/>
    <w:rsid w:val="6B5B6274"/>
    <w:rsid w:val="6B935D53"/>
    <w:rsid w:val="6C0C1E82"/>
    <w:rsid w:val="6C196F71"/>
    <w:rsid w:val="6C226FCB"/>
    <w:rsid w:val="6C31226F"/>
    <w:rsid w:val="6C552F0B"/>
    <w:rsid w:val="6C8C67B7"/>
    <w:rsid w:val="6C9D744C"/>
    <w:rsid w:val="6D026E36"/>
    <w:rsid w:val="6D0F39D8"/>
    <w:rsid w:val="6D167928"/>
    <w:rsid w:val="6D26299B"/>
    <w:rsid w:val="6D4772EC"/>
    <w:rsid w:val="6D4D2752"/>
    <w:rsid w:val="6D9078AF"/>
    <w:rsid w:val="6DAA3FEF"/>
    <w:rsid w:val="6DB12CE1"/>
    <w:rsid w:val="6DC0172B"/>
    <w:rsid w:val="6DCB690C"/>
    <w:rsid w:val="6DD41A5B"/>
    <w:rsid w:val="6DF43C2E"/>
    <w:rsid w:val="6DF51CA3"/>
    <w:rsid w:val="6E4B6C92"/>
    <w:rsid w:val="6E8335BD"/>
    <w:rsid w:val="6E8E12EF"/>
    <w:rsid w:val="6E972936"/>
    <w:rsid w:val="6ED446C5"/>
    <w:rsid w:val="6F2A7D94"/>
    <w:rsid w:val="6F8331F1"/>
    <w:rsid w:val="6FAE1A09"/>
    <w:rsid w:val="6FD75BF8"/>
    <w:rsid w:val="6FE04306"/>
    <w:rsid w:val="6FF30300"/>
    <w:rsid w:val="702E0619"/>
    <w:rsid w:val="707723D0"/>
    <w:rsid w:val="70DA60AB"/>
    <w:rsid w:val="70F5661B"/>
    <w:rsid w:val="71107D1F"/>
    <w:rsid w:val="71360107"/>
    <w:rsid w:val="713B688E"/>
    <w:rsid w:val="71D43752"/>
    <w:rsid w:val="71E371E1"/>
    <w:rsid w:val="71F1796A"/>
    <w:rsid w:val="720F447A"/>
    <w:rsid w:val="72154626"/>
    <w:rsid w:val="72262B5D"/>
    <w:rsid w:val="72283FF7"/>
    <w:rsid w:val="722E7212"/>
    <w:rsid w:val="723A0474"/>
    <w:rsid w:val="725923E4"/>
    <w:rsid w:val="72864BF7"/>
    <w:rsid w:val="729023FC"/>
    <w:rsid w:val="73A56E44"/>
    <w:rsid w:val="73C0646E"/>
    <w:rsid w:val="742222F5"/>
    <w:rsid w:val="74476126"/>
    <w:rsid w:val="74706664"/>
    <w:rsid w:val="7476258E"/>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A385E"/>
    <w:rsid w:val="777F31F2"/>
    <w:rsid w:val="778154D2"/>
    <w:rsid w:val="778D20C9"/>
    <w:rsid w:val="77D1700D"/>
    <w:rsid w:val="77EC04CC"/>
    <w:rsid w:val="78775729"/>
    <w:rsid w:val="78A42DB0"/>
    <w:rsid w:val="78A656AB"/>
    <w:rsid w:val="78B2245C"/>
    <w:rsid w:val="78E172CC"/>
    <w:rsid w:val="78E75809"/>
    <w:rsid w:val="78EA1D1F"/>
    <w:rsid w:val="78FD502C"/>
    <w:rsid w:val="7904172F"/>
    <w:rsid w:val="790F7E27"/>
    <w:rsid w:val="792A231A"/>
    <w:rsid w:val="79316829"/>
    <w:rsid w:val="797E66A9"/>
    <w:rsid w:val="797F1EE5"/>
    <w:rsid w:val="79817A0B"/>
    <w:rsid w:val="798518A4"/>
    <w:rsid w:val="79A97383"/>
    <w:rsid w:val="79E27E8B"/>
    <w:rsid w:val="79F850CE"/>
    <w:rsid w:val="79FD443C"/>
    <w:rsid w:val="7A1D1975"/>
    <w:rsid w:val="7A3E5150"/>
    <w:rsid w:val="7A4670D6"/>
    <w:rsid w:val="7A534B63"/>
    <w:rsid w:val="7A615382"/>
    <w:rsid w:val="7A67303B"/>
    <w:rsid w:val="7AAB1D04"/>
    <w:rsid w:val="7ABA4368"/>
    <w:rsid w:val="7ABD2CC5"/>
    <w:rsid w:val="7AD05746"/>
    <w:rsid w:val="7B1F572E"/>
    <w:rsid w:val="7B257FFD"/>
    <w:rsid w:val="7B343476"/>
    <w:rsid w:val="7B5A2978"/>
    <w:rsid w:val="7B5A7E4C"/>
    <w:rsid w:val="7B667AF9"/>
    <w:rsid w:val="7B7468F8"/>
    <w:rsid w:val="7B872E86"/>
    <w:rsid w:val="7BEE0103"/>
    <w:rsid w:val="7C0A0FE4"/>
    <w:rsid w:val="7C254906"/>
    <w:rsid w:val="7C52743D"/>
    <w:rsid w:val="7C590818"/>
    <w:rsid w:val="7C7C10F6"/>
    <w:rsid w:val="7C853BEA"/>
    <w:rsid w:val="7C881368"/>
    <w:rsid w:val="7CE27788"/>
    <w:rsid w:val="7D0C32F1"/>
    <w:rsid w:val="7D0F408D"/>
    <w:rsid w:val="7D407BDD"/>
    <w:rsid w:val="7D491C6C"/>
    <w:rsid w:val="7D5429C0"/>
    <w:rsid w:val="7D6E6D43"/>
    <w:rsid w:val="7D8555F0"/>
    <w:rsid w:val="7DA16716"/>
    <w:rsid w:val="7DB57A34"/>
    <w:rsid w:val="7DE60973"/>
    <w:rsid w:val="7DEF0916"/>
    <w:rsid w:val="7E1E5218"/>
    <w:rsid w:val="7E9A4E1F"/>
    <w:rsid w:val="7EA7723A"/>
    <w:rsid w:val="7EF56FBB"/>
    <w:rsid w:val="7F0768EB"/>
    <w:rsid w:val="7F143BEC"/>
    <w:rsid w:val="7F6776A3"/>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Char"/>
    <w:autoRedefine/>
    <w:qFormat/>
    <w:uiPriority w:val="0"/>
    <w:rPr>
      <w:rFonts w:ascii="Arial" w:hAnsi="Arial" w:eastAsia="黑体"/>
      <w:b/>
      <w:kern w:val="2"/>
      <w:sz w:val="32"/>
      <w:lang w:val="en-US" w:eastAsia="zh-CN"/>
    </w:rPr>
  </w:style>
  <w:style w:type="character" w:customStyle="1" w:styleId="80">
    <w:name w:val="标题 4 Char"/>
    <w:autoRedefine/>
    <w:qFormat/>
    <w:uiPriority w:val="0"/>
    <w:rPr>
      <w:rFonts w:ascii="Arial" w:hAnsi="Arial" w:eastAsia="黑体"/>
      <w:b/>
      <w:kern w:val="2"/>
      <w:sz w:val="28"/>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xfitem"/>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39735</Words>
  <Characters>42010</Characters>
  <Lines>346</Lines>
  <Paragraphs>97</Paragraphs>
  <TotalTime>34</TotalTime>
  <ScaleCrop>false</ScaleCrop>
  <LinksUpToDate>false</LinksUpToDate>
  <CharactersWithSpaces>46969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2024-10-14T12:34:00Z</dcterms:created>
  <dc:creator>玥</dc:creator>
  <cp:lastModifiedBy>MAC</cp:lastModifiedBy>
  <cp:lastPrinted>2021-12-27T11:06:00Z</cp:lastPrinted>
  <dcterms:modified xsi:type="dcterms:W3CDTF">2024-11-02T09:38:34Z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